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September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4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-7620</wp:posOffset>
            </wp:positionV>
            <wp:extent cx="1352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0-14492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FARMERS &amp; MERCHANTS BANCORP,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5040" w:type="dxa"/>
            <w:vAlign w:val="bottom"/>
          </w:tcPr>
          <w:p>
            <w:pPr>
              <w:jc w:val="center"/>
              <w:ind w:right="1701"/>
              <w:spacing w:after="0"/>
              <w:rPr>
                <w:sz w:val="20"/>
                <w:szCs w:val="20"/>
                <w:color w:val="auto"/>
              </w:rPr>
            </w:pPr>
            <w:r>
              <w:rPr>
                <w:rFonts w:ascii="Arial" w:cs="Arial" w:eastAsia="Arial" w:hAnsi="Arial"/>
                <w:sz w:val="18"/>
                <w:szCs w:val="18"/>
                <w:b w:val="1"/>
                <w:bCs w:val="1"/>
                <w:color w:val="auto"/>
              </w:rPr>
              <w:t>OHIO</w:t>
            </w:r>
          </w:p>
        </w:tc>
        <w:tc>
          <w:tcPr>
            <w:tcW w:w="2920" w:type="dxa"/>
            <w:vAlign w:val="bottom"/>
          </w:tcPr>
          <w:p>
            <w:pPr>
              <w:jc w:val="right"/>
              <w:ind w:right="61"/>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5040" w:type="dxa"/>
            <w:vAlign w:val="bottom"/>
          </w:tcPr>
          <w:p>
            <w:pPr>
              <w:jc w:val="center"/>
              <w:ind w:right="168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040" w:type="dxa"/>
            <w:vAlign w:val="bottom"/>
          </w:tcPr>
          <w:p>
            <w:pPr>
              <w:jc w:val="center"/>
              <w:ind w:right="1681"/>
              <w:spacing w:after="0"/>
              <w:rPr>
                <w:sz w:val="20"/>
                <w:szCs w:val="20"/>
                <w:color w:val="auto"/>
              </w:rPr>
            </w:pPr>
            <w:r>
              <w:rPr>
                <w:rFonts w:ascii="Arial" w:cs="Arial" w:eastAsia="Arial" w:hAnsi="Arial"/>
                <w:sz w:val="14"/>
                <w:szCs w:val="14"/>
                <w:b w:val="1"/>
                <w:bCs w:val="1"/>
                <w:color w:val="auto"/>
                <w:w w:val="94"/>
              </w:rPr>
              <w:t>incorporation or organization)</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21"/>
        </w:trPr>
        <w:tc>
          <w:tcPr>
            <w:tcW w:w="5040" w:type="dxa"/>
            <w:vAlign w:val="bottom"/>
          </w:tcPr>
          <w:p>
            <w:pPr>
              <w:jc w:val="center"/>
              <w:ind w:right="1681"/>
              <w:spacing w:after="0"/>
              <w:rPr>
                <w:sz w:val="20"/>
                <w:szCs w:val="20"/>
                <w:color w:val="auto"/>
              </w:rPr>
            </w:pPr>
            <w:r>
              <w:rPr>
                <w:rFonts w:ascii="Arial" w:cs="Arial" w:eastAsia="Arial" w:hAnsi="Arial"/>
                <w:sz w:val="18"/>
                <w:szCs w:val="18"/>
                <w:b w:val="1"/>
                <w:bCs w:val="1"/>
                <w:color w:val="auto"/>
                <w:w w:val="91"/>
              </w:rPr>
              <w:t>307 North Defiance Street, Archbold, Ohio</w:t>
            </w:r>
          </w:p>
        </w:tc>
        <w:tc>
          <w:tcPr>
            <w:tcW w:w="292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86"/>
        </w:trPr>
        <w:tc>
          <w:tcPr>
            <w:tcW w:w="5040" w:type="dxa"/>
            <w:vAlign w:val="bottom"/>
          </w:tcPr>
          <w:p>
            <w:pPr>
              <w:jc w:val="center"/>
              <w:ind w:right="17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(419) 446-2501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both"/>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76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76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(Do not check if a smaller reporting company)</w:t>
            </w:r>
          </w:p>
        </w:tc>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104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Indicated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11040" w:type="dxa"/>
            <w:vAlign w:val="bottom"/>
            <w:gridSpan w:val="6"/>
          </w:tcPr>
          <w:p>
            <w:pPr>
              <w:spacing w:after="0"/>
              <w:rPr>
                <w:sz w:val="20"/>
                <w:szCs w:val="20"/>
                <w:color w:val="auto"/>
              </w:rPr>
            </w:pPr>
            <w:r>
              <w:rPr>
                <w:rFonts w:ascii="Arial" w:cs="Arial" w:eastAsia="Arial" w:hAnsi="Arial"/>
                <w:sz w:val="18"/>
                <w:szCs w:val="18"/>
                <w:color w:val="auto"/>
              </w:rPr>
              <w:t>Indicate the number of shares of each of the issuers’ classes of common stock, as of the latest practicable date:</w:t>
            </w:r>
          </w:p>
        </w:tc>
        <w:tc>
          <w:tcPr>
            <w:tcW w:w="380" w:type="dxa"/>
            <w:vAlign w:val="bottom"/>
          </w:tcPr>
          <w:p>
            <w:pPr>
              <w:spacing w:after="0"/>
              <w:rPr>
                <w:sz w:val="24"/>
                <w:szCs w:val="24"/>
                <w:color w:val="auto"/>
              </w:rPr>
            </w:pPr>
          </w:p>
        </w:tc>
      </w:tr>
      <w:tr>
        <w:trPr>
          <w:trHeight w:val="466"/>
        </w:trPr>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52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4,620,725</w:t>
            </w: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2"/>
        </w:trPr>
        <w:tc>
          <w:tcPr>
            <w:tcW w:w="1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85"/>
              </w:rPr>
              <w:t>Class</w:t>
            </w:r>
          </w:p>
        </w:tc>
        <w:tc>
          <w:tcPr>
            <w:tcW w:w="2520" w:type="dxa"/>
            <w:vAlign w:val="bottom"/>
          </w:tcPr>
          <w:p>
            <w:pPr>
              <w:ind w:left="1860"/>
              <w:spacing w:after="0" w:line="150" w:lineRule="exact"/>
              <w:rPr>
                <w:sz w:val="20"/>
                <w:szCs w:val="20"/>
                <w:color w:val="auto"/>
              </w:rPr>
            </w:pPr>
            <w:r>
              <w:rPr>
                <w:rFonts w:ascii="Arial" w:cs="Arial" w:eastAsia="Arial" w:hAnsi="Arial"/>
                <w:sz w:val="14"/>
                <w:szCs w:val="14"/>
                <w:color w:val="auto"/>
                <w:w w:val="84"/>
              </w:rPr>
              <w:t>Outstanding</w:t>
            </w:r>
          </w:p>
        </w:tc>
        <w:tc>
          <w:tcPr>
            <w:tcW w:w="2980" w:type="dxa"/>
            <w:vAlign w:val="bottom"/>
            <w:gridSpan w:val="2"/>
          </w:tcPr>
          <w:p>
            <w:pPr>
              <w:ind w:left="80"/>
              <w:spacing w:after="0"/>
              <w:rPr>
                <w:sz w:val="20"/>
                <w:szCs w:val="20"/>
                <w:color w:val="auto"/>
              </w:rPr>
            </w:pPr>
            <w:r>
              <w:rPr>
                <w:rFonts w:ascii="Arial" w:cs="Arial" w:eastAsia="Arial" w:hAnsi="Arial"/>
                <w:sz w:val="14"/>
                <w:szCs w:val="14"/>
                <w:color w:val="auto"/>
              </w:rPr>
              <w:t>as of October 24, 2016</w:t>
            </w:r>
          </w:p>
        </w:tc>
        <w:tc>
          <w:tcPr>
            <w:tcW w:w="380" w:type="dxa"/>
            <w:vAlign w:val="bottom"/>
          </w:tcPr>
          <w:p>
            <w:pPr>
              <w:spacing w:after="0"/>
              <w:rPr>
                <w:sz w:val="15"/>
                <w:szCs w:val="15"/>
                <w:color w:val="auto"/>
              </w:rPr>
            </w:pPr>
          </w:p>
        </w:tc>
      </w:tr>
      <w:tr>
        <w:trPr>
          <w:trHeight w:val="182"/>
        </w:trPr>
        <w:tc>
          <w:tcPr>
            <w:tcW w:w="17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Form 10-Q Items</w:t>
            </w:r>
          </w:p>
        </w:tc>
        <w:tc>
          <w:tcPr>
            <w:tcW w:w="240" w:type="dxa"/>
            <w:vAlign w:val="bottom"/>
          </w:tcPr>
          <w:p>
            <w:pPr>
              <w:spacing w:after="0"/>
              <w:rPr>
                <w:sz w:val="15"/>
                <w:szCs w:val="15"/>
                <w:color w:val="auto"/>
              </w:rPr>
            </w:pPr>
          </w:p>
        </w:tc>
        <w:tc>
          <w:tcPr>
            <w:tcW w:w="8060" w:type="dxa"/>
            <w:vAlign w:val="bottom"/>
            <w:gridSpan w:val="20"/>
            <w:vMerge w:val="restart"/>
          </w:tcPr>
          <w:p>
            <w:pPr>
              <w:spacing w:after="0"/>
              <w:rPr>
                <w:sz w:val="20"/>
                <w:szCs w:val="20"/>
                <w:color w:val="auto"/>
              </w:rPr>
            </w:pPr>
            <w:r>
              <w:rPr>
                <w:rFonts w:ascii="Arial" w:cs="Arial" w:eastAsia="Arial" w:hAnsi="Arial"/>
                <w:sz w:val="18"/>
                <w:szCs w:val="18"/>
                <w:color w:val="auto"/>
              </w:rPr>
              <w:t>FINANCIAL INFORMATION</w:t>
            </w:r>
          </w:p>
        </w:tc>
        <w:tc>
          <w:tcPr>
            <w:tcW w:w="2020" w:type="dxa"/>
            <w:vAlign w:val="bottom"/>
          </w:tcPr>
          <w:p>
            <w:pPr>
              <w:jc w:val="right"/>
              <w:ind w:right="1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10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40" w:type="dxa"/>
            <w:vAlign w:val="bottom"/>
          </w:tcPr>
          <w:p>
            <w:pPr>
              <w:spacing w:after="0"/>
              <w:rPr>
                <w:sz w:val="19"/>
                <w:szCs w:val="19"/>
                <w:color w:val="auto"/>
              </w:rPr>
            </w:pPr>
          </w:p>
        </w:tc>
        <w:tc>
          <w:tcPr>
            <w:tcW w:w="8060" w:type="dxa"/>
            <w:vAlign w:val="bottom"/>
            <w:gridSpan w:val="20"/>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2"/>
                <w:szCs w:val="22"/>
                <w:color w:val="auto"/>
              </w:rPr>
            </w:pP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640" w:type="dxa"/>
            <w:vAlign w:val="bottom"/>
            <w:gridSpan w:val="11"/>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060" w:type="dxa"/>
            <w:vAlign w:val="bottom"/>
            <w:gridSpan w:val="10"/>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30, 2016 and December 31, 2015</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&amp; Comprehensive Income -</w:t>
              </w:r>
            </w:hyperlink>
          </w:p>
        </w:tc>
        <w:tc>
          <w:tcPr>
            <w:tcW w:w="2600" w:type="dxa"/>
            <w:vAlign w:val="bottom"/>
            <w:gridSpan w:val="3"/>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Nine Months Ended September 30, 2016 and September 30, 2015</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4280" w:type="dxa"/>
            <w:vAlign w:val="bottom"/>
            <w:gridSpan w:val="8"/>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Nine Months Ended September 30, 2016 and September 30, 2015</w:t>
              </w:r>
            </w:hyperlink>
          </w:p>
        </w:tc>
        <w:tc>
          <w:tcPr>
            <w:tcW w:w="314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060" w:type="dxa"/>
            <w:vAlign w:val="bottom"/>
            <w:gridSpan w:val="7"/>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16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Qualitative and Quantitative Disclosures About Market Risk</w:t>
              </w:r>
            </w:hyperlink>
          </w:p>
        </w:tc>
        <w:tc>
          <w:tcPr>
            <w:tcW w:w="3700" w:type="dxa"/>
            <w:vAlign w:val="bottom"/>
            <w:gridSpan w:val="5"/>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24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24"/>
                <w:szCs w:val="24"/>
                <w:color w:val="auto"/>
              </w:rPr>
            </w:pPr>
          </w:p>
        </w:tc>
        <w:tc>
          <w:tcPr>
            <w:tcW w:w="6180" w:type="dxa"/>
            <w:vAlign w:val="bottom"/>
            <w:gridSpan w:val="13"/>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4"/>
                <w:szCs w:val="24"/>
                <w:color w:val="auto"/>
              </w:rPr>
            </w:pP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3720" w:type="dxa"/>
            <w:vAlign w:val="bottom"/>
            <w:gridSpan w:val="6"/>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4"/>
                <w:szCs w:val="24"/>
                <w:color w:val="auto"/>
              </w:rPr>
            </w:pP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5740" w:type="dxa"/>
            <w:vAlign w:val="bottom"/>
            <w:gridSpan w:val="12"/>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24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6300" w:type="dxa"/>
            <w:vAlign w:val="bottom"/>
            <w:gridSpan w:val="14"/>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24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60" w:type="dxa"/>
            <w:vAlign w:val="bottom"/>
            <w:gridSpan w:val="2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240" w:type="dxa"/>
            <w:vAlign w:val="bottom"/>
          </w:tcPr>
          <w:p>
            <w:pPr>
              <w:spacing w:after="0"/>
              <w:rPr>
                <w:sz w:val="24"/>
                <w:szCs w:val="24"/>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Certifications Under Section 302</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240" w:type="dxa"/>
            <w:vAlign w:val="bottom"/>
          </w:tcPr>
          <w:p>
            <w:pPr>
              <w:spacing w:after="0"/>
              <w:rPr>
                <w:sz w:val="24"/>
                <w:szCs w:val="24"/>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Certifications Under Section 906</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XBRL Instance Document (1)</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XBRL Taxonomy Extension Scheme Document (1)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 (1)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0"/>
                <w:szCs w:val="20"/>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66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3"/>
          </w:tcPr>
          <w:p>
            <w:pPr>
              <w:spacing w:after="0"/>
              <w:rPr>
                <w:sz w:val="20"/>
                <w:szCs w:val="20"/>
                <w:color w:val="auto"/>
              </w:rPr>
            </w:pPr>
            <w:r>
              <w:rPr>
                <w:rFonts w:ascii="Arial" w:cs="Arial" w:eastAsia="Arial" w:hAnsi="Arial"/>
                <w:sz w:val="18"/>
                <w:szCs w:val="18"/>
                <w:color w:val="auto"/>
              </w:rPr>
              <w:t>FARMERS &amp; MERCHANTS BANCORP, INC. AND SUBSIDIARIES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CONDENSED CONSOLIDATED BALANCE SHEETS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ind w:left="640"/>
              <w:spacing w:after="0"/>
              <w:rPr>
                <w:sz w:val="20"/>
                <w:szCs w:val="20"/>
                <w:color w:val="auto"/>
              </w:rPr>
            </w:pPr>
            <w:r>
              <w:rPr>
                <w:rFonts w:ascii="Arial" w:cs="Arial" w:eastAsia="Arial" w:hAnsi="Arial"/>
                <w:sz w:val="14"/>
                <w:szCs w:val="14"/>
                <w:color w:val="auto"/>
                <w:w w:val="99"/>
              </w:rPr>
              <w:t>(in thousands of dollars)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September 30, 2016</w:t>
            </w:r>
          </w:p>
        </w:tc>
        <w:tc>
          <w:tcPr>
            <w:tcW w:w="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2015</w:t>
            </w: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30,896</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21,333</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Interest-bearing time deposits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Securities - available-for-sale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224,473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235,115</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securities, at cost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732,070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679,821</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Premises and equipment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21,356</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20,587</w:t>
            </w: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 servicing rights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real estate owned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21,789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20,505</w:t>
            </w:r>
          </w:p>
        </w:tc>
      </w:tr>
      <w:tr>
        <w:trPr>
          <w:trHeight w:val="223"/>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1,044,447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989,068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rPr>
              <w:t>Noninterest-bearing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176,180</w:t>
            </w:r>
          </w:p>
        </w:tc>
        <w:tc>
          <w:tcPr>
            <w:tcW w:w="38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171,112</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Interest-bearing</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NOW accounts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209,264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190,890</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Savings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225,052</w:t>
            </w: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212,042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771,339</w:t>
            </w: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59,487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78,815</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Home Loan Bank (FHLB) advances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Dividend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60" w:type="dxa"/>
            <w:vAlign w:val="bottom"/>
          </w:tcPr>
          <w:p>
            <w:pPr>
              <w:ind w:left="7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917,504</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868,971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shares - no par value - 6,500,000 shares 12/31/15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3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8"/>
              </w:rPr>
              <w:t>Common shares - no par value - 10,000,000 shares 9/30/16 authorized, 5,200,000 shares issued and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00" w:type="dxa"/>
            <w:vAlign w:val="bottom"/>
            <w:gridSpan w:val="2"/>
          </w:tcPr>
          <w:p>
            <w:pPr>
              <w:ind w:left="52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12,086</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- 578,705 shares 2016, 587,466 shares 2015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(12,251)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(12,389)</w:t>
            </w: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125,723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120,188</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60" w:type="dxa"/>
            <w:vAlign w:val="bottom"/>
          </w:tcPr>
          <w:p>
            <w:pPr>
              <w:ind w:left="7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126,943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1,044,447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989,068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2015, Condensed Consolidated Balance Sheet has been derived from the audited Consolidated Balance Sheet as of that date.</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4200"/>
        <w:spacing w:after="0" w:line="261" w:lineRule="auto"/>
        <w:rPr>
          <w:sz w:val="20"/>
          <w:szCs w:val="20"/>
          <w:color w:val="auto"/>
        </w:rPr>
      </w:pPr>
      <w:r>
        <w:rPr>
          <w:rFonts w:ascii="Arial" w:cs="Arial" w:eastAsia="Arial" w:hAnsi="Arial"/>
          <w:sz w:val="18"/>
          <w:szCs w:val="18"/>
          <w:color w:val="auto"/>
        </w:rPr>
        <w:t>CONDENSED CONSOLIDATED STATEMENTS OF INCOME &amp; COMPREHENSIVE INCOME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6"/>
          </w:tcPr>
          <w:p>
            <w:pPr>
              <w:jc w:val="right"/>
              <w:ind w:right="500"/>
              <w:spacing w:after="0"/>
              <w:rPr>
                <w:sz w:val="20"/>
                <w:szCs w:val="20"/>
                <w:color w:val="auto"/>
              </w:rPr>
            </w:pPr>
            <w:r>
              <w:rPr>
                <w:rFonts w:ascii="Arial" w:cs="Arial" w:eastAsia="Arial" w:hAnsi="Arial"/>
                <w:sz w:val="14"/>
                <w:szCs w:val="14"/>
                <w:color w:val="auto"/>
                <w:w w:val="92"/>
              </w:rPr>
              <w:t>(in thousands of dollars, except per share data)</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gridSpan w:val="6"/>
          </w:tcPr>
          <w:p>
            <w:pPr>
              <w:jc w:val="right"/>
              <w:ind w:right="1240"/>
              <w:spacing w:after="0" w:line="149" w:lineRule="exact"/>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4"/>
          </w:tcPr>
          <w:p>
            <w:pPr>
              <w:jc w:val="right"/>
              <w:ind w:right="127"/>
              <w:spacing w:after="0" w:line="149" w:lineRule="exact"/>
              <w:rPr>
                <w:sz w:val="20"/>
                <w:szCs w:val="20"/>
                <w:color w:val="auto"/>
              </w:rPr>
            </w:pPr>
            <w:r>
              <w:rPr>
                <w:rFonts w:ascii="Arial" w:cs="Arial" w:eastAsia="Arial" w:hAnsi="Arial"/>
                <w:sz w:val="14"/>
                <w:szCs w:val="14"/>
                <w:color w:val="auto"/>
              </w:rPr>
              <w:t>Nine Months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September 30, 2016</w:t>
            </w:r>
          </w:p>
        </w:tc>
        <w:tc>
          <w:tcPr>
            <w:tcW w:w="3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September 30, 2015</w:t>
            </w:r>
          </w:p>
        </w:tc>
        <w:tc>
          <w:tcPr>
            <w:tcW w:w="30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September 30, 2016</w:t>
            </w:r>
          </w:p>
        </w:tc>
        <w:tc>
          <w:tcPr>
            <w:tcW w:w="32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w w:val="88"/>
              </w:rPr>
              <w:t>September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Loans, including fees</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8,629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7,341</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24,997</w:t>
            </w:r>
          </w:p>
        </w:tc>
        <w:tc>
          <w:tcPr>
            <w:tcW w:w="7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U.S. Treasury and government agencies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1,734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Municipalities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interest income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8,444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27,981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2,686</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340"/>
              <w:spacing w:after="0" w:line="201" w:lineRule="exact"/>
              <w:rPr>
                <w:sz w:val="20"/>
                <w:szCs w:val="20"/>
                <w:color w:val="auto"/>
              </w:rPr>
            </w:pPr>
            <w:r>
              <w:rPr>
                <w:rFonts w:ascii="Arial" w:cs="Arial" w:eastAsia="Arial" w:hAnsi="Arial"/>
                <w:sz w:val="18"/>
                <w:szCs w:val="18"/>
                <w:color w:val="auto"/>
                <w:w w:val="98"/>
              </w:rPr>
              <w:t>Federal funds purchased and securities sold under</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520"/>
              <w:spacing w:after="0"/>
              <w:rPr>
                <w:sz w:val="20"/>
                <w:szCs w:val="20"/>
                <w:color w:val="auto"/>
              </w:rPr>
            </w:pPr>
            <w:r>
              <w:rPr>
                <w:rFonts w:ascii="Arial" w:cs="Arial" w:eastAsia="Arial" w:hAnsi="Arial"/>
                <w:sz w:val="18"/>
                <w:szCs w:val="18"/>
                <w:color w:val="auto"/>
              </w:rPr>
              <w:t>agreements to repurchase</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Borrowed funds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Total interest expense</w:t>
            </w:r>
          </w:p>
        </w:tc>
        <w:tc>
          <w:tcPr>
            <w:tcW w:w="3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Interest Income - Before Provision for Loan</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Losses</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8,491</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7,509</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24,839</w:t>
            </w: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924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Net Interest Income After Provision For Loan Losses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7,266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23,915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service fees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Other service charges and fees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1,084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loans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Net gain on sale of available for sale securities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income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and Wages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Employee benefits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804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2,426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occupancy expense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Furniture and equipment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475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1,293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processing</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Franchise taxes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658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on sale of other assets owned</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FDIC Assessment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servicing rights amortization</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Other general and administrative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1,475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4,594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expenses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20,565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19,458</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w w:val="99"/>
              </w:rPr>
              <w:t>Net unrealized gain on available for sale securities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1,210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2,652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Reclassification adjustment for gain on sale of</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available for sale securities</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w:t>
            </w: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w w:val="99"/>
              </w:rPr>
              <w:t>Net unrealized gain on available for sale securities</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3,305</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9,888</w:t>
            </w:r>
          </w:p>
        </w:tc>
        <w:tc>
          <w:tcPr>
            <w:tcW w:w="7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 Basic and Diluted</w:t>
            </w: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7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4"/>
          </w:tcPr>
          <w:p>
            <w:pPr>
              <w:jc w:val="center"/>
              <w:ind w:left="311"/>
              <w:spacing w:after="0"/>
              <w:rPr>
                <w:sz w:val="20"/>
                <w:szCs w:val="20"/>
                <w:color w:val="auto"/>
              </w:rPr>
            </w:pPr>
            <w:r>
              <w:rPr>
                <w:rFonts w:ascii="Arial" w:cs="Arial" w:eastAsia="Arial" w:hAnsi="Arial"/>
                <w:sz w:val="14"/>
                <w:szCs w:val="14"/>
                <w:color w:val="auto"/>
                <w:w w:val="93"/>
              </w:rPr>
              <w:t>(in thousands of dollars)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4"/>
          </w:tcPr>
          <w:p>
            <w:pPr>
              <w:jc w:val="center"/>
              <w:ind w:left="311"/>
              <w:spacing w:after="0" w:line="149" w:lineRule="exact"/>
              <w:rPr>
                <w:sz w:val="20"/>
                <w:szCs w:val="20"/>
                <w:color w:val="auto"/>
              </w:rPr>
            </w:pPr>
            <w:r>
              <w:rPr>
                <w:rFonts w:ascii="Arial" w:cs="Arial" w:eastAsia="Arial" w:hAnsi="Arial"/>
                <w:sz w:val="14"/>
                <w:szCs w:val="14"/>
                <w:color w:val="auto"/>
                <w:w w:val="94"/>
              </w:rPr>
              <w:t>Nine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color w:val="auto"/>
              </w:rPr>
              <w:t>September 30, 2016</w:t>
            </w:r>
          </w:p>
        </w:tc>
        <w:tc>
          <w:tcPr>
            <w:tcW w:w="4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8,470</w:t>
            </w:r>
          </w:p>
        </w:tc>
        <w:tc>
          <w:tcPr>
            <w:tcW w:w="4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1,112</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Accretion and amortization of available for sale securities,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242</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924</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(619)</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Originations of loans held for sale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(44,296)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44,119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other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Gain on sales of securities available for sale</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(503)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 and other liabilities,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Activity in securities: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22,910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Sales</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45,418</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(55,863)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change in interest-bearing time deposits</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(1,915)</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(1,901)</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originations and principal collections,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(52,996)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(44,327)</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change in deposits</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66,762</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federal funds purchased and securities sold under agreements to repurchase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(19,328)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on common stock</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(3,062)</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44,178</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22,018</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31,498</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3,098</w:t>
            </w:r>
          </w:p>
        </w:tc>
        <w:tc>
          <w:tcPr>
            <w:tcW w:w="4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 of loans to other real estate owned</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376</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BASIS OF PRESENTATION</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nine months ended September 30, 2016 are not necessarily indicative of the results that are expected for the year ended December 31, 2016. The condensed consolidated balance sheet of the Company as of December 31, 205,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NOTE 2 ASSET PURCHASES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recognized core deposit intangible assets of $1.09 million with the purchase of the Hicksville office on July 9, 2010. These are being amortized over an estimated remaining economic useful life of the deposits of 7 years on a straight line basis.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 office was purchased on December 13, 2013 in Custar, Ohio. Core deposit intangible assets of $1.17 million were recognized and are being amortized over its remaining economic useful life of the deposits of 7 years on a straight line basis.</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amortization expense for the year ended December 31, 2015 was $323 thousand. Of the $322 thousand to be expensed in 2016, $242 thousand has been expensed for the nine months ended September 30, 2016. $242 thousand was also expensed for the nine months ended September 30, 2015.</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Hicksville</w:t>
            </w:r>
          </w:p>
        </w:tc>
        <w:tc>
          <w:tcPr>
            <w:tcW w:w="26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color w:val="auto"/>
                <w:w w:val="87"/>
              </w:rPr>
              <w:t>Custar</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w w:val="84"/>
              </w:rPr>
              <w:t>2016</w:t>
            </w:r>
          </w:p>
        </w:tc>
        <w:tc>
          <w:tcPr>
            <w:tcW w:w="4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155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right"/>
              <w:ind w:right="2110"/>
              <w:spacing w:after="0"/>
              <w:rPr>
                <w:sz w:val="20"/>
                <w:szCs w:val="20"/>
                <w:color w:val="auto"/>
              </w:rPr>
            </w:pPr>
            <w:r>
              <w:rPr>
                <w:rFonts w:ascii="Arial" w:cs="Arial" w:eastAsia="Arial" w:hAnsi="Arial"/>
                <w:sz w:val="18"/>
                <w:szCs w:val="18"/>
                <w:color w:val="auto"/>
                <w:w w:val="84"/>
              </w:rPr>
              <w:t>2017</w:t>
            </w: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78</w:t>
            </w:r>
          </w:p>
        </w:tc>
        <w:tc>
          <w:tcPr>
            <w:tcW w:w="28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w w:val="84"/>
              </w:rPr>
              <w:t>2018</w:t>
            </w:r>
          </w:p>
        </w:tc>
        <w:tc>
          <w:tcPr>
            <w:tcW w:w="4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560" w:type="dxa"/>
            <w:vAlign w:val="bottom"/>
          </w:tcPr>
          <w:p>
            <w:pPr>
              <w:jc w:val="right"/>
              <w:ind w:right="2110"/>
              <w:spacing w:after="0"/>
              <w:rPr>
                <w:sz w:val="20"/>
                <w:szCs w:val="20"/>
                <w:color w:val="auto"/>
              </w:rPr>
            </w:pPr>
            <w:r>
              <w:rPr>
                <w:rFonts w:ascii="Arial" w:cs="Arial" w:eastAsia="Arial" w:hAnsi="Arial"/>
                <w:sz w:val="18"/>
                <w:szCs w:val="18"/>
                <w:color w:val="auto"/>
                <w:w w:val="84"/>
              </w:rPr>
              <w:t>2019</w:t>
            </w: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w w:val="84"/>
              </w:rPr>
              <w:t>2020</w:t>
            </w:r>
          </w:p>
        </w:tc>
        <w:tc>
          <w:tcPr>
            <w:tcW w:w="4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580" w:type="dxa"/>
            <w:vAlign w:val="bottom"/>
            <w:gridSpan w:val="2"/>
          </w:tcPr>
          <w:p>
            <w:pPr>
              <w:ind w:left="4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233</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829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1,062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380" w:type="dxa"/>
            <w:vAlign w:val="bottom"/>
            <w:vMerge w:val="restart"/>
          </w:tcPr>
          <w:p>
            <w:pPr>
              <w:jc w:val="right"/>
              <w:ind w:right="2010"/>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25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3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color w:val="auto"/>
                <w:w w:val="93"/>
              </w:rPr>
              <w:t>(In Thousands)</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8"/>
          </w:tcPr>
          <w:p>
            <w:pPr>
              <w:jc w:val="center"/>
              <w:ind w:right="380"/>
              <w:spacing w:after="0" w:line="142" w:lineRule="exact"/>
              <w:rPr>
                <w:sz w:val="20"/>
                <w:szCs w:val="20"/>
                <w:color w:val="auto"/>
              </w:rPr>
            </w:pPr>
            <w:r>
              <w:rPr>
                <w:rFonts w:ascii="Arial" w:cs="Arial" w:eastAsia="Arial" w:hAnsi="Arial"/>
                <w:sz w:val="14"/>
                <w:szCs w:val="14"/>
                <w:color w:val="auto"/>
                <w:w w:val="91"/>
              </w:rPr>
              <w:t>September 30, 2016</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4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360"/>
              <w:spacing w:after="0" w:line="123" w:lineRule="exact"/>
              <w:rPr>
                <w:sz w:val="20"/>
                <w:szCs w:val="20"/>
                <w:color w:val="auto"/>
              </w:rPr>
            </w:pPr>
            <w:r>
              <w:rPr>
                <w:rFonts w:ascii="Arial" w:cs="Arial" w:eastAsia="Arial" w:hAnsi="Arial"/>
                <w:sz w:val="14"/>
                <w:szCs w:val="14"/>
                <w:color w:val="auto"/>
                <w:w w:val="90"/>
              </w:rPr>
              <w:t>Gross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Amortized</w:t>
            </w:r>
          </w:p>
        </w:tc>
        <w:tc>
          <w:tcPr>
            <w:tcW w:w="112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Unrealized</w:t>
            </w:r>
          </w:p>
        </w:tc>
        <w:tc>
          <w:tcPr>
            <w:tcW w:w="920" w:type="dxa"/>
            <w:vAlign w:val="bottom"/>
            <w:gridSpan w:val="5"/>
          </w:tcPr>
          <w:p>
            <w:pPr>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Fair</w:t>
            </w:r>
          </w:p>
        </w:tc>
      </w:tr>
      <w:tr>
        <w:trPr>
          <w:trHeight w:val="167"/>
        </w:trPr>
        <w:tc>
          <w:tcPr>
            <w:tcW w:w="4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color w:val="auto"/>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Gains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4"/>
                <w:szCs w:val="14"/>
                <w:color w:val="auto"/>
                <w:w w:val="85"/>
              </w:rPr>
              <w:t>Losses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1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30,962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31,059</w:t>
            </w: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99,161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99,654</w:t>
            </w: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29,986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30,390</w:t>
            </w: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61,893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63,370</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9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222,002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224,473</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color w:val="auto"/>
                <w:w w:val="93"/>
              </w:rPr>
              <w:t>(In Thousands)</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8"/>
          </w:tcPr>
          <w:p>
            <w:pPr>
              <w:jc w:val="center"/>
              <w:ind w:right="360"/>
              <w:spacing w:after="0" w:line="142" w:lineRule="exact"/>
              <w:rPr>
                <w:sz w:val="20"/>
                <w:szCs w:val="20"/>
                <w:color w:val="auto"/>
              </w:rPr>
            </w:pPr>
            <w:r>
              <w:rPr>
                <w:rFonts w:ascii="Arial" w:cs="Arial" w:eastAsia="Arial" w:hAnsi="Arial"/>
                <w:sz w:val="14"/>
                <w:szCs w:val="14"/>
                <w:color w:val="auto"/>
                <w:w w:val="92"/>
              </w:rPr>
              <w:t>December 31, 2015</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4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ind w:left="40"/>
              <w:spacing w:after="0" w:line="123" w:lineRule="exact"/>
              <w:rPr>
                <w:sz w:val="20"/>
                <w:szCs w:val="20"/>
                <w:color w:val="auto"/>
              </w:rPr>
            </w:pPr>
            <w:r>
              <w:rPr>
                <w:rFonts w:ascii="Arial" w:cs="Arial" w:eastAsia="Arial" w:hAnsi="Arial"/>
                <w:sz w:val="14"/>
                <w:szCs w:val="14"/>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320"/>
              <w:spacing w:after="0" w:line="123" w:lineRule="exact"/>
              <w:rPr>
                <w:sz w:val="20"/>
                <w:szCs w:val="20"/>
                <w:color w:val="auto"/>
              </w:rPr>
            </w:pPr>
            <w:r>
              <w:rPr>
                <w:rFonts w:ascii="Arial" w:cs="Arial" w:eastAsia="Arial" w:hAnsi="Arial"/>
                <w:sz w:val="14"/>
                <w:szCs w:val="14"/>
                <w:color w:val="auto"/>
                <w:w w:val="90"/>
              </w:rPr>
              <w:t>Gross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Amortized</w:t>
            </w:r>
          </w:p>
        </w:tc>
        <w:tc>
          <w:tcPr>
            <w:tcW w:w="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color w:val="auto"/>
              </w:rPr>
              <w:t>Unrealized</w:t>
            </w:r>
          </w:p>
        </w:tc>
        <w:tc>
          <w:tcPr>
            <w:tcW w:w="2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Fair</w:t>
            </w:r>
          </w:p>
        </w:tc>
      </w:tr>
      <w:tr>
        <w:trPr>
          <w:trHeight w:val="167"/>
        </w:trPr>
        <w:tc>
          <w:tcPr>
            <w:tcW w:w="4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color w:val="auto"/>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Gains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color w:val="auto"/>
                <w:w w:val="85"/>
              </w:rPr>
              <w:t>Losses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1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38,778</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36</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(309)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38,505</w:t>
            </w: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99,000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98,220</w:t>
            </w: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26,157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26,324</w:t>
            </w: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70,858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72,066</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98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234,793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1,664</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(1,342</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235,115</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5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downgrade has occurred that lowered the credit rating to below investment grade (below Baa3 by Moody and BBB – by Standard and Poors.)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3 SECURITIES (Continued)</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2016 and December 31, 2015, aggregated by investment category and length of time that individual securities have been in a continuous loss position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(In Thousands)</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8"/>
          </w:tcPr>
          <w:p>
            <w:pPr>
              <w:jc w:val="center"/>
              <w:ind w:right="860"/>
              <w:spacing w:after="0" w:line="142" w:lineRule="exact"/>
              <w:rPr>
                <w:sz w:val="20"/>
                <w:szCs w:val="20"/>
                <w:color w:val="auto"/>
              </w:rPr>
            </w:pPr>
            <w:r>
              <w:rPr>
                <w:rFonts w:ascii="Arial" w:cs="Arial" w:eastAsia="Arial" w:hAnsi="Arial"/>
                <w:sz w:val="14"/>
                <w:szCs w:val="14"/>
                <w:color w:val="auto"/>
                <w:w w:val="91"/>
              </w:rPr>
              <w:t>September 30, 2016</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7"/>
          </w:tcPr>
          <w:p>
            <w:pPr>
              <w:jc w:val="right"/>
              <w:ind w:right="680"/>
              <w:spacing w:after="0" w:line="142" w:lineRule="exact"/>
              <w:rPr>
                <w:sz w:val="20"/>
                <w:szCs w:val="20"/>
                <w:color w:val="auto"/>
              </w:rPr>
            </w:pPr>
            <w:r>
              <w:rPr>
                <w:rFonts w:ascii="Arial" w:cs="Arial" w:eastAsia="Arial" w:hAnsi="Arial"/>
                <w:sz w:val="14"/>
                <w:szCs w:val="14"/>
                <w:color w:val="auto"/>
                <w:w w:val="99"/>
              </w:rPr>
              <w:t>Less Than Twelve Months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6"/>
          </w:tcPr>
          <w:p>
            <w:pPr>
              <w:ind w:left="160"/>
              <w:spacing w:after="0" w:line="142" w:lineRule="exact"/>
              <w:rPr>
                <w:sz w:val="20"/>
                <w:szCs w:val="20"/>
                <w:color w:val="auto"/>
              </w:rPr>
            </w:pPr>
            <w:r>
              <w:rPr>
                <w:rFonts w:ascii="Arial" w:cs="Arial" w:eastAsia="Arial" w:hAnsi="Arial"/>
                <w:sz w:val="14"/>
                <w:szCs w:val="14"/>
                <w:color w:val="auto"/>
              </w:rPr>
              <w:t>Twelve Months &amp; Over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Borders>
              <w:top w:val="single" w:sz="8" w:color="auto"/>
            </w:tcBorders>
            <w:gridSpan w:val="4"/>
          </w:tcPr>
          <w:p>
            <w:pPr>
              <w:ind w:left="20"/>
              <w:spacing w:after="0" w:line="123" w:lineRule="exact"/>
              <w:rPr>
                <w:sz w:val="20"/>
                <w:szCs w:val="20"/>
                <w:color w:val="auto"/>
              </w:rPr>
            </w:pPr>
            <w:r>
              <w:rPr>
                <w:rFonts w:ascii="Arial" w:cs="Arial" w:eastAsia="Arial" w:hAnsi="Arial"/>
                <w:sz w:val="14"/>
                <w:szCs w:val="14"/>
                <w:color w:val="auto"/>
              </w:rPr>
              <w:t>Gross Unrealized</w:t>
            </w:r>
          </w:p>
        </w:tc>
        <w:tc>
          <w:tcPr>
            <w:tcW w:w="4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48"/>
              <w:spacing w:after="0" w:line="123" w:lineRule="exact"/>
              <w:rPr>
                <w:sz w:val="20"/>
                <w:szCs w:val="20"/>
                <w:color w:val="auto"/>
              </w:rPr>
            </w:pPr>
            <w:r>
              <w:rPr>
                <w:rFonts w:ascii="Arial" w:cs="Arial" w:eastAsia="Arial" w:hAnsi="Arial"/>
                <w:sz w:val="14"/>
                <w:szCs w:val="14"/>
                <w:color w:val="auto"/>
              </w:rPr>
              <w:t>Fair</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Gross Unrealized</w:t>
            </w: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Losses</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Value</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Losses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$2,981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4,492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8,513</w:t>
            </w:r>
          </w:p>
        </w:tc>
        <w:tc>
          <w:tcPr>
            <w:tcW w:w="3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827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4"/>
                <w:szCs w:val="14"/>
                <w:color w:val="auto"/>
                <w:w w:val="99"/>
              </w:rPr>
              <w:t>(In Thousands)</w:t>
            </w: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6"/>
          </w:tcPr>
          <w:p>
            <w:pPr>
              <w:ind w:left="380"/>
              <w:spacing w:after="0" w:line="142" w:lineRule="exact"/>
              <w:rPr>
                <w:sz w:val="20"/>
                <w:szCs w:val="20"/>
                <w:color w:val="auto"/>
              </w:rPr>
            </w:pPr>
            <w:r>
              <w:rPr>
                <w:rFonts w:ascii="Arial" w:cs="Arial" w:eastAsia="Arial" w:hAnsi="Arial"/>
                <w:sz w:val="14"/>
                <w:szCs w:val="14"/>
                <w:color w:val="auto"/>
              </w:rPr>
              <w:t>December 31, 2015</w:t>
            </w: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920" w:type="dxa"/>
            <w:vAlign w:val="bottom"/>
            <w:gridSpan w:val="9"/>
          </w:tcPr>
          <w:p>
            <w:pPr>
              <w:ind w:left="400"/>
              <w:spacing w:after="0" w:line="142" w:lineRule="exact"/>
              <w:rPr>
                <w:sz w:val="20"/>
                <w:szCs w:val="20"/>
                <w:color w:val="auto"/>
              </w:rPr>
            </w:pPr>
            <w:r>
              <w:rPr>
                <w:rFonts w:ascii="Arial" w:cs="Arial" w:eastAsia="Arial" w:hAnsi="Arial"/>
                <w:sz w:val="14"/>
                <w:szCs w:val="14"/>
                <w:color w:val="auto"/>
              </w:rPr>
              <w:t>Less Than Twelve Months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6"/>
          </w:tcPr>
          <w:p>
            <w:pPr>
              <w:jc w:val="right"/>
              <w:ind w:right="337"/>
              <w:spacing w:after="0" w:line="142" w:lineRule="exact"/>
              <w:rPr>
                <w:sz w:val="20"/>
                <w:szCs w:val="20"/>
                <w:color w:val="auto"/>
              </w:rPr>
            </w:pPr>
            <w:r>
              <w:rPr>
                <w:rFonts w:ascii="Arial" w:cs="Arial" w:eastAsia="Arial" w:hAnsi="Arial"/>
                <w:sz w:val="14"/>
                <w:szCs w:val="14"/>
                <w:color w:val="auto"/>
                <w:w w:val="98"/>
              </w:rPr>
              <w:t>Twelve Months &amp; Over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620" w:type="dxa"/>
            <w:vAlign w:val="bottom"/>
            <w:tcBorders>
              <w:top w:val="single" w:sz="8" w:color="auto"/>
            </w:tcBorders>
            <w:gridSpan w:val="5"/>
          </w:tcPr>
          <w:p>
            <w:pPr>
              <w:ind w:left="20"/>
              <w:spacing w:after="0" w:line="123" w:lineRule="exact"/>
              <w:rPr>
                <w:sz w:val="20"/>
                <w:szCs w:val="20"/>
                <w:color w:val="auto"/>
              </w:rPr>
            </w:pPr>
            <w:r>
              <w:rPr>
                <w:rFonts w:ascii="Arial" w:cs="Arial" w:eastAsia="Arial" w:hAnsi="Arial"/>
                <w:sz w:val="14"/>
                <w:szCs w:val="14"/>
                <w:color w:val="auto"/>
              </w:rPr>
              <w:t>Gross Unrealized</w:t>
            </w:r>
          </w:p>
        </w:tc>
        <w:tc>
          <w:tcPr>
            <w:tcW w:w="700" w:type="dxa"/>
            <w:vAlign w:val="bottom"/>
            <w:tcBorders>
              <w:top w:val="single" w:sz="8" w:color="auto"/>
            </w:tcBorders>
            <w:gridSpan w:val="2"/>
          </w:tcPr>
          <w:p>
            <w:pPr>
              <w:jc w:val="right"/>
              <w:ind w:right="162"/>
              <w:spacing w:after="0" w:line="123" w:lineRule="exact"/>
              <w:rPr>
                <w:sz w:val="20"/>
                <w:szCs w:val="20"/>
                <w:color w:val="auto"/>
              </w:rPr>
            </w:pPr>
            <w:r>
              <w:rPr>
                <w:rFonts w:ascii="Arial" w:cs="Arial" w:eastAsia="Arial" w:hAnsi="Arial"/>
                <w:sz w:val="14"/>
                <w:szCs w:val="14"/>
                <w:color w:val="auto"/>
              </w:rPr>
              <w:t>Fair</w:t>
            </w:r>
          </w:p>
        </w:tc>
        <w:tc>
          <w:tcPr>
            <w:tcW w:w="600" w:type="dxa"/>
            <w:vAlign w:val="bottom"/>
            <w:gridSpan w:val="2"/>
          </w:tcPr>
          <w:p>
            <w:pPr>
              <w:spacing w:after="0"/>
              <w:rPr>
                <w:sz w:val="10"/>
                <w:szCs w:val="10"/>
                <w:color w:val="auto"/>
              </w:rPr>
            </w:pPr>
          </w:p>
        </w:tc>
        <w:tc>
          <w:tcPr>
            <w:tcW w:w="1460" w:type="dxa"/>
            <w:vAlign w:val="bottom"/>
            <w:tcBorders>
              <w:top w:val="single" w:sz="8" w:color="auto"/>
            </w:tcBorders>
            <w:gridSpan w:val="5"/>
          </w:tcPr>
          <w:p>
            <w:pPr>
              <w:jc w:val="center"/>
              <w:ind w:right="460"/>
              <w:spacing w:after="0" w:line="123" w:lineRule="exact"/>
              <w:rPr>
                <w:sz w:val="20"/>
                <w:szCs w:val="20"/>
                <w:color w:val="auto"/>
              </w:rPr>
            </w:pPr>
            <w:r>
              <w:rPr>
                <w:rFonts w:ascii="Arial" w:cs="Arial" w:eastAsia="Arial" w:hAnsi="Arial"/>
                <w:sz w:val="14"/>
                <w:szCs w:val="14"/>
                <w:color w:val="auto"/>
                <w:w w:val="92"/>
              </w:rPr>
              <w:t>Gross Unrealized</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97"/>
              <w:spacing w:after="0" w:line="123"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color w:val="auto"/>
              </w:rPr>
              <w:t>Losses</w:t>
            </w:r>
          </w:p>
        </w:tc>
        <w:tc>
          <w:tcPr>
            <w:tcW w:w="1300" w:type="dxa"/>
            <w:vAlign w:val="bottom"/>
            <w:gridSpan w:val="4"/>
          </w:tcPr>
          <w:p>
            <w:pPr>
              <w:jc w:val="right"/>
              <w:ind w:right="78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1240" w:type="dxa"/>
            <w:vAlign w:val="bottom"/>
            <w:gridSpan w:val="4"/>
          </w:tcPr>
          <w:p>
            <w:pPr>
              <w:jc w:val="center"/>
              <w:ind w:right="680"/>
              <w:spacing w:after="0"/>
              <w:rPr>
                <w:sz w:val="20"/>
                <w:szCs w:val="20"/>
                <w:color w:val="auto"/>
              </w:rPr>
            </w:pPr>
            <w:r>
              <w:rPr>
                <w:rFonts w:ascii="Arial" w:cs="Arial" w:eastAsia="Arial" w:hAnsi="Arial"/>
                <w:sz w:val="14"/>
                <w:szCs w:val="14"/>
                <w:color w:val="auto"/>
                <w:w w:val="90"/>
              </w:rPr>
              <w:t>Losses</w:t>
            </w:r>
          </w:p>
        </w:tc>
        <w:tc>
          <w:tcPr>
            <w:tcW w:w="16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$ 23,241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920" w:type="dxa"/>
            <w:vAlign w:val="bottom"/>
            <w:gridSpan w:val="3"/>
          </w:tcPr>
          <w:p>
            <w:pPr>
              <w:jc w:val="right"/>
              <w:ind w:right="148"/>
              <w:spacing w:after="0"/>
              <w:rPr>
                <w:sz w:val="20"/>
                <w:szCs w:val="20"/>
                <w:color w:val="auto"/>
              </w:rPr>
            </w:pPr>
            <w:r>
              <w:rPr>
                <w:rFonts w:ascii="Arial" w:cs="Arial" w:eastAsia="Arial" w:hAnsi="Arial"/>
                <w:sz w:val="18"/>
                <w:szCs w:val="18"/>
                <w:color w:val="auto"/>
              </w:rPr>
              <w:t>68,957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6,331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920" w:type="dxa"/>
            <w:vAlign w:val="bottom"/>
            <w:gridSpan w:val="3"/>
          </w:tcPr>
          <w:p>
            <w:pPr>
              <w:jc w:val="right"/>
              <w:ind w:right="148"/>
              <w:spacing w:after="0"/>
              <w:rPr>
                <w:sz w:val="20"/>
                <w:szCs w:val="20"/>
                <w:color w:val="auto"/>
              </w:rPr>
            </w:pPr>
            <w:r>
              <w:rPr>
                <w:rFonts w:ascii="Arial" w:cs="Arial" w:eastAsia="Arial" w:hAnsi="Arial"/>
                <w:sz w:val="18"/>
                <w:szCs w:val="18"/>
                <w:color w:val="auto"/>
              </w:rPr>
              <w:t>7,920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106,449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gross realized gains and losses as of September 30 for each of the years presented.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ind w:left="12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2016</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ind w:left="99"/>
              <w:spacing w:after="0" w:line="142" w:lineRule="exact"/>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$513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503</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net realized gain on sales and related tax expense is a reclassification out of accumulated other comprehensive income. The net realized gain is included in net gain on sale of available-for-sale securities and the related tax expense is included in income tax expense in the condensed consolidated statements of income and comprehensive income.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3 SECURITIES (Continued)</w:t>
      </w:r>
    </w:p>
    <w:p>
      <w:pPr>
        <w:spacing w:after="0" w:line="15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amortized cost and fair value of debt securities at September 30, 2016, by contractual maturity, are shown below. Expected maturities will differ from contractual maturities because borrowers may have the right to call or prepay obligations with or without call or prepayment penalties.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380"/>
              <w:spacing w:after="0"/>
              <w:rPr>
                <w:sz w:val="20"/>
                <w:szCs w:val="20"/>
                <w:color w:val="auto"/>
              </w:rPr>
            </w:pPr>
            <w:r>
              <w:rPr>
                <w:rFonts w:ascii="Arial" w:cs="Arial" w:eastAsia="Arial" w:hAnsi="Arial"/>
                <w:sz w:val="14"/>
                <w:szCs w:val="14"/>
                <w:color w:val="auto"/>
              </w:rPr>
              <w:t>(In Thousands)</w:t>
            </w:r>
          </w:p>
        </w:tc>
      </w:tr>
      <w:tr>
        <w:trPr>
          <w:trHeight w:val="123"/>
        </w:trPr>
        <w:tc>
          <w:tcPr>
            <w:tcW w:w="46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Amortized</w:t>
            </w: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Cost</w:t>
            </w:r>
          </w:p>
        </w:tc>
        <w:tc>
          <w:tcPr>
            <w:tcW w:w="4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119,625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120,549</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53,310</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After ten years</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192,016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194,083</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222,002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224,473</w:t>
            </w:r>
          </w:p>
        </w:tc>
        <w:tc>
          <w:tcPr>
            <w:tcW w:w="1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Investments with a carrying value of $193.3 million and $189.3 million at September 30, 2016 and December 31, 2015, respectively, were pledged to secure public deposits and securities sold under repurchase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 include Federal Home Loan Bank of Cincinnati and Farmer Mac stock as of September 30, 2016 and December 31,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NOTE 4 LOANS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had $1.6 million in loans held for sale at September 30, 2016 as compared to $1.2 million in loans held for sale at December 31, 2015. Due to materiality, these loans are included in the Consumer Real Estate and Agricultural Real Estate loan numbers.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Loan balances as of September 30, 2016 and December 31, 2015:</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680" w:type="dxa"/>
            <w:vAlign w:val="bottom"/>
            <w:gridSpan w:val="2"/>
            <w:vMerge w:val="restart"/>
          </w:tcPr>
          <w:p>
            <w:pPr>
              <w:spacing w:after="0"/>
              <w:rPr>
                <w:sz w:val="20"/>
                <w:szCs w:val="20"/>
                <w:color w:val="auto"/>
              </w:rPr>
            </w:pPr>
            <w:r>
              <w:rPr>
                <w:rFonts w:ascii="Arial" w:cs="Arial" w:eastAsia="Arial" w:hAnsi="Arial"/>
                <w:sz w:val="14"/>
                <w:szCs w:val="14"/>
                <w:color w:val="auto"/>
              </w:rPr>
              <w:t>Loans:</w:t>
            </w:r>
          </w:p>
        </w:tc>
        <w:tc>
          <w:tcPr>
            <w:tcW w:w="1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color w:val="auto"/>
              </w:rPr>
              <w:t>September 30, 2016</w:t>
            </w:r>
          </w:p>
        </w:tc>
        <w:tc>
          <w:tcPr>
            <w:tcW w:w="1140" w:type="dxa"/>
            <w:vAlign w:val="bottom"/>
            <w:gridSpan w:val="3"/>
          </w:tcPr>
          <w:p>
            <w:pPr>
              <w:spacing w:after="0" w:line="142" w:lineRule="exact"/>
              <w:rPr>
                <w:sz w:val="20"/>
                <w:szCs w:val="20"/>
                <w:color w:val="auto"/>
              </w:rPr>
            </w:pPr>
            <w:r>
              <w:rPr>
                <w:rFonts w:ascii="Arial" w:cs="Arial" w:eastAsia="Arial" w:hAnsi="Arial"/>
                <w:sz w:val="14"/>
                <w:szCs w:val="14"/>
                <w:color w:val="auto"/>
                <w:w w:val="91"/>
              </w:rPr>
              <w:t>December 31, 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 w:type="dxa"/>
            <w:vAlign w:val="bottom"/>
            <w:tcBorders>
              <w:top w:val="single" w:sz="8" w:color="auto"/>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87,222</w:t>
            </w:r>
          </w:p>
        </w:tc>
        <w:tc>
          <w:tcPr>
            <w:tcW w:w="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Agricultural Real Estate</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60,206</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79,191</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370,315</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105,961</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Consumer</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30,585</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 Development Bonds</w:t>
            </w:r>
          </w:p>
        </w:tc>
        <w:tc>
          <w:tcPr>
            <w:tcW w:w="1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739,372</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deferred loan fees and costs</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738,682</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Allowance for loan losses</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(6,612)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Loans - Net</w:t>
            </w:r>
          </w:p>
        </w:tc>
        <w:tc>
          <w:tcPr>
            <w:tcW w:w="17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732,070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20" w:type="dxa"/>
            <w:vAlign w:val="bottom"/>
            <w:vMerge w:val="restart"/>
          </w:tcPr>
          <w:p>
            <w:pPr>
              <w:jc w:val="right"/>
              <w:ind w:right="930"/>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maturity schedule by major category of loans as of September 30, 2016:</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tcPr>
          <w:p>
            <w:pPr>
              <w:jc w:val="center"/>
              <w:ind w:right="360"/>
              <w:spacing w:after="0" w:line="123" w:lineRule="exact"/>
              <w:rPr>
                <w:sz w:val="20"/>
                <w:szCs w:val="20"/>
                <w:color w:val="auto"/>
              </w:rPr>
            </w:pPr>
            <w:r>
              <w:rPr>
                <w:rFonts w:ascii="Arial" w:cs="Arial" w:eastAsia="Arial" w:hAnsi="Arial"/>
                <w:sz w:val="14"/>
                <w:szCs w:val="14"/>
                <w:color w:val="auto"/>
                <w:w w:val="96"/>
              </w:rPr>
              <w:t>After One</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3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Within</w:t>
            </w:r>
          </w:p>
        </w:tc>
        <w:tc>
          <w:tcPr>
            <w:tcW w:w="3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Year Within</w:t>
            </w:r>
          </w:p>
        </w:tc>
        <w:tc>
          <w:tcPr>
            <w:tcW w:w="2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After Five</w:t>
            </w:r>
          </w:p>
        </w:tc>
      </w:tr>
      <w:tr>
        <w:trPr>
          <w:trHeight w:val="167"/>
        </w:trPr>
        <w:tc>
          <w:tcPr>
            <w:tcW w:w="63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One Year</w:t>
            </w:r>
          </w:p>
        </w:tc>
        <w:tc>
          <w:tcPr>
            <w:tcW w:w="3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Five Years</w:t>
            </w:r>
          </w:p>
        </w:tc>
        <w:tc>
          <w:tcPr>
            <w:tcW w:w="2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Years</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944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12,183</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$ 74,095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3,189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56,272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50,164</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23,273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13,808</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91,293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265,214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47,474</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32,484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26,003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Consumer</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5,230</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19,157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6,198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4,707</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distribution of fixed rate loans and variable rate loans by major loan category is as follows as of September 30, 2016. Variable rate loans whose current rates are equal to their floor or ceiling are classified as fixed in this table.</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4"/>
          </w:tcPr>
          <w:p>
            <w:pPr>
              <w:ind w:left="500"/>
              <w:spacing w:after="0"/>
              <w:rPr>
                <w:sz w:val="20"/>
                <w:szCs w:val="20"/>
                <w:color w:val="auto"/>
              </w:rPr>
            </w:pPr>
            <w:r>
              <w:rPr>
                <w:rFonts w:ascii="Arial" w:cs="Arial" w:eastAsia="Arial" w:hAnsi="Arial"/>
                <w:sz w:val="14"/>
                <w:szCs w:val="14"/>
                <w:color w:val="auto"/>
              </w:rPr>
              <w:t>(In Thousands)</w:t>
            </w:r>
          </w:p>
        </w:tc>
      </w:tr>
      <w:tr>
        <w:trPr>
          <w:trHeight w:val="123"/>
        </w:trPr>
        <w:tc>
          <w:tcPr>
            <w:tcW w:w="44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00" w:type="dxa"/>
            <w:vAlign w:val="bottom"/>
            <w:tcBorders>
              <w:top w:val="single" w:sz="8" w:color="auto"/>
            </w:tcBorders>
          </w:tcPr>
          <w:p>
            <w:pPr>
              <w:jc w:val="right"/>
              <w:ind w:right="124"/>
              <w:spacing w:after="0" w:line="123" w:lineRule="exact"/>
              <w:rPr>
                <w:sz w:val="20"/>
                <w:szCs w:val="20"/>
                <w:color w:val="auto"/>
              </w:rPr>
            </w:pPr>
            <w:r>
              <w:rPr>
                <w:rFonts w:ascii="Arial" w:cs="Arial" w:eastAsia="Arial" w:hAnsi="Arial"/>
                <w:sz w:val="14"/>
                <w:szCs w:val="14"/>
                <w:color w:val="auto"/>
              </w:rPr>
              <w:t>Fixed</w:t>
            </w: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Variable</w:t>
            </w:r>
          </w:p>
        </w:tc>
        <w:tc>
          <w:tcPr>
            <w:tcW w:w="100" w:type="dxa"/>
            <w:vAlign w:val="bottom"/>
          </w:tcPr>
          <w:p>
            <w:pPr>
              <w:spacing w:after="0"/>
              <w:rPr>
                <w:sz w:val="10"/>
                <w:szCs w:val="10"/>
                <w:color w:val="auto"/>
              </w:rPr>
            </w:pPr>
          </w:p>
        </w:tc>
      </w:tr>
      <w:tr>
        <w:trPr>
          <w:trHeight w:val="167"/>
        </w:trPr>
        <w:tc>
          <w:tcPr>
            <w:tcW w:w="4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jc w:val="right"/>
              <w:ind w:right="144"/>
              <w:spacing w:after="0"/>
              <w:rPr>
                <w:sz w:val="20"/>
                <w:szCs w:val="20"/>
                <w:color w:val="auto"/>
              </w:rPr>
            </w:pPr>
            <w:r>
              <w:rPr>
                <w:rFonts w:ascii="Arial" w:cs="Arial" w:eastAsia="Arial" w:hAnsi="Arial"/>
                <w:sz w:val="14"/>
                <w:szCs w:val="14"/>
                <w:color w:val="auto"/>
              </w:rPr>
              <w:t>Rate</w:t>
            </w:r>
          </w:p>
        </w:tc>
        <w:tc>
          <w:tcPr>
            <w:tcW w:w="5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Rate</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$ 55,459</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$ 31,763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43,065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17,141</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49,358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233,377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136,938</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44,344</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Consumer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26,283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September 30, 2016 and December 31, 2015 one to four family residential mortgage loans amounting to $21.3 and $20.0 million, respectively, have been pledged as security for future loans the Bank has received from the Federal Home Loan Bank.</w:t>
      </w:r>
    </w:p>
    <w:p>
      <w:pPr>
        <w:spacing w:after="0" w:line="170"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Unless listed separately, Industrial Development Bonds are included in the Commercial and Industrial category for the remainder of the tables in this Note 4. 10</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the contractual aging of the recorded investment (in thousands) in past due loans by portfolio classification of loans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December 31, 2015, net of deferred loan fees and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Total</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 &gt;</w:t>
            </w:r>
          </w:p>
        </w:tc>
      </w:tr>
      <w:tr>
        <w:trPr>
          <w:trHeight w:val="149"/>
        </w:trPr>
        <w:tc>
          <w:tcPr>
            <w:tcW w:w="43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30-59 Days</w:t>
            </w:r>
          </w:p>
        </w:tc>
        <w:tc>
          <w:tcPr>
            <w:tcW w:w="1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60-89 Days</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Greater Than</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Financing</w:t>
            </w:r>
          </w:p>
        </w:tc>
        <w:tc>
          <w:tcPr>
            <w:tcW w:w="1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90 Days and</w:t>
            </w:r>
          </w:p>
        </w:tc>
      </w:tr>
      <w:tr>
        <w:trPr>
          <w:trHeight w:val="167"/>
        </w:trPr>
        <w:tc>
          <w:tcPr>
            <w:tcW w:w="4320" w:type="dxa"/>
            <w:vAlign w:val="bottom"/>
          </w:tcPr>
          <w:p>
            <w:pPr>
              <w:spacing w:after="0"/>
              <w:rPr>
                <w:sz w:val="20"/>
                <w:szCs w:val="20"/>
                <w:color w:val="auto"/>
              </w:rPr>
            </w:pPr>
            <w:r>
              <w:rPr>
                <w:rFonts w:ascii="Arial" w:cs="Arial" w:eastAsia="Arial" w:hAnsi="Arial"/>
                <w:sz w:val="14"/>
                <w:szCs w:val="14"/>
                <w:color w:val="auto"/>
              </w:rPr>
              <w:t>September 30, 2016</w:t>
            </w: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w w:val="90"/>
              </w:rPr>
              <w:t>Past Due</w:t>
            </w: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90 Days</w:t>
            </w:r>
          </w:p>
        </w:tc>
        <w:tc>
          <w:tcPr>
            <w:tcW w:w="900" w:type="dxa"/>
            <w:vAlign w:val="bottom"/>
            <w:gridSpan w:val="3"/>
          </w:tcPr>
          <w:p>
            <w:pPr>
              <w:spacing w:after="0"/>
              <w:rPr>
                <w:sz w:val="20"/>
                <w:szCs w:val="20"/>
                <w:color w:val="auto"/>
              </w:rPr>
            </w:pPr>
            <w:r>
              <w:rPr>
                <w:rFonts w:ascii="Arial" w:cs="Arial" w:eastAsia="Arial" w:hAnsi="Arial"/>
                <w:sz w:val="14"/>
                <w:szCs w:val="14"/>
                <w:color w:val="auto"/>
              </w:rPr>
              <w:t>Past Due</w:t>
            </w: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Current</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color w:val="auto"/>
                <w:w w:val="89"/>
              </w:rPr>
              <w:t>Receivables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160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211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86,527</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5"/>
                <w:szCs w:val="15"/>
                <w:color w:val="auto"/>
                <w:w w:val="71"/>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6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60,030</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60,162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79,332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369,326</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369,721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111,907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111,953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30,602</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30,616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737,724</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$ 738,682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Total</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 &gt;</w:t>
            </w:r>
          </w:p>
        </w:tc>
      </w:tr>
      <w:tr>
        <w:trPr>
          <w:trHeight w:val="149"/>
        </w:trPr>
        <w:tc>
          <w:tcPr>
            <w:tcW w:w="43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30-59 Days</w:t>
            </w:r>
          </w:p>
        </w:tc>
        <w:tc>
          <w:tcPr>
            <w:tcW w:w="1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60-89 Days</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Greater Than</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Financing</w:t>
            </w:r>
          </w:p>
        </w:tc>
        <w:tc>
          <w:tcPr>
            <w:tcW w:w="1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90 Days and</w:t>
            </w:r>
          </w:p>
        </w:tc>
      </w:tr>
      <w:tr>
        <w:trPr>
          <w:trHeight w:val="167"/>
        </w:trPr>
        <w:tc>
          <w:tcPr>
            <w:tcW w:w="4320" w:type="dxa"/>
            <w:vAlign w:val="bottom"/>
          </w:tcPr>
          <w:p>
            <w:pPr>
              <w:spacing w:after="0"/>
              <w:rPr>
                <w:sz w:val="20"/>
                <w:szCs w:val="20"/>
                <w:color w:val="auto"/>
              </w:rPr>
            </w:pPr>
            <w:r>
              <w:rPr>
                <w:rFonts w:ascii="Arial" w:cs="Arial" w:eastAsia="Arial" w:hAnsi="Arial"/>
                <w:sz w:val="14"/>
                <w:szCs w:val="14"/>
                <w:color w:val="auto"/>
              </w:rPr>
              <w:t>December 31, 2015</w:t>
            </w: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w w:val="90"/>
              </w:rPr>
              <w:t>Past Due</w:t>
            </w: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90 Days</w:t>
            </w:r>
          </w:p>
        </w:tc>
        <w:tc>
          <w:tcPr>
            <w:tcW w:w="900" w:type="dxa"/>
            <w:vAlign w:val="bottom"/>
            <w:gridSpan w:val="3"/>
          </w:tcPr>
          <w:p>
            <w:pPr>
              <w:spacing w:after="0"/>
              <w:rPr>
                <w:sz w:val="20"/>
                <w:szCs w:val="20"/>
                <w:color w:val="auto"/>
              </w:rPr>
            </w:pPr>
            <w:r>
              <w:rPr>
                <w:rFonts w:ascii="Arial" w:cs="Arial" w:eastAsia="Arial" w:hAnsi="Arial"/>
                <w:sz w:val="14"/>
                <w:szCs w:val="14"/>
                <w:color w:val="auto"/>
              </w:rPr>
              <w:t>Past Due</w:t>
            </w: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Current</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color w:val="auto"/>
                <w:w w:val="89"/>
              </w:rPr>
              <w:t>Receivables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303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357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5"/>
                <w:szCs w:val="15"/>
                <w:color w:val="auto"/>
                <w:w w:val="71"/>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6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58,301</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58,463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82,617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1,077</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321,153</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322,230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106,618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106,689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27,759</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27,787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609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1,380</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6"/>
              </w:rPr>
              <w:t>$ 2,190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683,688</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$ 685,878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center"/>
              <w:ind w:right="70"/>
              <w:spacing w:after="0"/>
              <w:rPr>
                <w:sz w:val="20"/>
                <w:szCs w:val="20"/>
                <w:color w:val="auto"/>
              </w:rPr>
            </w:pPr>
            <w:r>
              <w:rPr>
                <w:rFonts w:ascii="Arial" w:cs="Arial" w:eastAsia="Arial" w:hAnsi="Arial"/>
                <w:sz w:val="18"/>
                <w:szCs w:val="18"/>
                <w:color w:val="auto"/>
                <w:w w:val="89"/>
              </w:rPr>
              <w:t>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recorded investment in nonaccrual loans by class of loans as of September 30, 2016 and December 31, 2015:</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(In Thousands)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2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87"/>
              </w:rPr>
              <w:t>September 30,</w:t>
            </w:r>
          </w:p>
        </w:tc>
        <w:tc>
          <w:tcPr>
            <w:tcW w:w="15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0"/>
                <w:szCs w:val="10"/>
                <w:color w:val="auto"/>
              </w:rPr>
            </w:pPr>
          </w:p>
        </w:tc>
      </w:tr>
      <w:tr>
        <w:trPr>
          <w:trHeight w:val="167"/>
        </w:trPr>
        <w:tc>
          <w:tcPr>
            <w:tcW w:w="40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2016</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837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132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163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Consumer</w:t>
            </w: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 Real Estate – Construction, purchase, and refinance of business purpose real estate. Risks discussed during the approval process include construction delays and overruns, vacancies, collateral value subject to market value fluctuations, interest rate, market demands, borrower’s ability to repay in a timely fashion, and others. The Bank does employ stress testing on higher balance loans to mitigate risk by ensuring the customer’s ability to repay in a changing rate environment.</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Agricultural Real Estate – Purchase of farm real estate or for permanent improvements to the farm real estate. Cash flow from the farm operation is the repayment source and is therefore subject to the financial success of the farm operation.</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Consumer Real Estate – Purchase, refinance, or equity financing of one to four family owner occupied dwelling. Success in repayment is subject to borrower’s income, debt level, character in fulfilling payment obligations, employment, and others.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and Industrial –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Agricultural –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federal crop insurance.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Consumer – Funding for individual and family purposes. Success in repayment is subject to borrower’s income, debt level, character in fulfilling payment obligations, employment, and others.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Industrial Development Bonds – Funds for public improvements in the Bank’s service area. Repayment ability is based on the continuance of the taxation revenue as the source of repayment.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risk ratings are described as follows.</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30"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70" w:lineRule="exact"/>
        <w:rPr>
          <w:rFonts w:ascii="Arial" w:cs="Arial" w:eastAsia="Arial" w:hAnsi="Arial"/>
          <w:sz w:val="16"/>
          <w:szCs w:val="16"/>
          <w:color w:val="auto"/>
        </w:rPr>
      </w:pPr>
    </w:p>
    <w:p>
      <w:pPr>
        <w:ind w:left="900" w:right="40" w:hanging="446"/>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6" w:lineRule="exact"/>
        <w:rPr>
          <w:rFonts w:ascii="Arial" w:cs="Arial" w:eastAsia="Arial" w:hAnsi="Arial"/>
          <w:sz w:val="17"/>
          <w:szCs w:val="17"/>
          <w:color w:val="auto"/>
        </w:rPr>
      </w:pPr>
    </w:p>
    <w:p>
      <w:pPr>
        <w:ind w:left="900" w:right="12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Loans may be graded 3 when there is no recent information on which to base a current risk evaluation and the following conditions apply:</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31" w:lineRule="exact"/>
        <w:rPr>
          <w:sz w:val="20"/>
          <w:szCs w:val="20"/>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At inception, the loan was secured with collateral possessing a loan value adequate to protect the Bank from loss;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130" w:lineRule="exact"/>
        <w:rPr>
          <w:rFonts w:ascii="Arial" w:cs="Arial" w:eastAsia="Arial" w:hAnsi="Arial"/>
          <w:sz w:val="18"/>
          <w:szCs w:val="18"/>
          <w:color w:val="auto"/>
        </w:rPr>
      </w:pPr>
    </w:p>
    <w:p>
      <w:pPr>
        <w:ind w:left="1480" w:right="40" w:hanging="567"/>
        <w:spacing w:after="0" w:line="286" w:lineRule="auto"/>
        <w:tabs>
          <w:tab w:leader="none" w:pos="1480" w:val="left"/>
        </w:tabs>
        <w:numPr>
          <w:ilvl w:val="1"/>
          <w:numId w:val="6"/>
        </w:numPr>
        <w:rPr>
          <w:rFonts w:ascii="Arial" w:cs="Arial" w:eastAsia="Arial" w:hAnsi="Arial"/>
          <w:sz w:val="17"/>
          <w:szCs w:val="17"/>
          <w:color w:val="auto"/>
        </w:rPr>
      </w:pPr>
      <w:r>
        <w:rPr>
          <w:rFonts w:ascii="Arial" w:cs="Arial" w:eastAsia="Arial" w:hAnsi="Arial"/>
          <w:sz w:val="17"/>
          <w:szCs w:val="17"/>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70" w:lineRule="exact"/>
        <w:rPr>
          <w:rFonts w:ascii="Arial" w:cs="Arial" w:eastAsia="Arial" w:hAnsi="Arial"/>
          <w:sz w:val="17"/>
          <w:szCs w:val="17"/>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92" w:lineRule="exact"/>
        <w:rPr>
          <w:rFonts w:ascii="Arial" w:cs="Arial" w:eastAsia="Arial" w:hAnsi="Arial"/>
          <w:sz w:val="18"/>
          <w:szCs w:val="18"/>
          <w:color w:val="auto"/>
        </w:rPr>
      </w:pPr>
    </w:p>
    <w:p>
      <w:pPr>
        <w:ind w:left="900" w:right="160" w:hanging="446"/>
        <w:spacing w:after="0" w:line="30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30" w:lineRule="exact"/>
        <w:rPr>
          <w:rFonts w:ascii="Arial" w:cs="Arial" w:eastAsia="Arial" w:hAnsi="Arial"/>
          <w:sz w:val="18"/>
          <w:szCs w:val="18"/>
          <w:color w:val="auto"/>
        </w:rPr>
      </w:pPr>
    </w:p>
    <w:p>
      <w:pPr>
        <w:ind w:left="1480" w:right="560" w:hanging="567"/>
        <w:spacing w:after="0" w:line="34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480" w:right="30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Loans are characterized by the distinct possibility that the Bank will sustain some loss if deficiencies are not corrected.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primary source of repayment is gone, and there is considerable doubt as to the quality of the secondary source of repayment.</w:t>
      </w:r>
    </w:p>
    <w:p>
      <w:pPr>
        <w:spacing w:after="0" w:line="142" w:lineRule="exact"/>
        <w:rPr>
          <w:rFonts w:ascii="Arial" w:cs="Arial" w:eastAsia="Arial" w:hAnsi="Arial"/>
          <w:sz w:val="17"/>
          <w:szCs w:val="17"/>
          <w:color w:val="auto"/>
        </w:rPr>
      </w:pPr>
    </w:p>
    <w:p>
      <w:pPr>
        <w:ind w:left="1480" w:right="260" w:hanging="567"/>
        <w:spacing w:after="0" w:line="34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29"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risk category of loans by portfolio class, net of deferred fees and costs, based on the most recent analysis performed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December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4"/>
              </w:rPr>
              <w:t>Industrial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Real Estate</w:t>
            </w:r>
          </w:p>
        </w:tc>
        <w:tc>
          <w:tcPr>
            <w:tcW w:w="2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w w:val="93"/>
              </w:rPr>
              <w:t>Real Estate</w:t>
            </w: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Bonds</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September 30, 2016</w:t>
            </w:r>
          </w:p>
        </w:tc>
        <w:tc>
          <w:tcPr>
            <w:tcW w:w="2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720"/>
              <w:spacing w:after="0"/>
              <w:rPr>
                <w:sz w:val="20"/>
                <w:szCs w:val="20"/>
                <w:color w:val="auto"/>
              </w:rPr>
            </w:pPr>
            <w:r>
              <w:rPr>
                <w:rFonts w:ascii="Arial" w:cs="Arial" w:eastAsia="Arial" w:hAnsi="Arial"/>
                <w:sz w:val="18"/>
                <w:szCs w:val="18"/>
                <w:color w:val="auto"/>
              </w:rPr>
              <w:t>1-2</w:t>
            </w:r>
          </w:p>
        </w:tc>
        <w:tc>
          <w:tcPr>
            <w:tcW w:w="264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4,120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8,062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1,806</w:t>
            </w:r>
          </w:p>
        </w:tc>
        <w:tc>
          <w:tcPr>
            <w:tcW w:w="2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17,861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23,442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22,225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720"/>
              <w:spacing w:after="0"/>
              <w:rPr>
                <w:sz w:val="20"/>
                <w:szCs w:val="20"/>
                <w:color w:val="auto"/>
              </w:rPr>
            </w:pPr>
            <w:r>
              <w:rPr>
                <w:rFonts w:ascii="Arial" w:cs="Arial" w:eastAsia="Arial" w:hAnsi="Arial"/>
                <w:sz w:val="18"/>
                <w:szCs w:val="18"/>
                <w:color w:val="auto"/>
              </w:rPr>
              <w:t>4</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36,512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46,157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334,827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81,177</w:t>
            </w:r>
          </w:p>
        </w:tc>
        <w:tc>
          <w:tcPr>
            <w:tcW w:w="10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w w:val="84"/>
              </w:rPr>
              <w:t>3,147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720"/>
              <w:spacing w:after="0"/>
              <w:rPr>
                <w:sz w:val="20"/>
                <w:szCs w:val="20"/>
                <w:color w:val="auto"/>
              </w:rPr>
            </w:pPr>
            <w:r>
              <w:rPr>
                <w:rFonts w:ascii="Arial" w:cs="Arial" w:eastAsia="Arial" w:hAnsi="Arial"/>
                <w:sz w:val="18"/>
                <w:szCs w:val="18"/>
                <w:color w:val="auto"/>
              </w:rPr>
              <w:t>6</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7</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720"/>
              <w:spacing w:after="0"/>
              <w:rPr>
                <w:sz w:val="20"/>
                <w:szCs w:val="20"/>
                <w:color w:val="auto"/>
              </w:rPr>
            </w:pPr>
            <w:r>
              <w:rPr>
                <w:rFonts w:ascii="Arial" w:cs="Arial" w:eastAsia="Arial" w:hAnsi="Arial"/>
                <w:sz w:val="18"/>
                <w:szCs w:val="18"/>
                <w:color w:val="auto"/>
              </w:rPr>
              <w:t>8</w:t>
            </w:r>
          </w:p>
        </w:tc>
        <w:tc>
          <w:tcPr>
            <w:tcW w:w="2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60,162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79,332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$ 369,721</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106,061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5,892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Industrial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Real Estate</w:t>
            </w:r>
          </w:p>
        </w:tc>
        <w:tc>
          <w:tcPr>
            <w:tcW w:w="2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w w:val="93"/>
              </w:rPr>
              <w:t>Real Estate</w:t>
            </w: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Bonds</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2015</w:t>
            </w:r>
          </w:p>
        </w:tc>
        <w:tc>
          <w:tcPr>
            <w:tcW w:w="2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720"/>
              <w:spacing w:after="0"/>
              <w:rPr>
                <w:sz w:val="20"/>
                <w:szCs w:val="20"/>
                <w:color w:val="auto"/>
              </w:rPr>
            </w:pPr>
            <w:r>
              <w:rPr>
                <w:rFonts w:ascii="Arial" w:cs="Arial" w:eastAsia="Arial" w:hAnsi="Arial"/>
                <w:sz w:val="18"/>
                <w:szCs w:val="18"/>
                <w:color w:val="auto"/>
              </w:rPr>
              <w:t>1-2</w:t>
            </w:r>
          </w:p>
        </w:tc>
        <w:tc>
          <w:tcPr>
            <w:tcW w:w="264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5,841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12,025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597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16,593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21,247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720"/>
              <w:spacing w:after="0"/>
              <w:rPr>
                <w:sz w:val="20"/>
                <w:szCs w:val="20"/>
                <w:color w:val="auto"/>
              </w:rPr>
            </w:pPr>
            <w:r>
              <w:rPr>
                <w:rFonts w:ascii="Arial" w:cs="Arial" w:eastAsia="Arial" w:hAnsi="Arial"/>
                <w:sz w:val="18"/>
                <w:szCs w:val="18"/>
                <w:color w:val="auto"/>
              </w:rPr>
              <w:t>4</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35,475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49,220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293,381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76,855</w:t>
            </w:r>
          </w:p>
        </w:tc>
        <w:tc>
          <w:tcPr>
            <w:tcW w:w="10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w w:val="84"/>
              </w:rPr>
              <w:t>3,391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720"/>
              <w:spacing w:after="0"/>
              <w:rPr>
                <w:sz w:val="20"/>
                <w:szCs w:val="20"/>
                <w:color w:val="auto"/>
              </w:rPr>
            </w:pPr>
            <w:r>
              <w:rPr>
                <w:rFonts w:ascii="Arial" w:cs="Arial" w:eastAsia="Arial" w:hAnsi="Arial"/>
                <w:sz w:val="18"/>
                <w:szCs w:val="18"/>
                <w:color w:val="auto"/>
              </w:rPr>
              <w:t>6</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7</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720"/>
              <w:spacing w:after="0"/>
              <w:rPr>
                <w:sz w:val="20"/>
                <w:szCs w:val="20"/>
                <w:color w:val="auto"/>
              </w:rPr>
            </w:pPr>
            <w:r>
              <w:rPr>
                <w:rFonts w:ascii="Arial" w:cs="Arial" w:eastAsia="Arial" w:hAnsi="Arial"/>
                <w:sz w:val="18"/>
                <w:szCs w:val="18"/>
                <w:color w:val="auto"/>
              </w:rPr>
              <w:t>8</w:t>
            </w:r>
          </w:p>
        </w:tc>
        <w:tc>
          <w:tcPr>
            <w:tcW w:w="2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58,463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82,762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$ 322,230</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100,198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6,491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500" w:type="dxa"/>
            <w:vAlign w:val="bottom"/>
            <w:vMerge w:val="restart"/>
          </w:tcPr>
          <w:p>
            <w:pPr>
              <w:ind w:left="2080"/>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September 30, 2016 and December 31, 2015.</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4"/>
                <w:szCs w:val="14"/>
                <w:color w:val="auto"/>
              </w:rPr>
              <w:t>(In Thousands)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9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8"/>
              <w:spacing w:after="0" w:line="123" w:lineRule="exact"/>
              <w:rPr>
                <w:sz w:val="20"/>
                <w:szCs w:val="20"/>
                <w:color w:val="auto"/>
              </w:rPr>
            </w:pPr>
            <w:r>
              <w:rPr>
                <w:rFonts w:ascii="Arial" w:cs="Arial" w:eastAsia="Arial" w:hAnsi="Arial"/>
                <w:sz w:val="14"/>
                <w:szCs w:val="14"/>
                <w:color w:val="auto"/>
                <w:w w:val="89"/>
              </w:rPr>
              <w:t>Consumer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9"/>
              </w:rPr>
              <w:t>Consumer</w:t>
            </w:r>
          </w:p>
        </w:tc>
        <w:tc>
          <w:tcPr>
            <w:tcW w:w="34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8"/>
              <w:spacing w:after="0"/>
              <w:rPr>
                <w:sz w:val="20"/>
                <w:szCs w:val="20"/>
                <w:color w:val="auto"/>
              </w:rPr>
            </w:pPr>
            <w:r>
              <w:rPr>
                <w:rFonts w:ascii="Arial" w:cs="Arial" w:eastAsia="Arial" w:hAnsi="Arial"/>
                <w:sz w:val="14"/>
                <w:szCs w:val="14"/>
                <w:color w:val="auto"/>
                <w:w w:val="91"/>
              </w:rPr>
              <w:t>Real Estate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4"/>
          </w:tcPr>
          <w:p>
            <w:pPr>
              <w:jc w:val="center"/>
              <w:ind w:right="279"/>
              <w:spacing w:after="0"/>
              <w:rPr>
                <w:sz w:val="20"/>
                <w:szCs w:val="20"/>
                <w:color w:val="auto"/>
              </w:rPr>
            </w:pPr>
            <w:r>
              <w:rPr>
                <w:rFonts w:ascii="Arial" w:cs="Arial" w:eastAsia="Arial" w:hAnsi="Arial"/>
                <w:sz w:val="14"/>
                <w:szCs w:val="14"/>
                <w:color w:val="auto"/>
                <w:w w:val="91"/>
              </w:rPr>
              <w:t>Real Estate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9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89"/>
              </w:rPr>
              <w:t>September 30,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34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8"/>
              <w:spacing w:after="0"/>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left="216"/>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Grade</w:t>
            </w:r>
          </w:p>
        </w:tc>
        <w:tc>
          <w:tcPr>
            <w:tcW w:w="1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Pass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86,423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87,292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Mention (5)</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Substandard (6)</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(7)</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100" w:type="dxa"/>
            <w:vAlign w:val="bottom"/>
          </w:tcPr>
          <w:p>
            <w:pPr>
              <w:ind w:left="72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87,947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w w:val="99"/>
              </w:rPr>
              <w:t>(In Thousands)</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400"/>
              <w:spacing w:after="0" w:line="142" w:lineRule="exact"/>
              <w:rPr>
                <w:sz w:val="20"/>
                <w:szCs w:val="20"/>
                <w:color w:val="auto"/>
              </w:rPr>
            </w:pPr>
            <w:r>
              <w:rPr>
                <w:rFonts w:ascii="Arial" w:cs="Arial" w:eastAsia="Arial" w:hAnsi="Arial"/>
                <w:sz w:val="14"/>
                <w:szCs w:val="14"/>
                <w:color w:val="auto"/>
                <w:w w:val="92"/>
              </w:rPr>
              <w:t>Consumer - Credit</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color w:val="auto"/>
                <w:w w:val="94"/>
              </w:rPr>
              <w:t>Consumer - Other</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9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87"/>
              </w:rPr>
              <w:t>September 30,</w:t>
            </w:r>
          </w:p>
        </w:tc>
        <w:tc>
          <w:tcPr>
            <w:tcW w:w="600" w:type="dxa"/>
            <w:vAlign w:val="bottom"/>
          </w:tcPr>
          <w:p>
            <w:pPr>
              <w:spacing w:after="0"/>
              <w:rPr>
                <w:sz w:val="10"/>
                <w:szCs w:val="10"/>
                <w:color w:val="auto"/>
              </w:rPr>
            </w:pPr>
          </w:p>
        </w:tc>
        <w:tc>
          <w:tcPr>
            <w:tcW w:w="820" w:type="dxa"/>
            <w:vAlign w:val="bottom"/>
            <w:gridSpan w:val="4"/>
          </w:tcPr>
          <w:p>
            <w:pPr>
              <w:spacing w:after="0" w:line="123" w:lineRule="exact"/>
              <w:rPr>
                <w:sz w:val="20"/>
                <w:szCs w:val="20"/>
                <w:color w:val="auto"/>
              </w:rPr>
            </w:pPr>
            <w:r>
              <w:rPr>
                <w:rFonts w:ascii="Arial" w:cs="Arial" w:eastAsia="Arial" w:hAnsi="Arial"/>
                <w:sz w:val="14"/>
                <w:szCs w:val="14"/>
                <w:color w:val="auto"/>
                <w:w w:val="90"/>
              </w:rPr>
              <w:t>December 31,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w w:val="89"/>
              </w:rPr>
              <w:t>September 30,</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67"/>
        </w:trPr>
        <w:tc>
          <w:tcPr>
            <w:tcW w:w="92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2016</w:t>
            </w:r>
          </w:p>
        </w:tc>
        <w:tc>
          <w:tcPr>
            <w:tcW w:w="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color w:val="auto"/>
                <w:w w:val="89"/>
              </w:rPr>
              <w:t>2015</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26,870</w:t>
            </w:r>
          </w:p>
        </w:tc>
        <w:tc>
          <w:tcPr>
            <w:tcW w:w="6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23,863</w:t>
            </w:r>
          </w:p>
        </w:tc>
        <w:tc>
          <w:tcPr>
            <w:tcW w:w="100" w:type="dxa"/>
            <w:vAlign w:val="bottom"/>
            <w:shd w:val="clear" w:color="auto" w:fill="CCEEFF"/>
          </w:tcPr>
          <w:p>
            <w:pPr>
              <w:spacing w:after="0"/>
              <w:rPr>
                <w:sz w:val="18"/>
                <w:szCs w:val="18"/>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Nonperforming</w:t>
            </w:r>
          </w:p>
        </w:tc>
        <w:tc>
          <w:tcPr>
            <w:tcW w:w="1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3,901</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26,890</w:t>
            </w:r>
          </w:p>
        </w:tc>
        <w:tc>
          <w:tcPr>
            <w:tcW w:w="8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23,886</w:t>
            </w:r>
          </w:p>
        </w:tc>
      </w:tr>
      <w:tr>
        <w:trPr>
          <w:trHeight w:val="20"/>
        </w:trPr>
        <w:tc>
          <w:tcPr>
            <w:tcW w:w="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impaired loans as of September 30, 2016, December 31, 2015 and September 30, 2015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color w:val="auto"/>
                <w:w w:val="93"/>
              </w:rPr>
              <w:t>(In Thousands)</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3"/>
          </w:tcPr>
          <w:p>
            <w:pPr>
              <w:spacing w:after="0" w:line="142" w:lineRule="exact"/>
              <w:rPr>
                <w:sz w:val="20"/>
                <w:szCs w:val="20"/>
                <w:color w:val="auto"/>
              </w:rPr>
            </w:pPr>
            <w:r>
              <w:rPr>
                <w:rFonts w:ascii="Arial" w:cs="Arial" w:eastAsia="Arial" w:hAnsi="Arial"/>
                <w:sz w:val="14"/>
                <w:szCs w:val="14"/>
                <w:color w:val="auto"/>
              </w:rPr>
              <w:t>September 30, 2016</w:t>
            </w:r>
          </w:p>
        </w:tc>
        <w:tc>
          <w:tcPr>
            <w:tcW w:w="42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2015</w:t>
            </w:r>
          </w:p>
        </w:tc>
        <w:tc>
          <w:tcPr>
            <w:tcW w:w="4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color w:val="auto"/>
                <w:w w:val="89"/>
              </w:rPr>
              <w:t>September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4"/>
              </w:rPr>
              <w:t>1,483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891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879</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2,136</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non-accrual loans</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2,041</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Total loans past-due ninety days or more and</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still accruing</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Quarter ended average investment in impaired</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2,207</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Year to date average investment in impaired</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loans</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1,843</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2,509</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Bank had approximately $562 thousand of its impaired loans classified as troubled debt restructured (TDR) as of September 30, 2016, $1.1 million as of December 31, 2015 and $1.2 million as of September 30, 2015. During the year-to-date 2016, one new loan was considered TDR. This loan is making interest-only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three and nine months ended September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Pre-</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Post-</w:t>
            </w: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Post-</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Three Months</w:t>
            </w:r>
          </w:p>
        </w:tc>
        <w:tc>
          <w:tcPr>
            <w:tcW w:w="10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Number of</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Modification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Modification</w:t>
            </w:r>
          </w:p>
        </w:tc>
        <w:tc>
          <w:tcPr>
            <w:tcW w:w="360" w:type="dxa"/>
            <w:vAlign w:val="bottom"/>
          </w:tcPr>
          <w:p>
            <w:pPr>
              <w:spacing w:after="0"/>
              <w:rPr>
                <w:sz w:val="12"/>
                <w:szCs w:val="12"/>
                <w:color w:val="auto"/>
              </w:rPr>
            </w:pPr>
          </w:p>
        </w:tc>
        <w:tc>
          <w:tcPr>
            <w:tcW w:w="1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Nine Months</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Number of</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Modification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9"/>
              </w:rPr>
              <w:t>Modification</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September 30, 2016</w:t>
            </w:r>
          </w:p>
        </w:tc>
        <w:tc>
          <w:tcPr>
            <w:tcW w:w="10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Contracts</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Outstanding</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360" w:type="dxa"/>
            <w:vAlign w:val="bottom"/>
          </w:tcPr>
          <w:p>
            <w:pPr>
              <w:spacing w:after="0"/>
              <w:rPr>
                <w:sz w:val="12"/>
                <w:szCs w:val="12"/>
                <w:color w:val="auto"/>
              </w:rPr>
            </w:pPr>
          </w:p>
        </w:tc>
        <w:tc>
          <w:tcPr>
            <w:tcW w:w="1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September 30, 2016</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Contracts</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Outstanding</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Outstanding</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10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Modified in the</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Recorded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8"/>
              </w:rPr>
              <w:t>Recorded</w:t>
            </w:r>
          </w:p>
        </w:tc>
        <w:tc>
          <w:tcPr>
            <w:tcW w:w="36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(in thousands)</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Modified in the</w:t>
            </w:r>
          </w:p>
        </w:tc>
        <w:tc>
          <w:tcPr>
            <w:tcW w:w="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Recorded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Recorded</w:t>
            </w:r>
          </w:p>
        </w:tc>
      </w:tr>
      <w:tr>
        <w:trPr>
          <w:trHeight w:val="181"/>
        </w:trPr>
        <w:tc>
          <w:tcPr>
            <w:tcW w:w="1720" w:type="dxa"/>
            <w:vAlign w:val="bottom"/>
          </w:tcPr>
          <w:p>
            <w:pPr>
              <w:spacing w:after="0"/>
              <w:rPr>
                <w:sz w:val="20"/>
                <w:szCs w:val="20"/>
                <w:color w:val="auto"/>
              </w:rPr>
            </w:pPr>
            <w:r>
              <w:rPr>
                <w:rFonts w:ascii="Arial" w:cs="Arial" w:eastAsia="Arial" w:hAnsi="Arial"/>
                <w:sz w:val="14"/>
                <w:szCs w:val="14"/>
                <w:color w:val="auto"/>
                <w:w w:val="92"/>
              </w:rPr>
              <w:t>Troubled Debt Restructurings</w:t>
            </w:r>
          </w:p>
        </w:tc>
        <w:tc>
          <w:tcPr>
            <w:tcW w:w="10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Last 3 Months</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Investment</w:t>
            </w: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Investment</w:t>
            </w:r>
          </w:p>
        </w:tc>
        <w:tc>
          <w:tcPr>
            <w:tcW w:w="360" w:type="dxa"/>
            <w:vAlign w:val="bottom"/>
          </w:tcPr>
          <w:p>
            <w:pPr>
              <w:spacing w:after="0"/>
              <w:rPr>
                <w:sz w:val="15"/>
                <w:szCs w:val="15"/>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Troubled Debt Restructurings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Last 6 Months</w:t>
            </w: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Investment</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Investment</w:t>
            </w:r>
          </w:p>
        </w:tc>
      </w:tr>
      <w:tr>
        <w:trPr>
          <w:trHeight w:val="142"/>
        </w:trPr>
        <w:tc>
          <w:tcPr>
            <w:tcW w:w="1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Consumer Real Estate</w:t>
            </w:r>
          </w:p>
        </w:tc>
        <w:tc>
          <w:tcPr>
            <w:tcW w:w="10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ind w:left="70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Consumer Real Estate</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w:t>
            </w:r>
          </w:p>
        </w:tc>
        <w:tc>
          <w:tcPr>
            <w:tcW w:w="100" w:type="dxa"/>
            <w:vAlign w:val="bottom"/>
            <w:tcBorders>
              <w:top w:val="single" w:sz="8" w:color="CCEEFF"/>
            </w:tcBorders>
            <w:shd w:val="clear" w:color="auto" w:fill="CCEEFF"/>
          </w:tcPr>
          <w:p>
            <w:pPr>
              <w:spacing w:after="0"/>
              <w:rPr>
                <w:sz w:val="12"/>
                <w:szCs w:val="1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three and nine months ended September 30, 2015.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0"/>
              </w:rPr>
              <w:t>Pre-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w w:val="91"/>
              </w:rPr>
              <w:t>Post-</w:t>
            </w: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Post-</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Three Months</w:t>
            </w:r>
          </w:p>
        </w:tc>
        <w:tc>
          <w:tcPr>
            <w:tcW w:w="10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Number of</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Modification</w:t>
            </w:r>
          </w:p>
        </w:tc>
        <w:tc>
          <w:tcPr>
            <w:tcW w:w="3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Modification</w:t>
            </w:r>
          </w:p>
        </w:tc>
        <w:tc>
          <w:tcPr>
            <w:tcW w:w="360" w:type="dxa"/>
            <w:vAlign w:val="bottom"/>
          </w:tcPr>
          <w:p>
            <w:pPr>
              <w:spacing w:after="0"/>
              <w:rPr>
                <w:sz w:val="12"/>
                <w:szCs w:val="12"/>
                <w:color w:val="auto"/>
              </w:rPr>
            </w:pPr>
          </w:p>
        </w:tc>
        <w:tc>
          <w:tcPr>
            <w:tcW w:w="1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Nine Months</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Number of</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Modification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9"/>
              </w:rPr>
              <w:t>Modification</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September 30, 2015</w:t>
            </w:r>
          </w:p>
        </w:tc>
        <w:tc>
          <w:tcPr>
            <w:tcW w:w="10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Contracts</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3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360" w:type="dxa"/>
            <w:vAlign w:val="bottom"/>
          </w:tcPr>
          <w:p>
            <w:pPr>
              <w:spacing w:after="0"/>
              <w:rPr>
                <w:sz w:val="12"/>
                <w:szCs w:val="12"/>
                <w:color w:val="auto"/>
              </w:rPr>
            </w:pPr>
          </w:p>
        </w:tc>
        <w:tc>
          <w:tcPr>
            <w:tcW w:w="1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September 30, 2015</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Contracts</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Outstanding</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Outstanding</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10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Modified in the</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Recorded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88"/>
              </w:rPr>
              <w:t>Recorded</w:t>
            </w:r>
          </w:p>
        </w:tc>
        <w:tc>
          <w:tcPr>
            <w:tcW w:w="36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(in thousands)</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Modified in the</w:t>
            </w:r>
          </w:p>
        </w:tc>
        <w:tc>
          <w:tcPr>
            <w:tcW w:w="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Recorded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Recorded</w:t>
            </w:r>
          </w:p>
        </w:tc>
      </w:tr>
      <w:tr>
        <w:trPr>
          <w:trHeight w:val="181"/>
        </w:trPr>
        <w:tc>
          <w:tcPr>
            <w:tcW w:w="1720" w:type="dxa"/>
            <w:vAlign w:val="bottom"/>
          </w:tcPr>
          <w:p>
            <w:pPr>
              <w:spacing w:after="0"/>
              <w:rPr>
                <w:sz w:val="20"/>
                <w:szCs w:val="20"/>
                <w:color w:val="auto"/>
              </w:rPr>
            </w:pPr>
            <w:r>
              <w:rPr>
                <w:rFonts w:ascii="Arial" w:cs="Arial" w:eastAsia="Arial" w:hAnsi="Arial"/>
                <w:sz w:val="14"/>
                <w:szCs w:val="14"/>
                <w:color w:val="auto"/>
                <w:w w:val="92"/>
              </w:rPr>
              <w:t>Troubled Debt Restructurings</w:t>
            </w:r>
          </w:p>
        </w:tc>
        <w:tc>
          <w:tcPr>
            <w:tcW w:w="10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Last 3 Months</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Investment</w:t>
            </w:r>
          </w:p>
        </w:tc>
        <w:tc>
          <w:tcPr>
            <w:tcW w:w="36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3"/>
              </w:rPr>
              <w:t>Investment</w:t>
            </w:r>
          </w:p>
        </w:tc>
        <w:tc>
          <w:tcPr>
            <w:tcW w:w="360" w:type="dxa"/>
            <w:vAlign w:val="bottom"/>
          </w:tcPr>
          <w:p>
            <w:pPr>
              <w:spacing w:after="0"/>
              <w:rPr>
                <w:sz w:val="15"/>
                <w:szCs w:val="15"/>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Troubled Debt Restructurings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Last 9 Months</w:t>
            </w: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Investment</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Investment</w:t>
            </w:r>
          </w:p>
        </w:tc>
      </w:tr>
      <w:tr>
        <w:trPr>
          <w:trHeight w:val="142"/>
        </w:trPr>
        <w:tc>
          <w:tcPr>
            <w:tcW w:w="1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Commercial Real Estate</w:t>
            </w:r>
          </w:p>
        </w:tc>
        <w:tc>
          <w:tcPr>
            <w:tcW w:w="10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ind w:left="70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Commercial Real Estate</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430</w:t>
            </w:r>
          </w:p>
        </w:tc>
        <w:tc>
          <w:tcPr>
            <w:tcW w:w="100" w:type="dxa"/>
            <w:vAlign w:val="bottom"/>
            <w:tcBorders>
              <w:top w:val="single" w:sz="8" w:color="CCEEFF"/>
            </w:tcBorders>
            <w:shd w:val="clear" w:color="auto" w:fill="CCEEFF"/>
          </w:tcPr>
          <w:p>
            <w:pPr>
              <w:spacing w:after="0"/>
              <w:rPr>
                <w:sz w:val="12"/>
                <w:szCs w:val="12"/>
                <w:color w:val="auto"/>
              </w:rPr>
            </w:pPr>
          </w:p>
        </w:tc>
      </w:tr>
      <w:tr>
        <w:trPr>
          <w:trHeight w:val="182"/>
        </w:trPr>
        <w:tc>
          <w:tcPr>
            <w:tcW w:w="1720" w:type="dxa"/>
            <w:vAlign w:val="bottom"/>
          </w:tcPr>
          <w:p>
            <w:pPr>
              <w:spacing w:after="0"/>
              <w:rPr>
                <w:sz w:val="20"/>
                <w:szCs w:val="20"/>
                <w:color w:val="auto"/>
              </w:rPr>
            </w:pPr>
            <w:r>
              <w:rPr>
                <w:rFonts w:ascii="Arial" w:cs="Arial" w:eastAsia="Arial" w:hAnsi="Arial"/>
                <w:sz w:val="14"/>
                <w:szCs w:val="14"/>
                <w:color w:val="auto"/>
              </w:rPr>
              <w:t>Commercial and Industrial</w:t>
            </w:r>
          </w:p>
        </w:tc>
        <w:tc>
          <w:tcPr>
            <w:tcW w:w="1020" w:type="dxa"/>
            <w:vAlign w:val="bottom"/>
          </w:tcPr>
          <w:p>
            <w:pPr>
              <w:spacing w:after="0"/>
              <w:rPr>
                <w:sz w:val="15"/>
                <w:szCs w:val="15"/>
                <w:color w:val="auto"/>
              </w:rPr>
            </w:pPr>
          </w:p>
        </w:tc>
        <w:tc>
          <w:tcPr>
            <w:tcW w:w="12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2340" w:type="dxa"/>
            <w:vAlign w:val="bottom"/>
            <w:gridSpan w:val="3"/>
          </w:tcPr>
          <w:p>
            <w:pPr>
              <w:ind w:left="360"/>
              <w:spacing w:after="0"/>
              <w:rPr>
                <w:sz w:val="20"/>
                <w:szCs w:val="20"/>
                <w:color w:val="auto"/>
              </w:rPr>
            </w:pPr>
            <w:r>
              <w:rPr>
                <w:rFonts w:ascii="Arial" w:cs="Arial" w:eastAsia="Arial" w:hAnsi="Arial"/>
                <w:sz w:val="14"/>
                <w:szCs w:val="14"/>
                <w:color w:val="auto"/>
              </w:rPr>
              <w:t>Commercial and Industrial</w:t>
            </w: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 period ended September 30, 2016 and 2015, there were no TDRs that subsequently defaulted after modification.</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5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three months ended September 30, 2016 and September 30,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QTD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QTD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4000" w:type="dxa"/>
            <w:vAlign w:val="bottom"/>
            <w:gridSpan w:val="2"/>
          </w:tcPr>
          <w:p>
            <w:pPr>
              <w:spacing w:after="0"/>
              <w:rPr>
                <w:sz w:val="20"/>
                <w:szCs w:val="20"/>
                <w:color w:val="auto"/>
              </w:rPr>
            </w:pPr>
            <w:r>
              <w:rPr>
                <w:rFonts w:ascii="Arial" w:cs="Arial" w:eastAsia="Arial" w:hAnsi="Arial"/>
                <w:sz w:val="14"/>
                <w:szCs w:val="14"/>
                <w:color w:val="auto"/>
              </w:rPr>
              <w:t>Three Months Ended September 30, 2016</w:t>
            </w:r>
          </w:p>
        </w:tc>
        <w:tc>
          <w:tcPr>
            <w:tcW w:w="1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94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3"/>
              </w:rPr>
              <w:t>Allowance</w:t>
            </w:r>
          </w:p>
        </w:tc>
        <w:tc>
          <w:tcPr>
            <w:tcW w:w="4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Recognized</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51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428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68</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118</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118</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22</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564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13"/>
              <w:spacing w:after="0" w:line="123"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QTD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QTD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1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Recorded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Three Months Ended September 30, 2015</w:t>
            </w:r>
          </w:p>
        </w:tc>
        <w:tc>
          <w:tcPr>
            <w:tcW w:w="154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w w:val="93"/>
              </w:rPr>
              <w:t>Investment</w:t>
            </w:r>
          </w:p>
        </w:tc>
        <w:tc>
          <w:tcPr>
            <w:tcW w:w="1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1000" w:type="dxa"/>
            <w:vAlign w:val="bottom"/>
            <w:gridSpan w:val="3"/>
          </w:tcPr>
          <w:p>
            <w:pPr>
              <w:spacing w:after="0"/>
              <w:rPr>
                <w:sz w:val="20"/>
                <w:szCs w:val="20"/>
                <w:color w:val="auto"/>
              </w:rPr>
            </w:pPr>
            <w:r>
              <w:rPr>
                <w:rFonts w:ascii="Arial" w:cs="Arial" w:eastAsia="Arial" w:hAnsi="Arial"/>
                <w:sz w:val="14"/>
                <w:szCs w:val="14"/>
                <w:color w:val="auto"/>
              </w:rPr>
              <w:t>Allowance</w:t>
            </w:r>
          </w:p>
        </w:tc>
        <w:tc>
          <w:tcPr>
            <w:tcW w:w="8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1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740" w:type="dxa"/>
            <w:vAlign w:val="bottom"/>
            <w:gridSpan w:val="2"/>
          </w:tcPr>
          <w:p>
            <w:pPr>
              <w:jc w:val="center"/>
              <w:ind w:left="135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201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159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1,013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740" w:type="dxa"/>
            <w:vAlign w:val="bottom"/>
            <w:gridSpan w:val="2"/>
          </w:tcPr>
          <w:p>
            <w:pPr>
              <w:jc w:val="center"/>
              <w:ind w:left="135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506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341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222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222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1,580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771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771</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188</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781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40" w:type="dxa"/>
            <w:vAlign w:val="bottom"/>
            <w:gridSpan w:val="2"/>
          </w:tcPr>
          <w:p>
            <w:pPr>
              <w:jc w:val="center"/>
              <w:ind w:left="1350"/>
              <w:spacing w:after="0"/>
              <w:rPr>
                <w:sz w:val="20"/>
                <w:szCs w:val="20"/>
                <w:color w:val="auto"/>
              </w:rPr>
            </w:pPr>
            <w:r>
              <w:rPr>
                <w:rFonts w:ascii="Arial" w:cs="Arial" w:eastAsia="Arial" w:hAnsi="Arial"/>
                <w:sz w:val="18"/>
                <w:szCs w:val="18"/>
                <w:color w:val="auto"/>
                <w:w w:val="89"/>
              </w:rPr>
              <w:t>19</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nine months ended September 30, 2016 and September 30,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13"/>
              <w:spacing w:after="0" w:line="123" w:lineRule="exact"/>
              <w:rPr>
                <w:sz w:val="20"/>
                <w:szCs w:val="20"/>
                <w:color w:val="auto"/>
              </w:rPr>
            </w:pPr>
            <w:r>
              <w:rPr>
                <w:rFonts w:ascii="Arial" w:cs="Arial" w:eastAsia="Arial" w:hAnsi="Arial"/>
                <w:sz w:val="14"/>
                <w:szCs w:val="14"/>
                <w:color w:val="auto"/>
              </w:rPr>
              <w:t>YTD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YTD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YTD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4000" w:type="dxa"/>
            <w:vAlign w:val="bottom"/>
            <w:gridSpan w:val="2"/>
          </w:tcPr>
          <w:p>
            <w:pPr>
              <w:spacing w:after="0"/>
              <w:rPr>
                <w:sz w:val="20"/>
                <w:szCs w:val="20"/>
                <w:color w:val="auto"/>
              </w:rPr>
            </w:pPr>
            <w:r>
              <w:rPr>
                <w:rFonts w:ascii="Arial" w:cs="Arial" w:eastAsia="Arial" w:hAnsi="Arial"/>
                <w:sz w:val="14"/>
                <w:szCs w:val="14"/>
                <w:color w:val="auto"/>
              </w:rPr>
              <w:t>Nine Months Ended September 30, 2016</w:t>
            </w:r>
          </w:p>
        </w:tc>
        <w:tc>
          <w:tcPr>
            <w:tcW w:w="1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94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3"/>
              </w:rPr>
              <w:t>Allowance</w:t>
            </w:r>
          </w:p>
        </w:tc>
        <w:tc>
          <w:tcPr>
            <w:tcW w:w="4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Recognized</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78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465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68</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621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118</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118</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22</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592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13"/>
              <w:spacing w:after="0" w:line="123" w:lineRule="exact"/>
              <w:rPr>
                <w:sz w:val="20"/>
                <w:szCs w:val="20"/>
                <w:color w:val="auto"/>
              </w:rPr>
            </w:pPr>
            <w:r>
              <w:rPr>
                <w:rFonts w:ascii="Arial" w:cs="Arial" w:eastAsia="Arial" w:hAnsi="Arial"/>
                <w:sz w:val="14"/>
                <w:szCs w:val="14"/>
                <w:color w:val="auto"/>
              </w:rPr>
              <w:t>YTD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YTD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YTD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1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Recorded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Nine Months Ended September 30, 2015</w:t>
            </w:r>
          </w:p>
        </w:tc>
        <w:tc>
          <w:tcPr>
            <w:tcW w:w="154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w w:val="93"/>
              </w:rPr>
              <w:t>Investment</w:t>
            </w:r>
          </w:p>
        </w:tc>
        <w:tc>
          <w:tcPr>
            <w:tcW w:w="1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1000" w:type="dxa"/>
            <w:vAlign w:val="bottom"/>
            <w:gridSpan w:val="3"/>
          </w:tcPr>
          <w:p>
            <w:pPr>
              <w:spacing w:after="0"/>
              <w:rPr>
                <w:sz w:val="20"/>
                <w:szCs w:val="20"/>
                <w:color w:val="auto"/>
              </w:rPr>
            </w:pPr>
            <w:r>
              <w:rPr>
                <w:rFonts w:ascii="Arial" w:cs="Arial" w:eastAsia="Arial" w:hAnsi="Arial"/>
                <w:sz w:val="14"/>
                <w:szCs w:val="14"/>
                <w:color w:val="auto"/>
              </w:rPr>
              <w:t>Allowance</w:t>
            </w:r>
          </w:p>
        </w:tc>
        <w:tc>
          <w:tcPr>
            <w:tcW w:w="8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1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740" w:type="dxa"/>
            <w:vAlign w:val="bottom"/>
            <w:gridSpan w:val="2"/>
          </w:tcPr>
          <w:p>
            <w:pPr>
              <w:jc w:val="center"/>
              <w:ind w:left="135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201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740" w:type="dxa"/>
            <w:vAlign w:val="bottom"/>
            <w:gridSpan w:val="2"/>
          </w:tcPr>
          <w:p>
            <w:pPr>
              <w:jc w:val="center"/>
              <w:ind w:left="135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506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222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771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771</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188</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40" w:type="dxa"/>
            <w:vAlign w:val="bottom"/>
            <w:gridSpan w:val="2"/>
          </w:tcPr>
          <w:p>
            <w:pPr>
              <w:jc w:val="center"/>
              <w:ind w:left="1350"/>
              <w:spacing w:after="0"/>
              <w:rPr>
                <w:sz w:val="20"/>
                <w:szCs w:val="20"/>
                <w:color w:val="auto"/>
              </w:rPr>
            </w:pPr>
            <w:r>
              <w:rPr>
                <w:rFonts w:ascii="Arial" w:cs="Arial" w:eastAsia="Arial" w:hAnsi="Arial"/>
                <w:sz w:val="18"/>
                <w:szCs w:val="18"/>
                <w:color w:val="auto"/>
                <w:w w:val="89"/>
              </w:rPr>
              <w:t>21</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As of September 30, 2016, the Company had $808 thousand of foreclosed residential real estate property obtained by physical possession and $211 thousand of consumer mortgage loans secured by residential real estate properties for which foreclosure proceedings are in process according to local jurisdictions. As of September 30, 2015, the Company had $452 thousand of foreclosed residential real estate property obtained by physical possession and $411 thousand of consumer mortgage loans secured by residential real estate properties for which foreclosure proceedings are in process according to local jurisdictions.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color w:val="auto"/>
                <w:w w:val="95"/>
              </w:rPr>
              <w:t>(In Thousands)</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5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w w:val="97"/>
              </w:rPr>
              <w:t>Nine Months Ended</w:t>
            </w:r>
          </w:p>
        </w:tc>
        <w:tc>
          <w:tcPr>
            <w:tcW w:w="22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Twelve Months Ended</w:t>
            </w:r>
          </w:p>
        </w:tc>
        <w:tc>
          <w:tcPr>
            <w:tcW w:w="120" w:type="dxa"/>
            <w:vAlign w:val="bottom"/>
          </w:tcPr>
          <w:p>
            <w:pPr>
              <w:spacing w:after="0"/>
              <w:rPr>
                <w:sz w:val="10"/>
                <w:szCs w:val="10"/>
                <w:color w:val="auto"/>
              </w:rPr>
            </w:pPr>
          </w:p>
        </w:tc>
      </w:tr>
      <w:tr>
        <w:trPr>
          <w:trHeight w:val="167"/>
        </w:trPr>
        <w:tc>
          <w:tcPr>
            <w:tcW w:w="51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6"/>
              </w:rPr>
              <w:t>September 30, 2016</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December 31, 2015</w:t>
            </w: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Loan &amp; Lease Losses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Balance at beginning of year</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6,057</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5,905</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Allowance for Loan &amp; Lease Losses</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Allowance for Unfunded Loan Commitments &amp; Letters</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Credit</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0"/>
                <w:szCs w:val="20"/>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12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September 30, 2016 and September 30, 2015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Unfunded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Loan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5"/>
              </w:rPr>
              <w:t>Consumer</w:t>
            </w:r>
          </w:p>
        </w:tc>
        <w:tc>
          <w:tcPr>
            <w:tcW w:w="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1"/>
              </w:rPr>
              <w:t>Commercial</w:t>
            </w:r>
          </w:p>
        </w:tc>
        <w:tc>
          <w:tcPr>
            <w:tcW w:w="6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7"/>
              </w:rPr>
              <w:t>&amp; Letters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Real Estate</w:t>
            </w:r>
          </w:p>
        </w:tc>
        <w:tc>
          <w:tcPr>
            <w:tcW w:w="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Credit</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Three Months Ended September 30, 2016</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219</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Other Non-interest expense related to</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286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234</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952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2,937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227</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952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86,898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60,162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79,332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369,721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111,953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30,616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738,682</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712</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86,186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60,030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79,332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369,277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111,835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30,616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737,276</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Unfunded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Loan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2"/>
              </w:rPr>
              <w:t>Consumer</w:t>
            </w:r>
          </w:p>
        </w:tc>
        <w:tc>
          <w:tcPr>
            <w:tcW w:w="1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1"/>
              </w:rPr>
              <w:t>Commercial</w:t>
            </w:r>
          </w:p>
        </w:tc>
        <w:tc>
          <w:tcPr>
            <w:tcW w:w="6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7"/>
              </w:rPr>
              <w:t>&amp; Letters of</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w w:val="99"/>
              </w:rPr>
              <w:t>Real Estate</w:t>
            </w: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Real Estate</w:t>
            </w:r>
          </w:p>
        </w:tc>
        <w:tc>
          <w:tcPr>
            <w:tcW w:w="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Credit</w:t>
            </w: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Three Months Ended September 30, 2015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2,286</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Other Non-interest expense related to</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196</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520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196</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1,216</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520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2,205</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88,020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54,995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73,310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301,342</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26,458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635,239</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1,042</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87,514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54,773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73,310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300,300</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90,343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26,458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632,698</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nine months ended September 30, 2016 and September 30, 2015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Unfunded</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Loan</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Commitment</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2"/>
              </w:rPr>
              <w:t>Consumer</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7"/>
              </w:rPr>
              <w:t>&amp; Letters of</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2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Credit</w:t>
            </w: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6"/>
              </w:rPr>
              <w:t>Nine Months Ended September 30, 2016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Other Non-interest expense related to</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360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227</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952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Ending balance: individually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w w:val="99"/>
              </w:rPr>
              <w:t>Ending balance: collectively evaluated for</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234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1,173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952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86,898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60,162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79,332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369,721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111,953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30,616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738,682</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w w:val="99"/>
              </w:rPr>
              <w:t>Ending balance: individually evaluated for</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132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Ending balance: collectively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86,186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60,030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79,332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369,277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111,835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30,616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737,276</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Unfunded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Loan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1"/>
              </w:rPr>
              <w:t>Commercial</w:t>
            </w:r>
          </w:p>
        </w:tc>
        <w:tc>
          <w:tcPr>
            <w:tcW w:w="6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7"/>
              </w:rPr>
              <w:t>&amp; Letters of</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Real Estate</w:t>
            </w:r>
          </w:p>
        </w:tc>
        <w:tc>
          <w:tcPr>
            <w:tcW w:w="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Credit</w:t>
            </w: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Months Ended September 30, 2015</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323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Other Non-interest expense related to</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353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196</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520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324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196</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1,216</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520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2,205</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324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88,020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54,995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73,310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301,342</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26,458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635,239</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1,042</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87,514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54,773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73,310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300,300</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90,343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26,458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632,698</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512</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5 EARNINGS PER SHARE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color w:val="auto"/>
                <w:w w:val="94"/>
              </w:rPr>
              <w:t>In Thousands</w:t>
            </w: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6"/>
          </w:tcPr>
          <w:p>
            <w:pPr>
              <w:jc w:val="right"/>
              <w:ind w:right="1220"/>
              <w:spacing w:after="0" w:line="142" w:lineRule="exact"/>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2"/>
                <w:szCs w:val="12"/>
                <w:color w:val="auto"/>
              </w:rPr>
            </w:pPr>
          </w:p>
        </w:tc>
        <w:tc>
          <w:tcPr>
            <w:tcW w:w="2240" w:type="dxa"/>
            <w:vAlign w:val="bottom"/>
            <w:gridSpan w:val="5"/>
          </w:tcPr>
          <w:p>
            <w:pPr>
              <w:jc w:val="right"/>
              <w:ind w:right="532"/>
              <w:spacing w:after="0" w:line="142" w:lineRule="exact"/>
              <w:rPr>
                <w:sz w:val="20"/>
                <w:szCs w:val="20"/>
                <w:color w:val="auto"/>
              </w:rPr>
            </w:pPr>
            <w:r>
              <w:rPr>
                <w:rFonts w:ascii="Arial" w:cs="Arial" w:eastAsia="Arial" w:hAnsi="Arial"/>
                <w:sz w:val="14"/>
                <w:szCs w:val="14"/>
                <w:color w:val="auto"/>
              </w:rPr>
              <w:t>Year to Date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9"/>
              </w:rPr>
              <w:t>September 30,</w:t>
            </w:r>
          </w:p>
        </w:tc>
        <w:tc>
          <w:tcPr>
            <w:tcW w:w="6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9"/>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2015</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ind w:left="1560"/>
              <w:spacing w:after="0" w:line="196" w:lineRule="exact"/>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3,015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8,470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distributed earnings allocated to participating securities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Less: undistributed earnings allocated to participating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8,398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participating securities</w:t>
            </w: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4,612,766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4,615,379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4,609,188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4,615,689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average unvested restricted shares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(33,654)</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4,572,555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4,580,287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4,570,255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4,582,035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and diluted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INSTRUMENTS</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80"/>
        <w:spacing w:after="0" w:line="407" w:lineRule="auto"/>
        <w:rPr>
          <w:sz w:val="20"/>
          <w:szCs w:val="20"/>
          <w:color w:val="auto"/>
        </w:rPr>
      </w:pPr>
      <w:r>
        <w:rPr>
          <w:rFonts w:ascii="Arial" w:cs="Arial" w:eastAsia="Arial" w:hAnsi="Arial"/>
          <w:sz w:val="18"/>
          <w:szCs w:val="18"/>
          <w:color w:val="auto"/>
        </w:rPr>
        <w:t>ITEM 1 NOTES TO CONDENSED CONSOLIDATED UNAUDITED FINANCIAL STATEMENTS (Continued) NOTE 6 FAIR VALUE OF FINANCIAL INSTRUMENTS (Continued) Interest Bearing Time Deposits</w:t>
      </w:r>
    </w:p>
    <w:p>
      <w:pPr>
        <w:ind w:right="42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Securities – Available-for-sale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Loans, net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variable-rate loans that re-price frequently, and with no significant change in credit risk, fair values are based on carrying values. The fair values of the fixed rate and all other loans are estimated using discounted cash flow analysis, using interest rates currently being offered for loans with similar terms to borrowers with similar credit quality.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Receivable and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Off Balance Sheet Financial Instruments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FHLB Advances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September 30, 2016 and December 31, 2015 are reflected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(In Thousands)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89"/>
              </w:rPr>
              <w:t>September 30, 2016</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6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4"/>
              </w:rPr>
              <w:t>Carrying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Fair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3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Level 3</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31,498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31,498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31,498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Securities—available-for-sale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224,473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224,473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31,059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191,873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Loans,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732,070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735,456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735,456</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receivable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bearing Deposits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449,879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449,879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449,879</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Non-interest bearing Deposits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176,180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176,180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176,180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212,254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212,254</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color w:val="auto"/>
              </w:rPr>
              <w:t>Total Deposits</w:t>
            </w:r>
          </w:p>
        </w:tc>
        <w:tc>
          <w:tcPr>
            <w:tcW w:w="4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838,101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838,313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176,180</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662,133</w:t>
            </w: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Fed Funds purchased and Securities sold under agreements to repurchase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59,487</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Federal Home Loan Bank advances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10,041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10,041</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payable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365"/>
        </w:trPr>
        <w:tc>
          <w:tcPr>
            <w:tcW w:w="6260" w:type="dxa"/>
            <w:vAlign w:val="bottom"/>
          </w:tcPr>
          <w:p>
            <w:pPr>
              <w:ind w:left="562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(In Thousands)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2"/>
              </w:rPr>
              <w:t>December 31, 2015</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6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4"/>
              </w:rPr>
              <w:t>Carrying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Fair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3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Level 3</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22,018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22,018</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Securities—available-for-sale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235,115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235,115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38,505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189,258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Other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679,821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683,332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683,332</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Interest bearing Deposits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415,942</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415,942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415,942</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 bearing Deposits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171,112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171,112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184,285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184,308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184,308</w:t>
            </w:r>
          </w:p>
        </w:tc>
        <w:tc>
          <w:tcPr>
            <w:tcW w:w="100" w:type="dxa"/>
            <w:vAlign w:val="bottom"/>
          </w:tcPr>
          <w:p>
            <w:pPr>
              <w:spacing w:after="0"/>
              <w:rPr>
                <w:sz w:val="18"/>
                <w:szCs w:val="18"/>
                <w:color w:val="auto"/>
              </w:rPr>
            </w:pPr>
          </w:p>
        </w:tc>
      </w:tr>
      <w:tr>
        <w:trPr>
          <w:trHeight w:val="27"/>
        </w:trPr>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771,339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771,362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171,112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600,250</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w w:val="94"/>
              </w:rPr>
              <w:t>Federal Funds Purchased and Securities Sold Under Agreement to Repurchase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78,815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78,815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78,815</w:t>
            </w: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advances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18"/>
                <w:szCs w:val="18"/>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 when quoted prices are available in an active market, securities are valued using the quoted price and are classified as Level 1.</w:t>
      </w:r>
    </w:p>
    <w:p>
      <w:pPr>
        <w:spacing w:after="0" w:line="24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September 30, 2016 and December 31, 2015, segregated by level or the valuation inputs within the fair value hierarchy utilized to measure fair value:</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800" w:type="dxa"/>
            <w:vAlign w:val="bottom"/>
            <w:gridSpan w:val="12"/>
          </w:tcPr>
          <w:p>
            <w:pPr>
              <w:ind w:left="940"/>
              <w:spacing w:after="0"/>
              <w:rPr>
                <w:sz w:val="20"/>
                <w:szCs w:val="20"/>
                <w:color w:val="auto"/>
              </w:rPr>
            </w:pPr>
            <w:r>
              <w:rPr>
                <w:rFonts w:ascii="Arial" w:cs="Arial" w:eastAsia="Arial" w:hAnsi="Arial"/>
                <w:sz w:val="14"/>
                <w:szCs w:val="14"/>
                <w:color w:val="auto"/>
                <w:w w:val="94"/>
              </w:rPr>
              <w:t>Assets and Liabilities Measured at Fair Value on a Recurring Basis (In Thousands)</w:t>
            </w: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Quoted Prices in</w:t>
            </w: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580"/>
              <w:spacing w:after="0" w:line="123" w:lineRule="exact"/>
              <w:rPr>
                <w:sz w:val="20"/>
                <w:szCs w:val="20"/>
                <w:color w:val="auto"/>
              </w:rPr>
            </w:pPr>
            <w:r>
              <w:rPr>
                <w:rFonts w:ascii="Arial" w:cs="Arial" w:eastAsia="Arial" w:hAnsi="Arial"/>
                <w:sz w:val="14"/>
                <w:szCs w:val="14"/>
                <w:color w:val="auto"/>
                <w:w w:val="99"/>
              </w:rPr>
              <w:t>Significant</w:t>
            </w:r>
          </w:p>
        </w:tc>
        <w:tc>
          <w:tcPr>
            <w:tcW w:w="6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7"/>
              </w:rPr>
              <w:t>Active Markets</w:t>
            </w:r>
          </w:p>
        </w:tc>
        <w:tc>
          <w:tcPr>
            <w:tcW w:w="300" w:type="dxa"/>
            <w:vAlign w:val="bottom"/>
          </w:tcPr>
          <w:p>
            <w:pPr>
              <w:spacing w:after="0"/>
              <w:rPr>
                <w:sz w:val="12"/>
                <w:szCs w:val="12"/>
                <w:color w:val="auto"/>
              </w:rPr>
            </w:pPr>
          </w:p>
        </w:tc>
        <w:tc>
          <w:tcPr>
            <w:tcW w:w="126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9"/>
              </w:rPr>
              <w:t>Observable</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0" w:type="dxa"/>
            <w:vAlign w:val="bottom"/>
          </w:tcPr>
          <w:p>
            <w:pPr>
              <w:spacing w:after="0"/>
              <w:rPr>
                <w:sz w:val="1"/>
                <w:szCs w:val="1"/>
                <w:color w:val="auto"/>
              </w:rPr>
            </w:pPr>
          </w:p>
        </w:tc>
      </w:tr>
      <w:tr>
        <w:trPr>
          <w:trHeight w:val="162"/>
        </w:trPr>
        <w:tc>
          <w:tcPr>
            <w:tcW w:w="3780" w:type="dxa"/>
            <w:vAlign w:val="bottom"/>
            <w:gridSpan w:val="2"/>
            <w:vMerge w:val="restart"/>
          </w:tcPr>
          <w:p>
            <w:pPr>
              <w:spacing w:after="0"/>
              <w:rPr>
                <w:sz w:val="20"/>
                <w:szCs w:val="20"/>
                <w:color w:val="auto"/>
              </w:rPr>
            </w:pPr>
            <w:r>
              <w:rPr>
                <w:rFonts w:ascii="Arial" w:cs="Arial" w:eastAsia="Arial" w:hAnsi="Arial"/>
                <w:sz w:val="14"/>
                <w:szCs w:val="14"/>
                <w:color w:val="auto"/>
              </w:rPr>
              <w:t>September 30, 2016</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for Identical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700"/>
              <w:spacing w:after="0"/>
              <w:rPr>
                <w:sz w:val="20"/>
                <w:szCs w:val="20"/>
                <w:color w:val="auto"/>
              </w:rPr>
            </w:pPr>
            <w:r>
              <w:rPr>
                <w:rFonts w:ascii="Arial" w:cs="Arial" w:eastAsia="Arial" w:hAnsi="Arial"/>
                <w:sz w:val="14"/>
                <w:szCs w:val="14"/>
                <w:color w:val="auto"/>
                <w:w w:val="94"/>
              </w:rPr>
              <w:t>Inputs</w:t>
            </w:r>
          </w:p>
        </w:tc>
        <w:tc>
          <w:tcPr>
            <w:tcW w:w="1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378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Assets (Level 1)</w:t>
            </w:r>
          </w:p>
        </w:tc>
        <w:tc>
          <w:tcPr>
            <w:tcW w:w="30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color w:val="auto"/>
                <w:w w:val="95"/>
              </w:rPr>
              <w:t>(Level 2)</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 - (Securities Available-for-Sale)</w:t>
            </w:r>
          </w:p>
        </w:tc>
        <w:tc>
          <w:tcPr>
            <w:tcW w:w="9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2340" w:type="dxa"/>
            <w:vAlign w:val="bottom"/>
            <w:gridSpan w:val="3"/>
          </w:tcPr>
          <w:p>
            <w:pPr>
              <w:ind w:left="22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31,059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99,654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30,390</w:t>
            </w:r>
          </w:p>
        </w:tc>
        <w:tc>
          <w:tcPr>
            <w:tcW w:w="12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61,829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3"/>
        </w:trPr>
        <w:tc>
          <w:tcPr>
            <w:tcW w:w="3780" w:type="dxa"/>
            <w:vAlign w:val="bottom"/>
            <w:gridSpan w:val="2"/>
          </w:tcPr>
          <w:p>
            <w:pPr>
              <w:ind w:left="360"/>
              <w:spacing w:after="0"/>
              <w:rPr>
                <w:sz w:val="20"/>
                <w:szCs w:val="20"/>
                <w:color w:val="auto"/>
              </w:rPr>
            </w:pPr>
            <w:r>
              <w:rPr>
                <w:rFonts w:ascii="Arial" w:cs="Arial" w:eastAsia="Arial" w:hAnsi="Arial"/>
                <w:sz w:val="18"/>
                <w:szCs w:val="18"/>
                <w:color w:val="auto"/>
              </w:rPr>
              <w:t>Total Securities Available-for-Sale</w:t>
            </w: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31,059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191,873</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1,541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Quoted Prices in</w:t>
            </w:r>
          </w:p>
        </w:tc>
        <w:tc>
          <w:tcPr>
            <w:tcW w:w="300" w:type="dxa"/>
            <w:vAlign w:val="bottom"/>
          </w:tcPr>
          <w:p>
            <w:pPr>
              <w:spacing w:after="0"/>
              <w:rPr>
                <w:sz w:val="24"/>
                <w:szCs w:val="2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color w:val="auto"/>
                <w:w w:val="99"/>
              </w:rPr>
              <w:t>Significant</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7"/>
              </w:rPr>
              <w:t>Active Markets</w:t>
            </w:r>
          </w:p>
        </w:tc>
        <w:tc>
          <w:tcPr>
            <w:tcW w:w="300" w:type="dxa"/>
            <w:vAlign w:val="bottom"/>
          </w:tcPr>
          <w:p>
            <w:pPr>
              <w:spacing w:after="0"/>
              <w:rPr>
                <w:sz w:val="12"/>
                <w:szCs w:val="12"/>
                <w:color w:val="auto"/>
              </w:rPr>
            </w:pPr>
          </w:p>
        </w:tc>
        <w:tc>
          <w:tcPr>
            <w:tcW w:w="126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9"/>
              </w:rPr>
              <w:t>Observable</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20"/>
                <w:szCs w:val="20"/>
                <w:color w:val="auto"/>
              </w:rPr>
            </w:pPr>
            <w:r>
              <w:rPr>
                <w:rFonts w:ascii="Arial" w:cs="Arial" w:eastAsia="Arial" w:hAnsi="Arial"/>
                <w:sz w:val="14"/>
                <w:szCs w:val="14"/>
                <w:color w:val="auto"/>
                <w:w w:val="91"/>
              </w:rPr>
              <w:t>December 31, 2015</w:t>
            </w:r>
          </w:p>
        </w:tc>
        <w:tc>
          <w:tcPr>
            <w:tcW w:w="26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for Identical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700"/>
              <w:spacing w:after="0"/>
              <w:rPr>
                <w:sz w:val="20"/>
                <w:szCs w:val="20"/>
                <w:color w:val="auto"/>
              </w:rPr>
            </w:pPr>
            <w:r>
              <w:rPr>
                <w:rFonts w:ascii="Arial" w:cs="Arial" w:eastAsia="Arial" w:hAnsi="Arial"/>
                <w:sz w:val="14"/>
                <w:szCs w:val="14"/>
                <w:color w:val="auto"/>
                <w:w w:val="94"/>
              </w:rPr>
              <w:t>Inputs</w:t>
            </w:r>
          </w:p>
        </w:tc>
        <w:tc>
          <w:tcPr>
            <w:tcW w:w="1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vMerge w:val="continue"/>
          </w:tcPr>
          <w:p>
            <w:pPr>
              <w:spacing w:after="0"/>
              <w:rPr>
                <w:sz w:val="14"/>
                <w:szCs w:val="14"/>
                <w:color w:val="auto"/>
              </w:rPr>
            </w:pPr>
          </w:p>
        </w:tc>
        <w:tc>
          <w:tcPr>
            <w:tcW w:w="262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3"/>
              </w:rPr>
              <w:t>Assets (Level 1)</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2)</w:t>
            </w:r>
          </w:p>
        </w:tc>
        <w:tc>
          <w:tcPr>
            <w:tcW w:w="5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 - (Securities Available-for-Sale)</w:t>
            </w:r>
          </w:p>
        </w:tc>
        <w:tc>
          <w:tcPr>
            <w:tcW w:w="9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2340" w:type="dxa"/>
            <w:vAlign w:val="bottom"/>
            <w:gridSpan w:val="3"/>
          </w:tcPr>
          <w:p>
            <w:pPr>
              <w:ind w:left="22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38,505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98,220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26,324</w:t>
            </w:r>
          </w:p>
        </w:tc>
        <w:tc>
          <w:tcPr>
            <w:tcW w:w="12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64,714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23"/>
        </w:trPr>
        <w:tc>
          <w:tcPr>
            <w:tcW w:w="3780" w:type="dxa"/>
            <w:vAlign w:val="bottom"/>
            <w:gridSpan w:val="2"/>
          </w:tcPr>
          <w:p>
            <w:pPr>
              <w:ind w:left="360"/>
              <w:spacing w:after="0"/>
              <w:rPr>
                <w:sz w:val="20"/>
                <w:szCs w:val="20"/>
                <w:color w:val="auto"/>
              </w:rPr>
            </w:pPr>
            <w:r>
              <w:rPr>
                <w:rFonts w:ascii="Arial" w:cs="Arial" w:eastAsia="Arial" w:hAnsi="Arial"/>
                <w:sz w:val="18"/>
                <w:szCs w:val="18"/>
                <w:color w:val="auto"/>
              </w:rPr>
              <w:t>Total Securities Available-for-Sale</w:t>
            </w: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38,505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189,258</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7,352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20" w:type="dxa"/>
            <w:vAlign w:val="bottom"/>
            <w:gridSpan w:val="2"/>
            <w:vMerge w:val="restart"/>
          </w:tcPr>
          <w:p>
            <w:pPr>
              <w:ind w:left="92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September 30, 2016 and September 30, 2015.</w:t>
      </w:r>
    </w:p>
    <w:p>
      <w:pPr>
        <w:spacing w:after="0" w:line="193" w:lineRule="exact"/>
        <w:rPr>
          <w:sz w:val="20"/>
          <w:szCs w:val="20"/>
          <w:color w:val="auto"/>
        </w:rPr>
      </w:pPr>
    </w:p>
    <w:p>
      <w:pPr>
        <w:jc w:val="center"/>
        <w:ind w:left="5260"/>
        <w:spacing w:after="0"/>
        <w:rPr>
          <w:sz w:val="20"/>
          <w:szCs w:val="20"/>
          <w:color w:val="auto"/>
        </w:rPr>
      </w:pPr>
      <w:r>
        <w:rPr>
          <w:rFonts w:ascii="Arial" w:cs="Arial" w:eastAsia="Arial" w:hAnsi="Arial"/>
          <w:sz w:val="14"/>
          <w:szCs w:val="14"/>
          <w:color w:val="auto"/>
        </w:rPr>
        <w:t>(In Thousands)</w:t>
      </w:r>
    </w:p>
    <w:p>
      <w:pPr>
        <w:jc w:val="center"/>
        <w:ind w:left="5260"/>
        <w:spacing w:after="0"/>
        <w:rPr>
          <w:sz w:val="20"/>
          <w:szCs w:val="20"/>
          <w:color w:val="auto"/>
        </w:rPr>
      </w:pPr>
      <w:r>
        <w:rPr>
          <w:rFonts w:ascii="Arial" w:cs="Arial" w:eastAsia="Arial" w:hAnsi="Arial"/>
          <w:sz w:val="14"/>
          <w:szCs w:val="14"/>
          <w:color w:val="auto"/>
        </w:rPr>
        <w:t>Fair Value Measurements Using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wp:posOffset>
            </wp:positionV>
            <wp:extent cx="26073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7460"/>
        <w:spacing w:after="0" w:line="233" w:lineRule="auto"/>
        <w:rPr>
          <w:sz w:val="20"/>
          <w:szCs w:val="20"/>
          <w:color w:val="auto"/>
        </w:rPr>
      </w:pPr>
      <w:r>
        <w:rPr>
          <w:rFonts w:ascii="Arial" w:cs="Arial" w:eastAsia="Arial" w:hAnsi="Arial"/>
          <w:sz w:val="14"/>
          <w:szCs w:val="14"/>
          <w:color w:val="auto"/>
        </w:rPr>
        <w:t>Unobservable Inputs (Level 3)</w:t>
      </w:r>
    </w:p>
    <w:tbl>
      <w:tblPr>
        <w:tblLayout w:type="fixed"/>
        <w:tblInd w:w="920" w:type="dxa"/>
        <w:tblCellMar>
          <w:top w:w="0" w:type="dxa"/>
          <w:left w:w="0" w:type="dxa"/>
          <w:bottom w:w="0" w:type="dxa"/>
          <w:right w:w="0" w:type="dxa"/>
        </w:tblCellMar>
      </w:tblPr>
      <w:tr>
        <w:trPr>
          <w:trHeight w:val="123"/>
        </w:trPr>
        <w:tc>
          <w:tcPr>
            <w:tcW w:w="536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State and Local</w:t>
            </w:r>
          </w:p>
        </w:tc>
        <w:tc>
          <w:tcPr>
            <w:tcW w:w="5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3"/>
          </w:tcPr>
          <w:p>
            <w:pPr>
              <w:jc w:val="center"/>
              <w:ind w:right="680"/>
              <w:spacing w:after="0" w:line="123" w:lineRule="exact"/>
              <w:rPr>
                <w:sz w:val="20"/>
                <w:szCs w:val="20"/>
                <w:color w:val="auto"/>
              </w:rPr>
            </w:pPr>
            <w:r>
              <w:rPr>
                <w:rFonts w:ascii="Arial" w:cs="Arial" w:eastAsia="Arial" w:hAnsi="Arial"/>
                <w:sz w:val="14"/>
                <w:szCs w:val="14"/>
                <w:color w:val="auto"/>
                <w:w w:val="92"/>
              </w:rPr>
              <w:t>State and Local</w:t>
            </w:r>
          </w:p>
        </w:tc>
        <w:tc>
          <w:tcPr>
            <w:tcW w:w="92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0"/>
              </w:rPr>
              <w:t>Governments</w:t>
            </w:r>
          </w:p>
        </w:tc>
        <w:tc>
          <w:tcPr>
            <w:tcW w:w="54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Governments</w:t>
            </w:r>
          </w:p>
        </w:tc>
      </w:tr>
      <w:tr>
        <w:trPr>
          <w:trHeight w:val="167"/>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Tax-Exempt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840"/>
              <w:spacing w:after="0"/>
              <w:rPr>
                <w:sz w:val="20"/>
                <w:szCs w:val="20"/>
                <w:color w:val="auto"/>
              </w:rPr>
            </w:pPr>
            <w:r>
              <w:rPr>
                <w:rFonts w:ascii="Arial" w:cs="Arial" w:eastAsia="Arial" w:hAnsi="Arial"/>
                <w:sz w:val="14"/>
                <w:szCs w:val="14"/>
                <w:color w:val="auto"/>
                <w:w w:val="92"/>
              </w:rPr>
              <w:t>Taxable</w:t>
            </w:r>
          </w:p>
        </w:tc>
        <w:tc>
          <w:tcPr>
            <w:tcW w:w="2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Total</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(5,904)</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gridSpan w:val="3"/>
          </w:tcPr>
          <w:p>
            <w:pPr>
              <w:jc w:val="center"/>
              <w:ind w:right="700"/>
              <w:spacing w:after="0"/>
              <w:rPr>
                <w:sz w:val="20"/>
                <w:szCs w:val="20"/>
                <w:color w:val="auto"/>
              </w:rPr>
            </w:pPr>
            <w:r>
              <w:rPr>
                <w:rFonts w:ascii="Arial" w:cs="Arial" w:eastAsia="Arial" w:hAnsi="Arial"/>
                <w:sz w:val="14"/>
                <w:szCs w:val="14"/>
                <w:color w:val="auto"/>
                <w:w w:val="93"/>
              </w:rPr>
              <w:t>(In Thousands)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center"/>
              <w:ind w:left="515"/>
              <w:spacing w:after="0"/>
              <w:rPr>
                <w:sz w:val="20"/>
                <w:szCs w:val="20"/>
                <w:color w:val="auto"/>
              </w:rPr>
            </w:pPr>
            <w:r>
              <w:rPr>
                <w:rFonts w:ascii="Arial" w:cs="Arial" w:eastAsia="Arial" w:hAnsi="Arial"/>
                <w:sz w:val="14"/>
                <w:szCs w:val="14"/>
                <w:color w:val="auto"/>
                <w:w w:val="93"/>
              </w:rPr>
              <w:t>Fair Value Measurements Using Significant</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center"/>
              <w:ind w:right="160"/>
              <w:spacing w:after="0" w:line="142" w:lineRule="exact"/>
              <w:rPr>
                <w:sz w:val="20"/>
                <w:szCs w:val="20"/>
                <w:color w:val="auto"/>
              </w:rPr>
            </w:pPr>
            <w:r>
              <w:rPr>
                <w:rFonts w:ascii="Arial" w:cs="Arial" w:eastAsia="Arial" w:hAnsi="Arial"/>
                <w:sz w:val="14"/>
                <w:szCs w:val="14"/>
                <w:color w:val="auto"/>
                <w:w w:val="94"/>
              </w:rPr>
              <w:t>Unobservable Inputs (Level 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60" w:type="dxa"/>
            <w:vAlign w:val="bottom"/>
          </w:tcPr>
          <w:p>
            <w:pPr>
              <w:spacing w:after="0"/>
              <w:rPr>
                <w:sz w:val="10"/>
                <w:szCs w:val="10"/>
                <w:color w:val="auto"/>
              </w:rPr>
            </w:pPr>
          </w:p>
        </w:tc>
        <w:tc>
          <w:tcPr>
            <w:tcW w:w="10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State and Local</w:t>
            </w:r>
          </w:p>
        </w:tc>
        <w:tc>
          <w:tcPr>
            <w:tcW w:w="540" w:type="dxa"/>
            <w:vAlign w:val="bottom"/>
          </w:tcPr>
          <w:p>
            <w:pPr>
              <w:spacing w:after="0"/>
              <w:rPr>
                <w:sz w:val="10"/>
                <w:szCs w:val="10"/>
                <w:color w:val="auto"/>
              </w:rPr>
            </w:pPr>
          </w:p>
        </w:tc>
        <w:tc>
          <w:tcPr>
            <w:tcW w:w="1580" w:type="dxa"/>
            <w:vAlign w:val="bottom"/>
            <w:gridSpan w:val="3"/>
          </w:tcPr>
          <w:p>
            <w:pPr>
              <w:jc w:val="center"/>
              <w:ind w:right="680"/>
              <w:spacing w:after="0" w:line="123" w:lineRule="exact"/>
              <w:rPr>
                <w:sz w:val="20"/>
                <w:szCs w:val="20"/>
                <w:color w:val="auto"/>
              </w:rPr>
            </w:pPr>
            <w:r>
              <w:rPr>
                <w:rFonts w:ascii="Arial" w:cs="Arial" w:eastAsia="Arial" w:hAnsi="Arial"/>
                <w:sz w:val="14"/>
                <w:szCs w:val="14"/>
                <w:color w:val="auto"/>
                <w:w w:val="92"/>
              </w:rPr>
              <w:t>State and Local</w:t>
            </w: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0"/>
              </w:rPr>
              <w:t>Governments</w:t>
            </w:r>
          </w:p>
        </w:tc>
        <w:tc>
          <w:tcPr>
            <w:tcW w:w="54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Governments</w:t>
            </w:r>
          </w:p>
        </w:tc>
      </w:tr>
      <w:tr>
        <w:trPr>
          <w:trHeight w:val="167"/>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Tax-Exempt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840"/>
              <w:spacing w:after="0"/>
              <w:rPr>
                <w:sz w:val="20"/>
                <w:szCs w:val="20"/>
                <w:color w:val="auto"/>
              </w:rPr>
            </w:pPr>
            <w:r>
              <w:rPr>
                <w:rFonts w:ascii="Arial" w:cs="Arial" w:eastAsia="Arial" w:hAnsi="Arial"/>
                <w:sz w:val="14"/>
                <w:szCs w:val="14"/>
                <w:color w:val="auto"/>
                <w:w w:val="92"/>
              </w:rPr>
              <w:t>Taxable</w:t>
            </w:r>
          </w:p>
        </w:tc>
        <w:tc>
          <w:tcPr>
            <w:tcW w:w="2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Total</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at September 30, 2015</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also has assets that, under certain conditions, are subject to measurement at fair value on a non-recurring basis. At September 30, 2016 and December 31, 2015,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September 30, 2016 and December 31, 2015, fair value of collateral dependent impaired loans categorized as Level 3 were $766 and $549 thousand, respectively. The specific allocation for impaired loans was $125 and $330 thousand as of September 30, 2016 and December 31, 2015, respectively, which are accounted for in the allowance for loan losses (see Note 4).</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unobservable inputs used in recurring and nonrecurring Level 3 fair value measurements: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color w:val="auto"/>
                <w:w w:val="90"/>
              </w:rPr>
              <w:t>Fair Value at</w:t>
            </w: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September 30,</w:t>
            </w:r>
          </w:p>
        </w:tc>
        <w:tc>
          <w:tcPr>
            <w:tcW w:w="1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20" w:type="dxa"/>
            <w:vAlign w:val="bottom"/>
            <w:vMerge w:val="restart"/>
          </w:tcPr>
          <w:p>
            <w:pPr>
              <w:ind w:left="860"/>
              <w:spacing w:after="0"/>
              <w:rPr>
                <w:sz w:val="20"/>
                <w:szCs w:val="20"/>
                <w:color w:val="auto"/>
              </w:rPr>
            </w:pPr>
            <w:r>
              <w:rPr>
                <w:rFonts w:ascii="Arial" w:cs="Arial" w:eastAsia="Arial" w:hAnsi="Arial"/>
                <w:sz w:val="14"/>
                <w:szCs w:val="14"/>
                <w:color w:val="auto"/>
              </w:rPr>
              <w:t>Unobservable Inputs</w:t>
            </w:r>
          </w:p>
        </w:tc>
        <w:tc>
          <w:tcPr>
            <w:tcW w:w="380" w:type="dxa"/>
            <w:vAlign w:val="bottom"/>
            <w:vMerge w:val="restart"/>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3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9"/>
              </w:rPr>
              <w:t>2016</w:t>
            </w:r>
          </w:p>
        </w:tc>
        <w:tc>
          <w:tcPr>
            <w:tcW w:w="5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Valuation Technique</w:t>
            </w:r>
          </w:p>
        </w:tc>
        <w:tc>
          <w:tcPr>
            <w:tcW w:w="480" w:type="dxa"/>
            <w:vAlign w:val="bottom"/>
            <w:tcBorders>
              <w:bottom w:val="single" w:sz="8" w:color="CCEEFF"/>
            </w:tcBorders>
          </w:tcPr>
          <w:p>
            <w:pPr>
              <w:spacing w:after="0"/>
              <w:rPr>
                <w:sz w:val="14"/>
                <w:szCs w:val="14"/>
                <w:color w:val="auto"/>
              </w:rPr>
            </w:pPr>
          </w:p>
        </w:tc>
        <w:tc>
          <w:tcPr>
            <w:tcW w:w="29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Average)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government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4"/>
              </w:rPr>
              <w:t>1,541</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Discounted Cash Flow</w:t>
            </w:r>
          </w:p>
        </w:tc>
        <w:tc>
          <w:tcPr>
            <w:tcW w:w="4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4"/>
              </w:rPr>
              <w:t>Credit strength of underlying project or</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80" w:type="dxa"/>
            <w:vAlign w:val="bottom"/>
            <w:gridSpan w:val="3"/>
          </w:tcPr>
          <w:p>
            <w:pPr>
              <w:ind w:left="480"/>
              <w:spacing w:after="0"/>
              <w:rPr>
                <w:sz w:val="20"/>
                <w:szCs w:val="20"/>
                <w:color w:val="auto"/>
              </w:rPr>
            </w:pPr>
            <w:r>
              <w:rPr>
                <w:rFonts w:ascii="Arial" w:cs="Arial" w:eastAsia="Arial" w:hAnsi="Arial"/>
                <w:sz w:val="18"/>
                <w:szCs w:val="18"/>
                <w:color w:val="auto"/>
              </w:rPr>
              <w:t>entity / Discount rate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Collateral dependent Impaired loans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Collateral based</w:t>
            </w:r>
          </w:p>
        </w:tc>
        <w:tc>
          <w:tcPr>
            <w:tcW w:w="4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766</w:t>
            </w:r>
          </w:p>
        </w:tc>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measurements</w:t>
            </w:r>
          </w:p>
        </w:tc>
        <w:tc>
          <w:tcPr>
            <w:tcW w:w="37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Discount to reflect current market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80" w:type="dxa"/>
            <w:vAlign w:val="bottom"/>
            <w:gridSpan w:val="3"/>
          </w:tcPr>
          <w:p>
            <w:pPr>
              <w:ind w:left="480"/>
              <w:spacing w:after="0"/>
              <w:rPr>
                <w:sz w:val="20"/>
                <w:szCs w:val="20"/>
                <w:color w:val="auto"/>
              </w:rPr>
            </w:pPr>
            <w:r>
              <w:rPr>
                <w:rFonts w:ascii="Arial" w:cs="Arial" w:eastAsia="Arial" w:hAnsi="Arial"/>
                <w:sz w:val="18"/>
                <w:szCs w:val="18"/>
                <w:color w:val="auto"/>
              </w:rPr>
              <w:t>conditions and ultimate collectability</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 - residential</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165</w:t>
            </w:r>
          </w:p>
        </w:tc>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Appraisals</w:t>
            </w:r>
          </w:p>
        </w:tc>
        <w:tc>
          <w:tcPr>
            <w:tcW w:w="37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Discount to reflect current market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real estate owned - commercial</w:t>
            </w:r>
          </w:p>
        </w:tc>
        <w:tc>
          <w:tcPr>
            <w:tcW w:w="120" w:type="dxa"/>
            <w:vAlign w:val="bottom"/>
          </w:tcPr>
          <w:p>
            <w:pPr>
              <w:spacing w:after="0"/>
              <w:rPr>
                <w:sz w:val="18"/>
                <w:szCs w:val="18"/>
                <w:color w:val="auto"/>
              </w:rPr>
            </w:pPr>
          </w:p>
        </w:tc>
        <w:tc>
          <w:tcPr>
            <w:tcW w:w="15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Appraisals</w:t>
            </w:r>
          </w:p>
        </w:tc>
        <w:tc>
          <w:tcPr>
            <w:tcW w:w="3780" w:type="dxa"/>
            <w:vAlign w:val="bottom"/>
            <w:gridSpan w:val="3"/>
          </w:tcPr>
          <w:p>
            <w:pPr>
              <w:ind w:left="480"/>
              <w:spacing w:after="0"/>
              <w:rPr>
                <w:sz w:val="20"/>
                <w:szCs w:val="20"/>
                <w:color w:val="auto"/>
              </w:rPr>
            </w:pPr>
            <w:r>
              <w:rPr>
                <w:rFonts w:ascii="Arial" w:cs="Arial" w:eastAsia="Arial" w:hAnsi="Arial"/>
                <w:sz w:val="18"/>
                <w:szCs w:val="18"/>
                <w:color w:val="auto"/>
              </w:rPr>
              <w:t>Discount to reflect current market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Range</w:t>
            </w:r>
          </w:p>
        </w:tc>
        <w:tc>
          <w:tcPr>
            <w:tcW w:w="0" w:type="dxa"/>
            <w:vAlign w:val="bottom"/>
          </w:tcPr>
          <w:p>
            <w:pPr>
              <w:spacing w:after="0"/>
              <w:rPr>
                <w:sz w:val="1"/>
                <w:szCs w:val="1"/>
                <w:color w:val="auto"/>
              </w:rPr>
            </w:pPr>
          </w:p>
        </w:tc>
      </w:tr>
      <w:tr>
        <w:trPr>
          <w:trHeight w:val="346"/>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0"/>
              </w:rPr>
              <w:t>Fair Value at</w:t>
            </w:r>
          </w:p>
        </w:tc>
        <w:tc>
          <w:tcPr>
            <w:tcW w:w="1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00" w:type="dxa"/>
            <w:vAlign w:val="bottom"/>
            <w:gridSpan w:val="2"/>
            <w:vMerge w:val="restart"/>
          </w:tcPr>
          <w:p>
            <w:pPr>
              <w:ind w:left="860"/>
              <w:spacing w:after="0"/>
              <w:rPr>
                <w:sz w:val="20"/>
                <w:szCs w:val="20"/>
                <w:color w:val="auto"/>
              </w:rPr>
            </w:pPr>
            <w:r>
              <w:rPr>
                <w:rFonts w:ascii="Arial" w:cs="Arial" w:eastAsia="Arial" w:hAnsi="Arial"/>
                <w:sz w:val="14"/>
                <w:szCs w:val="14"/>
                <w:color w:val="auto"/>
              </w:rPr>
              <w:t>Unobservable Inputs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color w:val="auto"/>
                <w:w w:val="91"/>
              </w:rPr>
              <w:t>December 31, 2015</w:t>
            </w:r>
          </w:p>
        </w:tc>
        <w:tc>
          <w:tcPr>
            <w:tcW w:w="1700" w:type="dxa"/>
            <w:vAlign w:val="bottom"/>
          </w:tcPr>
          <w:p>
            <w:pPr>
              <w:ind w:left="260"/>
              <w:spacing w:after="0"/>
              <w:rPr>
                <w:sz w:val="20"/>
                <w:szCs w:val="20"/>
                <w:color w:val="auto"/>
              </w:rPr>
            </w:pPr>
            <w:r>
              <w:rPr>
                <w:rFonts w:ascii="Arial" w:cs="Arial" w:eastAsia="Arial" w:hAnsi="Arial"/>
                <w:sz w:val="14"/>
                <w:szCs w:val="14"/>
                <w:color w:val="auto"/>
              </w:rPr>
              <w:t>Valuation Technique</w:t>
            </w:r>
          </w:p>
        </w:tc>
        <w:tc>
          <w:tcPr>
            <w:tcW w:w="48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State and local government</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4"/>
              </w:rPr>
              <w:t>7,352</w:t>
            </w:r>
          </w:p>
        </w:tc>
        <w:tc>
          <w:tcPr>
            <w:tcW w:w="500" w:type="dxa"/>
            <w:vAlign w:val="bottom"/>
            <w:vMerge w:val="continue"/>
            <w:shd w:val="clear" w:color="auto" w:fill="CCEEFF"/>
          </w:tcPr>
          <w:p>
            <w:pPr>
              <w:spacing w:after="0"/>
              <w:rPr>
                <w:sz w:val="18"/>
                <w:szCs w:val="18"/>
                <w:color w:val="auto"/>
              </w:rPr>
            </w:pPr>
          </w:p>
        </w:tc>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Discounted Cash Flow</w:t>
            </w:r>
          </w:p>
        </w:tc>
        <w:tc>
          <w:tcPr>
            <w:tcW w:w="480" w:type="dxa"/>
            <w:vAlign w:val="bottom"/>
            <w:vMerge w:val="continue"/>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4"/>
              </w:rPr>
              <w:t>Credit strength of underlying project or</w:t>
            </w:r>
          </w:p>
        </w:tc>
        <w:tc>
          <w:tcPr>
            <w:tcW w:w="3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80" w:type="dxa"/>
            <w:vAlign w:val="bottom"/>
            <w:gridSpan w:val="3"/>
          </w:tcPr>
          <w:p>
            <w:pPr>
              <w:ind w:left="480"/>
              <w:spacing w:after="0"/>
              <w:rPr>
                <w:sz w:val="20"/>
                <w:szCs w:val="20"/>
                <w:color w:val="auto"/>
              </w:rPr>
            </w:pPr>
            <w:r>
              <w:rPr>
                <w:rFonts w:ascii="Arial" w:cs="Arial" w:eastAsia="Arial" w:hAnsi="Arial"/>
                <w:sz w:val="18"/>
                <w:szCs w:val="18"/>
                <w:color w:val="auto"/>
              </w:rPr>
              <w:t>entity / Discount rate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Collateral dependent Impaired loans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Collateral based</w:t>
            </w:r>
          </w:p>
        </w:tc>
        <w:tc>
          <w:tcPr>
            <w:tcW w:w="4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549</w:t>
            </w:r>
          </w:p>
        </w:tc>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measurements</w:t>
            </w:r>
          </w:p>
        </w:tc>
        <w:tc>
          <w:tcPr>
            <w:tcW w:w="37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Discount to reflect current market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80" w:type="dxa"/>
            <w:vAlign w:val="bottom"/>
            <w:gridSpan w:val="3"/>
          </w:tcPr>
          <w:p>
            <w:pPr>
              <w:ind w:left="480"/>
              <w:spacing w:after="0"/>
              <w:rPr>
                <w:sz w:val="20"/>
                <w:szCs w:val="20"/>
                <w:color w:val="auto"/>
              </w:rPr>
            </w:pPr>
            <w:r>
              <w:rPr>
                <w:rFonts w:ascii="Arial" w:cs="Arial" w:eastAsia="Arial" w:hAnsi="Arial"/>
                <w:sz w:val="18"/>
                <w:szCs w:val="18"/>
                <w:color w:val="auto"/>
              </w:rPr>
              <w:t>conditions and ultimate collectability</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 - residential</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Appraisals</w:t>
            </w:r>
          </w:p>
        </w:tc>
        <w:tc>
          <w:tcPr>
            <w:tcW w:w="37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Discount to reflect current market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Other real estate owned - commercial</w:t>
            </w:r>
          </w:p>
        </w:tc>
        <w:tc>
          <w:tcPr>
            <w:tcW w:w="120" w:type="dxa"/>
            <w:vAlign w:val="bottom"/>
          </w:tcPr>
          <w:p>
            <w:pPr>
              <w:spacing w:after="0"/>
              <w:rPr>
                <w:sz w:val="20"/>
                <w:szCs w:val="20"/>
                <w:color w:val="auto"/>
              </w:rPr>
            </w:pPr>
          </w:p>
        </w:tc>
        <w:tc>
          <w:tcPr>
            <w:tcW w:w="1500" w:type="dxa"/>
            <w:vAlign w:val="bottom"/>
            <w:gridSpan w:val="2"/>
          </w:tcPr>
          <w:p>
            <w:pPr>
              <w:ind w:left="740"/>
              <w:spacing w:after="0"/>
              <w:rPr>
                <w:sz w:val="20"/>
                <w:szCs w:val="20"/>
                <w:color w:val="auto"/>
              </w:rPr>
            </w:pPr>
            <w:r>
              <w:rPr>
                <w:rFonts w:ascii="Arial" w:cs="Arial" w:eastAsia="Arial" w:hAnsi="Arial"/>
                <w:sz w:val="18"/>
                <w:szCs w:val="18"/>
                <w:color w:val="auto"/>
              </w:rPr>
              <w:t>216</w:t>
            </w:r>
          </w:p>
        </w:tc>
        <w:tc>
          <w:tcPr>
            <w:tcW w:w="1700" w:type="dxa"/>
            <w:vAlign w:val="bottom"/>
          </w:tcPr>
          <w:p>
            <w:pPr>
              <w:ind w:left="40"/>
              <w:spacing w:after="0"/>
              <w:rPr>
                <w:sz w:val="20"/>
                <w:szCs w:val="20"/>
                <w:color w:val="auto"/>
              </w:rPr>
            </w:pPr>
            <w:r>
              <w:rPr>
                <w:rFonts w:ascii="Arial" w:cs="Arial" w:eastAsia="Arial" w:hAnsi="Arial"/>
                <w:sz w:val="18"/>
                <w:szCs w:val="18"/>
                <w:color w:val="auto"/>
              </w:rPr>
              <w:t>Appraisals</w:t>
            </w:r>
          </w:p>
        </w:tc>
        <w:tc>
          <w:tcPr>
            <w:tcW w:w="3780" w:type="dxa"/>
            <w:vAlign w:val="bottom"/>
            <w:gridSpan w:val="3"/>
          </w:tcPr>
          <w:p>
            <w:pPr>
              <w:ind w:left="480"/>
              <w:spacing w:after="0"/>
              <w:rPr>
                <w:sz w:val="20"/>
                <w:szCs w:val="20"/>
                <w:color w:val="auto"/>
              </w:rPr>
            </w:pPr>
            <w:r>
              <w:rPr>
                <w:rFonts w:ascii="Arial" w:cs="Arial" w:eastAsia="Arial" w:hAnsi="Arial"/>
                <w:sz w:val="18"/>
                <w:szCs w:val="18"/>
                <w:color w:val="auto"/>
              </w:rPr>
              <w:t>Discount to reflect current market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50"/>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ind w:left="50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impaired loans and other real estate owned as recorded at fair value on September 30, 2016 and December 31, 2015:</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w w:val="92"/>
              </w:rPr>
              <w:t>Assets Measured at Fair Value on a Nonrecurring Basis at September 30, 2016</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2"/>
          </w:tcPr>
          <w:p>
            <w:pPr>
              <w:jc w:val="center"/>
              <w:ind w:right="920"/>
              <w:spacing w:after="0" w:line="123" w:lineRule="exact"/>
              <w:rPr>
                <w:sz w:val="20"/>
                <w:szCs w:val="20"/>
                <w:color w:val="auto"/>
              </w:rPr>
            </w:pPr>
            <w:r>
              <w:rPr>
                <w:rFonts w:ascii="Arial" w:cs="Arial" w:eastAsia="Arial" w:hAnsi="Arial"/>
                <w:sz w:val="14"/>
                <w:szCs w:val="14"/>
                <w:color w:val="auto"/>
                <w:w w:val="92"/>
              </w:rPr>
              <w:t>Quoted Prices in</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9"/>
              </w:rPr>
              <w:t>Active</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2"/>
          </w:tcPr>
          <w:p>
            <w:pPr>
              <w:jc w:val="center"/>
              <w:ind w:right="900"/>
              <w:spacing w:after="0" w:line="154" w:lineRule="exact"/>
              <w:rPr>
                <w:sz w:val="20"/>
                <w:szCs w:val="20"/>
                <w:color w:val="auto"/>
              </w:rPr>
            </w:pPr>
            <w:r>
              <w:rPr>
                <w:rFonts w:ascii="Arial" w:cs="Arial" w:eastAsia="Arial" w:hAnsi="Arial"/>
                <w:sz w:val="14"/>
                <w:szCs w:val="14"/>
                <w:color w:val="auto"/>
                <w:w w:val="94"/>
              </w:rPr>
              <w:t>Markets for</w:t>
            </w:r>
          </w:p>
        </w:tc>
        <w:tc>
          <w:tcPr>
            <w:tcW w:w="160" w:type="dxa"/>
            <w:vAlign w:val="bottom"/>
          </w:tcPr>
          <w:p>
            <w:pPr>
              <w:spacing w:after="0"/>
              <w:rPr>
                <w:sz w:val="13"/>
                <w:szCs w:val="13"/>
                <w:color w:val="auto"/>
              </w:rPr>
            </w:pPr>
          </w:p>
        </w:tc>
        <w:tc>
          <w:tcPr>
            <w:tcW w:w="1640" w:type="dxa"/>
            <w:vAlign w:val="bottom"/>
            <w:gridSpan w:val="2"/>
          </w:tcPr>
          <w:p>
            <w:pPr>
              <w:jc w:val="center"/>
              <w:ind w:right="880"/>
              <w:spacing w:after="0" w:line="154" w:lineRule="exact"/>
              <w:rPr>
                <w:sz w:val="20"/>
                <w:szCs w:val="20"/>
                <w:color w:val="auto"/>
              </w:rPr>
            </w:pPr>
            <w:r>
              <w:rPr>
                <w:rFonts w:ascii="Arial" w:cs="Arial" w:eastAsia="Arial" w:hAnsi="Arial"/>
                <w:sz w:val="14"/>
                <w:szCs w:val="14"/>
                <w:color w:val="auto"/>
                <w:w w:val="99"/>
              </w:rPr>
              <w:t>Significant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9"/>
              </w:rPr>
              <w:t>Significant</w:t>
            </w:r>
          </w:p>
        </w:tc>
      </w:tr>
      <w:tr>
        <w:trPr>
          <w:trHeight w:val="157"/>
        </w:trPr>
        <w:tc>
          <w:tcPr>
            <w:tcW w:w="3280" w:type="dxa"/>
            <w:vAlign w:val="bottom"/>
          </w:tcPr>
          <w:p>
            <w:pPr>
              <w:spacing w:after="0" w:line="157"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3"/>
                <w:szCs w:val="13"/>
                <w:color w:val="auto"/>
              </w:rPr>
            </w:pPr>
          </w:p>
        </w:tc>
        <w:tc>
          <w:tcPr>
            <w:tcW w:w="10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Balance at</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2"/>
          </w:tcPr>
          <w:p>
            <w:pPr>
              <w:jc w:val="center"/>
              <w:ind w:right="900"/>
              <w:spacing w:after="0" w:line="157" w:lineRule="exact"/>
              <w:rPr>
                <w:sz w:val="20"/>
                <w:szCs w:val="20"/>
                <w:color w:val="auto"/>
              </w:rPr>
            </w:pPr>
            <w:r>
              <w:rPr>
                <w:rFonts w:ascii="Arial" w:cs="Arial" w:eastAsia="Arial" w:hAnsi="Arial"/>
                <w:sz w:val="14"/>
                <w:szCs w:val="14"/>
                <w:color w:val="auto"/>
                <w:w w:val="95"/>
              </w:rPr>
              <w:t>Identical</w:t>
            </w:r>
          </w:p>
        </w:tc>
        <w:tc>
          <w:tcPr>
            <w:tcW w:w="1800" w:type="dxa"/>
            <w:vAlign w:val="bottom"/>
            <w:gridSpan w:val="3"/>
          </w:tcPr>
          <w:p>
            <w:pPr>
              <w:spacing w:after="0" w:line="157" w:lineRule="exact"/>
              <w:rPr>
                <w:sz w:val="20"/>
                <w:szCs w:val="20"/>
                <w:color w:val="auto"/>
              </w:rPr>
            </w:pPr>
            <w:r>
              <w:rPr>
                <w:rFonts w:ascii="Arial" w:cs="Arial" w:eastAsia="Arial" w:hAnsi="Arial"/>
                <w:sz w:val="14"/>
                <w:szCs w:val="14"/>
                <w:color w:val="auto"/>
              </w:rPr>
              <w:t>Observable Inputs</w:t>
            </w:r>
          </w:p>
        </w:tc>
        <w:tc>
          <w:tcPr>
            <w:tcW w:w="40" w:type="dxa"/>
            <w:vAlign w:val="bottom"/>
          </w:tcPr>
          <w:p>
            <w:pPr>
              <w:spacing w:after="0"/>
              <w:rPr>
                <w:sz w:val="13"/>
                <w:szCs w:val="13"/>
                <w:color w:val="auto"/>
              </w:rPr>
            </w:pPr>
          </w:p>
        </w:tc>
        <w:tc>
          <w:tcPr>
            <w:tcW w:w="1300" w:type="dxa"/>
            <w:vAlign w:val="bottom"/>
            <w:gridSpan w:val="3"/>
          </w:tcPr>
          <w:p>
            <w:pPr>
              <w:spacing w:after="0" w:line="157" w:lineRule="exact"/>
              <w:rPr>
                <w:sz w:val="20"/>
                <w:szCs w:val="20"/>
                <w:color w:val="auto"/>
              </w:rPr>
            </w:pPr>
            <w:r>
              <w:rPr>
                <w:rFonts w:ascii="Arial" w:cs="Arial" w:eastAsia="Arial" w:hAnsi="Arial"/>
                <w:sz w:val="14"/>
                <w:szCs w:val="14"/>
                <w:color w:val="auto"/>
                <w:w w:val="99"/>
              </w:rPr>
              <w:t>Unobservable Inputs</w:t>
            </w:r>
          </w:p>
        </w:tc>
      </w:tr>
      <w:tr>
        <w:trPr>
          <w:trHeight w:val="167"/>
        </w:trPr>
        <w:tc>
          <w:tcPr>
            <w:tcW w:w="32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w w:val="94"/>
              </w:rPr>
              <w:t>September 30, 2016</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900"/>
              <w:spacing w:after="0"/>
              <w:rPr>
                <w:sz w:val="20"/>
                <w:szCs w:val="20"/>
                <w:color w:val="auto"/>
              </w:rPr>
            </w:pPr>
            <w:r>
              <w:rPr>
                <w:rFonts w:ascii="Arial" w:cs="Arial" w:eastAsia="Arial" w:hAnsi="Arial"/>
                <w:sz w:val="14"/>
                <w:szCs w:val="14"/>
                <w:color w:val="auto"/>
                <w:w w:val="93"/>
              </w:rPr>
              <w:t>Assets (Level 1)</w:t>
            </w:r>
          </w:p>
        </w:tc>
        <w:tc>
          <w:tcPr>
            <w:tcW w:w="160" w:type="dxa"/>
            <w:vAlign w:val="bottom"/>
          </w:tcPr>
          <w:p>
            <w:pPr>
              <w:spacing w:after="0"/>
              <w:rPr>
                <w:sz w:val="14"/>
                <w:szCs w:val="14"/>
                <w:color w:val="auto"/>
              </w:rPr>
            </w:pPr>
          </w:p>
        </w:tc>
        <w:tc>
          <w:tcPr>
            <w:tcW w:w="1640" w:type="dxa"/>
            <w:vAlign w:val="bottom"/>
            <w:gridSpan w:val="2"/>
          </w:tcPr>
          <w:p>
            <w:pPr>
              <w:jc w:val="center"/>
              <w:ind w:right="900"/>
              <w:spacing w:after="0"/>
              <w:rPr>
                <w:sz w:val="20"/>
                <w:szCs w:val="20"/>
                <w:color w:val="auto"/>
              </w:rPr>
            </w:pPr>
            <w:r>
              <w:rPr>
                <w:rFonts w:ascii="Arial" w:cs="Arial" w:eastAsia="Arial" w:hAnsi="Arial"/>
                <w:sz w:val="14"/>
                <w:szCs w:val="14"/>
                <w:color w:val="auto"/>
                <w:w w:val="99"/>
              </w:rPr>
              <w:t>(Level 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3)</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Other real estate owned residential</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mortgages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365"/>
        </w:trPr>
        <w:tc>
          <w:tcPr>
            <w:tcW w:w="3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w w:val="93"/>
              </w:rPr>
              <w:t>Assets Measured at Fair Value on a Nonrecurring Basis at December 31, 2015</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40" w:type="dxa"/>
            <w:vAlign w:val="bottom"/>
            <w:gridSpan w:val="3"/>
          </w:tcPr>
          <w:p>
            <w:pPr>
              <w:spacing w:after="0" w:line="123" w:lineRule="exact"/>
              <w:rPr>
                <w:sz w:val="20"/>
                <w:szCs w:val="20"/>
                <w:color w:val="auto"/>
              </w:rPr>
            </w:pPr>
            <w:r>
              <w:rPr>
                <w:rFonts w:ascii="Arial" w:cs="Arial" w:eastAsia="Arial" w:hAnsi="Arial"/>
                <w:sz w:val="14"/>
                <w:szCs w:val="14"/>
                <w:color w:val="auto"/>
              </w:rPr>
              <w:t>Quoted Prices in Active</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4"/>
              </w:rPr>
              <w:t>Markets for</w:t>
            </w:r>
          </w:p>
        </w:tc>
        <w:tc>
          <w:tcPr>
            <w:tcW w:w="160" w:type="dxa"/>
            <w:vAlign w:val="bottom"/>
          </w:tcPr>
          <w:p>
            <w:pPr>
              <w:spacing w:after="0"/>
              <w:rPr>
                <w:sz w:val="12"/>
                <w:szCs w:val="12"/>
                <w:color w:val="auto"/>
              </w:rPr>
            </w:pPr>
          </w:p>
        </w:tc>
        <w:tc>
          <w:tcPr>
            <w:tcW w:w="16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9"/>
              </w:rPr>
              <w:t>Significant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Balance at</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5"/>
              </w:rPr>
              <w:t>Identical</w:t>
            </w:r>
          </w:p>
        </w:tc>
        <w:tc>
          <w:tcPr>
            <w:tcW w:w="1800" w:type="dxa"/>
            <w:vAlign w:val="bottom"/>
            <w:gridSpan w:val="3"/>
          </w:tcPr>
          <w:p>
            <w:pPr>
              <w:spacing w:after="0" w:line="149" w:lineRule="exact"/>
              <w:rPr>
                <w:sz w:val="20"/>
                <w:szCs w:val="20"/>
                <w:color w:val="auto"/>
              </w:rPr>
            </w:pPr>
            <w:r>
              <w:rPr>
                <w:rFonts w:ascii="Arial" w:cs="Arial" w:eastAsia="Arial" w:hAnsi="Arial"/>
                <w:sz w:val="14"/>
                <w:szCs w:val="14"/>
                <w:color w:val="auto"/>
              </w:rPr>
              <w:t>Observable Inputs</w:t>
            </w:r>
          </w:p>
        </w:tc>
        <w:tc>
          <w:tcPr>
            <w:tcW w:w="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w w:val="99"/>
              </w:rPr>
              <w:t>Unobservable Inputs</w:t>
            </w:r>
          </w:p>
        </w:tc>
      </w:tr>
      <w:tr>
        <w:trPr>
          <w:trHeight w:val="167"/>
        </w:trPr>
        <w:tc>
          <w:tcPr>
            <w:tcW w:w="32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w w:val="97"/>
              </w:rPr>
              <w:t>December 31, 2015</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900"/>
              <w:spacing w:after="0"/>
              <w:rPr>
                <w:sz w:val="20"/>
                <w:szCs w:val="20"/>
                <w:color w:val="auto"/>
              </w:rPr>
            </w:pPr>
            <w:r>
              <w:rPr>
                <w:rFonts w:ascii="Arial" w:cs="Arial" w:eastAsia="Arial" w:hAnsi="Arial"/>
                <w:sz w:val="14"/>
                <w:szCs w:val="14"/>
                <w:color w:val="auto"/>
                <w:w w:val="93"/>
              </w:rPr>
              <w:t>Assets (Level 1)</w:t>
            </w:r>
          </w:p>
        </w:tc>
        <w:tc>
          <w:tcPr>
            <w:tcW w:w="160" w:type="dxa"/>
            <w:vAlign w:val="bottom"/>
          </w:tcPr>
          <w:p>
            <w:pPr>
              <w:spacing w:after="0"/>
              <w:rPr>
                <w:sz w:val="14"/>
                <w:szCs w:val="14"/>
                <w:color w:val="auto"/>
              </w:rPr>
            </w:pPr>
          </w:p>
        </w:tc>
        <w:tc>
          <w:tcPr>
            <w:tcW w:w="1640" w:type="dxa"/>
            <w:vAlign w:val="bottom"/>
            <w:gridSpan w:val="2"/>
          </w:tcPr>
          <w:p>
            <w:pPr>
              <w:jc w:val="center"/>
              <w:ind w:right="900"/>
              <w:spacing w:after="0"/>
              <w:rPr>
                <w:sz w:val="20"/>
                <w:szCs w:val="20"/>
                <w:color w:val="auto"/>
              </w:rPr>
            </w:pPr>
            <w:r>
              <w:rPr>
                <w:rFonts w:ascii="Arial" w:cs="Arial" w:eastAsia="Arial" w:hAnsi="Arial"/>
                <w:sz w:val="14"/>
                <w:szCs w:val="14"/>
                <w:color w:val="auto"/>
                <w:w w:val="99"/>
              </w:rPr>
              <w:t>(Level 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3)</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Other real estate owned commercial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bl>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has other assets, which under certain conditions, are subject to measurement at fair value. These assets include loans held for sale, bank owned life insurance, and mortgage servicing rights. The Company estimated the fair values of these assets utilizing Level 3 inputs, including, the discounted present value of expected future cash flows. At September 30, 2016 and December 31, 2015, the Company estimates that there is no impairment of these assets.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60"/>
        <w:spacing w:after="0" w:line="489" w:lineRule="auto"/>
        <w:rPr>
          <w:sz w:val="20"/>
          <w:szCs w:val="20"/>
          <w:color w:val="auto"/>
        </w:rPr>
      </w:pPr>
      <w:r>
        <w:rPr>
          <w:rFonts w:ascii="Arial" w:cs="Arial" w:eastAsia="Arial" w:hAnsi="Arial"/>
          <w:sz w:val="17"/>
          <w:szCs w:val="17"/>
          <w:color w:val="auto"/>
        </w:rPr>
        <w:t>ITEM 1 NOTES TO CONDENSED CONSOLIDATED UNAUDITED FINANCIAL STATEMENTS (Continued) NOTE 7 FEDERAL FUNDS PURCHASED AND SECURITIES SOLD UNDER AGREEMENTS TO REPURCHASE</w:t>
      </w:r>
    </w:p>
    <w:p>
      <w:pPr>
        <w:ind w:right="360"/>
        <w:spacing w:after="0" w:line="277" w:lineRule="auto"/>
        <w:rPr>
          <w:sz w:val="20"/>
          <w:szCs w:val="20"/>
          <w:color w:val="auto"/>
        </w:rPr>
      </w:pPr>
      <w:r>
        <w:rPr>
          <w:rFonts w:ascii="Arial" w:cs="Arial" w:eastAsia="Arial" w:hAnsi="Arial"/>
          <w:sz w:val="18"/>
          <w:szCs w:val="18"/>
          <w:color w:val="auto"/>
        </w:rPr>
        <w:t>The Company had $0 and $22 million in Federal Funds Purchased as of September 30, 2016, and December 31, 2015, respectively. During the same time periods the company also had $59 million and $57 million in securities sold under agreement to repurchase.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color w:val="auto"/>
                <w:w w:val="91"/>
              </w:rPr>
              <w:t>September 30, 2016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gridSpan w:val="11"/>
          </w:tcPr>
          <w:p>
            <w:pPr>
              <w:jc w:val="center"/>
              <w:ind w:right="240"/>
              <w:spacing w:after="0" w:line="142" w:lineRule="exact"/>
              <w:rPr>
                <w:sz w:val="20"/>
                <w:szCs w:val="20"/>
                <w:color w:val="auto"/>
              </w:rPr>
            </w:pPr>
            <w:r>
              <w:rPr>
                <w:rFonts w:ascii="Arial" w:cs="Arial" w:eastAsia="Arial" w:hAnsi="Arial"/>
                <w:sz w:val="14"/>
                <w:szCs w:val="14"/>
                <w:color w:val="auto"/>
                <w:w w:val="94"/>
              </w:rPr>
              <w:t>Remaining Contratual Maturity of the Agreements (In Thousands)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740" w:type="dxa"/>
            <w:vAlign w:val="bottom"/>
          </w:tcPr>
          <w:p>
            <w:pPr>
              <w:spacing w:after="0"/>
              <w:rPr>
                <w:sz w:val="10"/>
                <w:szCs w:val="10"/>
                <w:color w:val="auto"/>
              </w:rPr>
            </w:pPr>
          </w:p>
        </w:tc>
        <w:tc>
          <w:tcPr>
            <w:tcW w:w="8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Overnight &amp;</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4"/>
              </w:rPr>
              <w:t>30-90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spacing w:after="0" w:line="123" w:lineRule="exact"/>
              <w:rPr>
                <w:sz w:val="20"/>
                <w:szCs w:val="20"/>
                <w:color w:val="auto"/>
              </w:rPr>
            </w:pPr>
            <w:r>
              <w:rPr>
                <w:rFonts w:ascii="Arial" w:cs="Arial" w:eastAsia="Arial" w:hAnsi="Arial"/>
                <w:sz w:val="14"/>
                <w:szCs w:val="14"/>
                <w:color w:val="auto"/>
              </w:rPr>
              <w:t>Greater Than 90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7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Continuous</w:t>
            </w:r>
          </w:p>
        </w:tc>
        <w:tc>
          <w:tcPr>
            <w:tcW w:w="3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90"/>
              </w:rPr>
              <w:t>Up to 30 days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color w:val="auto"/>
                <w:w w:val="87"/>
              </w:rPr>
              <w:t>days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rPr>
              <w:t>days</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Repurchase Agreements; US Treasury &amp; agency securities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39,077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20,410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59,487</w:t>
            </w:r>
          </w:p>
        </w:tc>
      </w:tr>
      <w:tr>
        <w:trPr>
          <w:trHeight w:val="27"/>
        </w:trPr>
        <w:tc>
          <w:tcPr>
            <w:tcW w:w="5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59,487</w:t>
            </w: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color w:val="auto"/>
                <w:w w:val="91"/>
              </w:rPr>
              <w:t>December 31, 2015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gridSpan w:val="11"/>
          </w:tcPr>
          <w:p>
            <w:pPr>
              <w:jc w:val="center"/>
              <w:ind w:right="240"/>
              <w:spacing w:after="0" w:line="142" w:lineRule="exact"/>
              <w:rPr>
                <w:sz w:val="20"/>
                <w:szCs w:val="20"/>
                <w:color w:val="auto"/>
              </w:rPr>
            </w:pPr>
            <w:r>
              <w:rPr>
                <w:rFonts w:ascii="Arial" w:cs="Arial" w:eastAsia="Arial" w:hAnsi="Arial"/>
                <w:sz w:val="14"/>
                <w:szCs w:val="14"/>
                <w:color w:val="auto"/>
                <w:w w:val="94"/>
              </w:rPr>
              <w:t>Remaining Contratual Maturity of the Agreements (In Thousands)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740" w:type="dxa"/>
            <w:vAlign w:val="bottom"/>
          </w:tcPr>
          <w:p>
            <w:pPr>
              <w:spacing w:after="0"/>
              <w:rPr>
                <w:sz w:val="10"/>
                <w:szCs w:val="10"/>
                <w:color w:val="auto"/>
              </w:rPr>
            </w:pPr>
          </w:p>
        </w:tc>
        <w:tc>
          <w:tcPr>
            <w:tcW w:w="8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Overnight &amp;</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spacing w:after="0" w:line="123" w:lineRule="exact"/>
              <w:rPr>
                <w:sz w:val="20"/>
                <w:szCs w:val="20"/>
                <w:color w:val="auto"/>
              </w:rPr>
            </w:pPr>
            <w:r>
              <w:rPr>
                <w:rFonts w:ascii="Arial" w:cs="Arial" w:eastAsia="Arial" w:hAnsi="Arial"/>
                <w:sz w:val="14"/>
                <w:szCs w:val="14"/>
                <w:color w:val="auto"/>
              </w:rPr>
              <w:t>Greater Than 90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7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Continuous</w:t>
            </w:r>
          </w:p>
        </w:tc>
        <w:tc>
          <w:tcPr>
            <w:tcW w:w="3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90"/>
              </w:rPr>
              <w:t>Up to 30 days</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30-90 days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rPr>
              <w:t>days</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Repurchase Agreements; US Treasury &amp; agency securities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39,691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17,124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56,815</w:t>
            </w:r>
          </w:p>
        </w:tc>
      </w:tr>
      <w:tr>
        <w:trPr>
          <w:trHeight w:val="27"/>
        </w:trPr>
        <w:tc>
          <w:tcPr>
            <w:tcW w:w="5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78,815</w:t>
            </w: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 8 RECENT ACCOUNTING PRONOUNCEMENTS</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 Instruments-Credit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326)—Measurement of Credit Losses on Financial Instruments.” </w:t>
      </w:r>
      <w:r>
        <w:rPr>
          <w:rFonts w:ascii="Arial" w:cs="Arial" w:eastAsia="Arial" w:hAnsi="Arial"/>
          <w:sz w:val="17"/>
          <w:szCs w:val="17"/>
          <w:color w:val="auto"/>
        </w:rPr>
        <w:t>The provisions of ASU 2016-13 was issued to provide financial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users with more decision-useful information about the expected credit losses on financial instruments that are not accounted for at fair value through net income, including loans held for investment, held-to-maturity debt securities, trade and other receivables, net investment in leases and other commitments to extend credit held by a reporting entity at each reporting date. ASU 2016-13 requires that financial assets measured at amortized cost be presented at the net amount expected to be collected, through an allowance for credit losses that is deducted from the amortized cost basis. The amendments in ASU 2016-13 eliminate the probable initial recognition in current GAAP and reflect an entity’s current estimate of all expected credit losses. The measurement of expected credit losses is based upon historical experience, current conditions, and reasonable and supportable forecasts that affect the collectability of the financial assets. ASU 2016-13 is effective for fiscal years, and interim periods within those fiscal years, beginning after December 15, 2019. Early adoption is permitted for fiscal years, and interim periods within those fiscal years, beginning after December 15, 2018. The Company is currently evaluating the impact of ASU 2016-13 on its accounting and disclosures.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8 RECENT ACCOUNTING PRONOUNCEMENTS (Continued)</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January 2016, the FASB issued ASU No. 2016-01 “</w:t>
      </w:r>
      <w:r>
        <w:rPr>
          <w:rFonts w:ascii="Arial" w:cs="Arial" w:eastAsia="Arial" w:hAnsi="Arial"/>
          <w:sz w:val="17"/>
          <w:szCs w:val="17"/>
          <w:i w:val="1"/>
          <w:iCs w:val="1"/>
          <w:color w:val="auto"/>
        </w:rPr>
        <w:t>Financial Instruments—Overall (Subtopic 825-10)—Recognition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ASU 2016-01 is intended to improve the recognition and measurement of financial instruments by requiring equity investments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is assessing the impact of ASU 2016-01 on its accounting and disclosures.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w:t>
      </w:r>
    </w:p>
    <w:p>
      <w:pPr>
        <w:spacing w:after="0" w:line="18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March 2016, the FASB issued ASU No. 2016-09 “</w:t>
      </w:r>
      <w:r>
        <w:rPr>
          <w:rFonts w:ascii="Arial" w:cs="Arial" w:eastAsia="Arial" w:hAnsi="Arial"/>
          <w:sz w:val="16"/>
          <w:szCs w:val="16"/>
          <w:i w:val="1"/>
          <w:iCs w:val="1"/>
          <w:color w:val="auto"/>
        </w:rPr>
        <w:t>Compensation—Stock Compensation (Topic 718)—Improvements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requires all income tax effects of awards to be recognized in the income statement when the awards vest or are settled. It also</w:t>
      </w:r>
      <w:r>
        <w:rPr>
          <w:rFonts w:ascii="Arial" w:cs="Arial" w:eastAsia="Arial" w:hAnsi="Arial"/>
          <w:sz w:val="16"/>
          <w:szCs w:val="16"/>
          <w:i w:val="1"/>
          <w:iCs w:val="1"/>
          <w:color w:val="auto"/>
        </w:rPr>
        <w:t xml:space="preserve"> </w:t>
      </w:r>
      <w:r>
        <w:rPr>
          <w:rFonts w:ascii="Arial" w:cs="Arial" w:eastAsia="Arial" w:hAnsi="Arial"/>
          <w:sz w:val="16"/>
          <w:szCs w:val="16"/>
          <w:color w:val="auto"/>
        </w:rPr>
        <w:t>allows an employer to repurchase more of an employee’s shares than it can today for tax withholding purposes without triggering liability accounting and to make a policy election for forfeitures as they occur. The guidance is effective for public business entities for fiscal years beginning after December 15, 2016, and interim periods within those years. Early adoption is permitted. The Company is assessing the impact of ASU 2016-09 on its accounting and disclosures.</w:t>
      </w:r>
    </w:p>
    <w:p>
      <w:pPr>
        <w:spacing w:after="0" w:line="307" w:lineRule="exact"/>
        <w:rPr>
          <w:sz w:val="20"/>
          <w:szCs w:val="20"/>
          <w:color w:val="auto"/>
        </w:rPr>
      </w:pPr>
    </w:p>
    <w:p>
      <w:pPr>
        <w:ind w:right="158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Loan growth continued to drive improvement in the net interest income of the Company. It also translated into an improved bottom line even with the increased provision for loan losses expense. As harvest in the Company’s market area continues, the majority of agricultural producers have reported high crop yields. Prices, however, remain weak so it is expected that inventories may increase. Profits may not be as high as prior recent years but should be adequate and above breakeven. Farmers may increase line usage for 2017 inputs until prices improve. Asset quality remains strong. Consumer loans also maintained strong growth through the third quarter of 2016. Automobile loans lead the improvement as area dealers also reported increased levels of sales. One-to four family residential mortgage loan activity increased as long term interest rates remain at low levels. Regulatory requirements have lengthened the time for a loan to close from when the application is taken. Tighter profit margins are impacting used equipment valuations, purchases and sales. Land prices have decreased slightly with the greater fluctuations in the lower quality land.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6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OVERVIEW (Continued)</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Unemployment rates continue to improve throughout the Company’s market area. Manufacturing activity remains similar to last year. Low gas prices continue to help the local economies. Commercial lending remains firm with the growth in the portfolio dominated by market share increases. Modest improvement in the economy has not spurred much in expansion. The Company’s growth has been largely attributable to expanding relationships with newer customers and acquiring customers from our competitors.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Loan growth drove the improvement in net interest income as compared to last year and was the driving factor for the increased loan loss provision. Noninterest income also strengthened and net income after taxes ended the third quarter 2016 was 15.1% above third quarter 2015. The 12.6% increase in net interest income after provision for loan losses, and a 3.1% increase in noninterest income, partially offset by a 6.3% increase in noninterest expense, resulted in a 14.0% increase in earnings per share for the 2016 third quarter as compared to 2015’s third quarter.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Bank opened an additional office during April of 2016 in Fort Wayne, Indiana. The office is located within the corporation limits of Huntertown, with a Fort Wayne address. The Bank has continued its expansion strategy and the new office is expected to provide new growth opportunities. The doors officially opened on April 7</w:t>
      </w:r>
      <w:r>
        <w:rPr>
          <w:rFonts w:ascii="Arial" w:cs="Arial" w:eastAsia="Arial" w:hAnsi="Arial"/>
          <w:sz w:val="15"/>
          <w:szCs w:val="15"/>
          <w:color w:val="auto"/>
        </w:rPr>
        <w:t>th</w:t>
      </w:r>
      <w:r>
        <w:rPr>
          <w:rFonts w:ascii="Arial" w:cs="Arial" w:eastAsia="Arial" w:hAnsi="Arial"/>
          <w:sz w:val="18"/>
          <w:szCs w:val="18"/>
          <w:color w:val="auto"/>
        </w:rPr>
        <w: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Bank will be opening its twenty-fourth location in Bowling Green, Ohio in the fourth quarter. It is the second leased office and was renovated to meet the Bank’s needs before opening.</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are provided at most branch locations along with other independent locations such as major employers and hospitals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Bank in 2015. Upgrades to our digital products and services continue to occur in both retail and business lines.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6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NATURE OF ACTIVITIES (Continued)</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principal borrowers are reviewed and an approved exception from an additional officer is required should a credit score not meet the Bank’s Loan Policy guidelines.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Maximum loan to value (LTV) for cars, trucks and light trucks vary from 90% to 110% depending on whether direct or indirect.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Loans above 100% are generally due to additional charges for extended warranties and/or insurance coverage periods for wage or death.</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Bank will only make Qualified Mortgages as defined by the Truth in Lending Act and Regulation Z.</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Commercial/Agriculture/Real Estate:</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Up to 80% LTV.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13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Livestock and grain up to 80% LTV, crops (insured) up to 75% and Warehouse Receipts up to 87%.</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Maximum LTV of 50% on raw and finished goods.</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New/used vehicles to 100% of wholesale.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New/Used recreational vehicles and manufactured homes to 80% of wholesale.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ectPr>
          <w:pgSz w:w="11900" w:h="16838" w:orient="portrait"/>
          <w:cols w:equalWidth="0" w:num="1">
            <w:col w:w="11380"/>
          </w:cols>
          <w:pgMar w:left="240" w:top="459"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80"/>
          </w:cols>
          <w:pgMar w:left="240" w:top="459" w:right="2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NATURE OF ACTIVITIES (Continued)</w:t>
      </w:r>
    </w:p>
    <w:p>
      <w:pPr>
        <w:spacing w:after="0" w:line="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70"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Bank’s primary market includes communities located in the Ohio counties of Defiance, Fulton, Henry, Lucas, Williams, Wood and in the Indiana counties of DeKalb and Steuben. In the second quarter of 2016 the Bank added the Indiana county of Allen to its service area with the opening of its newly constructed office in Fort Wayne. The commercial banking business in this market is highly competitive, with approximately 17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6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At September 30, 2016, we had 268 full time equivalent employees. The employees are not represented by a collective bargaining unit. We provide our employees with a comprehensive benefit program, some of which are contributory. We consider our employee relations to be good.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DEVELOPMENTS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Bank has been attentive to the significant final mortgage rules, revisions to the rules, and additional guidance issued by the Consumer Financial Protection Bureau (CFPB) to implement the Dodd-Frank Wall Street Reform and Consumer Protection Act provisions. Effective January 2014, these rules altered the landscape for the entire mortgage lending industry. The Bank continues to test, train, validate results, and review the applicable requirements of these new mortgage rules. The TILA-RESPA Integrated Disclosure (TRID) rules became effective on October 3, 2015. The Bank’s residential mortgage lending staff worked closely with the Bank’s mortgage loan origination software vendor and diligently strived to achieve TRID compliance as of the October 2015 effective date. The vendor has been attentive to the key regulatory requirements and receptive to its individual clients’ needs. Further changes and enhancements to the loan origination software have served to better accommodate documentation needs and compliance strategies. Bank staff has continued outreach efforts with real estate agents, attorneys, and closing agents to further cultivate collaboration and attain TRID compliance, and thus minimize the impact of these regulatory changes on home loan borrowers. Due to the complexities of the new TRID rules, the lack of clarity or guidance involving various provisions, and the lingering uncertainties regarding liability, remaining attentive to industry questions and concerns to ensure full compliance remains an ongoing priority. The Bank has committed to make good faith efforts in compliance with the technical requirements of the TRID rules. The industry awaited a Proposed Rule announced in April 2016 by the CFPB which was released in August 2016 and subject to comment until October 18, 2016. The Proposed Rule is intended to resolve places in areas of the regulation text and commentary where the CFPB believes adjustments would be useful for greater certainty and clarity. Though various matters proposed do appear to provide more certainty, when issued, the final rules will have to be carefully evaluated to discern what matters have achieved more clarity and what remains unclear.</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Implementation of the new Military Lending Act (MLA) requirements was completed to meet the mandatory compliance date of October 3, 2016. New requirements have resulted in expanded coverage of more types of loans. The MLA is intended to protect active duty military service members and their dependents from potentially abusive lending practices. Employees received training on new MLA requirements. The Department of Defense’s August 26, 2016 publication of an interpretive rule which provided 19 questions and answers was intended to provide guidance and further clarifications on certain questions and matters. The types of consumer purpose covered loans offered by the Bank that could be made to active duty military service members, as well as their dependents were identified. Safe harbor methods to identify covered borrowers who are military service members or their dependents were implemented,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REGULATORY DEVELOPMENTS (Continued)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along with disclosures required to be provided. Prohibited loan provisions were addressed in loan contracts to ensure they conform to MLA restrictions. Loan Application and Loan Origination software vendors’ readiness was critical to properly addressing MLA requirements. Credit card accounts are not covered by MLA requirements until October 3, 2017.</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reals estate acquired through or in lieu of, loan foreclosures (“OREO Property”) as the accounting areas that require the most subjective or complex judgments, and as such could be the most subject to revision as new information becomes available.</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 The net income from operations of foreclosed real estate held for sale is reported in non-interest income or non-interest expense determined by whether in a gain or loss position overall. At September 30, 2016, OREO Property holdings were $1.3 million and were $1.3 million as of December 31, 2015 and $1.1 million as of September 30, 2015.</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4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CRITICAL ACCOUNTING POLICIES AND ESTIMATES (Continued)</w:t>
      </w:r>
    </w:p>
    <w:p>
      <w:pPr>
        <w:spacing w:after="0" w:line="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Bank is required to estimate the value of its Mortgage Servicing Rights. The Bank recognizes as separate assets rights to service fixed rate single-family mortgage loans that it has sold without recourse but services for others for a fee. Mortgage servicing assets are initially recorded at cost,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The amortization thereof is recorded in non-interest expense. There are a number of factors, however, that can affect the ultimate value of the mortgage servicing rights to the Bank, including the estimated prepayment speed of the loan and the discount rate used to present value the servicing right. For example, if the mortgage loan is prepaid, the Bank will receive fewer servicing fees,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 For more information regarding the estimates and calculations used to establish the ALLL and the value of Mortgage Servicing Rights, please see Note 1 to the consolidated financial statements provided herewith.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Servicing Rights, please see Note 1 to the consolidated financial statements provided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ended March 31, 2016 with its total asset balance over a billion dollars. It represented a new record high in the Company’s 119 year history. The Bank did not reach a billion dollars in total assets until the quarter ending, June 30, 2016. The Company plans to continue in its growth mode with the addition of the Bank’s 23</w:t>
      </w:r>
      <w:r>
        <w:rPr>
          <w:rFonts w:ascii="Arial" w:cs="Arial" w:eastAsia="Arial" w:hAnsi="Arial"/>
          <w:sz w:val="15"/>
          <w:szCs w:val="15"/>
          <w:color w:val="auto"/>
        </w:rPr>
        <w:t>rd</w:t>
      </w:r>
      <w:r>
        <w:rPr>
          <w:rFonts w:ascii="Arial" w:cs="Arial" w:eastAsia="Arial" w:hAnsi="Arial"/>
          <w:sz w:val="18"/>
          <w:szCs w:val="18"/>
          <w:color w:val="auto"/>
        </w:rPr>
        <w:t xml:space="preserve"> office which opened April 7, 2016 in Indiana, making it the fourth office in the state. The Bank will also be adding its 24th office during the fourth quarter with a leased office in Bowling Green, Ohio.</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FINANCIAL CONDITION, LIQUIDITY AND CAPITAL RESOURCES (Continued)</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Liquidity in terms of cash and cash equivalents ended almost $9.5 million higher as of September 30, 2016 than it was at yearend December 31, 2015. Decreased securities along with increased deposits funded the $52.2 million increase in net loans since yearend 2015. The largest loan growth occurred in commercial real estate and commercial and industrial. Agricultural real estate and the consumer portfolios also experienced increases. The largest decline was in agricultural which seasonally increases at the end of the year.</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comparing to the same period, prior year, the September 30, 2016 (net of deferred fees) loan balances of $738.7 million accounted for a 16.3% increase when compared to $635.2 million. The year over year improvement was made up of a 25.6% increase in commercial and industrial, a 22.7% increase in commercial real estate, a 15.7% increase in consumer and lastly a combined 17.6% increase in agricultural related, 9.4% in agricultural real estate and 8.2% in non-real estate agricultural. Consumer real estate decreased by 1.3% while Industrial Development Bonds (“IDB’s”) decreased 11.4%. While the last percentage seems high, the decrease in dollars was only $757 thousand. The Company credits the growth to a strong team of lenders focused on providing customers valuable localized services and thereby increasing our market share.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shows the breakdown of the loan portfolio by category as of September 30 for the last three years, net of deferred fees and costs.</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4"/>
          </w:tcPr>
          <w:p>
            <w:pPr>
              <w:spacing w:after="0" w:line="123" w:lineRule="exact"/>
              <w:rPr>
                <w:sz w:val="20"/>
                <w:szCs w:val="20"/>
                <w:color w:val="auto"/>
              </w:rPr>
            </w:pPr>
            <w:r>
              <w:rPr>
                <w:rFonts w:ascii="Arial" w:cs="Arial" w:eastAsia="Arial" w:hAnsi="Arial"/>
                <w:sz w:val="14"/>
                <w:szCs w:val="14"/>
                <w:color w:val="auto"/>
              </w:rPr>
              <w:t>September-16</w:t>
            </w:r>
          </w:p>
        </w:tc>
        <w:tc>
          <w:tcPr>
            <w:tcW w:w="320" w:type="dxa"/>
            <w:vAlign w:val="bottom"/>
          </w:tcPr>
          <w:p>
            <w:pPr>
              <w:spacing w:after="0"/>
              <w:rPr>
                <w:sz w:val="10"/>
                <w:szCs w:val="10"/>
                <w:color w:val="auto"/>
              </w:rPr>
            </w:pPr>
          </w:p>
        </w:tc>
        <w:tc>
          <w:tcPr>
            <w:tcW w:w="1400" w:type="dxa"/>
            <w:vAlign w:val="bottom"/>
            <w:gridSpan w:val="3"/>
          </w:tcPr>
          <w:p>
            <w:pPr>
              <w:spacing w:after="0" w:line="123" w:lineRule="exact"/>
              <w:rPr>
                <w:sz w:val="20"/>
                <w:szCs w:val="20"/>
                <w:color w:val="auto"/>
              </w:rPr>
            </w:pPr>
            <w:r>
              <w:rPr>
                <w:rFonts w:ascii="Arial" w:cs="Arial" w:eastAsia="Arial" w:hAnsi="Arial"/>
                <w:sz w:val="14"/>
                <w:szCs w:val="14"/>
                <w:color w:val="auto"/>
              </w:rPr>
              <w:t>September-15</w:t>
            </w: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7"/>
              </w:rPr>
              <w:t>September-14</w:t>
            </w:r>
          </w:p>
        </w:tc>
        <w:tc>
          <w:tcPr>
            <w:tcW w:w="100" w:type="dxa"/>
            <w:vAlign w:val="bottom"/>
          </w:tcPr>
          <w:p>
            <w:pPr>
              <w:spacing w:after="0"/>
              <w:rPr>
                <w:sz w:val="10"/>
                <w:szCs w:val="10"/>
                <w:color w:val="auto"/>
              </w:rPr>
            </w:pPr>
          </w:p>
        </w:tc>
      </w:tr>
      <w:tr>
        <w:trPr>
          <w:trHeight w:val="167"/>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Amount</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86,898</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88,020</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60,162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54,995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48,812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79,332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73,310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369,721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301,342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274,074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106,061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84,465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92,926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30,616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26,458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23,066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6,649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4,854</w:t>
            </w:r>
          </w:p>
        </w:tc>
      </w:tr>
      <w:tr>
        <w:trPr>
          <w:trHeight w:val="223"/>
        </w:trPr>
        <w:tc>
          <w:tcPr>
            <w:tcW w:w="5860" w:type="dxa"/>
            <w:vAlign w:val="bottom"/>
          </w:tcPr>
          <w:p>
            <w:pPr>
              <w:ind w:left="360"/>
              <w:spacing w:after="0"/>
              <w:rPr>
                <w:sz w:val="20"/>
                <w:szCs w:val="20"/>
                <w:color w:val="auto"/>
              </w:rPr>
            </w:pPr>
            <w:r>
              <w:rPr>
                <w:rFonts w:ascii="Arial" w:cs="Arial" w:eastAsia="Arial" w:hAnsi="Arial"/>
                <w:sz w:val="18"/>
                <w:szCs w:val="18"/>
                <w:color w:val="auto"/>
              </w:rPr>
              <w:t>Total Loans,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738,682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635,239</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608,604</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2016. The security portfolio decreased $10.6 million in the first three quarters 2016 from yearend 2015 and is lower by $20.3 million from September 30, 2015. The current portfolio is in a net unrealized gain position of $1.6 million. With the exception of stock, which is shown as other securities, all of the Company’s security portfolio is categorized as “available for sale” and as such is recorded at fair value.</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Management feels confident that liquidity needs for future growth can be met through additional run-off and/or sales from the security portfolio, increased deposits and additional borrowings. For short term needs, the Bank has $106.5 million of unsecured borrowing capacity through its correspondent banks.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Overall assets grew 5.6% since yearend 2015 and 9.1% since September 30, 2015. The largest growth was in the loan portfolios.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Deposits accounted for the largest growth within liabilities, up 8.7% or $66.8 million since yearend and 9.1% or $70.1 million over September 30, 2015 balances. Core deposits continue to drive the increase which provide the greatest benefit for both lower cost of funds and the opportunity to generate additional noninterest income. When comparing to a year ago, other borrowed money increased $10 million as the borrowings took place during the fourth quarter of 2015.</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Time deposits increased during the third quarter due to the use of short term deposits from the Promontory Network. The Promontory Network has been used by the Bank for many years to provide additional FDIC insurance coverage to the Bank’s depositors having deposits with the Bank in excess of the FDIC’s insurance limits by using Promontory’s CDARS product. When the Bank, as a member of the network, places a customer’s deposit using the CDARS service, the deposit is divided into amounts under the standard FDIC insurance maximum and placed with other Network</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FINANCIAL CONDITION, LIQUIDITY AND CAPITAL RESOURCES (Continued)</w:t>
      </w:r>
    </w:p>
    <w:p>
      <w:pPr>
        <w:spacing w:after="0" w:line="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member banks in exchange for certificates of deposit. This makes the full amount placed by the Bank eligible for FDIC coverage. The Bank used the CDARS product in a reciprocal manner previously and expanded into a “one-way” usage whereby the Bank can place or receive time deposits.</w:t>
      </w:r>
    </w:p>
    <w:p>
      <w:pPr>
        <w:spacing w:after="0" w:line="14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As of September 30, 2016, the Bank had balances of $25.3 million in the one-way receipt of funds from the network. This was the main factor in the increased time deposits. Original maturities are six months or less. The Bank will continue to explore additional sources of funds to supplement deposit growth and provide a base for future loan growth.</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Federal Funds purchased and securities sold under agreements to repurchase decreased $2.0 million when comparing September 30, 2016 balances to September 30, 2015. This category decreased by $19.3 million when comparing September 30, 2016 to December 31, 2015. Borrowings from FHLB in fourth quarter 2015 aided in the year over year decrease as these replaced $10 million of Fed Funds purchased.</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Shareholder’s equity increased by $6.8 million as of the third quarter of 2016 compared to yearend 2015, as earnings exceeded dividend declarations. Accumulated other comprehensive income increased in gain position $1.4 million which encompassed the shift of $503 thousand from unrealized gain to realized gain with the sale of securities since yearend 2015. Dividends paid year-to-date differed by $128.0 thousand from the same period last year.</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beginning of the Basel III capital rule applies in 2016. The Bank and Company include a capital conservation buffer as a part of the transition provision. For calendar year 2016, the applicable required capital conservation buffer percentage of 0.625% is the base above which institutions avoid limitations on distributions and certain discretionary bonus payments. The total buffer requirement will increase to 2.5% for calendar year 2019. As of September 30, 2016, the Company and the Bank are both positioned well above the 2019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be well-capitalized in accordance with Federal regulatory capital requirements as the capital ratios below show:</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 Ratio</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96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96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Capital Conservation Buffer</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 for three month periods ended September 30, 2016, 2015 and June 30, 2016.</w:t>
      </w:r>
    </w:p>
    <w:p>
      <w:pPr>
        <w:spacing w:after="0" w:line="12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third quarter 2016 had an increase of 2.3% or $16.5 million in net average loan growth over the average balances of second quarter 2016. This result emphasizes that the trend of solid loan growth continues, with new loans providing more than just replacement of pay downs. The benefits of these higher loan balances can be seen in interest income from loans, as it was $267 thousand higher for the quarter ended September 30, 2016, over the second quarter 2016.</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higher levels of loan interest income helped to offset the available-for-sale securities portfolio, which decreased in average balances, whether comparing to last quarter or the previous year. The decreased balances were expected as available for sale securities represented a source of funds for loan growth. The income associated with the security portfolio decreased by $72 thousand in comparison to second quarter 2016 and $156 thousand in comparison to the same third quarter 2015. The benefit of the increase in interest income from loans was well above the loss of interest income from the smaller security portfolio.</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 comparing third quarter 2016 to third quarter 2015, average loan balances grew $109.2 million. This represented a strong 17.4% increase in a one year time period. Interest income also experienced an impressive increase of $3.4 million as compared to the quarter ended September 30, 2015. Overall, interest income for the quarter comparisons was higher for third quarter 2016 by 2.2% or $203 thousand as to last quarter 2016 and by 13.6% or $1.1 million as to same quarter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8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terms of annualized yield, for the quarter ended September 30, 2016, it was 4.03% which compares to last quarter’s 3.99% and a year ago third quarter ended September 30, 2015 of 3.96%. The following chart demonstrates the value of increased loan balances in the balance sheet mix, even if outset by lower balances in other interest bearing assets.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34% tax rate in the charts to follow.</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Borders>
              <w:bottom w:val="single" w:sz="8" w:color="auto"/>
            </w:tcBorders>
            <w:gridSpan w:val="4"/>
          </w:tcPr>
          <w:p>
            <w:pPr>
              <w:jc w:val="center"/>
              <w:ind w:left="363"/>
              <w:spacing w:after="0"/>
              <w:rPr>
                <w:sz w:val="20"/>
                <w:szCs w:val="20"/>
                <w:color w:val="auto"/>
              </w:rPr>
            </w:pPr>
            <w:r>
              <w:rPr>
                <w:rFonts w:ascii="Arial" w:cs="Arial" w:eastAsia="Arial" w:hAnsi="Arial"/>
                <w:sz w:val="14"/>
                <w:szCs w:val="14"/>
                <w:color w:val="auto"/>
                <w:w w:val="93"/>
              </w:rPr>
              <w:t>(In Thousands)</w:t>
            </w:r>
          </w:p>
        </w:tc>
        <w:tc>
          <w:tcPr>
            <w:tcW w:w="4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40" w:type="dxa"/>
            <w:vAlign w:val="bottom"/>
            <w:gridSpan w:val="5"/>
          </w:tcPr>
          <w:p>
            <w:pPr>
              <w:jc w:val="center"/>
              <w:spacing w:after="0" w:line="123" w:lineRule="exact"/>
              <w:rPr>
                <w:sz w:val="20"/>
                <w:szCs w:val="20"/>
                <w:color w:val="auto"/>
              </w:rPr>
            </w:pPr>
            <w:r>
              <w:rPr>
                <w:rFonts w:ascii="Arial" w:cs="Arial" w:eastAsia="Arial" w:hAnsi="Arial"/>
                <w:sz w:val="14"/>
                <w:szCs w:val="14"/>
                <w:color w:val="auto"/>
                <w:w w:val="92"/>
              </w:rPr>
              <w:t>Quarter to Date Ended</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0" w:type="dxa"/>
            <w:vAlign w:val="bottom"/>
            <w:gridSpan w:val="6"/>
          </w:tcPr>
          <w:p>
            <w:pPr>
              <w:jc w:val="center"/>
              <w:ind w:right="560"/>
              <w:spacing w:after="0"/>
              <w:rPr>
                <w:sz w:val="20"/>
                <w:szCs w:val="20"/>
                <w:color w:val="auto"/>
              </w:rPr>
            </w:pPr>
            <w:r>
              <w:rPr>
                <w:rFonts w:ascii="Arial" w:cs="Arial" w:eastAsia="Arial" w:hAnsi="Arial"/>
                <w:sz w:val="14"/>
                <w:szCs w:val="14"/>
                <w:color w:val="auto"/>
                <w:w w:val="91"/>
              </w:rPr>
              <w:t>September 30, 2016</w:t>
            </w:r>
          </w:p>
        </w:tc>
        <w:tc>
          <w:tcPr>
            <w:tcW w:w="8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Yield/Rate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6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Average</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ind w:left="60"/>
              <w:spacing w:after="0" w:line="123" w:lineRule="exact"/>
              <w:rPr>
                <w:sz w:val="20"/>
                <w:szCs w:val="20"/>
                <w:color w:val="auto"/>
              </w:rPr>
            </w:pPr>
            <w:r>
              <w:rPr>
                <w:rFonts w:ascii="Arial" w:cs="Arial" w:eastAsia="Arial" w:hAnsi="Arial"/>
                <w:sz w:val="14"/>
                <w:szCs w:val="14"/>
                <w:color w:val="auto"/>
              </w:rPr>
              <w:t>Interest/</w:t>
            </w:r>
          </w:p>
        </w:tc>
        <w:tc>
          <w:tcPr>
            <w:tcW w:w="56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588"/>
              <w:spacing w:after="0" w:line="123" w:lineRule="exact"/>
              <w:rPr>
                <w:sz w:val="20"/>
                <w:szCs w:val="20"/>
                <w:color w:val="auto"/>
              </w:rPr>
            </w:pPr>
            <w:r>
              <w:rPr>
                <w:rFonts w:ascii="Arial" w:cs="Arial" w:eastAsia="Arial" w:hAnsi="Arial"/>
                <w:sz w:val="14"/>
                <w:szCs w:val="14"/>
                <w:color w:val="auto"/>
                <w:w w:val="89"/>
              </w:rPr>
              <w:t>September 30,</w:t>
            </w: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360" w:type="dxa"/>
            <w:vAlign w:val="bottom"/>
            <w:gridSpan w:val="2"/>
          </w:tcPr>
          <w:p>
            <w:pPr>
              <w:spacing w:after="0"/>
              <w:rPr>
                <w:sz w:val="20"/>
                <w:szCs w:val="20"/>
                <w:color w:val="auto"/>
              </w:rPr>
            </w:pPr>
            <w:r>
              <w:rPr>
                <w:rFonts w:ascii="Arial" w:cs="Arial" w:eastAsia="Arial" w:hAnsi="Arial"/>
                <w:sz w:val="14"/>
                <w:szCs w:val="14"/>
                <w:color w:val="auto"/>
              </w:rPr>
              <w:t>Interest Earning Assets:</w:t>
            </w:r>
          </w:p>
        </w:tc>
        <w:tc>
          <w:tcPr>
            <w:tcW w:w="1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Balance</w:t>
            </w: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40" w:type="dxa"/>
            <w:vAlign w:val="bottom"/>
          </w:tcPr>
          <w:p>
            <w:pPr>
              <w:jc w:val="right"/>
              <w:ind w:right="175"/>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Loans</w:t>
            </w:r>
          </w:p>
        </w:tc>
        <w:tc>
          <w:tcPr>
            <w:tcW w:w="1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$736,924</w:t>
            </w:r>
          </w:p>
        </w:tc>
        <w:tc>
          <w:tcPr>
            <w:tcW w:w="2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8,629</w:t>
            </w:r>
          </w:p>
        </w:tc>
        <w:tc>
          <w:tcPr>
            <w:tcW w:w="56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4.69%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164,222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646</w:t>
            </w: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1.57%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2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53,395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293</w:t>
            </w:r>
          </w:p>
        </w:tc>
        <w:tc>
          <w:tcPr>
            <w:tcW w:w="15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3.33%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0.64%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968,373</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9,590</w:t>
            </w:r>
          </w:p>
        </w:tc>
        <w:tc>
          <w:tcPr>
            <w:tcW w:w="15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4.03%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 in Quarter to Date September 30, 2016 Interest Income Compared to September 30, 2015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Due to</w:t>
            </w: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w w:val="96"/>
              </w:rPr>
              <w:t>Due to</w:t>
            </w:r>
          </w:p>
        </w:tc>
      </w:tr>
      <w:tr>
        <w:trPr>
          <w:trHeight w:val="167"/>
        </w:trPr>
        <w:tc>
          <w:tcPr>
            <w:tcW w:w="7260" w:type="dxa"/>
            <w:vAlign w:val="bottom"/>
          </w:tcPr>
          <w:p>
            <w:pPr>
              <w:spacing w:after="0"/>
              <w:rPr>
                <w:sz w:val="20"/>
                <w:szCs w:val="20"/>
                <w:color w:val="auto"/>
              </w:rPr>
            </w:pPr>
            <w:r>
              <w:rPr>
                <w:rFonts w:ascii="Arial" w:cs="Arial" w:eastAsia="Arial" w:hAnsi="Arial"/>
                <w:sz w:val="14"/>
                <w:szCs w:val="14"/>
                <w:color w:val="auto"/>
              </w:rPr>
              <w:t>Interest Earning Assets:</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Change</w:t>
            </w: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Volume</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Rate</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$1,416</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7"/>
        </w:trPr>
        <w:tc>
          <w:tcPr>
            <w:tcW w:w="7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1,146</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r>
      <w:tr>
        <w:trPr>
          <w:trHeight w:val="20"/>
        </w:trPr>
        <w:tc>
          <w:tcPr>
            <w:tcW w:w="7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Offsetting some of the increase in interest income for the quarter was the increase in cost of funds in 2016. Third quarter 2016 was higher by $164 thousand than third quarter 2015. Since 2015, average interest-bearing deposit balances have increased $57 million and resulted in $106 thousand more in interest expense for the most recent quarter. Additionally, interest expense on Fed Funds Purchased, Securities Sold Under Agreement to Repurchase and FHLB borrowings was up $21 thousand in the third quarter 2016 over the same time frame in 2015.</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comparing third quarter 2016 to second quarter 2016, interest expense increased $52 thousand. Interest expense on deposits increased $62 thousand, as average balances were $27 million higher for the third quarter.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spacing w:after="0" w:line="420"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w:t>
      </w: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color w:val="auto"/>
                <w:w w:val="91"/>
              </w:rPr>
              <w:t>(In Thousands)</w:t>
            </w:r>
          </w:p>
        </w:tc>
        <w:tc>
          <w:tcPr>
            <w:tcW w:w="4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86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2"/>
              </w:rPr>
              <w:t>Quarter to Date Ended</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20" w:type="dxa"/>
            <w:vAlign w:val="bottom"/>
            <w:gridSpan w:val="5"/>
          </w:tcPr>
          <w:p>
            <w:pPr>
              <w:jc w:val="center"/>
              <w:ind w:right="560"/>
              <w:spacing w:after="0"/>
              <w:rPr>
                <w:sz w:val="20"/>
                <w:szCs w:val="20"/>
                <w:color w:val="auto"/>
              </w:rPr>
            </w:pPr>
            <w:r>
              <w:rPr>
                <w:rFonts w:ascii="Arial" w:cs="Arial" w:eastAsia="Arial" w:hAnsi="Arial"/>
                <w:sz w:val="14"/>
                <w:szCs w:val="14"/>
                <w:color w:val="auto"/>
                <w:w w:val="89"/>
              </w:rPr>
              <w:t>September 30, 2016</w:t>
            </w:r>
          </w:p>
        </w:tc>
        <w:tc>
          <w:tcPr>
            <w:tcW w:w="8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5"/>
              </w:rPr>
              <w:t>Yield/Rate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260" w:type="dxa"/>
            <w:vAlign w:val="bottom"/>
            <w:tcBorders>
              <w:top w:val="single" w:sz="8" w:color="auto"/>
            </w:tcBorders>
            <w:gridSpan w:val="2"/>
          </w:tcPr>
          <w:p>
            <w:pPr>
              <w:ind w:left="120"/>
              <w:spacing w:after="0" w:line="123" w:lineRule="exact"/>
              <w:rPr>
                <w:sz w:val="20"/>
                <w:szCs w:val="20"/>
                <w:color w:val="auto"/>
              </w:rPr>
            </w:pPr>
            <w:r>
              <w:rPr>
                <w:rFonts w:ascii="Arial" w:cs="Arial" w:eastAsia="Arial" w:hAnsi="Arial"/>
                <w:sz w:val="14"/>
                <w:szCs w:val="14"/>
                <w:color w:val="auto"/>
              </w:rPr>
              <w:t>Average</w:t>
            </w:r>
          </w:p>
        </w:tc>
        <w:tc>
          <w:tcPr>
            <w:tcW w:w="6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Interest/</w:t>
            </w:r>
          </w:p>
        </w:tc>
        <w:tc>
          <w:tcPr>
            <w:tcW w:w="560" w:type="dxa"/>
            <w:vAlign w:val="bottom"/>
          </w:tcPr>
          <w:p>
            <w:pPr>
              <w:spacing w:after="0"/>
              <w:rPr>
                <w:sz w:val="10"/>
                <w:szCs w:val="10"/>
                <w:color w:val="auto"/>
              </w:rPr>
            </w:pPr>
          </w:p>
        </w:tc>
        <w:tc>
          <w:tcPr>
            <w:tcW w:w="1500" w:type="dxa"/>
            <w:vAlign w:val="bottom"/>
            <w:tcBorders>
              <w:top w:val="single" w:sz="8" w:color="auto"/>
            </w:tcBorders>
            <w:gridSpan w:val="2"/>
          </w:tcPr>
          <w:p>
            <w:pPr>
              <w:jc w:val="center"/>
              <w:ind w:right="588"/>
              <w:spacing w:after="0" w:line="123" w:lineRule="exact"/>
              <w:rPr>
                <w:sz w:val="20"/>
                <w:szCs w:val="20"/>
                <w:color w:val="auto"/>
              </w:rPr>
            </w:pPr>
            <w:r>
              <w:rPr>
                <w:rFonts w:ascii="Arial" w:cs="Arial" w:eastAsia="Arial" w:hAnsi="Arial"/>
                <w:sz w:val="14"/>
                <w:szCs w:val="14"/>
                <w:color w:val="auto"/>
                <w:w w:val="91"/>
              </w:rPr>
              <w:t>September 30,</w:t>
            </w: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40" w:type="dxa"/>
            <w:vAlign w:val="bottom"/>
            <w:gridSpan w:val="2"/>
          </w:tcPr>
          <w:p>
            <w:pPr>
              <w:spacing w:after="0"/>
              <w:rPr>
                <w:sz w:val="20"/>
                <w:szCs w:val="20"/>
                <w:color w:val="auto"/>
              </w:rPr>
            </w:pPr>
            <w:r>
              <w:rPr>
                <w:rFonts w:ascii="Arial" w:cs="Arial" w:eastAsia="Arial" w:hAnsi="Arial"/>
                <w:sz w:val="14"/>
                <w:szCs w:val="14"/>
                <w:color w:val="auto"/>
              </w:rPr>
              <w:t>Interest Bearing Liabilities:</w:t>
            </w: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Balance</w:t>
            </w:r>
          </w:p>
        </w:tc>
        <w:tc>
          <w:tcPr>
            <w:tcW w:w="116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40" w:type="dxa"/>
            <w:vAlign w:val="bottom"/>
          </w:tcPr>
          <w:p>
            <w:pPr>
              <w:jc w:val="right"/>
              <w:ind w:right="195"/>
              <w:spacing w:after="0"/>
              <w:rPr>
                <w:sz w:val="20"/>
                <w:szCs w:val="20"/>
                <w:color w:val="auto"/>
              </w:rPr>
            </w:pPr>
            <w:r>
              <w:rPr>
                <w:rFonts w:ascii="Arial" w:cs="Arial" w:eastAsia="Arial" w:hAnsi="Arial"/>
                <w:sz w:val="14"/>
                <w:szCs w:val="14"/>
                <w:color w:val="auto"/>
              </w:rPr>
              <w:t>2016</w:t>
            </w:r>
          </w:p>
        </w:tc>
        <w:tc>
          <w:tcPr>
            <w:tcW w:w="6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7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$456,013</w:t>
            </w: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5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0.38%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Time Deposits</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203,368</w:t>
            </w:r>
          </w:p>
        </w:tc>
        <w:tc>
          <w:tcPr>
            <w:tcW w:w="1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514</w:t>
            </w:r>
          </w:p>
        </w:tc>
        <w:tc>
          <w:tcPr>
            <w:tcW w:w="1500" w:type="dxa"/>
            <w:vAlign w:val="bottom"/>
            <w:gridSpan w:val="2"/>
          </w:tcPr>
          <w:p>
            <w:pPr>
              <w:jc w:val="right"/>
              <w:ind w:right="448"/>
              <w:spacing w:after="0"/>
              <w:rPr>
                <w:sz w:val="20"/>
                <w:szCs w:val="20"/>
                <w:color w:val="auto"/>
              </w:rPr>
            </w:pPr>
            <w:r>
              <w:rPr>
                <w:rFonts w:ascii="Arial" w:cs="Arial" w:eastAsia="Arial" w:hAnsi="Arial"/>
                <w:sz w:val="18"/>
                <w:szCs w:val="18"/>
                <w:color w:val="auto"/>
              </w:rPr>
              <w:t>1.01%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w:t>
            </w:r>
          </w:p>
        </w:tc>
        <w:tc>
          <w:tcPr>
            <w:tcW w:w="1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7"/>
              </w:rPr>
              <w:t>Fed Funds Purchased &amp; Securities Sold under Agreement to Repurch.</w:t>
            </w:r>
          </w:p>
        </w:tc>
        <w:tc>
          <w:tcPr>
            <w:tcW w:w="700" w:type="dxa"/>
            <w:vAlign w:val="bottom"/>
          </w:tcPr>
          <w:p>
            <w:pPr>
              <w:jc w:val="right"/>
              <w:spacing w:after="0"/>
              <w:rPr>
                <w:sz w:val="20"/>
                <w:szCs w:val="20"/>
                <w:color w:val="auto"/>
              </w:rPr>
            </w:pPr>
            <w:r>
              <w:rPr>
                <w:rFonts w:ascii="Arial" w:cs="Arial" w:eastAsia="Arial" w:hAnsi="Arial"/>
                <w:sz w:val="18"/>
                <w:szCs w:val="18"/>
                <w:color w:val="auto"/>
              </w:rPr>
              <w:t>61,874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18"/>
                <w:szCs w:val="18"/>
                <w:color w:val="auto"/>
              </w:rPr>
            </w:pPr>
          </w:p>
        </w:tc>
        <w:tc>
          <w:tcPr>
            <w:tcW w:w="1500" w:type="dxa"/>
            <w:vAlign w:val="bottom"/>
            <w:gridSpan w:val="2"/>
          </w:tcPr>
          <w:p>
            <w:pPr>
              <w:jc w:val="right"/>
              <w:ind w:right="448"/>
              <w:spacing w:after="0"/>
              <w:rPr>
                <w:sz w:val="20"/>
                <w:szCs w:val="20"/>
                <w:color w:val="auto"/>
              </w:rPr>
            </w:pPr>
            <w:r>
              <w:rPr>
                <w:rFonts w:ascii="Arial" w:cs="Arial" w:eastAsia="Arial" w:hAnsi="Arial"/>
                <w:sz w:val="18"/>
                <w:szCs w:val="18"/>
                <w:color w:val="auto"/>
              </w:rPr>
              <w:t>0.74%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731,255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1,099</w:t>
            </w:r>
          </w:p>
        </w:tc>
        <w:tc>
          <w:tcPr>
            <w:tcW w:w="5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0.60%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Quarter to Date September 30, 2016 Interest Expense Compared to September 30, 2015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Due to</w:t>
            </w:r>
          </w:p>
        </w:tc>
        <w:tc>
          <w:tcPr>
            <w:tcW w:w="22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w w:val="87"/>
              </w:rPr>
              <w:t>Due to</w:t>
            </w:r>
          </w:p>
        </w:tc>
      </w:tr>
      <w:tr>
        <w:trPr>
          <w:trHeight w:val="167"/>
        </w:trPr>
        <w:tc>
          <w:tcPr>
            <w:tcW w:w="7320" w:type="dxa"/>
            <w:vAlign w:val="bottom"/>
          </w:tcPr>
          <w:p>
            <w:pPr>
              <w:spacing w:after="0"/>
              <w:rPr>
                <w:sz w:val="20"/>
                <w:szCs w:val="20"/>
                <w:color w:val="auto"/>
              </w:rPr>
            </w:pPr>
            <w:r>
              <w:rPr>
                <w:rFonts w:ascii="Arial" w:cs="Arial" w:eastAsia="Arial" w:hAnsi="Arial"/>
                <w:sz w:val="14"/>
                <w:szCs w:val="14"/>
                <w:color w:val="auto"/>
              </w:rPr>
              <w:t>Interest Bearing Liabilities:</w:t>
            </w:r>
          </w:p>
        </w:tc>
        <w:tc>
          <w:tcPr>
            <w:tcW w:w="660" w:type="dxa"/>
            <w:vAlign w:val="bottom"/>
            <w:gridSpan w:val="3"/>
          </w:tcPr>
          <w:p>
            <w:pPr>
              <w:spacing w:after="0"/>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rPr>
              <w:t>Volume</w:t>
            </w:r>
          </w:p>
        </w:tc>
        <w:tc>
          <w:tcPr>
            <w:tcW w:w="220" w:type="dxa"/>
            <w:vAlign w:val="bottom"/>
          </w:tcPr>
          <w:p>
            <w:pPr>
              <w:spacing w:after="0"/>
              <w:rPr>
                <w:sz w:val="14"/>
                <w:szCs w:val="14"/>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Rate</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Time Deposits</w:t>
            </w: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Fed Funds Purchased &amp; Securities Sold under Agreement to Repurch.</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7"/>
        </w:trPr>
        <w:tc>
          <w:tcPr>
            <w:tcW w:w="7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Overall, net interest spread and net interest margin figures for the third quarter 2016 are higher than last year and down just a tick from last quarter. As the chart below illustrates, higher yields on interest and dividend income offset the higher interest expense in the most recent quarter when comparing to the same period a year ago. Interest expense for the quarter as compared to last quarter increased more than the improvement to the asset yield, some of which can be attributed to a higher number of days in the current quarter compared to last quarter.</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9/30/2016</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9/30/2015</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6/30/2016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4.03%</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0.60%</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0.57%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3.43%</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3.57%</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3.53%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interest income was up $982 thousand for the third quarter 2016 over the same time frame in 2015 due to the increase in loan interest income and partially offset by higher interest expense, as previously mentioned. There has also been a $151 thousand increase in net interest income over second quarter 2016. As the new loans added in 2016 generate more income, management expects the benefits of the Company’s strategy of repositioning the balance sheet to continue to widen this margin.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Noninterest income was up $88 thousand for the third quarter 2016 over the same time frame in 2015. The Company has seen an increase in its mortgage production volume, and as such the gain on the sale of these loans was $33 thousand for the third quarter 2016 over the same period in 2015. The Company also took advantage of market fluctuations in its available-for-sale portfolio and sales on securities were conducted, though $125 thousand lower in the most recent quarter than the same quarter prior year. The largest fluctuation was in the combined service fee lines, which was $180 thousand over same quarter last year.</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Noninterest income for the third quarter 2016 also shows improvement over the second quarter by $31 thousand. An increase in customer service fees relates to the collection of prepayment fees on three loans and the foreign ATM fees generated from increased usage of the Bank’s mobile ATM at market area festivities held during the third quarter, specifically county fairs. Second quarter 2016 experienced greater noninterest revenue from gain on sales, both in loans and available for sale securities. These offset the third quarter improvement in customer service fees.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w:t>
      </w:r>
    </w:p>
    <w:p>
      <w:pPr>
        <w:spacing w:after="0" w:line="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Total provision for loan losses was $65 thousand higher for the third quarter 2016 as compared to the same quarter 2015. Loan growth warranted a higher provision expense be taken in 2016 than in 2015. Management continues to monitor asset quality, making adjustments to the provision as necessary. Loan charge-offs were $41 thousand higher in third quarter 2016 than the same quarter 2015, recoveries decreased $143 thousand. Past due loans decreased $1.3 million from September 30, 2015 to September 30, 2016, the bulk of which came from the commercial real estate portfolio.</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Since the second quarter 2016, past due loans have decreased by $449 thousand. Charge-offs were $218 thousand, which was $44 thousand higher than second quarter and recoveries of $29 thousand for the quarter were $14 thousand lower than second quarter. Overall net charge-offs were $189 thousand for third quarter 2016 compared to second quarter 2016’s $131 thousand. Provision expense was $308 thousand in the third quarter 2016, as loan volumes continued to increase during the third quarter.</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September 30, 2016, 2015, and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spacing w:after="0" w:line="420"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w:t>
      </w:r>
    </w:p>
    <w:tbl>
      <w:tblPr>
        <w:tblLayout w:type="fixed"/>
        <w:tblInd w:w="92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540"/>
              <w:spacing w:after="0" w:line="123" w:lineRule="exact"/>
              <w:rPr>
                <w:sz w:val="20"/>
                <w:szCs w:val="20"/>
                <w:color w:val="auto"/>
              </w:rPr>
            </w:pPr>
            <w:r>
              <w:rPr>
                <w:rFonts w:ascii="Arial" w:cs="Arial" w:eastAsia="Arial" w:hAnsi="Arial"/>
                <w:sz w:val="14"/>
                <w:szCs w:val="14"/>
                <w:color w:val="auto"/>
                <w:w w:val="92"/>
              </w:rPr>
              <w:t>Three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center"/>
              <w:ind w:right="800"/>
              <w:spacing w:after="0" w:line="123" w:lineRule="exact"/>
              <w:rPr>
                <w:sz w:val="20"/>
                <w:szCs w:val="20"/>
                <w:color w:val="auto"/>
              </w:rPr>
            </w:pPr>
            <w:r>
              <w:rPr>
                <w:rFonts w:ascii="Arial" w:cs="Arial" w:eastAsia="Arial" w:hAnsi="Arial"/>
                <w:sz w:val="14"/>
                <w:szCs w:val="14"/>
                <w:color w:val="auto"/>
                <w:w w:val="87"/>
              </w:rPr>
              <w:t>Three</w:t>
            </w:r>
          </w:p>
        </w:tc>
        <w:tc>
          <w:tcPr>
            <w:tcW w:w="140" w:type="dxa"/>
            <w:vAlign w:val="bottom"/>
          </w:tcPr>
          <w:p>
            <w:pPr>
              <w:spacing w:after="0"/>
              <w:rPr>
                <w:sz w:val="10"/>
                <w:szCs w:val="10"/>
                <w:color w:val="auto"/>
              </w:rPr>
            </w:pPr>
          </w:p>
        </w:tc>
        <w:tc>
          <w:tcPr>
            <w:tcW w:w="680" w:type="dxa"/>
            <w:vAlign w:val="bottom"/>
          </w:tcPr>
          <w:p>
            <w:pPr>
              <w:jc w:val="center"/>
              <w:ind w:right="52"/>
              <w:spacing w:after="0" w:line="123" w:lineRule="exact"/>
              <w:rPr>
                <w:sz w:val="20"/>
                <w:szCs w:val="20"/>
                <w:color w:val="auto"/>
              </w:rPr>
            </w:pPr>
            <w:r>
              <w:rPr>
                <w:rFonts w:ascii="Arial" w:cs="Arial" w:eastAsia="Arial" w:hAnsi="Arial"/>
                <w:sz w:val="14"/>
                <w:szCs w:val="14"/>
                <w:color w:val="auto"/>
                <w:w w:val="92"/>
              </w:rPr>
              <w:t>Three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5"/>
              </w:rPr>
              <w:t>Months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5"/>
              </w:rPr>
              <w:t>Months</w:t>
            </w:r>
          </w:p>
        </w:tc>
        <w:tc>
          <w:tcPr>
            <w:tcW w:w="1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8"/>
              </w:rPr>
              <w:t>Ended</w:t>
            </w:r>
          </w:p>
        </w:tc>
        <w:tc>
          <w:tcPr>
            <w:tcW w:w="1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September-16</w:t>
            </w:r>
          </w:p>
        </w:tc>
        <w:tc>
          <w:tcPr>
            <w:tcW w:w="2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September-15</w:t>
            </w: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September-14</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738,682</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635,239</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608,604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736,924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627,677</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Jul 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6,493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Agriculture Real Estate</w:t>
            </w: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Loan Recoveries: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Agriculture Real Estate</w:t>
            </w: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720"/>
              <w:spacing w:after="0"/>
              <w:rPr>
                <w:sz w:val="20"/>
                <w:szCs w:val="20"/>
                <w:color w:val="auto"/>
              </w:rPr>
            </w:pPr>
            <w:r>
              <w:rPr>
                <w:rFonts w:ascii="Arial" w:cs="Arial" w:eastAsia="Arial" w:hAnsi="Arial"/>
                <w:sz w:val="18"/>
                <w:szCs w:val="18"/>
                <w:color w:val="auto"/>
              </w:rPr>
              <w:t>Net Charge Offs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5620" w:type="dxa"/>
            <w:vAlign w:val="bottom"/>
          </w:tcPr>
          <w:p>
            <w:pPr>
              <w:ind w:left="720"/>
              <w:spacing w:after="0"/>
              <w:rPr>
                <w:sz w:val="20"/>
                <w:szCs w:val="20"/>
                <w:color w:val="auto"/>
              </w:rPr>
            </w:pPr>
            <w:r>
              <w:rPr>
                <w:rFonts w:ascii="Arial" w:cs="Arial" w:eastAsia="Arial" w:hAnsi="Arial"/>
                <w:sz w:val="18"/>
                <w:szCs w:val="18"/>
                <w:color w:val="auto"/>
              </w:rPr>
              <w:t>Acquisition provision for loan loss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Losses—Sept 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Allowance for Unfunded Loan Commitments &amp; Letters of Credit Sept</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Credit Losses—Sept 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Ratio of the Allowance for Loan Loss to Nonperforming Loans*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266.69%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362.07%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third quarter 2016, noninterest expenses were $410 thousand higher than for the same quarter in 2015. Salaries, wages, and employee benefits increased $312 thousand, with the addition of the Huntertown office, normal merit increases and the hiring of staff for the new Bowling Green office. Data processing charges increased $42 thousand for third quarter 2016 over the third quarter 2015, with the bulk of this being related to the cost of upgrading Bank customer debit cards to incorporate EMV chip card technology, which is more secure than cards having only magnetic strip capabilities. The Bank also signed a 7 year extension contract with our core processor during third quarter 2016. It is expected to better align with our future strategies while controlling costs.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4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w:t>
      </w:r>
    </w:p>
    <w:p>
      <w:pPr>
        <w:spacing w:after="0" w:line="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comparison to the second quarter 2016, noninterest expenses increased $265 thousand during the third quarter. Employee salaries and benefits increased $275 thousand for the third quarter, as well as a $34 thousand decrease in other general and administrative. These increases stem from the ramp up for the new Bowling Green office to open in fourth quarter.</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Overall, net income in the third quarter of 2016 was up $395 thousand as compared to the same quarter last year and improved upon second quarter 2016 income by $41 thousand. The Company has done an exceptional job of growing loans while keeping past dues low. The Company remains strong, stable, and well capitalized and has the capacity to continue to cover the increased costs of expansion and doing business in a tough economy.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 for nine months ended September 30, 2016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11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Higher loan balances created the improvement in the interest income for the nine months ended September 30, 2016 as compared to the nine months ended September 30, 2015. Interest income rose 12.3% or $3.1 million while loans interest income accounted for a 15.7% or $3.4 million increase. Offsetting the improvement from loans was a decrease in securities income of $353 thousand. The change in the balance sheet mix along with the loan growth caused the asset yield to improve by 8 basis points to 4.0% for the year to date quarter 2016 compared to same year to date quarter 2015’s 3.92%.</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With each quarter of 2016, the loan growth contributes to the continued improvement in asset yield. The growth factor contribution is shown in the charts which follow. Improvement in loan interest income far outweighs the decrease in income from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average interest earning asset base was $81.1 million higher in third quarter 2016 than for third quarter 2015, an increase of approximately 9.3%.</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34% tax rate in the charts to follow.</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gridSpan w:val="4"/>
          </w:tcPr>
          <w:p>
            <w:pPr>
              <w:jc w:val="center"/>
              <w:ind w:right="560"/>
              <w:spacing w:after="0"/>
              <w:rPr>
                <w:sz w:val="20"/>
                <w:szCs w:val="20"/>
                <w:color w:val="auto"/>
              </w:rPr>
            </w:pPr>
            <w:r>
              <w:rPr>
                <w:rFonts w:ascii="Arial" w:cs="Arial" w:eastAsia="Arial" w:hAnsi="Arial"/>
                <w:sz w:val="14"/>
                <w:szCs w:val="14"/>
                <w:color w:val="auto"/>
                <w:w w:val="93"/>
              </w:rPr>
              <w:t>(In Thousands)</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91"/>
              </w:rPr>
              <w:t>Year to Date Ended</w:t>
            </w: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20" w:type="dxa"/>
            <w:vAlign w:val="bottom"/>
            <w:gridSpan w:val="3"/>
          </w:tcPr>
          <w:p>
            <w:pPr>
              <w:jc w:val="center"/>
              <w:ind w:left="1636"/>
              <w:spacing w:after="0"/>
              <w:rPr>
                <w:sz w:val="20"/>
                <w:szCs w:val="20"/>
                <w:color w:val="auto"/>
              </w:rPr>
            </w:pPr>
            <w:r>
              <w:rPr>
                <w:rFonts w:ascii="Arial" w:cs="Arial" w:eastAsia="Arial" w:hAnsi="Arial"/>
                <w:sz w:val="14"/>
                <w:szCs w:val="14"/>
                <w:color w:val="auto"/>
                <w:w w:val="93"/>
              </w:rPr>
              <w:t>9/30/2016</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Yield/Rate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8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Average</w:t>
            </w: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Interest/</w:t>
            </w:r>
          </w:p>
        </w:tc>
        <w:tc>
          <w:tcPr>
            <w:tcW w:w="58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588"/>
              <w:spacing w:after="0" w:line="123" w:lineRule="exact"/>
              <w:rPr>
                <w:sz w:val="20"/>
                <w:szCs w:val="20"/>
                <w:color w:val="auto"/>
              </w:rPr>
            </w:pPr>
            <w:r>
              <w:rPr>
                <w:rFonts w:ascii="Arial" w:cs="Arial" w:eastAsia="Arial" w:hAnsi="Arial"/>
                <w:sz w:val="14"/>
                <w:szCs w:val="14"/>
                <w:color w:val="auto"/>
                <w:w w:val="89"/>
              </w:rPr>
              <w:t>September 30,</w:t>
            </w: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360" w:type="dxa"/>
            <w:vAlign w:val="bottom"/>
            <w:gridSpan w:val="2"/>
          </w:tcPr>
          <w:p>
            <w:pPr>
              <w:spacing w:after="0"/>
              <w:rPr>
                <w:sz w:val="20"/>
                <w:szCs w:val="20"/>
                <w:color w:val="auto"/>
              </w:rPr>
            </w:pPr>
            <w:r>
              <w:rPr>
                <w:rFonts w:ascii="Arial" w:cs="Arial" w:eastAsia="Arial" w:hAnsi="Arial"/>
                <w:sz w:val="14"/>
                <w:szCs w:val="14"/>
                <w:color w:val="auto"/>
              </w:rPr>
              <w:t>Interest Earning Assets:</w:t>
            </w:r>
          </w:p>
        </w:tc>
        <w:tc>
          <w:tcPr>
            <w:tcW w:w="11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Balance</w:t>
            </w: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w w:val="91"/>
              </w:rPr>
              <w:t>Dividends</w:t>
            </w:r>
          </w:p>
        </w:tc>
        <w:tc>
          <w:tcPr>
            <w:tcW w:w="840" w:type="dxa"/>
            <w:vAlign w:val="bottom"/>
          </w:tcPr>
          <w:p>
            <w:pPr>
              <w:jc w:val="right"/>
              <w:ind w:right="175"/>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Loans</w:t>
            </w:r>
          </w:p>
        </w:tc>
        <w:tc>
          <w:tcPr>
            <w:tcW w:w="11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$716,731</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$24,997</w:t>
            </w:r>
          </w:p>
        </w:tc>
        <w:tc>
          <w:tcPr>
            <w:tcW w:w="5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4.66%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167,668</w:t>
            </w:r>
          </w:p>
        </w:tc>
        <w:tc>
          <w:tcPr>
            <w:tcW w:w="5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1,999</w:t>
            </w: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1.59%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2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55,453</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939</w:t>
            </w:r>
          </w:p>
        </w:tc>
        <w:tc>
          <w:tcPr>
            <w:tcW w:w="15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3.42%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10,083</w:t>
            </w:r>
          </w:p>
        </w:tc>
        <w:tc>
          <w:tcPr>
            <w:tcW w:w="5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0.61%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949,935</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27,981</w:t>
            </w:r>
          </w:p>
        </w:tc>
        <w:tc>
          <w:tcPr>
            <w:tcW w:w="15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Change in Year to Date September 30, 2016 Interest Income Compared to September 30, 2015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Due to</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Due to</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20"/>
                <w:szCs w:val="20"/>
                <w:color w:val="auto"/>
              </w:rPr>
            </w:pPr>
            <w:r>
              <w:rPr>
                <w:rFonts w:ascii="Arial" w:cs="Arial" w:eastAsia="Arial" w:hAnsi="Arial"/>
                <w:sz w:val="14"/>
                <w:szCs w:val="14"/>
                <w:color w:val="auto"/>
              </w:rPr>
              <w:t>Interest Earning Assets:</w:t>
            </w:r>
          </w:p>
        </w:tc>
        <w:tc>
          <w:tcPr>
            <w:tcW w:w="3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Change</w:t>
            </w: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Volume</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3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$3,399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$3,835</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402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(127)</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4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3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4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3,064</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300" w:type="dxa"/>
            <w:vAlign w:val="bottom"/>
            <w:vMerge w:val="restart"/>
          </w:tcPr>
          <w:p>
            <w:pPr>
              <w:jc w:val="right"/>
              <w:ind w:right="2290"/>
              <w:spacing w:after="0"/>
              <w:rPr>
                <w:sz w:val="20"/>
                <w:szCs w:val="20"/>
                <w:color w:val="auto"/>
              </w:rPr>
            </w:pPr>
            <w:r>
              <w:rPr>
                <w:rFonts w:ascii="Arial" w:cs="Arial" w:eastAsia="Arial" w:hAnsi="Arial"/>
                <w:sz w:val="18"/>
                <w:szCs w:val="18"/>
                <w:color w:val="auto"/>
              </w:rPr>
              <w:t>48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spacing w:after="0" w:line="501"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 Interest Expense</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was also higher for the nine months ended September 30, 2016 compared to the same period from 2015. Interest expense increased $478 thousand for the period when compared to same period from 2015, which represented an increase of 17.9%.</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average balance of interest-bearing liabilities was higher by $51.3 million in 2016 than third quarter 2015. $10 million of which is attributed to the FHLB borrowings. The higher balance coupled with the slight variation of the balance sheet mix, resulted in a 5 basis points increase in the cost of funds at 0.59% for third quarter 2016 as compared to 2015’s 0.54%.</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Federal Funds and prime rate increase of 25 basis points in December 2015 had only a marginal effect on the Bank’s pricing methodologies. Rates, both loan and deposit, remain at low levels.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color w:val="auto"/>
                <w:w w:val="91"/>
              </w:rPr>
              <w:t>(In Thousands)</w:t>
            </w:r>
          </w:p>
        </w:tc>
        <w:tc>
          <w:tcPr>
            <w:tcW w:w="4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86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2"/>
              </w:rPr>
              <w:t>Year to Date Ended</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9/30/16</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Yield/Rate</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700" w:type="dxa"/>
            <w:vAlign w:val="bottom"/>
          </w:tcPr>
          <w:p>
            <w:pPr>
              <w:jc w:val="right"/>
              <w:ind w:right="38"/>
              <w:spacing w:after="0" w:line="123" w:lineRule="exact"/>
              <w:rPr>
                <w:sz w:val="20"/>
                <w:szCs w:val="20"/>
                <w:color w:val="auto"/>
              </w:rPr>
            </w:pPr>
            <w:r>
              <w:rPr>
                <w:rFonts w:ascii="Arial" w:cs="Arial" w:eastAsia="Arial" w:hAnsi="Arial"/>
                <w:sz w:val="14"/>
                <w:szCs w:val="14"/>
                <w:color w:val="auto"/>
              </w:rPr>
              <w:t>Average</w:t>
            </w:r>
          </w:p>
        </w:tc>
        <w:tc>
          <w:tcPr>
            <w:tcW w:w="56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Interest/</w:t>
            </w:r>
          </w:p>
        </w:tc>
        <w:tc>
          <w:tcPr>
            <w:tcW w:w="560" w:type="dxa"/>
            <w:vAlign w:val="bottom"/>
          </w:tcPr>
          <w:p>
            <w:pPr>
              <w:spacing w:after="0"/>
              <w:rPr>
                <w:sz w:val="10"/>
                <w:szCs w:val="10"/>
                <w:color w:val="auto"/>
              </w:rPr>
            </w:pPr>
          </w:p>
        </w:tc>
        <w:tc>
          <w:tcPr>
            <w:tcW w:w="1500" w:type="dxa"/>
            <w:vAlign w:val="bottom"/>
            <w:gridSpan w:val="2"/>
          </w:tcPr>
          <w:p>
            <w:pPr>
              <w:jc w:val="center"/>
              <w:ind w:right="588"/>
              <w:spacing w:after="0" w:line="123" w:lineRule="exact"/>
              <w:rPr>
                <w:sz w:val="20"/>
                <w:szCs w:val="20"/>
                <w:color w:val="auto"/>
              </w:rPr>
            </w:pPr>
            <w:r>
              <w:rPr>
                <w:rFonts w:ascii="Arial" w:cs="Arial" w:eastAsia="Arial" w:hAnsi="Arial"/>
                <w:sz w:val="14"/>
                <w:szCs w:val="14"/>
                <w:color w:val="auto"/>
                <w:w w:val="91"/>
              </w:rPr>
              <w:t>September 30,</w:t>
            </w: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40" w:type="dxa"/>
            <w:vAlign w:val="bottom"/>
            <w:gridSpan w:val="2"/>
          </w:tcPr>
          <w:p>
            <w:pPr>
              <w:spacing w:after="0"/>
              <w:rPr>
                <w:sz w:val="20"/>
                <w:szCs w:val="20"/>
                <w:color w:val="auto"/>
              </w:rPr>
            </w:pPr>
            <w:r>
              <w:rPr>
                <w:rFonts w:ascii="Arial" w:cs="Arial" w:eastAsia="Arial" w:hAnsi="Arial"/>
                <w:sz w:val="14"/>
                <w:szCs w:val="14"/>
                <w:color w:val="auto"/>
              </w:rPr>
              <w:t>Interest Bearing Liabilities:</w:t>
            </w:r>
          </w:p>
        </w:tc>
        <w:tc>
          <w:tcPr>
            <w:tcW w:w="700" w:type="dxa"/>
            <w:vAlign w:val="bottom"/>
          </w:tcPr>
          <w:p>
            <w:pPr>
              <w:jc w:val="right"/>
              <w:ind w:right="38"/>
              <w:spacing w:after="0"/>
              <w:rPr>
                <w:sz w:val="20"/>
                <w:szCs w:val="20"/>
                <w:color w:val="auto"/>
              </w:rPr>
            </w:pPr>
            <w:r>
              <w:rPr>
                <w:rFonts w:ascii="Arial" w:cs="Arial" w:eastAsia="Arial" w:hAnsi="Arial"/>
                <w:sz w:val="14"/>
                <w:szCs w:val="14"/>
                <w:color w:val="auto"/>
              </w:rPr>
              <w:t>Balance</w:t>
            </w:r>
          </w:p>
        </w:tc>
        <w:tc>
          <w:tcPr>
            <w:tcW w:w="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40" w:type="dxa"/>
            <w:vAlign w:val="bottom"/>
          </w:tcPr>
          <w:p>
            <w:pPr>
              <w:jc w:val="right"/>
              <w:ind w:right="195"/>
              <w:spacing w:after="0"/>
              <w:rPr>
                <w:sz w:val="20"/>
                <w:szCs w:val="20"/>
                <w:color w:val="auto"/>
              </w:rPr>
            </w:pPr>
            <w:r>
              <w:rPr>
                <w:rFonts w:ascii="Arial" w:cs="Arial" w:eastAsia="Arial" w:hAnsi="Arial"/>
                <w:sz w:val="14"/>
                <w:szCs w:val="14"/>
                <w:color w:val="auto"/>
              </w:rPr>
              <w:t>2016</w:t>
            </w:r>
          </w:p>
        </w:tc>
        <w:tc>
          <w:tcPr>
            <w:tcW w:w="6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7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$440,107</w:t>
            </w: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1,292</w:t>
            </w:r>
          </w:p>
        </w:tc>
        <w:tc>
          <w:tcPr>
            <w:tcW w:w="5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0.39%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Time Deposits</w:t>
            </w:r>
          </w:p>
        </w:tc>
        <w:tc>
          <w:tcPr>
            <w:tcW w:w="700" w:type="dxa"/>
            <w:vAlign w:val="bottom"/>
          </w:tcPr>
          <w:p>
            <w:pPr>
              <w:jc w:val="right"/>
              <w:spacing w:after="0"/>
              <w:rPr>
                <w:sz w:val="20"/>
                <w:szCs w:val="20"/>
                <w:color w:val="auto"/>
              </w:rPr>
            </w:pPr>
            <w:r>
              <w:rPr>
                <w:rFonts w:ascii="Arial" w:cs="Arial" w:eastAsia="Arial" w:hAnsi="Arial"/>
                <w:sz w:val="18"/>
                <w:szCs w:val="18"/>
                <w:color w:val="auto"/>
              </w:rPr>
              <w:t>192,577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1,394</w:t>
            </w:r>
          </w:p>
        </w:tc>
        <w:tc>
          <w:tcPr>
            <w:tcW w:w="1500" w:type="dxa"/>
            <w:vAlign w:val="bottom"/>
            <w:gridSpan w:val="2"/>
          </w:tcPr>
          <w:p>
            <w:pPr>
              <w:jc w:val="right"/>
              <w:ind w:right="448"/>
              <w:spacing w:after="0"/>
              <w:rPr>
                <w:sz w:val="20"/>
                <w:szCs w:val="20"/>
                <w:color w:val="auto"/>
              </w:rPr>
            </w:pPr>
            <w:r>
              <w:rPr>
                <w:rFonts w:ascii="Arial" w:cs="Arial" w:eastAsia="Arial" w:hAnsi="Arial"/>
                <w:sz w:val="18"/>
                <w:szCs w:val="18"/>
                <w:color w:val="auto"/>
              </w:rPr>
              <w:t>0.97%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w:t>
            </w:r>
          </w:p>
        </w:tc>
        <w:tc>
          <w:tcPr>
            <w:tcW w:w="1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1.47%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7"/>
              </w:rPr>
              <w:t>Fed Funds Purchased &amp; Securities Sold under Agreement to Repurch.</w:t>
            </w:r>
          </w:p>
        </w:tc>
        <w:tc>
          <w:tcPr>
            <w:tcW w:w="700" w:type="dxa"/>
            <w:vAlign w:val="bottom"/>
          </w:tcPr>
          <w:p>
            <w:pPr>
              <w:jc w:val="right"/>
              <w:spacing w:after="0"/>
              <w:rPr>
                <w:sz w:val="20"/>
                <w:szCs w:val="20"/>
                <w:color w:val="auto"/>
              </w:rPr>
            </w:pPr>
            <w:r>
              <w:rPr>
                <w:rFonts w:ascii="Arial" w:cs="Arial" w:eastAsia="Arial" w:hAnsi="Arial"/>
                <w:sz w:val="18"/>
                <w:szCs w:val="18"/>
                <w:color w:val="auto"/>
              </w:rPr>
              <w:t>66,271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560" w:type="dxa"/>
            <w:vAlign w:val="bottom"/>
          </w:tcPr>
          <w:p>
            <w:pPr>
              <w:spacing w:after="0"/>
              <w:rPr>
                <w:sz w:val="18"/>
                <w:szCs w:val="18"/>
                <w:color w:val="auto"/>
              </w:rPr>
            </w:pPr>
          </w:p>
        </w:tc>
        <w:tc>
          <w:tcPr>
            <w:tcW w:w="1500" w:type="dxa"/>
            <w:vAlign w:val="bottom"/>
            <w:gridSpan w:val="2"/>
          </w:tcPr>
          <w:p>
            <w:pPr>
              <w:jc w:val="right"/>
              <w:ind w:right="448"/>
              <w:spacing w:after="0"/>
              <w:rPr>
                <w:sz w:val="20"/>
                <w:szCs w:val="20"/>
                <w:color w:val="auto"/>
              </w:rPr>
            </w:pPr>
            <w:r>
              <w:rPr>
                <w:rFonts w:ascii="Arial" w:cs="Arial" w:eastAsia="Arial" w:hAnsi="Arial"/>
                <w:sz w:val="18"/>
                <w:szCs w:val="18"/>
                <w:color w:val="auto"/>
              </w:rPr>
              <w:t>0.70%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708,955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3,142</w:t>
            </w:r>
          </w:p>
        </w:tc>
        <w:tc>
          <w:tcPr>
            <w:tcW w:w="5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0.59%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Year to Date September 30, 2016 Interest Expense Compared to September 30, 2015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Due to</w:t>
            </w:r>
          </w:p>
        </w:tc>
        <w:tc>
          <w:tcPr>
            <w:tcW w:w="22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w w:val="87"/>
              </w:rPr>
              <w:t>Due to</w:t>
            </w:r>
          </w:p>
        </w:tc>
        <w:tc>
          <w:tcPr>
            <w:tcW w:w="0" w:type="dxa"/>
            <w:vAlign w:val="bottom"/>
          </w:tcPr>
          <w:p>
            <w:pPr>
              <w:spacing w:after="0"/>
              <w:rPr>
                <w:sz w:val="1"/>
                <w:szCs w:val="1"/>
                <w:color w:val="auto"/>
              </w:rPr>
            </w:pPr>
          </w:p>
        </w:tc>
      </w:tr>
      <w:tr>
        <w:trPr>
          <w:trHeight w:val="167"/>
        </w:trPr>
        <w:tc>
          <w:tcPr>
            <w:tcW w:w="7320" w:type="dxa"/>
            <w:vAlign w:val="bottom"/>
          </w:tcPr>
          <w:p>
            <w:pPr>
              <w:spacing w:after="0"/>
              <w:rPr>
                <w:sz w:val="20"/>
                <w:szCs w:val="20"/>
                <w:color w:val="auto"/>
              </w:rPr>
            </w:pPr>
            <w:r>
              <w:rPr>
                <w:rFonts w:ascii="Arial" w:cs="Arial" w:eastAsia="Arial" w:hAnsi="Arial"/>
                <w:sz w:val="14"/>
                <w:szCs w:val="14"/>
                <w:color w:val="auto"/>
              </w:rPr>
              <w:t>Interest Bearing Liabilities:</w:t>
            </w: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w w:val="85"/>
              </w:rPr>
              <w:t>Change</w:t>
            </w: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rPr>
              <w:t>Volume</w:t>
            </w:r>
          </w:p>
        </w:tc>
        <w:tc>
          <w:tcPr>
            <w:tcW w:w="220" w:type="dxa"/>
            <w:vAlign w:val="bottom"/>
          </w:tcPr>
          <w:p>
            <w:pPr>
              <w:spacing w:after="0"/>
              <w:rPr>
                <w:sz w:val="14"/>
                <w:szCs w:val="14"/>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Time Deposits</w:t>
            </w: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Fed Funds Purchased &amp; Securities Sold under Agreement to Repurch.</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700"/>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0"/>
        <w:spacing w:after="0" w:line="501"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 Net Interest Income</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Overall, net interest spread and net interest margin figures through the third quarter 2016 have improved over the last two years. As the chart below illustrates, both higher yields on interest and dividend income, even offset by higher interest expense resulted with total net interest margin up 4 basis points since the year-to-date third quarter of 2015 and over year-to-date third quarter 2014 by 1 basis point.</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9/30/2016</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9/30/2015</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9/30/2014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4.00%</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0.59%</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0.54%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3.41%</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3.56%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interest income was up $2.6 million in the third quarter 2016 over the same time frame in 2015 due to the increase in loan income even with higher interest expense, as previously mentioned. New loans added in 2015 and 2016 will continue to generate more income; thereby maintaining the benefits from the Company’s strategy of repositioning the balance sheet. Future loan growth will continue to benefit the Company as loans are the highest yielding asset the Bank can invest in.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Provision Expense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Provision for loan losses was over 70% higher through September 30, 2016 as the Bank sought to provide coverage for the much higher total loan balances as compared to same period 2015. The provision of $924 thousand was partially due to net-charge offs of $369 thousand during the period. September 2015 had lower net charge-offs of $280 thousand and $540 thousand of provision expense. Strong asset quality for both periods is reflected in the low past dues (30 days+ past due/total loans) percentages of 0.13% for September 30, 2016 and 0.35% for September 30, 2015.</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Loans classified as nonaccrual were more than cut in half as of September 30, 2016 at $1.1 million compared to $2.3 million as of September 30, 2015. One new loan was categorized as TDR during the year to date.</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0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and consumer real estate loan portfolio accounted for the largest component of charge-offs and recoveries through third quarter of 2016. As was mentioned in previous discussion, the commercial real estate portfolio is currently having a major impact on the ALLL due to the loan growth.</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420"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w:t>
      </w:r>
    </w:p>
    <w:tbl>
      <w:tblPr>
        <w:tblLayout w:type="fixed"/>
        <w:tblInd w:w="92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color w:val="auto"/>
                <w:w w:val="93"/>
              </w:rPr>
              <w:t>(In Thousands)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620" w:type="dxa"/>
            <w:vAlign w:val="bottom"/>
          </w:tcPr>
          <w:p>
            <w:pPr>
              <w:spacing w:after="0"/>
              <w:rPr>
                <w:sz w:val="10"/>
                <w:szCs w:val="10"/>
                <w:color w:val="auto"/>
              </w:rPr>
            </w:pPr>
          </w:p>
        </w:tc>
        <w:tc>
          <w:tcPr>
            <w:tcW w:w="1200" w:type="dxa"/>
            <w:vAlign w:val="bottom"/>
            <w:gridSpan w:val="3"/>
          </w:tcPr>
          <w:p>
            <w:pPr>
              <w:ind w:left="40"/>
              <w:spacing w:after="0" w:line="123" w:lineRule="exact"/>
              <w:rPr>
                <w:sz w:val="20"/>
                <w:szCs w:val="20"/>
                <w:color w:val="auto"/>
              </w:rPr>
            </w:pPr>
            <w:r>
              <w:rPr>
                <w:rFonts w:ascii="Arial" w:cs="Arial" w:eastAsia="Arial" w:hAnsi="Arial"/>
                <w:sz w:val="14"/>
                <w:szCs w:val="14"/>
                <w:color w:val="auto"/>
              </w:rPr>
              <w:t>Nine Months</w:t>
            </w:r>
          </w:p>
        </w:tc>
        <w:tc>
          <w:tcPr>
            <w:tcW w:w="280" w:type="dxa"/>
            <w:vAlign w:val="bottom"/>
          </w:tcPr>
          <w:p>
            <w:pPr>
              <w:spacing w:after="0"/>
              <w:rPr>
                <w:sz w:val="10"/>
                <w:szCs w:val="10"/>
                <w:color w:val="auto"/>
              </w:rPr>
            </w:pPr>
          </w:p>
        </w:tc>
        <w:tc>
          <w:tcPr>
            <w:tcW w:w="1460" w:type="dxa"/>
            <w:vAlign w:val="bottom"/>
            <w:gridSpan w:val="3"/>
          </w:tcPr>
          <w:p>
            <w:pPr>
              <w:jc w:val="center"/>
              <w:ind w:right="660"/>
              <w:spacing w:after="0" w:line="123" w:lineRule="exact"/>
              <w:rPr>
                <w:sz w:val="20"/>
                <w:szCs w:val="20"/>
                <w:color w:val="auto"/>
              </w:rPr>
            </w:pPr>
            <w:r>
              <w:rPr>
                <w:rFonts w:ascii="Arial" w:cs="Arial" w:eastAsia="Arial" w:hAnsi="Arial"/>
                <w:sz w:val="14"/>
                <w:szCs w:val="14"/>
                <w:color w:val="auto"/>
                <w:w w:val="96"/>
              </w:rPr>
              <w:t>Nine Months</w:t>
            </w:r>
          </w:p>
        </w:tc>
        <w:tc>
          <w:tcPr>
            <w:tcW w:w="82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9"/>
              </w:rPr>
              <w:t>Nine Months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8"/>
              </w:rPr>
              <w:t>Ended</w:t>
            </w:r>
          </w:p>
        </w:tc>
        <w:tc>
          <w:tcPr>
            <w:tcW w:w="16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September-16</w:t>
            </w: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September-15</w:t>
            </w: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September-14</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738,682</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635,239</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608,604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716,731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618,552</w:t>
            </w:r>
          </w:p>
        </w:tc>
        <w:tc>
          <w:tcPr>
            <w:tcW w:w="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587,049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January 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6,057</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Loan Recoveries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5620" w:type="dxa"/>
            <w:vAlign w:val="bottom"/>
          </w:tcPr>
          <w:p>
            <w:pPr>
              <w:ind w:left="720"/>
              <w:spacing w:after="0"/>
              <w:rPr>
                <w:sz w:val="20"/>
                <w:szCs w:val="20"/>
                <w:color w:val="auto"/>
              </w:rPr>
            </w:pPr>
            <w:r>
              <w:rPr>
                <w:rFonts w:ascii="Arial" w:cs="Arial" w:eastAsia="Arial" w:hAnsi="Arial"/>
                <w:sz w:val="18"/>
                <w:szCs w:val="18"/>
                <w:color w:val="auto"/>
              </w:rPr>
              <w:t>Net Charge Offs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loan loss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Allowance for Loan &amp; Lease Losses - September 30</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Unfunded Loan Commitments &amp; Letters of Credit -</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Allowance for Credit Losses - September 30</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Ratio of Allowance for Loan Loss to Nonperforming 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584.18%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266.69%</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362.07%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70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balances for allowance of loan losses by loan type for nine months ended September 30, 2016 and September 30, 2015.</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3"/>
          </w:tcPr>
          <w:p>
            <w:pPr>
              <w:jc w:val="center"/>
              <w:ind w:right="600"/>
              <w:spacing w:after="0"/>
              <w:rPr>
                <w:sz w:val="20"/>
                <w:szCs w:val="20"/>
                <w:color w:val="auto"/>
              </w:rPr>
            </w:pPr>
            <w:r>
              <w:rPr>
                <w:rFonts w:ascii="Arial" w:cs="Arial" w:eastAsia="Arial" w:hAnsi="Arial"/>
                <w:sz w:val="14"/>
                <w:szCs w:val="14"/>
                <w:color w:val="auto"/>
                <w:w w:val="91"/>
              </w:rPr>
              <w:t>(In Thousands)</w:t>
            </w: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95"/>
              </w:rPr>
              <w:t>% of Loan</w:t>
            </w:r>
          </w:p>
        </w:tc>
        <w:tc>
          <w:tcPr>
            <w:tcW w:w="154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1"/>
              </w:rPr>
              <w:t>% of Loan</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September-2016</w:t>
            </w:r>
          </w:p>
        </w:tc>
        <w:tc>
          <w:tcPr>
            <w:tcW w:w="6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September-2015</w:t>
            </w:r>
          </w:p>
        </w:tc>
        <w:tc>
          <w:tcPr>
            <w:tcW w:w="5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2"/>
              <w:spacing w:after="0" w:line="142" w:lineRule="exact"/>
              <w:rPr>
                <w:sz w:val="20"/>
                <w:szCs w:val="20"/>
                <w:color w:val="auto"/>
              </w:rPr>
            </w:pPr>
            <w:r>
              <w:rPr>
                <w:rFonts w:ascii="Arial" w:cs="Arial" w:eastAsia="Arial" w:hAnsi="Arial"/>
                <w:sz w:val="14"/>
                <w:szCs w:val="14"/>
                <w:color w:val="auto"/>
                <w:w w:val="95"/>
              </w:rPr>
              <w:t>Amount</w:t>
            </w:r>
          </w:p>
        </w:tc>
        <w:tc>
          <w:tcPr>
            <w:tcW w:w="600" w:type="dxa"/>
            <w:vAlign w:val="bottom"/>
          </w:tcPr>
          <w:p>
            <w:pPr>
              <w:spacing w:after="0"/>
              <w:rPr>
                <w:sz w:val="12"/>
                <w:szCs w:val="12"/>
                <w:color w:val="auto"/>
              </w:rPr>
            </w:pPr>
          </w:p>
        </w:tc>
        <w:tc>
          <w:tcPr>
            <w:tcW w:w="1180" w:type="dxa"/>
            <w:vAlign w:val="bottom"/>
            <w:gridSpan w:val="2"/>
          </w:tcPr>
          <w:p>
            <w:pPr>
              <w:jc w:val="center"/>
              <w:ind w:right="580"/>
              <w:spacing w:after="0" w:line="142" w:lineRule="exact"/>
              <w:rPr>
                <w:sz w:val="20"/>
                <w:szCs w:val="20"/>
                <w:color w:val="auto"/>
              </w:rPr>
            </w:pPr>
            <w:r>
              <w:rPr>
                <w:rFonts w:ascii="Arial" w:cs="Arial" w:eastAsia="Arial" w:hAnsi="Arial"/>
                <w:sz w:val="14"/>
                <w:szCs w:val="14"/>
                <w:color w:val="auto"/>
                <w:w w:val="91"/>
              </w:rPr>
              <w:t>Category</w:t>
            </w:r>
          </w:p>
        </w:tc>
        <w:tc>
          <w:tcPr>
            <w:tcW w:w="160" w:type="dxa"/>
            <w:vAlign w:val="bottom"/>
          </w:tcPr>
          <w:p>
            <w:pPr>
              <w:spacing w:after="0"/>
              <w:rPr>
                <w:sz w:val="12"/>
                <w:szCs w:val="12"/>
                <w:color w:val="auto"/>
              </w:rPr>
            </w:pPr>
          </w:p>
        </w:tc>
        <w:tc>
          <w:tcPr>
            <w:tcW w:w="8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4"/>
              </w:rPr>
              <w:t>Category</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End of Period Applicable To:</w:t>
            </w: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Consumer Real Estate</w:t>
            </w:r>
          </w:p>
        </w:tc>
        <w:tc>
          <w:tcPr>
            <w:tcW w:w="13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286</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353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Agricultural Real Estate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Agricultural</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580</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10.74</w:t>
            </w:r>
          </w:p>
        </w:tc>
        <w:tc>
          <w:tcPr>
            <w:tcW w:w="1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520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3,006</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1,195</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15.16</w:t>
            </w:r>
          </w:p>
        </w:tc>
        <w:tc>
          <w:tcPr>
            <w:tcW w:w="1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1,150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Unallocated</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951</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1,216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Loan &amp; Lease Losses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6,612</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6,165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Off Balance Sheet Commitments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227</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196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Allowance for Credit Losses</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6,839</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6,361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Noninterest income was up $386 thousand through the third quarter 2016 over the same time frame in 2015. Fees accounted for $213 thousand of the increase while gains on sales of investment securities made up the other $173 thousand. Fees increased due to collection of prepayment fees and the changes made to deposit offerings both in product and bundling of services. An increase in the number of core deposit accounts was also a contributing factor. The proceeds from the sales were on available for sale securities used to partially fund the loan growth of 2016. Realizing a gain on the sale of these securities was an added benefit. Gain on sales of loans also increased due to higher activity in mortgage loan generation both in consumer and agricultural year to date.</w:t>
      </w:r>
    </w:p>
    <w:p>
      <w:pPr>
        <w:spacing w:after="0" w:line="5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Fees increased due to collection of prepayment fees and the changes made to deposit offerings both in product and bundling of services. An increase in the number of core deposit accounts also contributed. $45.4 million has been realized in sales of investment securities, which captured the benefit of movement in market interest rates. The sales resulted in a gain of $503 thousand. The same time period 2015 had similar sales of $44.6 million resulting in gains of $418 thousand. The difference between 2016 and 2015 sales was the utilization of the funds. 2016 went to fund loan growth while only a portion did in 2015 with the balances held in cash and reinvested in securities beginning in the second quarter.</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third quarter of 2016, mortgage servicing rights caused a net $87 thousand in income, in comparison to $22 thousand for the third quarter of 2015. The higher capitalized additions for 2016 are attributed to a higher loan origination level of 1-4 families in 2016 as compared to 2015. The carrying value is well below the market value of $2.6 million which indicates any large expense to fund the valuation allowance to be unlikely in 2016.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60"/>
        <w:spacing w:after="0" w:line="420"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w:t>
      </w:r>
    </w:p>
    <w:tbl>
      <w:tblPr>
        <w:tblLayout w:type="fixed"/>
        <w:tblInd w:w="138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4"/>
                <w:szCs w:val="14"/>
                <w:color w:val="auto"/>
              </w:rPr>
              <w:t>(In Thousands)</w:t>
            </w: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Capitalized Additions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Ending Balance, September 30</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Mortgage Servicing Rights, net September 30</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2,143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2,045</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third quarter 2016, noninterest expenses were $1.1 million higher than in 2015. The effect of an increase of $578 thousand in salaries and wages was lessened by a decrease of $129 thousand in employee benefits. The decrease in employee benefits was derived from lower costs related to medical claims for the period and lower pension costs due to an adjustment in first quarter 2015 for the accrual.</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Data processing fees were $165 thousand higher than last year due to the increased number of customers, accounts and updated services. A seven year contract extension signed in the third quarter of 2016 is expected to help lower the increases while adding new products and serviced to better align with our customers’ expectations in the coming years.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next largest increase for 2016 was in other general and administrative. This line item on the income statement was up by $320 thousand over 2015. ATM fees were higher by $198.1 thousand so far in 2016 than for 2015. This relates to the increased cost of accelerating the issuance of our debit cards to EMV (chip) cards. The Bank is working to have all chip cards in 2016 which would have otherwise occurred over a three year renewal period. The cost of the chip cards is also higher than the previous magnetic strip cards. Marketing expenses were up $85.6 thousand as advertising for the new offices and KASASA Cash Back went full swing in the third quarter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Overall, net income through the third quarter of 2016 was up $902 thousand as compared to the same time period last year. The Company has done an exceptional job of growing loans while keeping past dues low. The growth in loans has spurred the large increase in net interest income that has flowed through to the bottom line. The opening of the new offices may create a slight drag in the short run; however, the Company remains focused on the long term.</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0"/>
        <w:spacing w:after="0" w:line="501" w:lineRule="auto"/>
        <w:rPr>
          <w:sz w:val="20"/>
          <w:szCs w:val="20"/>
          <w:color w:val="auto"/>
        </w:rPr>
      </w:pPr>
      <w:r>
        <w:rPr>
          <w:rFonts w:ascii="Arial" w:cs="Arial" w:eastAsia="Arial" w:hAnsi="Arial"/>
          <w:sz w:val="18"/>
          <w:szCs w:val="18"/>
          <w:color w:val="auto"/>
        </w:rPr>
        <w:t>ITEM 2 MANAGEMENT’S DISCUSSION AND ANALYSIS OF FINANCIAL CONDITION AND RESULTS OF OPERATIONS MATERIAL CHANGES IN RESULTS OF OPERATIONS (Continued) FORWARD LOOKING STATEMENTS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 covering a twelve month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 Change</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 Change</w:t>
            </w: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Net Interest</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to</w:t>
            </w: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Rate</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Rate</w:t>
            </w: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Cumulative</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to</w:t>
            </w:r>
          </w:p>
        </w:tc>
      </w:t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Margin (Ratio)</w:t>
            </w:r>
          </w:p>
        </w:tc>
        <w:tc>
          <w:tcPr>
            <w:tcW w:w="54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Flat Rate</w:t>
            </w:r>
          </w:p>
        </w:tc>
        <w:tc>
          <w:tcPr>
            <w:tcW w:w="4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Direction</w:t>
            </w:r>
          </w:p>
        </w:tc>
        <w:tc>
          <w:tcPr>
            <w:tcW w:w="3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Changes by</w:t>
            </w:r>
          </w:p>
        </w:tc>
        <w:tc>
          <w:tcPr>
            <w:tcW w:w="4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 xml:space="preserve">Total </w:t>
            </w:r>
            <w:r>
              <w:rPr>
                <w:rFonts w:ascii="Arial" w:cs="Arial" w:eastAsia="Arial" w:hAnsi="Arial"/>
                <w:sz w:val="14"/>
                <w:szCs w:val="14"/>
                <w:u w:val="single" w:color="auto"/>
                <w:color w:val="auto"/>
                <w:w w:val="92"/>
              </w:rPr>
              <w:t>($</w:t>
            </w:r>
            <w:r>
              <w:rPr>
                <w:rFonts w:ascii="Arial" w:cs="Arial" w:eastAsia="Arial" w:hAnsi="Arial"/>
                <w:sz w:val="14"/>
                <w:szCs w:val="14"/>
                <w:color w:val="auto"/>
                <w:w w:val="92"/>
              </w:rPr>
              <w:t>000)</w:t>
            </w:r>
          </w:p>
        </w:tc>
        <w:tc>
          <w:tcPr>
            <w:tcW w:w="3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Flat Rate</w:t>
            </w:r>
          </w:p>
        </w:tc>
        <w:tc>
          <w:tcPr>
            <w:tcW w:w="200" w:type="dxa"/>
            <w:vAlign w:val="bottom"/>
            <w:tcBorders>
              <w:bottom w:val="single" w:sz="8" w:color="CCEEFF"/>
            </w:tcBorders>
          </w:tcPr>
          <w:p>
            <w:pPr>
              <w:spacing w:after="0"/>
              <w:rPr>
                <w:sz w:val="15"/>
                <w:szCs w:val="15"/>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2.99%</w:t>
            </w:r>
          </w:p>
        </w:tc>
        <w:tc>
          <w:tcPr>
            <w:tcW w:w="5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Rising</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30,599</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3.08%</w:t>
            </w:r>
          </w:p>
        </w:tc>
        <w:tc>
          <w:tcPr>
            <w:tcW w:w="54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-6.81%</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Rising</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30,947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3.17%</w:t>
            </w:r>
          </w:p>
        </w:tc>
        <w:tc>
          <w:tcPr>
            <w:tcW w:w="5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Rising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31,410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3.30%</w:t>
            </w:r>
          </w:p>
        </w:tc>
        <w:tc>
          <w:tcPr>
            <w:tcW w:w="54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Flat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32,227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3.29%</w:t>
            </w:r>
          </w:p>
        </w:tc>
        <w:tc>
          <w:tcPr>
            <w:tcW w:w="5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-0.35%</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Falling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31,778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3.10%</w:t>
            </w:r>
          </w:p>
        </w:tc>
        <w:tc>
          <w:tcPr>
            <w:tcW w:w="54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-6.17%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Falling</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30,176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2.92%</w:t>
            </w:r>
          </w:p>
        </w:tc>
        <w:tc>
          <w:tcPr>
            <w:tcW w:w="5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-11.67%</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Falling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28,657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net interest margin represents the forecasted twelve month margin. The Company also reviews shocks with a 4.0% fluctuation with a delayed time frame of 10 months and over a 24 month time frame. It also shows what effect rate changes will have on both the margin and net interest income. The goal of the Company is to lengthen some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 (continued)</w:t>
      </w:r>
    </w:p>
    <w:p>
      <w:pPr>
        <w:spacing w:after="0" w:line="15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liabilities or sources of funds to decrease the exposure to a rising rate environment. The Bank has offered higher rates on certificates of deposits for longer periods since 2011. Of course, customer desires also drive the ability to capture longer term deposits. Currently, the majority of customers look for terms twelve months and under while the Bank would prefer 24 months and longer. Some movement into the longer term time deposits has occurred. Compared to five years ago, what the Bank has experienced over the years is a decrease in the time balances of our deposit portfolio, therefore a loss of term funding</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shock chart currently shows a slight tightening in net interest margin over the next twelve months in an increasing rate environment with an even lower tightening in a falling rate environment at the 200 basis point shock level. Due to the length and existence of such a low rate environment, the model does not predict expansion of net interest income in any falling category. Cost of funds are below 0.60% so at even the lowest shock of 100 basis points, the Bank cannot take full advantage and reprice funds to match the level of shock. Since the average duration of the majority of the assets is outside the 12 month shock period, the rising rate environment does not show improvement. The majority of the newer loans added to the commercial real estate portfolio begin with an initial fixed rate period of three to five years whose variable adjustment is outside of the current shock time frame. The Bank enhanced its use of the software model during 2012 by including decay rates and key rate ties on certain deposit accounts and continues to review and modify those rates as updated data is compiled. Both enhancements were based on historical performance data of the Bank. Both directional changes are within risk exposure guidelines at the 200 basis point level. The effect of the rate shocks may be mitigated to the extent that not all lines of business are directly tied to an external index and actual balance sheet composition may differ from prediction.</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Overall, what the chart shows is that the Company must concentrate on increasing loan spreads on variable loans and extend the duration on cost of funds where possible. Changes in portfolio and/or balance sheet composition are needed for the margin to improve regardless of any rate shock.</w:t>
      </w:r>
    </w:p>
    <w:p>
      <w:pPr>
        <w:spacing w:after="0" w:line="2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September 30, 2016,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September 30, 2016. There have been no changes in the Company’s internal control over financial reporting that occurred during the quarter ended September 30, 2016 that have materially affected, or are reasonably likely to materially affect, the registrant’s internal control over financial reporting.</w:t>
      </w:r>
    </w:p>
    <w:p>
      <w:pPr>
        <w:spacing w:after="0" w:line="3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7"/>
          <w:szCs w:val="17"/>
          <w:color w:val="auto"/>
        </w:rPr>
        <w:t>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the risk factors disclosed by Registrant in its Report on Form 10-K for the fiscal year ended December 31,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 (continued)</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Treasury stock repurchased the quarter ended September 30, 2016 </w:t>
      </w:r>
      <w:r>
        <w:rPr>
          <w:rFonts w:ascii="Arial" w:cs="Arial" w:eastAsia="Arial" w:hAnsi="Arial"/>
          <w:sz w:val="15"/>
          <w:szCs w:val="15"/>
          <w:color w:val="auto"/>
        </w:rPr>
        <w:t>(1)</w:t>
      </w:r>
      <w:r>
        <w:rPr>
          <w:rFonts w:ascii="Arial" w:cs="Arial" w:eastAsia="Arial" w:hAnsi="Arial"/>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(c) Total</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6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Purchased</w:t>
            </w:r>
          </w:p>
        </w:tc>
        <w:tc>
          <w:tcPr>
            <w:tcW w:w="6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6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1"/>
              </w:rPr>
              <w:t>(a) Total</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6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(b) Average</w:t>
            </w: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6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49"/>
        </w:trPr>
        <w:tc>
          <w:tcPr>
            <w:tcW w:w="578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Price Paid</w:t>
            </w: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Plan or</w:t>
            </w:r>
          </w:p>
        </w:tc>
        <w:tc>
          <w:tcPr>
            <w:tcW w:w="6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Plans or</w:t>
            </w:r>
          </w:p>
        </w:tc>
        <w:tc>
          <w:tcPr>
            <w:tcW w:w="0" w:type="dxa"/>
            <w:vAlign w:val="bottom"/>
          </w:tcPr>
          <w:p>
            <w:pPr>
              <w:spacing w:after="0"/>
              <w:rPr>
                <w:sz w:val="1"/>
                <w:szCs w:val="1"/>
                <w:color w:val="auto"/>
              </w:rPr>
            </w:pPr>
          </w:p>
        </w:tc>
      </w:tr>
      <w:tr>
        <w:trPr>
          <w:trHeight w:val="167"/>
        </w:trPr>
        <w:tc>
          <w:tcPr>
            <w:tcW w:w="5780" w:type="dxa"/>
            <w:vAlign w:val="bottom"/>
            <w:gridSpan w:val="3"/>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Purchased</w:t>
            </w:r>
          </w:p>
        </w:tc>
        <w:tc>
          <w:tcPr>
            <w:tcW w:w="6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per Share</w:t>
            </w:r>
          </w:p>
        </w:tc>
        <w:tc>
          <w:tcPr>
            <w:tcW w:w="6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Programs</w:t>
            </w:r>
          </w:p>
        </w:tc>
        <w:tc>
          <w:tcPr>
            <w:tcW w:w="6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7/1/2016 to</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7/31/2016</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8/1/2016 to</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8/31/2016</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9/1/2016 to</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9/30/2016</w:t>
            </w:r>
          </w:p>
        </w:tc>
        <w:tc>
          <w:tcPr>
            <w:tcW w:w="60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34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time to time, the Company purchases shares in the market pursuant to a stock repurchase program publicly announced on January 15, 2016. On that date, the Board of Directors authorized the repurchase of 200,000 common shares between January 15, 2016 and December 31, 2016.</w:t>
      </w:r>
    </w:p>
    <w:p>
      <w:pPr>
        <w:spacing w:after="0" w:line="2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131" w:lineRule="exact"/>
        <w:rPr>
          <w:sz w:val="20"/>
          <w:szCs w:val="20"/>
          <w:color w:val="auto"/>
        </w:rPr>
      </w:pPr>
    </w:p>
    <w:p>
      <w:pPr>
        <w:ind w:left="580" w:right="500" w:hanging="566"/>
        <w:spacing w:after="0" w:line="258"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Articles of Incorporation of the Registrant (incorporated by reference to Registrant’s Quarterly Report on Form 10-Q filed with the Commission on July 27, 2016)</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Code of Regulations of the Registrant (incorporated by reference to Registrant’s Quarterly Report on Form 10-Q filed with the Commission on May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10, 2004)</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 CEO</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 CFO</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 CEO</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 CFO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100" w:type="dxa"/>
            <w:vAlign w:val="bottom"/>
          </w:tcPr>
          <w:p>
            <w:pPr>
              <w:ind w:left="360"/>
              <w:spacing w:after="0"/>
              <w:rPr>
                <w:sz w:val="20"/>
                <w:szCs w:val="20"/>
                <w:color w:val="auto"/>
              </w:rPr>
            </w:pPr>
            <w:r>
              <w:rPr>
                <w:rFonts w:ascii="Arial" w:cs="Arial" w:eastAsia="Arial" w:hAnsi="Arial"/>
                <w:sz w:val="18"/>
                <w:szCs w:val="18"/>
                <w:color w:val="auto"/>
              </w:rPr>
              <w:t>XBRL Instance Document (1)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100" w:type="dxa"/>
            <w:vAlign w:val="bottom"/>
          </w:tcPr>
          <w:p>
            <w:pPr>
              <w:ind w:left="360"/>
              <w:spacing w:after="0"/>
              <w:rPr>
                <w:sz w:val="20"/>
                <w:szCs w:val="20"/>
                <w:color w:val="auto"/>
              </w:rPr>
            </w:pPr>
            <w:r>
              <w:rPr>
                <w:rFonts w:ascii="Arial" w:cs="Arial" w:eastAsia="Arial" w:hAnsi="Arial"/>
                <w:sz w:val="18"/>
                <w:szCs w:val="18"/>
                <w:color w:val="auto"/>
              </w:rPr>
              <w:t>XBRL Taxonomy Extension Schem Document (1)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100" w:type="dxa"/>
            <w:vAlign w:val="bottom"/>
          </w:tcPr>
          <w:p>
            <w:pPr>
              <w:ind w:left="360"/>
              <w:spacing w:after="0"/>
              <w:rPr>
                <w:sz w:val="20"/>
                <w:szCs w:val="20"/>
                <w:color w:val="auto"/>
              </w:rPr>
            </w:pPr>
            <w:r>
              <w:rPr>
                <w:rFonts w:ascii="Arial" w:cs="Arial" w:eastAsia="Arial" w:hAnsi="Arial"/>
                <w:sz w:val="18"/>
                <w:szCs w:val="18"/>
                <w:color w:val="auto"/>
                <w:w w:val="93"/>
              </w:rPr>
              <w:t>XBRL Taxonomy Extension Calculation Linkbase Document (1)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100" w:type="dxa"/>
            <w:vAlign w:val="bottom"/>
          </w:tcPr>
          <w:p>
            <w:pPr>
              <w:ind w:left="360"/>
              <w:spacing w:after="0"/>
              <w:rPr>
                <w:sz w:val="20"/>
                <w:szCs w:val="20"/>
                <w:color w:val="auto"/>
              </w:rPr>
            </w:pPr>
            <w:r>
              <w:rPr>
                <w:rFonts w:ascii="Arial" w:cs="Arial" w:eastAsia="Arial" w:hAnsi="Arial"/>
                <w:sz w:val="18"/>
                <w:szCs w:val="18"/>
                <w:color w:val="auto"/>
                <w:w w:val="96"/>
              </w:rPr>
              <w:t>XBRL Taxonomy Extension Definition Linkbase Document (1)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10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 (1)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100" w:type="dxa"/>
            <w:vAlign w:val="bottom"/>
          </w:tcPr>
          <w:p>
            <w:pPr>
              <w:ind w:left="360"/>
              <w:spacing w:after="0"/>
              <w:rPr>
                <w:sz w:val="20"/>
                <w:szCs w:val="20"/>
                <w:color w:val="auto"/>
              </w:rPr>
            </w:pPr>
            <w:r>
              <w:rPr>
                <w:rFonts w:ascii="Arial" w:cs="Arial" w:eastAsia="Arial" w:hAnsi="Arial"/>
                <w:sz w:val="18"/>
                <w:szCs w:val="18"/>
                <w:color w:val="auto"/>
                <w:w w:val="91"/>
              </w:rPr>
              <w:t>XBRL Taxonomy Extension Presentation Linkbase Document (1)</w:t>
            </w:r>
          </w:p>
        </w:tc>
      </w:tr>
      <w:tr>
        <w:trPr>
          <w:trHeight w:val="365"/>
        </w:trPr>
        <w:tc>
          <w:tcPr>
            <w:tcW w:w="1020" w:type="dxa"/>
            <w:vAlign w:val="bottom"/>
          </w:tcPr>
          <w:p>
            <w:pPr>
              <w:spacing w:after="0"/>
              <w:rPr>
                <w:sz w:val="24"/>
                <w:szCs w:val="24"/>
                <w:color w:val="auto"/>
              </w:rPr>
            </w:pPr>
          </w:p>
        </w:tc>
        <w:tc>
          <w:tcPr>
            <w:tcW w:w="5100" w:type="dxa"/>
            <w:vAlign w:val="bottom"/>
          </w:tcPr>
          <w:p>
            <w:pPr>
              <w:ind w:left="460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Farmers &amp; Merchants Bancorp,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26, 2016</w:t>
            </w:r>
          </w:p>
        </w:tc>
        <w:tc>
          <w:tcPr>
            <w:tcW w:w="2520" w:type="dxa"/>
            <w:vAlign w:val="bottom"/>
          </w:tcPr>
          <w:p>
            <w:pPr>
              <w:ind w:left="20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 Siebenmorgen</w:t>
            </w:r>
          </w:p>
        </w:tc>
      </w:tr>
      <w:tr>
        <w:trPr>
          <w:trHeight w:val="209"/>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Paul S. Siebenmorgen</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26, 2016</w:t>
            </w:r>
          </w:p>
        </w:tc>
        <w:tc>
          <w:tcPr>
            <w:tcW w:w="2520" w:type="dxa"/>
            <w:vAlign w:val="bottom"/>
          </w:tcPr>
          <w:p>
            <w:pPr>
              <w:ind w:left="20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09"/>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 Vice-President and CFO</w:t>
            </w:r>
          </w:p>
        </w:tc>
      </w:tr>
      <w:tr>
        <w:trPr>
          <w:trHeight w:val="365"/>
        </w:trPr>
        <w:tc>
          <w:tcPr>
            <w:tcW w:w="3660" w:type="dxa"/>
            <w:vAlign w:val="bottom"/>
          </w:tcPr>
          <w:p>
            <w:pPr>
              <w:spacing w:after="0"/>
              <w:rPr>
                <w:sz w:val="24"/>
                <w:szCs w:val="24"/>
                <w:color w:val="auto"/>
              </w:rPr>
            </w:pPr>
          </w:p>
        </w:tc>
        <w:tc>
          <w:tcPr>
            <w:tcW w:w="2520" w:type="dxa"/>
            <w:vAlign w:val="bottom"/>
          </w:tcPr>
          <w:p>
            <w:pPr>
              <w:jc w:val="right"/>
              <w:ind w:right="290"/>
              <w:spacing w:after="0"/>
              <w:rPr>
                <w:sz w:val="20"/>
                <w:szCs w:val="20"/>
                <w:color w:val="auto"/>
              </w:rPr>
            </w:pPr>
            <w:r>
              <w:rPr>
                <w:rFonts w:ascii="Arial" w:cs="Arial" w:eastAsia="Arial" w:hAnsi="Arial"/>
                <w:sz w:val="18"/>
                <w:szCs w:val="18"/>
                <w:color w:val="auto"/>
              </w:rPr>
              <w:t>58</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CEO of Farmers &amp; Merchants Bancorp, Inc., certify that:</w:t>
      </w:r>
    </w:p>
    <w:p>
      <w:pPr>
        <w:spacing w:after="0" w:line="13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00" w:right="40" w:hanging="446"/>
        <w:spacing w:after="0" w:line="29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00" w:hanging="440"/>
        <w:spacing w:after="0" w:line="286" w:lineRule="auto"/>
        <w:tabs>
          <w:tab w:leader="none" w:pos="19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40" w:hanging="440"/>
        <w:spacing w:after="0" w:line="286" w:lineRule="auto"/>
        <w:tabs>
          <w:tab w:leader="none" w:pos="19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80" w:hanging="440"/>
        <w:spacing w:after="0" w:line="342" w:lineRule="auto"/>
        <w:tabs>
          <w:tab w:leader="none" w:pos="19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80" w:hanging="440"/>
        <w:spacing w:after="0" w:line="277" w:lineRule="auto"/>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26, 2016</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S. Siebenmorgen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125"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00" w:right="40" w:hanging="446"/>
        <w:spacing w:after="0" w:line="29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00" w:hanging="440"/>
        <w:spacing w:after="0" w:line="286" w:lineRule="auto"/>
        <w:tabs>
          <w:tab w:leader="none" w:pos="19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40" w:hanging="440"/>
        <w:spacing w:after="0" w:line="286" w:lineRule="auto"/>
        <w:tabs>
          <w:tab w:leader="none" w:pos="19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80" w:hanging="440"/>
        <w:spacing w:after="0" w:line="342"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80" w:hanging="440"/>
        <w:spacing w:after="0" w:line="277"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26, 2016</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Barbara J Britenriker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2016 as filed with the Securities and Exchange Commission (“the report”), I, Paul S. Siebenmorgen, President and Chief Executive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26, 2016</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S. Siebenmorgen, President and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120"/>
          </w:cols>
          <w:pgMar w:left="240" w:top="125" w:right="5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2016,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26, 2016</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Barbara J. Britenriker, Exec. Vice President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360"/>
      </w:cols>
      <w:pgMar w:left="240" w:top="12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lvl w:ilvl="1">
      <w:lvlJc w:val="left"/>
      <w:lvlText w:val="%2."/>
      <w:numFmt w:val="lowerLetter"/>
      <w:start w:val="1"/>
    </w:lvl>
  </w:abstractNum>
  <w:abstractNum w:abstractNumId="6">
    <w:nsid w:val="DED7263"/>
    <w:multiLevelType w:val="hybridMultilevel"/>
    <w:lvl w:ilvl="0">
      <w:lvlJc w:val="left"/>
      <w:lvlText w:val="%1."/>
      <w:numFmt w:val="decimal"/>
      <w:start w:val="5"/>
    </w:lvl>
    <w:lvl w:ilvl="1">
      <w:lvlJc w:val="left"/>
      <w:lvlText w:val="%2."/>
      <w:numFmt w:val="lowerLetter"/>
      <w:start w:val="1"/>
    </w:lvl>
  </w:abstractNum>
  <w:abstractNum w:abstractNumId="7">
    <w:nsid w:val="7FDCC233"/>
    <w:multiLevelType w:val="hybridMultilevel"/>
    <w:lvl w:ilvl="0">
      <w:lvlJc w:val="left"/>
      <w:lvlText w:val="%1"/>
      <w:numFmt w:val="decimal"/>
      <w:start w:val="1"/>
    </w:lvl>
    <w:lvl w:ilvl="1">
      <w:lvlJc w:val="left"/>
      <w:lvlText w:val="%2."/>
      <w:numFmt w:val="lowerLetter"/>
      <w:start w:val="3"/>
    </w:lvl>
  </w:abstractNum>
  <w:abstractNum w:abstractNumId="8">
    <w:nsid w:val="1BEFD79F"/>
    <w:multiLevelType w:val="hybridMultilevel"/>
    <w:lvl w:ilvl="0">
      <w:lvlJc w:val="left"/>
      <w:lvlText w:val="%1."/>
      <w:numFmt w:val="decimal"/>
      <w:start w:val="8"/>
    </w:lvl>
    <w:lvl w:ilvl="1">
      <w:lvlJc w:val="left"/>
      <w:lvlText w:val="%2."/>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2020-01-21T16:14:07Z</dcterms:created>
  <dcterms:modified xsi:type="dcterms:W3CDTF">2020-01-21T16:14:07Z</dcterms:modified>
</cp:coreProperties>
</file>