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2621915</wp:posOffset>
            </wp:positionH>
            <wp:positionV relativeFrom="paragraph">
              <wp:posOffset>139700</wp:posOffset>
            </wp:positionV>
            <wp:extent cx="1898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2621915</wp:posOffset>
            </wp:positionH>
            <wp:positionV relativeFrom="paragraph">
              <wp:posOffset>166370</wp:posOffset>
            </wp:positionV>
            <wp:extent cx="1898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328" w:lineRule="exact"/>
        <w:rPr>
          <w:sz w:val="24"/>
          <w:szCs w:val="24"/>
          <w:color w:val="auto"/>
        </w:rPr>
      </w:pPr>
    </w:p>
    <w:p>
      <w:pPr>
        <w:ind w:left="240" w:hanging="238"/>
        <w:spacing w:after="0"/>
        <w:tabs>
          <w:tab w:leader="none" w:pos="24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September 30, 2022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2" w:lineRule="exact"/>
        <w:rPr>
          <w:sz w:val="24"/>
          <w:szCs w:val="24"/>
          <w:color w:val="auto"/>
        </w:rPr>
      </w:pPr>
    </w:p>
    <w:p>
      <w:pPr>
        <w:ind w:left="240" w:hanging="238"/>
        <w:spacing w:after="0"/>
        <w:tabs>
          <w:tab w:leader="none" w:pos="24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1" w:lineRule="exact"/>
        <w:rPr>
          <w:sz w:val="24"/>
          <w:szCs w:val="24"/>
          <w:color w:val="auto"/>
        </w:rPr>
      </w:pPr>
    </w:p>
    <w:p>
      <w:pPr>
        <w:ind w:left="4240"/>
        <w:spacing w:after="0"/>
        <w:tabs>
          <w:tab w:leader="none" w:pos="68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4116705</wp:posOffset>
            </wp:positionH>
            <wp:positionV relativeFrom="paragraph">
              <wp:posOffset>-5080</wp:posOffset>
            </wp:positionV>
            <wp:extent cx="216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5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2621915</wp:posOffset>
            </wp:positionH>
            <wp:positionV relativeFrom="paragraph">
              <wp:posOffset>134620</wp:posOffset>
            </wp:positionV>
            <wp:extent cx="1898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FARMERS &amp; MERCHANTS BANCORP,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2621915</wp:posOffset>
            </wp:positionH>
            <wp:positionV relativeFrom="paragraph">
              <wp:posOffset>134620</wp:posOffset>
            </wp:positionV>
            <wp:extent cx="1898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363" w:lineRule="exact"/>
        <w:rPr>
          <w:sz w:val="24"/>
          <w:szCs w:val="24"/>
          <w:color w:val="auto"/>
        </w:rPr>
      </w:pPr>
    </w:p>
    <w:tbl>
      <w:tblPr>
        <w:tblLayout w:type="fixed"/>
        <w:tblInd w:w="1260" w:type="dxa"/>
        <w:tblCellMar>
          <w:top w:w="0" w:type="dxa"/>
          <w:left w:w="0" w:type="dxa"/>
          <w:bottom w:w="0" w:type="dxa"/>
          <w:right w:w="0" w:type="dxa"/>
        </w:tblCellMar>
      </w:tblPr>
      <w:tr>
        <w:trPr>
          <w:trHeight w:val="200"/>
        </w:trPr>
        <w:tc>
          <w:tcPr>
            <w:tcW w:w="3460" w:type="dxa"/>
            <w:vAlign w:val="bottom"/>
          </w:tcPr>
          <w:p>
            <w:pPr>
              <w:jc w:val="center"/>
              <w:ind w:right="285"/>
              <w:spacing w:after="0"/>
              <w:rPr>
                <w:sz w:val="20"/>
                <w:szCs w:val="20"/>
                <w:color w:val="auto"/>
              </w:rPr>
            </w:pPr>
            <w:r>
              <w:rPr>
                <w:rFonts w:ascii="Times New Roman" w:cs="Times New Roman" w:eastAsia="Times New Roman" w:hAnsi="Times New Roman"/>
                <w:sz w:val="17"/>
                <w:szCs w:val="17"/>
                <w:b w:val="1"/>
                <w:bCs w:val="1"/>
                <w:color w:val="auto"/>
                <w:w w:val="99"/>
              </w:rPr>
              <w:t>OHIO</w:t>
            </w:r>
          </w:p>
        </w:tc>
        <w:tc>
          <w:tcPr>
            <w:tcW w:w="4240" w:type="dxa"/>
            <w:vAlign w:val="bottom"/>
          </w:tcPr>
          <w:p>
            <w:pPr>
              <w:jc w:val="right"/>
              <w:ind w:right="43"/>
              <w:spacing w:after="0"/>
              <w:rPr>
                <w:sz w:val="20"/>
                <w:szCs w:val="20"/>
                <w:color w:val="auto"/>
              </w:rPr>
            </w:pPr>
            <w:r>
              <w:rPr>
                <w:rFonts w:ascii="Times New Roman" w:cs="Times New Roman" w:eastAsia="Times New Roman" w:hAnsi="Times New Roman"/>
                <w:sz w:val="17"/>
                <w:szCs w:val="17"/>
                <w:b w:val="1"/>
                <w:bCs w:val="1"/>
                <w:color w:val="auto"/>
              </w:rPr>
              <w:t>34-1469491</w:t>
            </w:r>
          </w:p>
        </w:tc>
      </w:tr>
      <w:tr>
        <w:trPr>
          <w:trHeight w:val="141"/>
        </w:trPr>
        <w:tc>
          <w:tcPr>
            <w:tcW w:w="3460" w:type="dxa"/>
            <w:vAlign w:val="bottom"/>
          </w:tcPr>
          <w:p>
            <w:pPr>
              <w:jc w:val="center"/>
              <w:ind w:right="285"/>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4240" w:type="dxa"/>
            <w:vAlign w:val="bottom"/>
          </w:tcPr>
          <w:p>
            <w:pPr>
              <w:jc w:val="center"/>
              <w:ind w:left="31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9"/>
        </w:trPr>
        <w:tc>
          <w:tcPr>
            <w:tcW w:w="3460" w:type="dxa"/>
            <w:vAlign w:val="bottom"/>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4240" w:type="dxa"/>
            <w:vAlign w:val="bottom"/>
          </w:tcPr>
          <w:p>
            <w:pPr>
              <w:jc w:val="center"/>
              <w:ind w:left="3103"/>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70"/>
        </w:trPr>
        <w:tc>
          <w:tcPr>
            <w:tcW w:w="3460" w:type="dxa"/>
            <w:vAlign w:val="bottom"/>
          </w:tcPr>
          <w:p>
            <w:pPr>
              <w:jc w:val="center"/>
              <w:ind w:right="285"/>
              <w:spacing w:after="0"/>
              <w:rPr>
                <w:sz w:val="20"/>
                <w:szCs w:val="20"/>
                <w:color w:val="auto"/>
              </w:rPr>
            </w:pPr>
            <w:r>
              <w:rPr>
                <w:rFonts w:ascii="Times New Roman" w:cs="Times New Roman" w:eastAsia="Times New Roman" w:hAnsi="Times New Roman"/>
                <w:sz w:val="17"/>
                <w:szCs w:val="17"/>
                <w:b w:val="1"/>
                <w:bCs w:val="1"/>
                <w:color w:val="auto"/>
                <w:w w:val="99"/>
              </w:rPr>
              <w:t>307 North Defiance Street, Archbold, Ohio</w:t>
            </w:r>
          </w:p>
        </w:tc>
        <w:tc>
          <w:tcPr>
            <w:tcW w:w="4240" w:type="dxa"/>
            <w:vAlign w:val="bottom"/>
          </w:tcPr>
          <w:p>
            <w:pPr>
              <w:jc w:val="right"/>
              <w:ind w:right="243"/>
              <w:spacing w:after="0"/>
              <w:rPr>
                <w:sz w:val="20"/>
                <w:szCs w:val="20"/>
                <w:color w:val="auto"/>
              </w:rPr>
            </w:pPr>
            <w:r>
              <w:rPr>
                <w:rFonts w:ascii="Times New Roman" w:cs="Times New Roman" w:eastAsia="Times New Roman" w:hAnsi="Times New Roman"/>
                <w:sz w:val="17"/>
                <w:szCs w:val="17"/>
                <w:b w:val="1"/>
                <w:bCs w:val="1"/>
                <w:color w:val="auto"/>
              </w:rPr>
              <w:t>43502</w:t>
            </w:r>
          </w:p>
        </w:tc>
      </w:tr>
      <w:tr>
        <w:trPr>
          <w:trHeight w:val="179"/>
        </w:trPr>
        <w:tc>
          <w:tcPr>
            <w:tcW w:w="3460" w:type="dxa"/>
            <w:vAlign w:val="bottom"/>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4240" w:type="dxa"/>
            <w:vAlign w:val="bottom"/>
          </w:tcPr>
          <w:p>
            <w:pPr>
              <w:jc w:val="center"/>
              <w:ind w:left="312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75"/>
        </w:trPr>
        <w:tc>
          <w:tcPr>
            <w:tcW w:w="3460" w:type="dxa"/>
            <w:vAlign w:val="bottom"/>
          </w:tcPr>
          <w:p>
            <w:pPr>
              <w:spacing w:after="0"/>
              <w:rPr>
                <w:sz w:val="24"/>
                <w:szCs w:val="24"/>
                <w:color w:val="auto"/>
              </w:rPr>
            </w:pPr>
          </w:p>
        </w:tc>
        <w:tc>
          <w:tcPr>
            <w:tcW w:w="4240" w:type="dxa"/>
            <w:vAlign w:val="bottom"/>
          </w:tcPr>
          <w:p>
            <w:pPr>
              <w:jc w:val="right"/>
              <w:ind w:right="2723"/>
              <w:spacing w:after="0"/>
              <w:rPr>
                <w:sz w:val="20"/>
                <w:szCs w:val="20"/>
                <w:color w:val="auto"/>
              </w:rPr>
            </w:pPr>
            <w:r>
              <w:rPr>
                <w:rFonts w:ascii="Times New Roman" w:cs="Times New Roman" w:eastAsia="Times New Roman" w:hAnsi="Times New Roman"/>
                <w:sz w:val="17"/>
                <w:szCs w:val="17"/>
                <w:b w:val="1"/>
                <w:bCs w:val="1"/>
                <w:color w:val="auto"/>
              </w:rPr>
              <w:t>(419) 446-2501</w:t>
            </w:r>
          </w:p>
        </w:tc>
      </w:tr>
    </w:tbl>
    <w:p>
      <w:pPr>
        <w:jc w:val="center"/>
        <w:spacing w:after="0" w:line="199" w:lineRule="auto"/>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2621915</wp:posOffset>
            </wp:positionH>
            <wp:positionV relativeFrom="paragraph">
              <wp:posOffset>47625</wp:posOffset>
            </wp:positionV>
            <wp:extent cx="1898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5" w:lineRule="exact"/>
        <w:rPr>
          <w:sz w:val="24"/>
          <w:szCs w:val="24"/>
          <w:color w:val="auto"/>
        </w:rPr>
      </w:pPr>
    </w:p>
    <w:tbl>
      <w:tblPr>
        <w:tblLayout w:type="fixed"/>
        <w:tblInd w:w="1930" w:type="dxa"/>
        <w:tblCellMar>
          <w:top w:w="0" w:type="dxa"/>
          <w:left w:w="0" w:type="dxa"/>
          <w:bottom w:w="0" w:type="dxa"/>
          <w:right w:w="0" w:type="dxa"/>
        </w:tblCellMar>
      </w:tblPr>
      <w:tr>
        <w:trPr>
          <w:trHeight w:val="204"/>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246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Name of Each Exchange</w:t>
            </w:r>
          </w:p>
        </w:tc>
      </w:tr>
      <w:tr>
        <w:trPr>
          <w:trHeight w:val="180"/>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No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NASDAQ Capital Market</w:t>
            </w:r>
          </w:p>
        </w:tc>
      </w:tr>
    </w:tbl>
    <w:p>
      <w:pPr>
        <w:spacing w:after="0" w:line="180"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32"/>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32"/>
        </w:trPr>
        <w:tc>
          <w:tcPr>
            <w:tcW w:w="19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56" w:lineRule="exact"/>
        <w:rPr>
          <w:sz w:val="24"/>
          <w:szCs w:val="24"/>
          <w:color w:val="auto"/>
        </w:rPr>
      </w:pPr>
    </w:p>
    <w:p>
      <w:pPr>
        <w:ind w:right="58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50" w:lineRule="exact"/>
        <w:rPr>
          <w:sz w:val="24"/>
          <w:szCs w:val="24"/>
          <w:color w:val="auto"/>
        </w:rPr>
      </w:pPr>
    </w:p>
    <w:p>
      <w:pPr>
        <w:spacing w:after="0" w:line="173" w:lineRule="exact"/>
        <w:tabs>
          <w:tab w:leader="none" w:pos="5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shares of each of the issuers’ classes of common stock, as of the latest practicable date:</w:t>
      </w:r>
    </w:p>
    <w:p>
      <w:pPr>
        <w:spacing w:after="0" w:line="204" w:lineRule="exact"/>
        <w:rPr>
          <w:sz w:val="24"/>
          <w:szCs w:val="24"/>
          <w:color w:val="auto"/>
        </w:rPr>
      </w:pPr>
    </w:p>
    <w:tbl>
      <w:tblPr>
        <w:tblLayout w:type="fixed"/>
        <w:tblInd w:w="1960" w:type="dxa"/>
        <w:tblCellMar>
          <w:top w:w="0" w:type="dxa"/>
          <w:left w:w="0" w:type="dxa"/>
          <w:bottom w:w="0" w:type="dxa"/>
          <w:right w:w="0" w:type="dxa"/>
        </w:tblCellMar>
      </w:tblPr>
      <w:tr>
        <w:trPr>
          <w:trHeight w:val="172"/>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No Par Value</w:t>
            </w:r>
          </w:p>
        </w:tc>
        <w:tc>
          <w:tcPr>
            <w:tcW w:w="1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13,606,651</w:t>
            </w:r>
          </w:p>
        </w:tc>
        <w:tc>
          <w:tcPr>
            <w:tcW w:w="740" w:type="dxa"/>
            <w:vAlign w:val="bottom"/>
          </w:tcPr>
          <w:p>
            <w:pPr>
              <w:spacing w:after="0"/>
              <w:rPr>
                <w:sz w:val="15"/>
                <w:szCs w:val="15"/>
                <w:color w:val="auto"/>
              </w:rPr>
            </w:pPr>
          </w:p>
        </w:tc>
      </w:tr>
      <w:tr>
        <w:trPr>
          <w:trHeight w:val="205"/>
        </w:trPr>
        <w:tc>
          <w:tcPr>
            <w:tcW w:w="3660" w:type="dxa"/>
            <w:vAlign w:val="bottom"/>
            <w:gridSpan w:val="2"/>
          </w:tcPr>
          <w:p>
            <w:pPr>
              <w:jc w:val="center"/>
              <w:ind w:right="1800"/>
              <w:spacing w:after="0"/>
              <w:rPr>
                <w:sz w:val="20"/>
                <w:szCs w:val="20"/>
                <w:color w:val="auto"/>
              </w:rPr>
            </w:pPr>
            <w:r>
              <w:rPr>
                <w:rFonts w:ascii="Times New Roman" w:cs="Times New Roman" w:eastAsia="Times New Roman" w:hAnsi="Times New Roman"/>
                <w:sz w:val="15"/>
                <w:szCs w:val="15"/>
                <w:color w:val="auto"/>
              </w:rPr>
              <w:t>Class</w:t>
            </w:r>
          </w:p>
        </w:tc>
        <w:tc>
          <w:tcPr>
            <w:tcW w:w="3980" w:type="dxa"/>
            <w:vAlign w:val="bottom"/>
            <w:gridSpan w:val="3"/>
          </w:tcPr>
          <w:p>
            <w:pPr>
              <w:jc w:val="center"/>
              <w:ind w:left="1723"/>
              <w:spacing w:after="0"/>
              <w:rPr>
                <w:sz w:val="20"/>
                <w:szCs w:val="20"/>
                <w:color w:val="auto"/>
              </w:rPr>
            </w:pPr>
            <w:r>
              <w:rPr>
                <w:rFonts w:ascii="Times New Roman" w:cs="Times New Roman" w:eastAsia="Times New Roman" w:hAnsi="Times New Roman"/>
                <w:sz w:val="15"/>
                <w:szCs w:val="15"/>
                <w:color w:val="auto"/>
              </w:rPr>
              <w:t>Outstanding as of October 21, 2022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7139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157480</wp:posOffset>
            </wp:positionV>
            <wp:extent cx="7139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rPr>
          <w:sz w:val="20"/>
          <w:szCs w:val="20"/>
          <w:color w:val="auto"/>
        </w:rPr>
      </w:pPr>
      <w:r>
        <w:rPr>
          <w:rFonts w:ascii="Times New Roman" w:cs="Times New Roman" w:eastAsia="Times New Roman" w:hAnsi="Times New Roman"/>
          <w:sz w:val="17"/>
          <w:szCs w:val="17"/>
          <w:color w:val="auto"/>
        </w:rPr>
        <w:t>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FARMERS &amp; MERCHANTS BANCORP, INC.</w:t>
      </w:r>
    </w:p>
    <w:p>
      <w:pPr>
        <w:spacing w:after="0" w:line="237" w:lineRule="auto"/>
        <w:rPr>
          <w:sz w:val="20"/>
          <w:szCs w:val="20"/>
          <w:color w:val="auto"/>
        </w:rPr>
      </w:pPr>
      <w:r>
        <w:rPr>
          <w:rFonts w:ascii="Times New Roman" w:cs="Times New Roman" w:eastAsia="Times New Roman" w:hAnsi="Times New Roman"/>
          <w:sz w:val="17"/>
          <w:szCs w:val="17"/>
          <w:color w:val="auto"/>
        </w:rPr>
        <w:t>INDEX</w:t>
      </w:r>
    </w:p>
    <w:tbl>
      <w:tblPr>
        <w:tblLayout w:type="fixed"/>
        <w:tblInd w:w="670" w:type="dxa"/>
        <w:tblCellMar>
          <w:top w:w="0" w:type="dxa"/>
          <w:left w:w="0" w:type="dxa"/>
          <w:bottom w:w="0" w:type="dxa"/>
          <w:right w:w="0" w:type="dxa"/>
        </w:tblCellMar>
      </w:tblPr>
      <w:tr>
        <w:trPr>
          <w:trHeight w:val="165"/>
        </w:trPr>
        <w:tc>
          <w:tcPr>
            <w:tcW w:w="1180" w:type="dxa"/>
            <w:vAlign w:val="bottom"/>
            <w:tcBorders>
              <w:bottom w:val="single" w:sz="8" w:color="auto"/>
            </w:tcBorders>
            <w:gridSpan w:val="3"/>
          </w:tcPr>
          <w:p>
            <w:pPr>
              <w:spacing w:after="0" w:line="165" w:lineRule="exact"/>
              <w:rPr>
                <w:sz w:val="20"/>
                <w:szCs w:val="20"/>
                <w:color w:val="auto"/>
              </w:rPr>
            </w:pPr>
            <w:r>
              <w:rPr>
                <w:rFonts w:ascii="Times New Roman" w:cs="Times New Roman" w:eastAsia="Times New Roman" w:hAnsi="Times New Roman"/>
                <w:sz w:val="17"/>
                <w:szCs w:val="17"/>
                <w:color w:val="auto"/>
                <w:w w:val="98"/>
              </w:rPr>
              <w:t>Form 10-Q Items</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40" w:type="dxa"/>
            <w:vAlign w:val="bottom"/>
          </w:tcPr>
          <w:p>
            <w:pPr>
              <w:jc w:val="center"/>
              <w:ind w:left="55"/>
              <w:spacing w:after="0" w:line="165" w:lineRule="exact"/>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172"/>
        </w:trPr>
        <w:tc>
          <w:tcPr>
            <w:tcW w:w="1180" w:type="dxa"/>
            <w:vAlign w:val="bottom"/>
            <w:gridSpan w:val="3"/>
          </w:tcPr>
          <w:p>
            <w:pPr>
              <w:spacing w:after="0" w:line="172" w:lineRule="exact"/>
              <w:rPr>
                <w:sz w:val="20"/>
                <w:szCs w:val="20"/>
                <w:color w:val="auto"/>
              </w:rPr>
            </w:pPr>
            <w:r>
              <w:rPr>
                <w:rFonts w:ascii="Times New Roman" w:cs="Times New Roman" w:eastAsia="Times New Roman" w:hAnsi="Times New Roman"/>
                <w:sz w:val="17"/>
                <w:szCs w:val="17"/>
                <w:color w:val="auto"/>
              </w:rPr>
              <w:t>PART I.</w:t>
            </w:r>
          </w:p>
        </w:tc>
        <w:tc>
          <w:tcPr>
            <w:tcW w:w="400" w:type="dxa"/>
            <w:vAlign w:val="bottom"/>
          </w:tcPr>
          <w:p>
            <w:pPr>
              <w:spacing w:after="0"/>
              <w:rPr>
                <w:sz w:val="14"/>
                <w:szCs w:val="14"/>
                <w:color w:val="auto"/>
              </w:rPr>
            </w:pPr>
          </w:p>
        </w:tc>
        <w:tc>
          <w:tcPr>
            <w:tcW w:w="2140" w:type="dxa"/>
            <w:vAlign w:val="bottom"/>
            <w:tcBorders>
              <w:bottom w:val="single" w:sz="8" w:color="0000FF"/>
            </w:tcBorders>
            <w:gridSpan w:val="8"/>
          </w:tcPr>
          <w:p>
            <w:pPr>
              <w:spacing w:after="0" w:line="172" w:lineRule="exact"/>
              <w:rPr>
                <w:sz w:val="20"/>
                <w:szCs w:val="20"/>
                <w:color w:val="auto"/>
              </w:rPr>
            </w:pPr>
            <w:r>
              <w:rPr>
                <w:rFonts w:ascii="Times New Roman" w:cs="Times New Roman" w:eastAsia="Times New Roman" w:hAnsi="Times New Roman"/>
                <w:sz w:val="17"/>
                <w:szCs w:val="17"/>
                <w:color w:val="0000FF"/>
                <w:w w:val="98"/>
              </w:rPr>
              <w:t>FINANCIAL INFORMATION</w:t>
            </w:r>
          </w:p>
        </w:tc>
        <w:tc>
          <w:tcPr>
            <w:tcW w:w="6060" w:type="dxa"/>
            <w:vAlign w:val="bottom"/>
            <w:gridSpan w:val="19"/>
          </w:tcPr>
          <w:p>
            <w:pPr>
              <w:spacing w:after="0"/>
              <w:rPr>
                <w:sz w:val="14"/>
                <w:szCs w:val="14"/>
                <w:color w:val="auto"/>
              </w:rPr>
            </w:pPr>
          </w:p>
        </w:tc>
        <w:tc>
          <w:tcPr>
            <w:tcW w:w="540" w:type="dxa"/>
            <w:vAlign w:val="bottom"/>
          </w:tcPr>
          <w:p>
            <w:pPr>
              <w:jc w:val="center"/>
              <w:ind w:left="55"/>
              <w:spacing w:after="0" w:line="172"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Condensed Consolidated Balance Sheets -</w:t>
            </w:r>
          </w:p>
        </w:tc>
        <w:tc>
          <w:tcPr>
            <w:tcW w:w="20" w:type="dxa"/>
            <w:vAlign w:val="bottom"/>
            <w:tcBorders>
              <w:bottom w:val="single" w:sz="8" w:color="0000EE"/>
            </w:tcBorders>
          </w:tcPr>
          <w:p>
            <w:pPr>
              <w:spacing w:after="0"/>
              <w:rPr>
                <w:sz w:val="24"/>
                <w:szCs w:val="24"/>
                <w:color w:val="auto"/>
              </w:rPr>
            </w:pPr>
          </w:p>
        </w:tc>
        <w:tc>
          <w:tcPr>
            <w:tcW w:w="5300" w:type="dxa"/>
            <w:vAlign w:val="bottom"/>
            <w:gridSpan w:val="15"/>
          </w:tcPr>
          <w:p>
            <w:pPr>
              <w:spacing w:after="0"/>
              <w:rPr>
                <w:sz w:val="24"/>
                <w:szCs w:val="24"/>
                <w:color w:val="auto"/>
              </w:rPr>
            </w:pPr>
          </w:p>
        </w:tc>
        <w:tc>
          <w:tcPr>
            <w:tcW w:w="5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Borders>
              <w:bottom w:val="single" w:sz="8" w:color="0000FF"/>
            </w:tcBorders>
            <w:gridSpan w:val="13"/>
          </w:tcPr>
          <w:p>
            <w:pPr>
              <w:spacing w:after="0" w:line="159" w:lineRule="exact"/>
              <w:rPr>
                <w:sz w:val="20"/>
                <w:szCs w:val="20"/>
                <w:color w:val="auto"/>
              </w:rPr>
            </w:pPr>
            <w:r>
              <w:rPr>
                <w:rFonts w:ascii="Times New Roman" w:cs="Times New Roman" w:eastAsia="Times New Roman" w:hAnsi="Times New Roman"/>
                <w:sz w:val="17"/>
                <w:szCs w:val="17"/>
                <w:color w:val="0000FF"/>
                <w:w w:val="99"/>
              </w:rPr>
              <w:t>September 30, 2022 and December 31, 2021</w:t>
            </w:r>
          </w:p>
        </w:tc>
        <w:tc>
          <w:tcPr>
            <w:tcW w:w="20" w:type="dxa"/>
            <w:vAlign w:val="bottom"/>
            <w:tcBorders>
              <w:bottom w:val="single" w:sz="8" w:color="0000EE"/>
            </w:tcBorders>
          </w:tcPr>
          <w:p>
            <w:pPr>
              <w:spacing w:after="0"/>
              <w:rPr>
                <w:sz w:val="13"/>
                <w:szCs w:val="13"/>
                <w:color w:val="auto"/>
              </w:rPr>
            </w:pPr>
          </w:p>
        </w:tc>
        <w:tc>
          <w:tcPr>
            <w:tcW w:w="5140" w:type="dxa"/>
            <w:vAlign w:val="bottom"/>
            <w:gridSpan w:val="13"/>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Income -</w:t>
            </w:r>
          </w:p>
        </w:tc>
        <w:tc>
          <w:tcPr>
            <w:tcW w:w="4840" w:type="dxa"/>
            <w:vAlign w:val="bottom"/>
            <w:gridSpan w:val="12"/>
          </w:tcPr>
          <w:p>
            <w:pPr>
              <w:spacing w:after="0"/>
              <w:rPr>
                <w:sz w:val="24"/>
                <w:szCs w:val="24"/>
                <w:color w:val="auto"/>
              </w:rPr>
            </w:pPr>
          </w:p>
        </w:tc>
        <w:tc>
          <w:tcPr>
            <w:tcW w:w="5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0" w:type="dxa"/>
            <w:vAlign w:val="bottom"/>
            <w:gridSpan w:val="27"/>
          </w:tcPr>
          <w:p>
            <w:pPr>
              <w:spacing w:after="0" w:line="159" w:lineRule="exact"/>
              <w:rPr>
                <w:sz w:val="20"/>
                <w:szCs w:val="20"/>
                <w:color w:val="auto"/>
              </w:rPr>
            </w:pPr>
            <w:r>
              <w:rPr>
                <w:rFonts w:ascii="Times New Roman" w:cs="Times New Roman" w:eastAsia="Times New Roman" w:hAnsi="Times New Roman"/>
                <w:sz w:val="17"/>
                <w:szCs w:val="17"/>
                <w:color w:val="0000FF"/>
              </w:rPr>
              <w:t>Three and Nine Months Ended September 30, 2022 and September 30, 2021</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w:t>
            </w:r>
          </w:p>
        </w:tc>
        <w:tc>
          <w:tcPr>
            <w:tcW w:w="30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23"/>
          </w:tcPr>
          <w:p>
            <w:pPr>
              <w:ind w:left="40"/>
              <w:spacing w:after="0" w:line="159" w:lineRule="exact"/>
              <w:rPr>
                <w:sz w:val="20"/>
                <w:szCs w:val="20"/>
                <w:color w:val="auto"/>
              </w:rPr>
            </w:pPr>
            <w:r>
              <w:rPr>
                <w:rFonts w:ascii="Times New Roman" w:cs="Times New Roman" w:eastAsia="Times New Roman" w:hAnsi="Times New Roman"/>
                <w:sz w:val="17"/>
                <w:szCs w:val="17"/>
                <w:color w:val="0000FF"/>
              </w:rPr>
              <w:t>Three and Nine Months Ended September 30, 2022 and September 30,</w:t>
            </w:r>
          </w:p>
        </w:tc>
        <w:tc>
          <w:tcPr>
            <w:tcW w:w="280" w:type="dxa"/>
            <w:vAlign w:val="bottom"/>
            <w:tcBorders>
              <w:bottom w:val="single" w:sz="8" w:color="0000FF"/>
            </w:tcBorders>
            <w:gridSpan w:val="3"/>
          </w:tcPr>
          <w:p>
            <w:pPr>
              <w:jc w:val="right"/>
              <w:spacing w:after="0" w:line="159" w:lineRule="exact"/>
              <w:rPr>
                <w:sz w:val="20"/>
                <w:szCs w:val="20"/>
                <w:color w:val="auto"/>
              </w:rPr>
            </w:pPr>
            <w:r>
              <w:rPr>
                <w:rFonts w:ascii="Times New Roman" w:cs="Times New Roman" w:eastAsia="Times New Roman" w:hAnsi="Times New Roman"/>
                <w:sz w:val="17"/>
                <w:szCs w:val="17"/>
                <w:color w:val="0000FF"/>
                <w:w w:val="76"/>
              </w:rPr>
              <w:t>2021</w:t>
            </w:r>
          </w:p>
        </w:tc>
        <w:tc>
          <w:tcPr>
            <w:tcW w:w="2960" w:type="dxa"/>
            <w:vAlign w:val="bottom"/>
          </w:tcPr>
          <w:p>
            <w:pPr>
              <w:spacing w:after="0"/>
              <w:rPr>
                <w:sz w:val="13"/>
                <w:szCs w:val="13"/>
                <w:color w:val="auto"/>
              </w:rPr>
            </w:pPr>
          </w:p>
        </w:tc>
        <w:tc>
          <w:tcPr>
            <w:tcW w:w="540" w:type="dxa"/>
            <w:vAlign w:val="bottom"/>
          </w:tcPr>
          <w:p>
            <w:pPr>
              <w:jc w:val="center"/>
              <w:ind w:left="55"/>
              <w:spacing w:after="0" w:line="159"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to Stockholders’ Equity -</w:t>
            </w:r>
          </w:p>
        </w:tc>
        <w:tc>
          <w:tcPr>
            <w:tcW w:w="3100" w:type="dxa"/>
            <w:vAlign w:val="bottom"/>
            <w:gridSpan w:val="3"/>
          </w:tcPr>
          <w:p>
            <w:pPr>
              <w:spacing w:after="0"/>
              <w:rPr>
                <w:sz w:val="24"/>
                <w:szCs w:val="24"/>
                <w:color w:val="auto"/>
              </w:rPr>
            </w:pPr>
          </w:p>
        </w:tc>
        <w:tc>
          <w:tcPr>
            <w:tcW w:w="5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0" w:type="dxa"/>
            <w:vAlign w:val="bottom"/>
            <w:gridSpan w:val="27"/>
          </w:tcPr>
          <w:p>
            <w:pPr>
              <w:ind w:left="40"/>
              <w:spacing w:after="0" w:line="159" w:lineRule="exact"/>
              <w:rPr>
                <w:sz w:val="20"/>
                <w:szCs w:val="20"/>
                <w:color w:val="auto"/>
              </w:rPr>
            </w:pPr>
            <w:r>
              <w:rPr>
                <w:rFonts w:ascii="Times New Roman" w:cs="Times New Roman" w:eastAsia="Times New Roman" w:hAnsi="Times New Roman"/>
                <w:sz w:val="17"/>
                <w:szCs w:val="17"/>
                <w:color w:val="0000FF"/>
              </w:rPr>
              <w:t>Three and Nine Months Ended September 30, 2022 and September 30, 2021</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w:t>
            </w:r>
          </w:p>
        </w:tc>
        <w:tc>
          <w:tcPr>
            <w:tcW w:w="1580" w:type="dxa"/>
            <w:vAlign w:val="bottom"/>
            <w:tcBorders>
              <w:top w:val="single" w:sz="8" w:color="0000FF"/>
            </w:tcBorders>
            <w:gridSpan w:val="10"/>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Borders>
              <w:bottom w:val="single" w:sz="8" w:color="0000FF"/>
            </w:tcBorders>
            <w:gridSpan w:val="22"/>
          </w:tcPr>
          <w:p>
            <w:pPr>
              <w:spacing w:after="0" w:line="159" w:lineRule="exact"/>
              <w:rPr>
                <w:sz w:val="20"/>
                <w:szCs w:val="20"/>
                <w:color w:val="auto"/>
              </w:rPr>
            </w:pPr>
            <w:r>
              <w:rPr>
                <w:rFonts w:ascii="Times New Roman" w:cs="Times New Roman" w:eastAsia="Times New Roman" w:hAnsi="Times New Roman"/>
                <w:sz w:val="17"/>
                <w:szCs w:val="17"/>
                <w:color w:val="0000FF"/>
                <w:w w:val="99"/>
              </w:rPr>
              <w:t>Nine Months Ended September 30, 2022 and September 30, 2021</w:t>
            </w:r>
          </w:p>
        </w:tc>
        <w:tc>
          <w:tcPr>
            <w:tcW w:w="3720" w:type="dxa"/>
            <w:vAlign w:val="bottom"/>
            <w:gridSpan w:val="5"/>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w w:val="99"/>
              </w:rPr>
              <w:t>Notes to Condensed Consolidated Financial Statements</w:t>
            </w:r>
          </w:p>
        </w:tc>
        <w:tc>
          <w:tcPr>
            <w:tcW w:w="20" w:type="dxa"/>
            <w:vAlign w:val="bottom"/>
            <w:tcBorders>
              <w:bottom w:val="single" w:sz="8" w:color="0000EE"/>
            </w:tcBorders>
          </w:tcPr>
          <w:p>
            <w:pPr>
              <w:spacing w:after="0"/>
              <w:rPr>
                <w:sz w:val="24"/>
                <w:szCs w:val="24"/>
                <w:color w:val="auto"/>
              </w:rPr>
            </w:pPr>
          </w:p>
        </w:tc>
        <w:tc>
          <w:tcPr>
            <w:tcW w:w="4400" w:type="dxa"/>
            <w:vAlign w:val="bottom"/>
            <w:gridSpan w:val="9"/>
          </w:tcPr>
          <w:p>
            <w:pPr>
              <w:spacing w:after="0"/>
              <w:rPr>
                <w:sz w:val="24"/>
                <w:szCs w:val="24"/>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87"/>
        </w:trPr>
        <w:tc>
          <w:tcPr>
            <w:tcW w:w="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w:t>
            </w:r>
          </w:p>
        </w:tc>
        <w:tc>
          <w:tcPr>
            <w:tcW w:w="54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rPr>
              <w:t>50-69</w:t>
            </w:r>
          </w:p>
        </w:tc>
        <w:tc>
          <w:tcPr>
            <w:tcW w:w="0" w:type="dxa"/>
            <w:vAlign w:val="bottom"/>
          </w:tcPr>
          <w:p>
            <w:pPr>
              <w:spacing w:after="0"/>
              <w:rPr>
                <w:sz w:val="1"/>
                <w:szCs w:val="1"/>
                <w:color w:val="auto"/>
              </w:rPr>
            </w:pPr>
          </w:p>
        </w:tc>
      </w:tr>
      <w:tr>
        <w:trPr>
          <w:trHeight w:val="159"/>
        </w:trPr>
        <w:tc>
          <w:tcPr>
            <w:tcW w:w="38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20" w:type="dxa"/>
            <w:vAlign w:val="bottom"/>
            <w:tcBorders>
              <w:top w:val="single" w:sz="8" w:color="0000FF"/>
            </w:tcBorders>
            <w:gridSpan w:val="21"/>
          </w:tcPr>
          <w:p>
            <w:pPr>
              <w:spacing w:after="0" w:line="159" w:lineRule="exact"/>
              <w:rPr>
                <w:sz w:val="20"/>
                <w:szCs w:val="20"/>
                <w:color w:val="auto"/>
              </w:rPr>
            </w:pPr>
            <w:r>
              <w:rPr>
                <w:rFonts w:ascii="Times New Roman" w:cs="Times New Roman" w:eastAsia="Times New Roman" w:hAnsi="Times New Roman"/>
                <w:sz w:val="17"/>
                <w:szCs w:val="17"/>
                <w:color w:val="0000FF"/>
              </w:rPr>
              <w:t>and Results of Operations</w:t>
            </w:r>
          </w:p>
        </w:tc>
        <w:tc>
          <w:tcPr>
            <w:tcW w:w="3880" w:type="dxa"/>
            <w:vAlign w:val="bottom"/>
            <w:gridSpan w:val="6"/>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Qualitative and Quantitative Disclosures About Market Risk</w:t>
            </w:r>
          </w:p>
        </w:tc>
        <w:tc>
          <w:tcPr>
            <w:tcW w:w="4060" w:type="dxa"/>
            <w:vAlign w:val="bottom"/>
            <w:gridSpan w:val="7"/>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100" w:type="dxa"/>
            <w:vAlign w:val="bottom"/>
            <w:tcBorders>
              <w:bottom w:val="single" w:sz="8" w:color="0000EE"/>
            </w:tcBorders>
          </w:tcPr>
          <w:p>
            <w:pPr>
              <w:spacing w:after="0"/>
              <w:rPr>
                <w:sz w:val="24"/>
                <w:szCs w:val="24"/>
                <w:color w:val="auto"/>
              </w:rPr>
            </w:pPr>
          </w:p>
        </w:tc>
        <w:tc>
          <w:tcPr>
            <w:tcW w:w="6420" w:type="dxa"/>
            <w:vAlign w:val="bottom"/>
            <w:gridSpan w:val="20"/>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PART II.</w:t>
            </w:r>
          </w:p>
        </w:tc>
        <w:tc>
          <w:tcPr>
            <w:tcW w:w="400" w:type="dxa"/>
            <w:vAlign w:val="bottom"/>
          </w:tcPr>
          <w:p>
            <w:pPr>
              <w:spacing w:after="0"/>
              <w:rPr>
                <w:sz w:val="24"/>
                <w:szCs w:val="24"/>
                <w:color w:val="auto"/>
              </w:rPr>
            </w:pPr>
          </w:p>
        </w:tc>
        <w:tc>
          <w:tcPr>
            <w:tcW w:w="82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420" w:type="dxa"/>
            <w:vAlign w:val="bottom"/>
            <w:gridSpan w:val="20"/>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1A.</w:t>
            </w:r>
          </w:p>
        </w:tc>
        <w:tc>
          <w:tcPr>
            <w:tcW w:w="400" w:type="dxa"/>
            <w:vAlign w:val="bottom"/>
          </w:tcPr>
          <w:p>
            <w:pPr>
              <w:spacing w:after="0"/>
              <w:rPr>
                <w:sz w:val="24"/>
                <w:szCs w:val="24"/>
                <w:color w:val="auto"/>
              </w:rPr>
            </w:pPr>
          </w:p>
        </w:tc>
        <w:tc>
          <w:tcPr>
            <w:tcW w:w="8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380" w:type="dxa"/>
            <w:vAlign w:val="bottom"/>
            <w:tcBorders>
              <w:top w:val="single" w:sz="8" w:color="0000FF"/>
            </w:tcBorders>
            <w:gridSpan w:val="2"/>
          </w:tcPr>
          <w:p>
            <w:pPr>
              <w:spacing w:after="0"/>
              <w:rPr>
                <w:sz w:val="24"/>
                <w:szCs w:val="24"/>
                <w:color w:val="auto"/>
              </w:rPr>
            </w:pPr>
          </w:p>
        </w:tc>
        <w:tc>
          <w:tcPr>
            <w:tcW w:w="6940" w:type="dxa"/>
            <w:vAlign w:val="bottom"/>
            <w:gridSpan w:val="22"/>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w w:val="99"/>
              </w:rPr>
              <w:t>Unregistered Sales of Equity Securities and Use of Proceeds</w:t>
            </w:r>
          </w:p>
        </w:tc>
        <w:tc>
          <w:tcPr>
            <w:tcW w:w="4080" w:type="dxa"/>
            <w:vAlign w:val="bottom"/>
            <w:gridSpan w:val="8"/>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6000" w:type="dxa"/>
            <w:vAlign w:val="bottom"/>
            <w:gridSpan w:val="18"/>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Mine Safety Disclosures</w:t>
            </w:r>
          </w:p>
        </w:tc>
        <w:tc>
          <w:tcPr>
            <w:tcW w:w="6520" w:type="dxa"/>
            <w:vAlign w:val="bottom"/>
            <w:gridSpan w:val="21"/>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Item</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6960" w:type="dxa"/>
            <w:vAlign w:val="bottom"/>
            <w:gridSpan w:val="23"/>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287"/>
        </w:trPr>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4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3"/>
              </w:rPr>
              <w:t>73</w:t>
            </w:r>
          </w:p>
        </w:tc>
        <w:tc>
          <w:tcPr>
            <w:tcW w:w="0" w:type="dxa"/>
            <w:vAlign w:val="bottom"/>
          </w:tcPr>
          <w:p>
            <w:pPr>
              <w:spacing w:after="0"/>
              <w:rPr>
                <w:sz w:val="1"/>
                <w:szCs w:val="1"/>
                <w:color w:val="auto"/>
              </w:rPr>
            </w:pPr>
          </w:p>
        </w:tc>
      </w:tr>
      <w:tr>
        <w:trPr>
          <w:trHeight w:val="20"/>
        </w:trPr>
        <w:tc>
          <w:tcPr>
            <w:tcW w:w="720" w:type="dxa"/>
            <w:vAlign w:val="bottom"/>
            <w:tcBorders>
              <w:lef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0" w:type="dxa"/>
            <w:vAlign w:val="bottom"/>
            <w:gridSpan w:val="2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400" w:type="dxa"/>
            <w:vAlign w:val="bottom"/>
          </w:tcPr>
          <w:p>
            <w:pPr>
              <w:spacing w:after="0"/>
              <w:rPr>
                <w:sz w:val="23"/>
                <w:szCs w:val="23"/>
                <w:color w:val="auto"/>
              </w:rPr>
            </w:pPr>
          </w:p>
        </w:tc>
        <w:tc>
          <w:tcPr>
            <w:tcW w:w="820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0" w:type="dxa"/>
            <w:vAlign w:val="bottom"/>
            <w:gridSpan w:val="27"/>
          </w:tcPr>
          <w:p>
            <w:pPr>
              <w:spacing w:after="0" w:line="181" w:lineRule="exact"/>
              <w:rPr>
                <w:sz w:val="20"/>
                <w:szCs w:val="20"/>
                <w:color w:val="auto"/>
              </w:rPr>
            </w:pPr>
            <w:r>
              <w:rPr>
                <w:rFonts w:ascii="Times New Roman" w:cs="Times New Roman" w:eastAsia="Times New Roman" w:hAnsi="Times New Roman"/>
                <w:sz w:val="16"/>
                <w:szCs w:val="16"/>
                <w:color w:val="auto"/>
              </w:rPr>
              <w:t xml:space="preserve">XBRL tags are embedded within the Inline XBRL document. </w:t>
            </w:r>
            <w:r>
              <w:rPr>
                <w:rFonts w:ascii="Times New Roman" w:cs="Times New Roman" w:eastAsia="Times New Roman" w:hAnsi="Times New Roman"/>
                <w:sz w:val="20"/>
                <w:szCs w:val="20"/>
                <w:color w:val="auto"/>
                <w:vertAlign w:val="superscript"/>
              </w:rPr>
              <w:t>(1)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80" w:type="dxa"/>
            <w:vAlign w:val="bottom"/>
            <w:gridSpan w:val="3"/>
          </w:tcPr>
          <w:p>
            <w:pPr>
              <w:spacing w:after="0" w:line="192" w:lineRule="exact"/>
              <w:rPr>
                <w:sz w:val="20"/>
                <w:szCs w:val="20"/>
                <w:color w:val="auto"/>
              </w:rPr>
            </w:pPr>
            <w:r>
              <w:rPr>
                <w:rFonts w:ascii="Times New Roman" w:cs="Times New Roman" w:eastAsia="Times New Roman" w:hAnsi="Times New Roman"/>
                <w:sz w:val="17"/>
                <w:szCs w:val="17"/>
                <w:color w:val="auto"/>
              </w:rPr>
              <w:t>101.SCH</w:t>
            </w:r>
          </w:p>
        </w:tc>
        <w:tc>
          <w:tcPr>
            <w:tcW w:w="400" w:type="dxa"/>
            <w:vAlign w:val="bottom"/>
          </w:tcPr>
          <w:p>
            <w:pPr>
              <w:spacing w:after="0"/>
              <w:rPr>
                <w:sz w:val="16"/>
                <w:szCs w:val="16"/>
                <w:color w:val="auto"/>
              </w:rPr>
            </w:pPr>
          </w:p>
        </w:tc>
        <w:tc>
          <w:tcPr>
            <w:tcW w:w="8200" w:type="dxa"/>
            <w:vAlign w:val="bottom"/>
            <w:gridSpan w:val="27"/>
          </w:tcPr>
          <w:p>
            <w:pPr>
              <w:spacing w:after="0" w:line="191" w:lineRule="exact"/>
              <w:rPr>
                <w:sz w:val="20"/>
                <w:szCs w:val="20"/>
                <w:color w:val="auto"/>
              </w:rPr>
            </w:pPr>
            <w:r>
              <w:rPr>
                <w:rFonts w:ascii="Times New Roman" w:cs="Times New Roman" w:eastAsia="Times New Roman" w:hAnsi="Times New Roman"/>
                <w:sz w:val="17"/>
                <w:szCs w:val="17"/>
                <w:color w:val="auto"/>
              </w:rPr>
              <w:t xml:space="preserve">Inline XBRL Taxonomy Extension Schema Document </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gridSpan w:val="3"/>
          </w:tcPr>
          <w:p>
            <w:pPr>
              <w:spacing w:after="0" w:line="192" w:lineRule="exact"/>
              <w:rPr>
                <w:sz w:val="20"/>
                <w:szCs w:val="20"/>
                <w:color w:val="auto"/>
              </w:rPr>
            </w:pPr>
            <w:r>
              <w:rPr>
                <w:rFonts w:ascii="Times New Roman" w:cs="Times New Roman" w:eastAsia="Times New Roman" w:hAnsi="Times New Roman"/>
                <w:sz w:val="17"/>
                <w:szCs w:val="17"/>
                <w:color w:val="auto"/>
              </w:rPr>
              <w:t>101.CAL</w:t>
            </w:r>
          </w:p>
        </w:tc>
        <w:tc>
          <w:tcPr>
            <w:tcW w:w="400" w:type="dxa"/>
            <w:vAlign w:val="bottom"/>
          </w:tcPr>
          <w:p>
            <w:pPr>
              <w:spacing w:after="0"/>
              <w:rPr>
                <w:sz w:val="16"/>
                <w:szCs w:val="16"/>
                <w:color w:val="auto"/>
              </w:rPr>
            </w:pPr>
          </w:p>
        </w:tc>
        <w:tc>
          <w:tcPr>
            <w:tcW w:w="8200" w:type="dxa"/>
            <w:vAlign w:val="bottom"/>
            <w:gridSpan w:val="27"/>
          </w:tcPr>
          <w:p>
            <w:pPr>
              <w:spacing w:after="0" w:line="191" w:lineRule="exact"/>
              <w:rPr>
                <w:sz w:val="20"/>
                <w:szCs w:val="20"/>
                <w:color w:val="auto"/>
              </w:rPr>
            </w:pPr>
            <w:r>
              <w:rPr>
                <w:rFonts w:ascii="Times New Roman" w:cs="Times New Roman" w:eastAsia="Times New Roman" w:hAnsi="Times New Roman"/>
                <w:sz w:val="17"/>
                <w:szCs w:val="17"/>
                <w:color w:val="auto"/>
              </w:rPr>
              <w:t xml:space="preserve">Inline XBRL Taxonomy Extension Calculation Linkbase Document </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gridSpan w:val="3"/>
          </w:tcPr>
          <w:p>
            <w:pPr>
              <w:spacing w:after="0" w:line="192" w:lineRule="exact"/>
              <w:rPr>
                <w:sz w:val="20"/>
                <w:szCs w:val="20"/>
                <w:color w:val="auto"/>
              </w:rPr>
            </w:pPr>
            <w:r>
              <w:rPr>
                <w:rFonts w:ascii="Times New Roman" w:cs="Times New Roman" w:eastAsia="Times New Roman" w:hAnsi="Times New Roman"/>
                <w:sz w:val="17"/>
                <w:szCs w:val="17"/>
                <w:color w:val="auto"/>
              </w:rPr>
              <w:t>101.DEF</w:t>
            </w:r>
          </w:p>
        </w:tc>
        <w:tc>
          <w:tcPr>
            <w:tcW w:w="400" w:type="dxa"/>
            <w:vAlign w:val="bottom"/>
          </w:tcPr>
          <w:p>
            <w:pPr>
              <w:spacing w:after="0"/>
              <w:rPr>
                <w:sz w:val="16"/>
                <w:szCs w:val="16"/>
                <w:color w:val="auto"/>
              </w:rPr>
            </w:pPr>
          </w:p>
        </w:tc>
        <w:tc>
          <w:tcPr>
            <w:tcW w:w="8200" w:type="dxa"/>
            <w:vAlign w:val="bottom"/>
            <w:gridSpan w:val="27"/>
          </w:tcPr>
          <w:p>
            <w:pPr>
              <w:spacing w:after="0" w:line="191" w:lineRule="exact"/>
              <w:rPr>
                <w:sz w:val="20"/>
                <w:szCs w:val="20"/>
                <w:color w:val="auto"/>
              </w:rPr>
            </w:pPr>
            <w:r>
              <w:rPr>
                <w:rFonts w:ascii="Times New Roman" w:cs="Times New Roman" w:eastAsia="Times New Roman" w:hAnsi="Times New Roman"/>
                <w:sz w:val="17"/>
                <w:szCs w:val="17"/>
                <w:color w:val="auto"/>
              </w:rPr>
              <w:t xml:space="preserve">Inline XBRL Taxonomy Extension Definition Linkbase Document </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gridSpan w:val="3"/>
          </w:tcPr>
          <w:p>
            <w:pPr>
              <w:spacing w:after="0" w:line="192" w:lineRule="exact"/>
              <w:rPr>
                <w:sz w:val="20"/>
                <w:szCs w:val="20"/>
                <w:color w:val="auto"/>
              </w:rPr>
            </w:pPr>
            <w:r>
              <w:rPr>
                <w:rFonts w:ascii="Times New Roman" w:cs="Times New Roman" w:eastAsia="Times New Roman" w:hAnsi="Times New Roman"/>
                <w:sz w:val="17"/>
                <w:szCs w:val="17"/>
                <w:color w:val="auto"/>
              </w:rPr>
              <w:t>101.LAB</w:t>
            </w:r>
          </w:p>
        </w:tc>
        <w:tc>
          <w:tcPr>
            <w:tcW w:w="400" w:type="dxa"/>
            <w:vAlign w:val="bottom"/>
          </w:tcPr>
          <w:p>
            <w:pPr>
              <w:spacing w:after="0"/>
              <w:rPr>
                <w:sz w:val="16"/>
                <w:szCs w:val="16"/>
                <w:color w:val="auto"/>
              </w:rPr>
            </w:pPr>
          </w:p>
        </w:tc>
        <w:tc>
          <w:tcPr>
            <w:tcW w:w="8200" w:type="dxa"/>
            <w:vAlign w:val="bottom"/>
            <w:gridSpan w:val="27"/>
          </w:tcPr>
          <w:p>
            <w:pPr>
              <w:spacing w:after="0" w:line="191" w:lineRule="exact"/>
              <w:rPr>
                <w:sz w:val="20"/>
                <w:szCs w:val="20"/>
                <w:color w:val="auto"/>
              </w:rPr>
            </w:pPr>
            <w:r>
              <w:rPr>
                <w:rFonts w:ascii="Times New Roman" w:cs="Times New Roman" w:eastAsia="Times New Roman" w:hAnsi="Times New Roman"/>
                <w:sz w:val="17"/>
                <w:szCs w:val="17"/>
                <w:color w:val="auto"/>
              </w:rPr>
              <w:t xml:space="preserve">Inline XBRL Taxonomy Extension Label Linkbase Document </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400" w:type="dxa"/>
            <w:vAlign w:val="bottom"/>
          </w:tcPr>
          <w:p>
            <w:pPr>
              <w:spacing w:after="0"/>
              <w:rPr>
                <w:sz w:val="24"/>
                <w:szCs w:val="24"/>
                <w:color w:val="auto"/>
              </w:rPr>
            </w:pPr>
          </w:p>
        </w:tc>
        <w:tc>
          <w:tcPr>
            <w:tcW w:w="820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 xml:space="preserve">Inline XBRL Taxonomy Extension Presentation Linkbase Document </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80" w:hanging="378"/>
        <w:spacing w:after="0" w:line="202" w:lineRule="auto"/>
        <w:tabs>
          <w:tab w:leader="none" w:pos="3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PART 1 - FINANCIAL INFORMATION</w:t>
            </w: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ITEM 1 FINANCIAL STATEMENTS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180" w:type="dxa"/>
            <w:vAlign w:val="bottom"/>
          </w:tcPr>
          <w:p>
            <w:pPr>
              <w:spacing w:after="0"/>
              <w:rPr>
                <w:sz w:val="19"/>
                <w:szCs w:val="19"/>
                <w:color w:val="auto"/>
              </w:rPr>
            </w:pPr>
          </w:p>
        </w:tc>
        <w:tc>
          <w:tcPr>
            <w:tcW w:w="4020" w:type="dxa"/>
            <w:vAlign w:val="bottom"/>
            <w:gridSpan w:val="4"/>
            <w:vMerge w:val="restart"/>
          </w:tcPr>
          <w:p>
            <w:pPr>
              <w:jc w:val="right"/>
              <w:ind w:right="1235"/>
              <w:spacing w:after="0"/>
              <w:rPr>
                <w:sz w:val="20"/>
                <w:szCs w:val="20"/>
                <w:color w:val="auto"/>
              </w:rPr>
            </w:pPr>
            <w:r>
              <w:rPr>
                <w:rFonts w:ascii="Times New Roman" w:cs="Times New Roman" w:eastAsia="Times New Roman" w:hAnsi="Times New Roman"/>
                <w:sz w:val="17"/>
                <w:szCs w:val="17"/>
                <w:color w:val="auto"/>
              </w:rPr>
              <w:t>(in thousands of dollars)</w:t>
            </w:r>
          </w:p>
        </w:tc>
        <w:tc>
          <w:tcPr>
            <w:tcW w:w="0" w:type="dxa"/>
            <w:vAlign w:val="bottom"/>
          </w:tcPr>
          <w:p>
            <w:pPr>
              <w:spacing w:after="0"/>
              <w:rPr>
                <w:sz w:val="1"/>
                <w:szCs w:val="1"/>
                <w:color w:val="auto"/>
              </w:rPr>
            </w:pPr>
          </w:p>
        </w:tc>
      </w:tr>
      <w:tr>
        <w:trPr>
          <w:trHeight w:val="174"/>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September 30, 2022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December 31, 2021</w:t>
            </w:r>
          </w:p>
        </w:tc>
        <w:tc>
          <w:tcPr>
            <w:tcW w:w="0" w:type="dxa"/>
            <w:vAlign w:val="bottom"/>
          </w:tcPr>
          <w:p>
            <w:pPr>
              <w:spacing w:after="0"/>
              <w:rPr>
                <w:sz w:val="1"/>
                <w:szCs w:val="1"/>
                <w:color w:val="auto"/>
              </w:rPr>
            </w:pPr>
          </w:p>
        </w:tc>
      </w:tr>
      <w:tr>
        <w:trPr>
          <w:trHeight w:val="197"/>
        </w:trPr>
        <w:tc>
          <w:tcPr>
            <w:tcW w:w="7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(Unaudited)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and due from banks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69,680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135,485</w:t>
            </w:r>
          </w:p>
        </w:tc>
        <w:tc>
          <w:tcPr>
            <w:tcW w:w="0" w:type="dxa"/>
            <w:vAlign w:val="bottom"/>
          </w:tcPr>
          <w:p>
            <w:pPr>
              <w:spacing w:after="0"/>
              <w:rPr>
                <w:sz w:val="1"/>
                <w:szCs w:val="1"/>
                <w:color w:val="auto"/>
              </w:rPr>
            </w:pPr>
          </w:p>
        </w:tc>
      </w:tr>
      <w:tr>
        <w:trPr>
          <w:trHeight w:val="204"/>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Federal funds sold</w:t>
            </w:r>
          </w:p>
        </w:tc>
        <w:tc>
          <w:tcPr>
            <w:tcW w:w="1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990</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45,338</w:t>
            </w:r>
          </w:p>
        </w:tc>
        <w:tc>
          <w:tcPr>
            <w:tcW w:w="0" w:type="dxa"/>
            <w:vAlign w:val="bottom"/>
          </w:tcPr>
          <w:p>
            <w:pPr>
              <w:spacing w:after="0"/>
              <w:rPr>
                <w:sz w:val="1"/>
                <w:szCs w:val="1"/>
                <w:color w:val="auto"/>
              </w:rPr>
            </w:pPr>
          </w:p>
        </w:tc>
      </w:tr>
      <w:tr>
        <w:trPr>
          <w:trHeight w:val="197"/>
        </w:trPr>
        <w:tc>
          <w:tcPr>
            <w:tcW w:w="70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cash and cash equivalents</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70,670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180,823</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Interest-bearing time deposits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5,187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10,913</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Securities - available-for-sale</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395,485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429,931</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securities, at cost</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8,227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8,162</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Loans held for sale</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2,182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7,714</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Loans, net</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2,122,626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1,841,177</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Premises and equipment</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26,484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26,913</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80,434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80,434</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3,583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3,157</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real estate owned</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28,051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27,558</w:t>
            </w:r>
          </w:p>
        </w:tc>
        <w:tc>
          <w:tcPr>
            <w:tcW w:w="0" w:type="dxa"/>
            <w:vAlign w:val="bottom"/>
          </w:tcPr>
          <w:p>
            <w:pPr>
              <w:spacing w:after="0"/>
              <w:rPr>
                <w:sz w:val="1"/>
                <w:szCs w:val="1"/>
                <w:color w:val="auto"/>
              </w:rPr>
            </w:pPr>
          </w:p>
        </w:tc>
      </w:tr>
      <w:tr>
        <w:trPr>
          <w:trHeight w:val="204"/>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40,831</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21,359</w:t>
            </w:r>
          </w:p>
        </w:tc>
        <w:tc>
          <w:tcPr>
            <w:tcW w:w="0" w:type="dxa"/>
            <w:vAlign w:val="bottom"/>
          </w:tcPr>
          <w:p>
            <w:pPr>
              <w:spacing w:after="0"/>
              <w:rPr>
                <w:sz w:val="1"/>
                <w:szCs w:val="1"/>
                <w:color w:val="auto"/>
              </w:rPr>
            </w:pPr>
          </w:p>
        </w:tc>
      </w:tr>
      <w:tr>
        <w:trPr>
          <w:trHeight w:val="197"/>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2,783,760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2,638,300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Noninterest-bearing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506,928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473,689</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Interest-bearing</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NOW accounts</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705,888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650,466</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Savings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607,375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597,828</w:t>
            </w:r>
          </w:p>
        </w:tc>
        <w:tc>
          <w:tcPr>
            <w:tcW w:w="0" w:type="dxa"/>
            <w:vAlign w:val="bottom"/>
          </w:tcPr>
          <w:p>
            <w:pPr>
              <w:spacing w:after="0"/>
              <w:rPr>
                <w:sz w:val="1"/>
                <w:szCs w:val="1"/>
                <w:color w:val="auto"/>
              </w:rPr>
            </w:pPr>
          </w:p>
        </w:tc>
      </w:tr>
      <w:tr>
        <w:trPr>
          <w:trHeight w:val="204"/>
        </w:trPr>
        <w:tc>
          <w:tcPr>
            <w:tcW w:w="7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Time</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462,845</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471,479</w:t>
            </w:r>
          </w:p>
        </w:tc>
        <w:tc>
          <w:tcPr>
            <w:tcW w:w="0" w:type="dxa"/>
            <w:vAlign w:val="bottom"/>
          </w:tcPr>
          <w:p>
            <w:pPr>
              <w:spacing w:after="0"/>
              <w:rPr>
                <w:sz w:val="1"/>
                <w:szCs w:val="1"/>
                <w:color w:val="auto"/>
              </w:rPr>
            </w:pPr>
          </w:p>
        </w:tc>
      </w:tr>
      <w:tr>
        <w:trPr>
          <w:trHeight w:val="197"/>
        </w:trPr>
        <w:tc>
          <w:tcPr>
            <w:tcW w:w="70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7"/>
                <w:szCs w:val="17"/>
                <w:color w:val="auto"/>
              </w:rPr>
              <w:t>Total deposits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2,283,036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2,193,462</w:t>
            </w:r>
          </w:p>
        </w:tc>
        <w:tc>
          <w:tcPr>
            <w:tcW w:w="0" w:type="dxa"/>
            <w:vAlign w:val="bottom"/>
          </w:tcPr>
          <w:p>
            <w:pPr>
              <w:spacing w:after="0"/>
              <w:rPr>
                <w:sz w:val="1"/>
                <w:szCs w:val="1"/>
                <w:color w:val="auto"/>
              </w:rPr>
            </w:pPr>
          </w:p>
        </w:tc>
      </w:tr>
      <w:tr>
        <w:trPr>
          <w:trHeight w:val="162"/>
        </w:trPr>
        <w:tc>
          <w:tcPr>
            <w:tcW w:w="7040" w:type="dxa"/>
            <w:vAlign w:val="bottom"/>
          </w:tcPr>
          <w:p>
            <w:pPr>
              <w:ind w:left="360"/>
              <w:spacing w:after="0" w:line="163" w:lineRule="exact"/>
              <w:rPr>
                <w:sz w:val="20"/>
                <w:szCs w:val="20"/>
                <w:color w:val="auto"/>
              </w:rPr>
            </w:pPr>
            <w:r>
              <w:rPr>
                <w:rFonts w:ascii="Times New Roman" w:cs="Times New Roman" w:eastAsia="Times New Roman" w:hAnsi="Times New Roman"/>
                <w:sz w:val="17"/>
                <w:szCs w:val="17"/>
                <w:color w:val="auto"/>
              </w:rPr>
              <w:t>Federal funds purchased and securities sold under agreements to</w:t>
            </w: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repurchase</w:t>
            </w:r>
          </w:p>
        </w:tc>
        <w:tc>
          <w:tcPr>
            <w:tcW w:w="18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55,802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29,268</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Federal Home Loan Bank (FHLB) advances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102,147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24,065</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borrowings</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40,000</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Subordinated notes, net of unamortized issuance costs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34,557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34,471</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Dividend payable</w:t>
            </w:r>
          </w:p>
        </w:tc>
        <w:tc>
          <w:tcPr>
            <w:tcW w:w="180" w:type="dxa"/>
            <w:vAlign w:val="bottom"/>
          </w:tcPr>
          <w:p>
            <w:pPr>
              <w:spacing w:after="0"/>
              <w:rPr>
                <w:sz w:val="17"/>
                <w:szCs w:val="17"/>
                <w:color w:val="auto"/>
              </w:rPr>
            </w:pP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2,727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2,461</w:t>
            </w:r>
          </w:p>
        </w:tc>
        <w:tc>
          <w:tcPr>
            <w:tcW w:w="0" w:type="dxa"/>
            <w:vAlign w:val="bottom"/>
          </w:tcPr>
          <w:p>
            <w:pPr>
              <w:spacing w:after="0"/>
              <w:rPr>
                <w:sz w:val="1"/>
                <w:szCs w:val="1"/>
                <w:color w:val="auto"/>
              </w:rPr>
            </w:pPr>
          </w:p>
        </w:tc>
      </w:tr>
      <w:tr>
        <w:trPr>
          <w:trHeight w:val="204"/>
        </w:trPr>
        <w:tc>
          <w:tcPr>
            <w:tcW w:w="70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14,913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17,406</w:t>
            </w:r>
          </w:p>
        </w:tc>
        <w:tc>
          <w:tcPr>
            <w:tcW w:w="0" w:type="dxa"/>
            <w:vAlign w:val="bottom"/>
          </w:tcPr>
          <w:p>
            <w:pPr>
              <w:spacing w:after="0"/>
              <w:rPr>
                <w:sz w:val="1"/>
                <w:szCs w:val="1"/>
                <w:color w:val="auto"/>
              </w:rPr>
            </w:pPr>
          </w:p>
        </w:tc>
      </w:tr>
      <w:tr>
        <w:trPr>
          <w:trHeight w:val="197"/>
        </w:trPr>
        <w:tc>
          <w:tcPr>
            <w:tcW w:w="70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2,503,182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2,341,133</w:t>
            </w:r>
          </w:p>
        </w:tc>
        <w:tc>
          <w:tcPr>
            <w:tcW w:w="0" w:type="dxa"/>
            <w:vAlign w:val="bottom"/>
          </w:tcPr>
          <w:p>
            <w:pPr>
              <w:spacing w:after="0"/>
              <w:rPr>
                <w:sz w:val="1"/>
                <w:szCs w:val="1"/>
                <w:color w:val="auto"/>
              </w:rPr>
            </w:pPr>
          </w:p>
        </w:tc>
      </w:tr>
      <w:tr>
        <w:trPr>
          <w:trHeight w:val="197"/>
        </w:trPr>
        <w:tc>
          <w:tcPr>
            <w:tcW w:w="7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FF0FC"/>
          </w:tcPr>
          <w:p>
            <w:pPr>
              <w:ind w:left="360"/>
              <w:spacing w:after="0" w:line="163" w:lineRule="exact"/>
              <w:rPr>
                <w:sz w:val="20"/>
                <w:szCs w:val="20"/>
                <w:color w:val="auto"/>
              </w:rPr>
            </w:pPr>
            <w:r>
              <w:rPr>
                <w:rFonts w:ascii="Times New Roman" w:cs="Times New Roman" w:eastAsia="Times New Roman" w:hAnsi="Times New Roman"/>
                <w:sz w:val="17"/>
                <w:szCs w:val="17"/>
                <w:color w:val="auto"/>
              </w:rPr>
              <w:t>Common stock - No par value 20,000,000 shares authorized; issued and</w:t>
            </w:r>
          </w:p>
        </w:tc>
        <w:tc>
          <w:tcPr>
            <w:tcW w:w="1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outstanding 14,063,999 shares 9/30/22 and 12/31/21</w:t>
            </w:r>
          </w:p>
        </w:tc>
        <w:tc>
          <w:tcPr>
            <w:tcW w:w="18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121,811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122,674</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 - 956,499 shares 9/30/22, 997,766 shares 12/31/21</w:t>
            </w:r>
          </w:p>
        </w:tc>
        <w:tc>
          <w:tcPr>
            <w:tcW w:w="1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(11,547 )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(11,724 )</w:t>
            </w:r>
          </w:p>
        </w:tc>
        <w:tc>
          <w:tcPr>
            <w:tcW w:w="0" w:type="dxa"/>
            <w:vAlign w:val="bottom"/>
          </w:tcPr>
          <w:p>
            <w:pPr>
              <w:spacing w:after="0"/>
              <w:rPr>
                <w:sz w:val="1"/>
                <w:szCs w:val="1"/>
                <w:color w:val="auto"/>
              </w:rPr>
            </w:pPr>
          </w:p>
        </w:tc>
      </w:tr>
      <w:tr>
        <w:trPr>
          <w:trHeight w:val="204"/>
        </w:trPr>
        <w:tc>
          <w:tcPr>
            <w:tcW w:w="7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208,051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189,401</w:t>
            </w:r>
          </w:p>
        </w:tc>
        <w:tc>
          <w:tcPr>
            <w:tcW w:w="0" w:type="dxa"/>
            <w:vAlign w:val="bottom"/>
          </w:tcPr>
          <w:p>
            <w:pPr>
              <w:spacing w:after="0"/>
              <w:rPr>
                <w:sz w:val="1"/>
                <w:szCs w:val="1"/>
                <w:color w:val="auto"/>
              </w:rPr>
            </w:pPr>
          </w:p>
        </w:tc>
      </w:tr>
      <w:tr>
        <w:trPr>
          <w:trHeight w:val="204"/>
        </w:trPr>
        <w:tc>
          <w:tcPr>
            <w:tcW w:w="7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(37,737 )</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(3,184 )</w:t>
            </w:r>
          </w:p>
        </w:tc>
        <w:tc>
          <w:tcPr>
            <w:tcW w:w="0" w:type="dxa"/>
            <w:vAlign w:val="bottom"/>
          </w:tcPr>
          <w:p>
            <w:pPr>
              <w:spacing w:after="0"/>
              <w:rPr>
                <w:sz w:val="1"/>
                <w:szCs w:val="1"/>
                <w:color w:val="auto"/>
              </w:rPr>
            </w:pPr>
          </w:p>
        </w:tc>
      </w:tr>
      <w:tr>
        <w:trPr>
          <w:trHeight w:val="197"/>
        </w:trPr>
        <w:tc>
          <w:tcPr>
            <w:tcW w:w="7040" w:type="dxa"/>
            <w:vAlign w:val="bottom"/>
            <w:tcBorders>
              <w:bottom w:val="single" w:sz="8" w:color="CFF0FC"/>
            </w:tcBorders>
            <w:shd w:val="clear" w:color="auto" w:fill="CFF0FC"/>
          </w:tcPr>
          <w:p>
            <w:pPr>
              <w:ind w:left="10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280,578</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297,167</w:t>
            </w:r>
          </w:p>
        </w:tc>
        <w:tc>
          <w:tcPr>
            <w:tcW w:w="0" w:type="dxa"/>
            <w:vAlign w:val="bottom"/>
          </w:tcPr>
          <w:p>
            <w:pPr>
              <w:spacing w:after="0"/>
              <w:rPr>
                <w:sz w:val="1"/>
                <w:szCs w:val="1"/>
                <w:color w:val="auto"/>
              </w:rPr>
            </w:pPr>
          </w:p>
        </w:tc>
      </w:tr>
      <w:tr>
        <w:trPr>
          <w:trHeight w:val="197"/>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2,783,760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2,638,300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-5654040</wp:posOffset>
            </wp:positionV>
            <wp:extent cx="113665"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665" cy="13779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-4088130</wp:posOffset>
            </wp:positionV>
            <wp:extent cx="113665" cy="292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665" cy="29210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-1597660</wp:posOffset>
            </wp:positionV>
            <wp:extent cx="113665" cy="275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665" cy="27559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-161925</wp:posOffset>
            </wp:positionV>
            <wp:extent cx="11366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665" cy="1625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Condensed Consolidated Unaudited Financial Statements.</w:t>
      </w:r>
    </w:p>
    <w:p>
      <w:pPr>
        <w:spacing w:after="0" w:line="188" w:lineRule="exact"/>
        <w:rPr>
          <w:sz w:val="20"/>
          <w:szCs w:val="20"/>
          <w:color w:val="auto"/>
        </w:rPr>
      </w:pPr>
    </w:p>
    <w:p>
      <w:pPr>
        <w:ind w:left="5580" w:right="1040" w:hanging="5578"/>
        <w:spacing w:after="0" w:line="393" w:lineRule="auto"/>
        <w:rPr>
          <w:sz w:val="20"/>
          <w:szCs w:val="20"/>
          <w:color w:val="auto"/>
        </w:rPr>
      </w:pPr>
      <w:r>
        <w:rPr>
          <w:rFonts w:ascii="Times New Roman" w:cs="Times New Roman" w:eastAsia="Times New Roman" w:hAnsi="Times New Roman"/>
          <w:sz w:val="17"/>
          <w:szCs w:val="17"/>
          <w:color w:val="auto"/>
        </w:rPr>
        <w:t>Note: The December 31, 2021, Condensed Consolidated Balance Sheet has been derived from the audited Consolidated Balance Sheet as of that date.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-26670</wp:posOffset>
            </wp:positionV>
            <wp:extent cx="7165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INCOME</w:t>
      </w: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(in thousands of dollars, except per share</w:t>
            </w:r>
          </w:p>
        </w:tc>
        <w:tc>
          <w:tcPr>
            <w:tcW w:w="320" w:type="dxa"/>
            <w:vAlign w:val="bottom"/>
          </w:tcPr>
          <w:p>
            <w:pPr>
              <w:spacing w:after="0"/>
              <w:rPr>
                <w:sz w:val="17"/>
                <w:szCs w:val="17"/>
                <w:color w:val="auto"/>
              </w:rPr>
            </w:pPr>
          </w:p>
        </w:tc>
        <w:tc>
          <w:tcPr>
            <w:tcW w:w="28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(in thousands of dollars, except per share</w:t>
            </w:r>
          </w:p>
        </w:tc>
        <w:tc>
          <w:tcPr>
            <w:tcW w:w="100" w:type="dxa"/>
            <w:vAlign w:val="bottom"/>
          </w:tcPr>
          <w:p>
            <w:pPr>
              <w:spacing w:after="0"/>
              <w:rPr>
                <w:sz w:val="17"/>
                <w:szCs w:val="17"/>
                <w:color w:val="auto"/>
              </w:rPr>
            </w:pPr>
          </w:p>
        </w:tc>
      </w:tr>
      <w:tr>
        <w:trPr>
          <w:trHeight w:val="204"/>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data)</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data)</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7"/>
                <w:szCs w:val="17"/>
                <w:color w:val="auto"/>
              </w:rPr>
              <w:t>Three Months Ended</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7"/>
                <w:szCs w:val="17"/>
                <w:color w:val="auto"/>
              </w:rPr>
              <w:t>Nine Months Ended</w:t>
            </w:r>
          </w:p>
        </w:tc>
        <w:tc>
          <w:tcPr>
            <w:tcW w:w="100" w:type="dxa"/>
            <w:vAlign w:val="bottom"/>
          </w:tcPr>
          <w:p>
            <w:pPr>
              <w:spacing w:after="0"/>
              <w:rPr>
                <w:sz w:val="19"/>
                <w:szCs w:val="19"/>
                <w:color w:val="auto"/>
              </w:rPr>
            </w:pPr>
          </w:p>
        </w:tc>
      </w:tr>
      <w:tr>
        <w:trPr>
          <w:trHeight w:val="155"/>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20" w:type="dxa"/>
            <w:vAlign w:val="bottom"/>
          </w:tcPr>
          <w:p>
            <w:pPr>
              <w:spacing w:after="0"/>
              <w:rPr>
                <w:sz w:val="13"/>
                <w:szCs w:val="13"/>
                <w:color w:val="auto"/>
              </w:rPr>
            </w:pPr>
          </w:p>
        </w:tc>
        <w:tc>
          <w:tcPr>
            <w:tcW w:w="1220" w:type="dxa"/>
            <w:vAlign w:val="bottom"/>
          </w:tcPr>
          <w:p>
            <w:pPr>
              <w:jc w:val="right"/>
              <w:ind w:right="115"/>
              <w:spacing w:after="0" w:line="155" w:lineRule="exact"/>
              <w:rPr>
                <w:sz w:val="20"/>
                <w:szCs w:val="20"/>
                <w:color w:val="auto"/>
              </w:rPr>
            </w:pPr>
            <w:r>
              <w:rPr>
                <w:rFonts w:ascii="Times New Roman" w:cs="Times New Roman" w:eastAsia="Times New Roman" w:hAnsi="Times New Roman"/>
                <w:sz w:val="17"/>
                <w:szCs w:val="17"/>
                <w:color w:val="auto"/>
              </w:rPr>
              <w:t>September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20" w:type="dxa"/>
            <w:vAlign w:val="bottom"/>
          </w:tcPr>
          <w:p>
            <w:pPr>
              <w:spacing w:after="0"/>
              <w:rPr>
                <w:sz w:val="13"/>
                <w:szCs w:val="13"/>
                <w:color w:val="auto"/>
              </w:rPr>
            </w:pPr>
          </w:p>
        </w:tc>
        <w:tc>
          <w:tcPr>
            <w:tcW w:w="120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7"/>
                <w:szCs w:val="17"/>
                <w:color w:val="auto"/>
              </w:rPr>
              <w:t>September 30,</w:t>
            </w:r>
          </w:p>
        </w:tc>
        <w:tc>
          <w:tcPr>
            <w:tcW w:w="100" w:type="dxa"/>
            <w:vAlign w:val="bottom"/>
          </w:tcPr>
          <w:p>
            <w:pPr>
              <w:spacing w:after="0"/>
              <w:rPr>
                <w:sz w:val="13"/>
                <w:szCs w:val="13"/>
                <w:color w:val="auto"/>
              </w:rPr>
            </w:pPr>
          </w:p>
        </w:tc>
      </w:tr>
      <w:tr>
        <w:trPr>
          <w:trHeight w:val="221"/>
        </w:trPr>
        <w:tc>
          <w:tcPr>
            <w:tcW w:w="5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r>
      <w:tr>
        <w:trPr>
          <w:trHeight w:val="19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18,766</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50,637</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Debt securities: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U.S. Treasury and government agencies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Municipalities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Federal funds sold</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7"/>
                <w:szCs w:val="17"/>
                <w:color w:val="auto"/>
              </w:rPr>
            </w:pPr>
          </w:p>
        </w:tc>
      </w:tr>
      <w:tr>
        <w:trPr>
          <w:trHeight w:val="197"/>
        </w:trPr>
        <w:tc>
          <w:tcPr>
            <w:tcW w:w="5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Total interest income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25,847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20,122</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71,657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54,417</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100" w:type="dxa"/>
            <w:vAlign w:val="bottom"/>
            <w:shd w:val="clear" w:color="auto" w:fill="CFF0FC"/>
          </w:tcPr>
          <w:p>
            <w:pPr>
              <w:spacing w:after="0"/>
              <w:rPr>
                <w:sz w:val="17"/>
                <w:szCs w:val="17"/>
                <w:color w:val="auto"/>
              </w:rPr>
            </w:pPr>
          </w:p>
        </w:tc>
      </w:tr>
      <w:tr>
        <w:trPr>
          <w:trHeight w:val="162"/>
        </w:trPr>
        <w:tc>
          <w:tcPr>
            <w:tcW w:w="508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Federal funds purchased and securities sold under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5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to repurchase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9"/>
                <w:szCs w:val="19"/>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Borrowed funds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7"/>
                <w:szCs w:val="17"/>
                <w:color w:val="auto"/>
              </w:rPr>
            </w:pPr>
          </w:p>
        </w:tc>
      </w:tr>
      <w:tr>
        <w:trPr>
          <w:trHeight w:val="197"/>
        </w:trPr>
        <w:tc>
          <w:tcPr>
            <w:tcW w:w="5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Total interest expense</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7,427</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Income - Before Provision for Loan Losses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49,463</w:t>
            </w:r>
          </w:p>
        </w:tc>
        <w:tc>
          <w:tcPr>
            <w:tcW w:w="100" w:type="dxa"/>
            <w:vAlign w:val="bottom"/>
          </w:tcPr>
          <w:p>
            <w:pPr>
              <w:spacing w:after="0"/>
              <w:rPr>
                <w:sz w:val="17"/>
                <w:szCs w:val="17"/>
                <w:color w:val="auto"/>
              </w:rPr>
            </w:pPr>
          </w:p>
        </w:tc>
      </w:tr>
      <w:tr>
        <w:trPr>
          <w:trHeight w:val="204"/>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Provision for Loan Losses</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Income After Provision for Loan Losses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46,463</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Customer service fees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service charges and fees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 on sale of loans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2,823</w:t>
            </w:r>
          </w:p>
        </w:tc>
        <w:tc>
          <w:tcPr>
            <w:tcW w:w="100" w:type="dxa"/>
            <w:vAlign w:val="bottom"/>
          </w:tcPr>
          <w:p>
            <w:pPr>
              <w:spacing w:after="0"/>
              <w:rPr>
                <w:sz w:val="17"/>
                <w:szCs w:val="17"/>
                <w:color w:val="auto"/>
              </w:rPr>
            </w:pPr>
          </w:p>
        </w:tc>
      </w:tr>
      <w:tr>
        <w:trPr>
          <w:trHeight w:val="204"/>
        </w:trPr>
        <w:tc>
          <w:tcPr>
            <w:tcW w:w="5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gain on sale of available-for-sale securities</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13,092</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and wages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14,423</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Employee benefits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4,992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5,530</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occupancy expense</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Furniture and equipment</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Franchise taxes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ATM expense</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(gain) loss on sale of other assets owned</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(271 )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FDIC assessment</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servicing rights amortization - net</w:t>
            </w:r>
          </w:p>
        </w:tc>
        <w:tc>
          <w:tcPr>
            <w:tcW w:w="12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Pr>
          <w:p>
            <w:pPr>
              <w:spacing w:after="0"/>
              <w:rPr>
                <w:sz w:val="17"/>
                <w:szCs w:val="17"/>
                <w:color w:val="auto"/>
              </w:rPr>
            </w:pPr>
          </w:p>
        </w:tc>
      </w:tr>
      <w:tr>
        <w:trPr>
          <w:trHeight w:val="204"/>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Consulting fees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shd w:val="clear" w:color="auto" w:fill="CFF0FC"/>
          </w:tcPr>
          <w:p>
            <w:pPr>
              <w:spacing w:after="0"/>
              <w:rPr>
                <w:sz w:val="17"/>
                <w:szCs w:val="17"/>
                <w:color w:val="auto"/>
              </w:rPr>
            </w:pPr>
          </w:p>
        </w:tc>
      </w:tr>
      <w:tr>
        <w:trPr>
          <w:trHeight w:val="204"/>
        </w:trPr>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general and administrative</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6,211</w:t>
            </w:r>
          </w:p>
        </w:tc>
        <w:tc>
          <w:tcPr>
            <w:tcW w:w="100" w:type="dxa"/>
            <w:vAlign w:val="bottom"/>
          </w:tcPr>
          <w:p>
            <w:pPr>
              <w:spacing w:after="0"/>
              <w:rPr>
                <w:sz w:val="17"/>
                <w:szCs w:val="17"/>
                <w:color w:val="auto"/>
              </w:rPr>
            </w:pPr>
          </w:p>
        </w:tc>
      </w:tr>
      <w:tr>
        <w:trPr>
          <w:trHeight w:val="197"/>
        </w:trPr>
        <w:tc>
          <w:tcPr>
            <w:tcW w:w="5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13,471</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14,321</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40,199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19,815</w:t>
            </w:r>
          </w:p>
        </w:tc>
        <w:tc>
          <w:tcPr>
            <w:tcW w:w="100" w:type="dxa"/>
            <w:vAlign w:val="bottom"/>
          </w:tcPr>
          <w:p>
            <w:pPr>
              <w:spacing w:after="0"/>
              <w:rPr>
                <w:sz w:val="17"/>
                <w:szCs w:val="17"/>
                <w:color w:val="auto"/>
              </w:rPr>
            </w:pPr>
          </w:p>
        </w:tc>
      </w:tr>
      <w:tr>
        <w:trPr>
          <w:trHeight w:val="204"/>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6,254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8,954</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5,920</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15,812</w:t>
            </w:r>
          </w:p>
        </w:tc>
        <w:tc>
          <w:tcPr>
            <w:tcW w:w="10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120" w:type="dxa"/>
            <w:vAlign w:val="bottom"/>
            <w:tcBorders>
              <w:bottom w:val="single" w:sz="8" w:color="auto"/>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0.68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0.53</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1.94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508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12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0.68</w:t>
            </w:r>
          </w:p>
        </w:tc>
        <w:tc>
          <w:tcPr>
            <w:tcW w:w="26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0.53</w:t>
            </w:r>
          </w:p>
        </w:tc>
        <w:tc>
          <w:tcPr>
            <w:tcW w:w="44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1.94</w:t>
            </w:r>
          </w:p>
        </w:tc>
        <w:tc>
          <w:tcPr>
            <w:tcW w:w="22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Dividends Declared</w:t>
            </w:r>
          </w:p>
        </w:tc>
        <w:tc>
          <w:tcPr>
            <w:tcW w:w="120" w:type="dxa"/>
            <w:vAlign w:val="bottom"/>
            <w:tcBorders>
              <w:bottom w:val="single" w:sz="8" w:color="auto"/>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0.2100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0.1800</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0.6025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0.5200</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-4039870</wp:posOffset>
            </wp:positionV>
            <wp:extent cx="73025" cy="137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-4039870</wp:posOffset>
            </wp:positionV>
            <wp:extent cx="73025" cy="137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-4039870</wp:posOffset>
            </wp:positionV>
            <wp:extent cx="6477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-4039870</wp:posOffset>
            </wp:positionV>
            <wp:extent cx="6477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-3771900</wp:posOffset>
            </wp:positionV>
            <wp:extent cx="73025"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-3771900</wp:posOffset>
            </wp:positionV>
            <wp:extent cx="73025" cy="137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-3771900</wp:posOffset>
            </wp:positionV>
            <wp:extent cx="64770" cy="137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-3771900</wp:posOffset>
            </wp:positionV>
            <wp:extent cx="64770" cy="137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-2985135</wp:posOffset>
            </wp:positionV>
            <wp:extent cx="73025" cy="137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-2985135</wp:posOffset>
            </wp:positionV>
            <wp:extent cx="73025" cy="137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-2985135</wp:posOffset>
            </wp:positionV>
            <wp:extent cx="6477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-2985135</wp:posOffset>
            </wp:positionV>
            <wp:extent cx="6477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-891540</wp:posOffset>
            </wp:positionV>
            <wp:extent cx="73025"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-891540</wp:posOffset>
            </wp:positionV>
            <wp:extent cx="73025" cy="137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-891540</wp:posOffset>
            </wp:positionV>
            <wp:extent cx="64770" cy="137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-891540</wp:posOffset>
            </wp:positionV>
            <wp:extent cx="64770" cy="137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-624205</wp:posOffset>
            </wp:positionV>
            <wp:extent cx="730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-624205</wp:posOffset>
            </wp:positionV>
            <wp:extent cx="7302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-624205</wp:posOffset>
            </wp:positionV>
            <wp:extent cx="6477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-624205</wp:posOffset>
            </wp:positionV>
            <wp:extent cx="6477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-332105</wp:posOffset>
            </wp:positionV>
            <wp:extent cx="3091180" cy="178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91180" cy="17843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-23495</wp:posOffset>
            </wp:positionV>
            <wp:extent cx="73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-7620</wp:posOffset>
            </wp:positionV>
            <wp:extent cx="73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-23495</wp:posOffset>
            </wp:positionV>
            <wp:extent cx="730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-7620</wp:posOffset>
            </wp:positionV>
            <wp:extent cx="730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-23495</wp:posOffset>
            </wp:positionV>
            <wp:extent cx="647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-7620</wp:posOffset>
            </wp:positionV>
            <wp:extent cx="647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-23495</wp:posOffset>
            </wp:positionV>
            <wp:extent cx="647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-7620</wp:posOffset>
            </wp:positionV>
            <wp:extent cx="647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Condensed Consolidated Unaudited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(LOSS)</w:t>
      </w: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4"/>
          </w:tcPr>
          <w:p>
            <w:pPr>
              <w:jc w:val="right"/>
              <w:ind w:right="635"/>
              <w:spacing w:after="0"/>
              <w:rPr>
                <w:sz w:val="20"/>
                <w:szCs w:val="20"/>
                <w:color w:val="auto"/>
              </w:rPr>
            </w:pPr>
            <w:r>
              <w:rPr>
                <w:rFonts w:ascii="Times New Roman" w:cs="Times New Roman" w:eastAsia="Times New Roman" w:hAnsi="Times New Roman"/>
                <w:sz w:val="17"/>
                <w:szCs w:val="17"/>
                <w:color w:val="auto"/>
              </w:rPr>
              <w:t>(in thousands of dollars)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jc w:val="right"/>
              <w:ind w:right="555"/>
              <w:spacing w:after="0"/>
              <w:rPr>
                <w:sz w:val="20"/>
                <w:szCs w:val="20"/>
                <w:color w:val="auto"/>
              </w:rPr>
            </w:pPr>
            <w:r>
              <w:rPr>
                <w:rFonts w:ascii="Times New Roman" w:cs="Times New Roman" w:eastAsia="Times New Roman" w:hAnsi="Times New Roman"/>
                <w:sz w:val="17"/>
                <w:szCs w:val="17"/>
                <w:color w:val="auto"/>
              </w:rPr>
              <w:t>(in thousands of dollars)</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7"/>
                <w:szCs w:val="17"/>
                <w:color w:val="auto"/>
              </w:rPr>
              <w:t>Three Months Ended</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235"/>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155"/>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19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8,954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5,920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25,327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15,812</w:t>
            </w:r>
          </w:p>
        </w:tc>
        <w:tc>
          <w:tcPr>
            <w:tcW w:w="0" w:type="dxa"/>
            <w:vAlign w:val="bottom"/>
          </w:tcPr>
          <w:p>
            <w:pPr>
              <w:spacing w:after="0"/>
              <w:rPr>
                <w:sz w:val="1"/>
                <w:szCs w:val="1"/>
                <w:color w:val="auto"/>
              </w:rPr>
            </w:pPr>
          </w:p>
        </w:tc>
      </w:tr>
      <w:tr>
        <w:trPr>
          <w:trHeight w:val="204"/>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180"/>
              <w:spacing w:after="0" w:line="163" w:lineRule="exact"/>
              <w:rPr>
                <w:sz w:val="20"/>
                <w:szCs w:val="20"/>
                <w:color w:val="auto"/>
              </w:rPr>
            </w:pPr>
            <w:r>
              <w:rPr>
                <w:rFonts w:ascii="Times New Roman" w:cs="Times New Roman" w:eastAsia="Times New Roman" w:hAnsi="Times New Roman"/>
                <w:sz w:val="17"/>
                <w:szCs w:val="17"/>
                <w:color w:val="auto"/>
              </w:rPr>
              <w:t>Net unrealized gain (loss) on available-for-sale</w:t>
            </w: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(8,197 )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(43,738 )</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(5,778 )</w:t>
            </w:r>
          </w:p>
        </w:tc>
        <w:tc>
          <w:tcPr>
            <w:tcW w:w="0" w:type="dxa"/>
            <w:vAlign w:val="bottom"/>
          </w:tcPr>
          <w:p>
            <w:pPr>
              <w:spacing w:after="0"/>
              <w:rPr>
                <w:sz w:val="1"/>
                <w:szCs w:val="1"/>
                <w:color w:val="auto"/>
              </w:rPr>
            </w:pPr>
          </w:p>
        </w:tc>
      </w:tr>
      <w:tr>
        <w:trPr>
          <w:trHeight w:val="162"/>
        </w:trPr>
        <w:tc>
          <w:tcPr>
            <w:tcW w:w="526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Reclassification adjustment for realized gain on sale</w:t>
            </w:r>
          </w:p>
        </w:tc>
        <w:tc>
          <w:tcPr>
            <w:tcW w:w="100" w:type="dxa"/>
            <w:vAlign w:val="bottom"/>
          </w:tcPr>
          <w:p>
            <w:pPr>
              <w:spacing w:after="0"/>
              <w:rPr>
                <w:sz w:val="14"/>
                <w:szCs w:val="14"/>
                <w:color w:val="auto"/>
              </w:rPr>
            </w:pP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(293 )</w:t>
            </w:r>
          </w:p>
        </w:tc>
        <w:tc>
          <w:tcPr>
            <w:tcW w:w="0" w:type="dxa"/>
            <w:vAlign w:val="bottom"/>
          </w:tcPr>
          <w:p>
            <w:pPr>
              <w:spacing w:after="0"/>
              <w:rPr>
                <w:sz w:val="1"/>
                <w:szCs w:val="1"/>
                <w:color w:val="auto"/>
              </w:rPr>
            </w:pPr>
          </w:p>
        </w:tc>
      </w:tr>
      <w:tr>
        <w:trPr>
          <w:trHeight w:val="208"/>
        </w:trPr>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of available-for-sale securities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60" w:type="dxa"/>
            <w:vAlign w:val="bottom"/>
            <w:shd w:val="clear" w:color="auto" w:fill="CFF0FC"/>
          </w:tcPr>
          <w:p>
            <w:pPr>
              <w:ind w:left="180"/>
              <w:spacing w:after="0" w:line="155" w:lineRule="exact"/>
              <w:rPr>
                <w:sz w:val="20"/>
                <w:szCs w:val="20"/>
                <w:color w:val="auto"/>
              </w:rPr>
            </w:pPr>
            <w:r>
              <w:rPr>
                <w:rFonts w:ascii="Times New Roman" w:cs="Times New Roman" w:eastAsia="Times New Roman" w:hAnsi="Times New Roman"/>
                <w:sz w:val="17"/>
                <w:szCs w:val="17"/>
                <w:color w:val="auto"/>
              </w:rPr>
              <w:t>Net unrealized gain (loss) on available-for-sale</w:t>
            </w: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(8,197 )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(43,738 )</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(6,071 )</w:t>
            </w:r>
          </w:p>
        </w:tc>
        <w:tc>
          <w:tcPr>
            <w:tcW w:w="0" w:type="dxa"/>
            <w:vAlign w:val="bottom"/>
          </w:tcPr>
          <w:p>
            <w:pPr>
              <w:spacing w:after="0"/>
              <w:rPr>
                <w:sz w:val="1"/>
                <w:szCs w:val="1"/>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expense (benefit)</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(1,721 )</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(9,185 )</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(1,275 )</w:t>
            </w:r>
          </w:p>
        </w:tc>
        <w:tc>
          <w:tcPr>
            <w:tcW w:w="0" w:type="dxa"/>
            <w:vAlign w:val="bottom"/>
          </w:tcPr>
          <w:p>
            <w:pPr>
              <w:spacing w:after="0"/>
              <w:rPr>
                <w:sz w:val="1"/>
                <w:szCs w:val="1"/>
                <w:color w:val="auto"/>
              </w:rPr>
            </w:pPr>
          </w:p>
        </w:tc>
      </w:tr>
      <w:tr>
        <w:trPr>
          <w:trHeight w:val="197"/>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(6,476 )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(34,553 )</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(4,796 )</w:t>
            </w:r>
          </w:p>
        </w:tc>
        <w:tc>
          <w:tcPr>
            <w:tcW w:w="0" w:type="dxa"/>
            <w:vAlign w:val="bottom"/>
          </w:tcPr>
          <w:p>
            <w:pPr>
              <w:spacing w:after="0"/>
              <w:rPr>
                <w:sz w:val="1"/>
                <w:szCs w:val="1"/>
                <w:color w:val="auto"/>
              </w:rPr>
            </w:pPr>
          </w:p>
        </w:tc>
      </w:tr>
      <w:tr>
        <w:trPr>
          <w:trHeight w:val="197"/>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11,016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4220210</wp:posOffset>
            </wp:positionH>
            <wp:positionV relativeFrom="paragraph">
              <wp:posOffset>-161925</wp:posOffset>
            </wp:positionV>
            <wp:extent cx="8953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-161925</wp:posOffset>
            </wp:positionV>
            <wp:extent cx="8953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-161925</wp:posOffset>
            </wp:positionV>
            <wp:extent cx="812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280" cy="16256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80" w:right="3560" w:hanging="1269"/>
        <w:spacing w:after="0" w:line="879" w:lineRule="auto"/>
        <w:tabs>
          <w:tab w:leader="none" w:pos="440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-278130</wp:posOffset>
            </wp:positionV>
            <wp:extent cx="7165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26" w:lineRule="exact"/>
        <w:rPr>
          <w:sz w:val="20"/>
          <w:szCs w:val="20"/>
          <w:color w:val="auto"/>
        </w:rPr>
      </w:pPr>
    </w:p>
    <w:p>
      <w:pPr>
        <w:ind w:right="4260"/>
        <w:spacing w:after="0"/>
        <w:rPr>
          <w:sz w:val="20"/>
          <w:szCs w:val="20"/>
          <w:color w:val="auto"/>
        </w:rPr>
      </w:pPr>
      <w:r>
        <w:rPr>
          <w:rFonts w:ascii="Times New Roman" w:cs="Times New Roman" w:eastAsia="Times New Roman" w:hAnsi="Times New Roman"/>
          <w:sz w:val="17"/>
          <w:szCs w:val="17"/>
          <w:color w:val="auto"/>
        </w:rPr>
        <w:t>CONDENSED CONSOLIDATED STATEMENTS OF CHANGES TO STOCKHOLDERS’ EQUITY FOR THE THREE AND NINE MONTHS ENDED SEPTEMBER 30, 2022 (000’S OMITTED,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Shares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Common</w:t>
            </w: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Common</w:t>
            </w: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Treasury</w:t>
            </w:r>
          </w:p>
        </w:tc>
        <w:tc>
          <w:tcPr>
            <w:tcW w:w="12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Retained</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w w:val="99"/>
              </w:rPr>
              <w:t>Comprehensive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0" w:type="dxa"/>
            <w:vAlign w:val="bottom"/>
          </w:tcPr>
          <w:p>
            <w:pPr>
              <w:spacing w:after="0"/>
              <w:rPr>
                <w:sz w:val="1"/>
                <w:szCs w:val="1"/>
                <w:color w:val="auto"/>
              </w:rPr>
            </w:pPr>
          </w:p>
        </w:tc>
      </w:tr>
      <w:tr>
        <w:trPr>
          <w:trHeight w:val="221"/>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January 1, 2022</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Stock</w:t>
            </w: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Stock</w:t>
            </w:r>
          </w:p>
        </w:tc>
        <w:tc>
          <w:tcPr>
            <w:tcW w:w="12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Stock</w:t>
            </w: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Earnings</w:t>
            </w:r>
          </w:p>
        </w:tc>
        <w:tc>
          <w:tcPr>
            <w:tcW w:w="10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Loss</w:t>
            </w:r>
          </w:p>
        </w:tc>
        <w:tc>
          <w:tcPr>
            <w:tcW w:w="1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Equity</w:t>
            </w:r>
          </w:p>
        </w:tc>
        <w:tc>
          <w:tcPr>
            <w:tcW w:w="0" w:type="dxa"/>
            <w:vAlign w:val="bottom"/>
          </w:tcPr>
          <w:p>
            <w:pPr>
              <w:spacing w:after="0"/>
              <w:rPr>
                <w:sz w:val="1"/>
                <w:szCs w:val="1"/>
                <w:color w:val="auto"/>
              </w:rPr>
            </w:pPr>
          </w:p>
        </w:tc>
      </w:tr>
      <w:tr>
        <w:trPr>
          <w:trHeight w:val="197"/>
        </w:trPr>
        <w:tc>
          <w:tcPr>
            <w:tcW w:w="4260" w:type="dxa"/>
            <w:vAlign w:val="bottom"/>
            <w:vMerge w:val="continue"/>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13,066,233</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122,674</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189,401</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8,102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(16,542 )</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(16,542 )</w:t>
            </w:r>
          </w:p>
        </w:tc>
        <w:tc>
          <w:tcPr>
            <w:tcW w:w="0" w:type="dxa"/>
            <w:vAlign w:val="bottom"/>
          </w:tcPr>
          <w:p>
            <w:pPr>
              <w:spacing w:after="0"/>
              <w:rPr>
                <w:sz w:val="1"/>
                <w:szCs w:val="1"/>
                <w:color w:val="auto"/>
              </w:rPr>
            </w:pPr>
          </w:p>
        </w:tc>
      </w:tr>
      <w:tr>
        <w:trPr>
          <w:trHeight w:val="162"/>
        </w:trPr>
        <w:tc>
          <w:tcPr>
            <w:tcW w:w="4260" w:type="dxa"/>
            <w:vAlign w:val="bottom"/>
            <w:shd w:val="clear" w:color="auto" w:fill="CFF0FC"/>
          </w:tcPr>
          <w:p>
            <w:pPr>
              <w:ind w:left="180"/>
              <w:spacing w:after="0" w:line="163" w:lineRule="exact"/>
              <w:rPr>
                <w:sz w:val="20"/>
                <w:szCs w:val="20"/>
                <w:color w:val="auto"/>
              </w:rPr>
            </w:pPr>
            <w:r>
              <w:rPr>
                <w:rFonts w:ascii="Times New Roman" w:cs="Times New Roman" w:eastAsia="Times New Roman" w:hAnsi="Times New Roman"/>
                <w:sz w:val="17"/>
                <w:szCs w:val="17"/>
                <w:color w:val="auto"/>
              </w:rPr>
              <w:t>Issuance of 500 shares of restricted stock</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of forfeitures - 650)</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(150 )</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dividends declared - $0.19 per share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(2,462 )</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(2,462 )</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March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13,066,083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(11,739 )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195,057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(19,726 )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(11,535 )</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(11,535 )</w:t>
            </w: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(1,388 )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(54 )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Forfeiture of 1,750 shares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(1,750 )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 stock award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dividends declared - $0.2025 per share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(2,626 )</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(2,626 )</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June 30,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13,065,825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123,145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(11,822 )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(31,261 )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8,954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(6,476 )</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(6,476 )</w:t>
            </w: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(8,100 )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(254 )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(254 )</w:t>
            </w:r>
          </w:p>
        </w:tc>
        <w:tc>
          <w:tcPr>
            <w:tcW w:w="0" w:type="dxa"/>
            <w:vAlign w:val="bottom"/>
          </w:tcPr>
          <w:p>
            <w:pPr>
              <w:spacing w:after="0"/>
              <w:rPr>
                <w:sz w:val="1"/>
                <w:szCs w:val="1"/>
                <w:color w:val="auto"/>
              </w:rPr>
            </w:pPr>
          </w:p>
        </w:tc>
      </w:tr>
      <w:tr>
        <w:trPr>
          <w:trHeight w:val="162"/>
        </w:trPr>
        <w:tc>
          <w:tcPr>
            <w:tcW w:w="426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Issuance of 53,375 shares of restricted stock</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of forfeitures - 3,600)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(1,542 )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dividends declared - $0.21 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(2,727 )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(2,727 )</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September 30, 2022</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13,107,500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121,811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(11,547</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208,051</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(37,737</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280,578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-2238375</wp:posOffset>
            </wp:positionV>
            <wp:extent cx="73025"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-2238375</wp:posOffset>
            </wp:positionV>
            <wp:extent cx="73025"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-2238375</wp:posOffset>
            </wp:positionV>
            <wp:extent cx="73025"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-2238375</wp:posOffset>
            </wp:positionV>
            <wp:extent cx="73025" cy="1377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-2238375</wp:posOffset>
            </wp:positionV>
            <wp:extent cx="64770" cy="137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-2238375</wp:posOffset>
            </wp:positionV>
            <wp:extent cx="64770" cy="1377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-1191895</wp:posOffset>
            </wp:positionV>
            <wp:extent cx="73025" cy="1377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-1191895</wp:posOffset>
            </wp:positionV>
            <wp:extent cx="73025" cy="1377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-1191895</wp:posOffset>
            </wp:positionV>
            <wp:extent cx="73025"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-1191895</wp:posOffset>
            </wp:positionV>
            <wp:extent cx="73025"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-1191895</wp:posOffset>
            </wp:positionV>
            <wp:extent cx="6477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-1191895</wp:posOffset>
            </wp:positionV>
            <wp:extent cx="64770" cy="137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-23495</wp:posOffset>
            </wp:positionV>
            <wp:extent cx="386207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62070" cy="1543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Condensed Consolidated Unaudited Financial Statements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26" w:lineRule="exact"/>
        <w:rPr>
          <w:sz w:val="20"/>
          <w:szCs w:val="20"/>
          <w:color w:val="auto"/>
        </w:rPr>
      </w:pPr>
    </w:p>
    <w:p>
      <w:pPr>
        <w:ind w:right="4260"/>
        <w:spacing w:after="0"/>
        <w:rPr>
          <w:sz w:val="20"/>
          <w:szCs w:val="20"/>
          <w:color w:val="auto"/>
        </w:rPr>
      </w:pPr>
      <w:r>
        <w:rPr>
          <w:rFonts w:ascii="Times New Roman" w:cs="Times New Roman" w:eastAsia="Times New Roman" w:hAnsi="Times New Roman"/>
          <w:sz w:val="17"/>
          <w:szCs w:val="17"/>
          <w:color w:val="auto"/>
        </w:rPr>
        <w:t>CONDENSED CONSOLIDATED STATEMENTS OF CHANGES TO STOCKHOLDERS’ EQUITY FOR THE THREE AND NINE MONTHS ENDED SEPTEMBER 30, 2021 (000’S OMITTED,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Accumulated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Shares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Common</w:t>
            </w: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Common</w:t>
            </w:r>
          </w:p>
        </w:tc>
        <w:tc>
          <w:tcPr>
            <w:tcW w:w="12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Treasury</w:t>
            </w:r>
          </w:p>
        </w:tc>
        <w:tc>
          <w:tcPr>
            <w:tcW w:w="12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Retained</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9"/>
              </w:rPr>
              <w:t>Comprehensive</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0" w:type="dxa"/>
            <w:vAlign w:val="bottom"/>
          </w:tcPr>
          <w:p>
            <w:pPr>
              <w:spacing w:after="0"/>
              <w:rPr>
                <w:sz w:val="1"/>
                <w:szCs w:val="1"/>
                <w:color w:val="auto"/>
              </w:rPr>
            </w:pPr>
          </w:p>
        </w:tc>
      </w:tr>
      <w:tr>
        <w:trPr>
          <w:trHeight w:val="22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January 1, 2021</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Stock</w:t>
            </w: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Stock</w:t>
            </w:r>
          </w:p>
        </w:tc>
        <w:tc>
          <w:tcPr>
            <w:tcW w:w="1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Stock</w:t>
            </w: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Earnings</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9"/>
              </w:rPr>
              <w:t>Income (Loss)</w:t>
            </w:r>
          </w:p>
        </w:tc>
        <w:tc>
          <w:tcPr>
            <w:tcW w:w="18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Equity</w:t>
            </w:r>
          </w:p>
        </w:tc>
        <w:tc>
          <w:tcPr>
            <w:tcW w:w="0" w:type="dxa"/>
            <w:vAlign w:val="bottom"/>
          </w:tcPr>
          <w:p>
            <w:pPr>
              <w:spacing w:after="0"/>
              <w:rPr>
                <w:sz w:val="1"/>
                <w:szCs w:val="1"/>
                <w:color w:val="auto"/>
              </w:rPr>
            </w:pPr>
          </w:p>
        </w:tc>
      </w:tr>
      <w:tr>
        <w:trPr>
          <w:trHeight w:val="155"/>
        </w:trPr>
        <w:tc>
          <w:tcPr>
            <w:tcW w:w="4240" w:type="dxa"/>
            <w:vAlign w:val="bottom"/>
            <w:vMerge w:val="continue"/>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color w:val="auto"/>
              </w:rPr>
              <w:t>11,197,54</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(11,932 )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173,591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(5,554 )</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(5,554 )</w:t>
            </w: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(950 )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(23 )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162"/>
        </w:trPr>
        <w:tc>
          <w:tcPr>
            <w:tcW w:w="424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Issuance of 750 shares of restricted stock</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of forfeitures - 600)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dividends declared - $0.17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(1,889 )</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(1,889 )</w:t>
            </w:r>
          </w:p>
        </w:tc>
        <w:tc>
          <w:tcPr>
            <w:tcW w:w="0" w:type="dxa"/>
            <w:vAlign w:val="bottom"/>
          </w:tcPr>
          <w:p>
            <w:pPr>
              <w:spacing w:after="0"/>
              <w:rPr>
                <w:sz w:val="1"/>
                <w:szCs w:val="1"/>
                <w:color w:val="auto"/>
              </w:rPr>
            </w:pPr>
          </w:p>
        </w:tc>
      </w:tr>
      <w:tr>
        <w:trPr>
          <w:trHeight w:val="155"/>
        </w:trPr>
        <w:tc>
          <w:tcPr>
            <w:tcW w:w="42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b w:val="1"/>
                <w:bCs w:val="1"/>
                <w:color w:val="auto"/>
              </w:rPr>
              <w:t>Balance - March 31, 2021</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7"/>
                <w:szCs w:val="17"/>
                <w:color w:val="auto"/>
              </w:rPr>
              <w:t>11,196,74</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(11,962 )</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176,617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(8,929 )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(201 )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(201 )</w:t>
            </w: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Forfeiture of 1,975 shares of restricted stock</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(1,975 )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(47 )</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Director stock award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dividends declared - $0.17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(1,888 )</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(1,888 )</w:t>
            </w:r>
          </w:p>
        </w:tc>
        <w:tc>
          <w:tcPr>
            <w:tcW w:w="0" w:type="dxa"/>
            <w:vAlign w:val="bottom"/>
          </w:tcPr>
          <w:p>
            <w:pPr>
              <w:spacing w:after="0"/>
              <w:rPr>
                <w:sz w:val="1"/>
                <w:szCs w:val="1"/>
                <w:color w:val="auto"/>
              </w:rPr>
            </w:pPr>
          </w:p>
        </w:tc>
      </w:tr>
      <w:tr>
        <w:trPr>
          <w:trHeight w:val="155"/>
        </w:trPr>
        <w:tc>
          <w:tcPr>
            <w:tcW w:w="42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b w:val="1"/>
                <w:bCs w:val="1"/>
                <w:color w:val="auto"/>
              </w:rPr>
              <w:t>Balance - June 30, 2021</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7"/>
                <w:szCs w:val="17"/>
                <w:color w:val="auto"/>
              </w:rPr>
              <w:t>11,189,05</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82,259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(12,172 )</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179,734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(4,732 )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(107 )</w:t>
            </w: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Issuance of 48,000 shares of restricted stock</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(1,090 )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dividends declared - $0.18 per share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(2,002 )</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(2,002 )</w:t>
            </w:r>
          </w:p>
        </w:tc>
        <w:tc>
          <w:tcPr>
            <w:tcW w:w="0" w:type="dxa"/>
            <w:vAlign w:val="bottom"/>
          </w:tcPr>
          <w:p>
            <w:pPr>
              <w:spacing w:after="0"/>
              <w:rPr>
                <w:sz w:val="1"/>
                <w:szCs w:val="1"/>
                <w:color w:val="auto"/>
              </w:rPr>
            </w:pPr>
          </w:p>
        </w:tc>
      </w:tr>
      <w:tr>
        <w:trPr>
          <w:trHeight w:val="155"/>
        </w:trPr>
        <w:tc>
          <w:tcPr>
            <w:tcW w:w="424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7"/>
                <w:szCs w:val="17"/>
                <w:b w:val="1"/>
                <w:bCs w:val="1"/>
                <w:color w:val="auto"/>
              </w:rPr>
              <w:t>Balance - September 30, 2021</w:t>
            </w:r>
          </w:p>
        </w:tc>
        <w:tc>
          <w:tcPr>
            <w:tcW w:w="8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7"/>
                <w:szCs w:val="17"/>
                <w:color w:val="auto"/>
              </w:rPr>
              <w:t>11,232,32</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81,382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(11,718 )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184,181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-274955</wp:posOffset>
            </wp:positionV>
            <wp:extent cx="73025" cy="405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25" cy="405765"/>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-274955</wp:posOffset>
            </wp:positionV>
            <wp:extent cx="73025" cy="405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25" cy="40576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-274955</wp:posOffset>
            </wp:positionV>
            <wp:extent cx="73025" cy="405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 cy="405765"/>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-274955</wp:posOffset>
            </wp:positionV>
            <wp:extent cx="73025" cy="405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25" cy="405765"/>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-274955</wp:posOffset>
            </wp:positionV>
            <wp:extent cx="64770" cy="405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770" cy="40576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-274955</wp:posOffset>
            </wp:positionV>
            <wp:extent cx="64770" cy="405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770" cy="40576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 w:name="page8"/>
    <w:bookmarkEnd w:id="7"/>
    <w:p>
      <w:pPr>
        <w:ind w:right="5500"/>
        <w:spacing w:after="0" w:line="270" w:lineRule="auto"/>
        <w:rPr>
          <w:sz w:val="20"/>
          <w:szCs w:val="20"/>
          <w:color w:val="auto"/>
        </w:rPr>
      </w:pPr>
      <w:r>
        <w:rPr>
          <w:rFonts w:ascii="Times New Roman" w:cs="Times New Roman" w:eastAsia="Times New Roman" w:hAnsi="Times New Roman"/>
          <w:sz w:val="16"/>
          <w:szCs w:val="16"/>
          <w:color w:val="auto"/>
        </w:rPr>
        <w:t>FARMERS &amp; MERCHANTS BANCORP, INC. AND SUBSIDIARIES CONDENSED CONSOLIDATED STATEMENTS OF CASH FLOWS (Unaudited)</w:t>
      </w:r>
    </w:p>
    <w:tbl>
      <w:tblPr>
        <w:tblLayout w:type="fixed"/>
        <w:tblInd w:w="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20" w:type="dxa"/>
            <w:vAlign w:val="bottom"/>
            <w:gridSpan w:val="5"/>
          </w:tcPr>
          <w:p>
            <w:pPr>
              <w:jc w:val="right"/>
              <w:ind w:right="1235"/>
              <w:spacing w:after="0" w:line="187" w:lineRule="exact"/>
              <w:rPr>
                <w:sz w:val="20"/>
                <w:szCs w:val="20"/>
                <w:color w:val="auto"/>
              </w:rPr>
            </w:pPr>
            <w:r>
              <w:rPr>
                <w:rFonts w:ascii="Times New Roman" w:cs="Times New Roman" w:eastAsia="Times New Roman" w:hAnsi="Times New Roman"/>
                <w:sz w:val="17"/>
                <w:szCs w:val="17"/>
                <w:color w:val="auto"/>
              </w:rPr>
              <w:t>(in thousands of dollars)</w:t>
            </w:r>
          </w:p>
        </w:tc>
      </w:tr>
      <w:tr>
        <w:trPr>
          <w:trHeight w:val="221"/>
        </w:trPr>
        <w:tc>
          <w:tcPr>
            <w:tcW w:w="6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20" w:type="dxa"/>
            <w:vAlign w:val="bottom"/>
            <w:gridSpan w:val="5"/>
          </w:tcPr>
          <w:p>
            <w:pPr>
              <w:jc w:val="right"/>
              <w:ind w:right="1375"/>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197"/>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September 30, 2022</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September 30, 2021</w:t>
            </w:r>
          </w:p>
        </w:tc>
        <w:tc>
          <w:tcPr>
            <w:tcW w:w="100" w:type="dxa"/>
            <w:vAlign w:val="bottom"/>
          </w:tcPr>
          <w:p>
            <w:pPr>
              <w:spacing w:after="0"/>
              <w:rPr>
                <w:sz w:val="17"/>
                <w:szCs w:val="17"/>
                <w:color w:val="auto"/>
              </w:rPr>
            </w:pPr>
          </w:p>
        </w:tc>
      </w:tr>
      <w:tr>
        <w:trPr>
          <w:trHeight w:val="197"/>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25,327</w:t>
            </w:r>
          </w:p>
        </w:tc>
        <w:tc>
          <w:tcPr>
            <w:tcW w:w="28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15,812</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from operating activities: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premiums on available-for-sale securities, net</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Servicing rights amortization and impairment</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core deposit intangible</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customer list intangible</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amortization (accretion) of fair value adjustments</w:t>
            </w:r>
          </w:p>
        </w:tc>
        <w:tc>
          <w:tcPr>
            <w:tcW w:w="18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(3,392 )</w:t>
            </w:r>
          </w:p>
        </w:tc>
        <w:tc>
          <w:tcPr>
            <w:tcW w:w="20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(170 )</w:t>
            </w: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 stock award</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loan loss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sale of loans held for sale</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(1,188 )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(2,823 )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Originations of loans held for sale</w:t>
            </w:r>
          </w:p>
        </w:tc>
        <w:tc>
          <w:tcPr>
            <w:tcW w:w="18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(61,285 )</w:t>
            </w:r>
          </w:p>
        </w:tc>
        <w:tc>
          <w:tcPr>
            <w:tcW w:w="20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(86,720 )</w:t>
            </w: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sale of loans held for sale</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68,005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93,548</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 Loss on sale of other assets owned</w:t>
            </w:r>
          </w:p>
        </w:tc>
        <w:tc>
          <w:tcPr>
            <w:tcW w:w="18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(271 )</w:t>
            </w: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sales of securities available-for-sale</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(293 )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Increase in cash surrender value of bank owned life insurance</w:t>
            </w:r>
          </w:p>
        </w:tc>
        <w:tc>
          <w:tcPr>
            <w:tcW w:w="18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(493 )</w:t>
            </w:r>
          </w:p>
        </w:tc>
        <w:tc>
          <w:tcPr>
            <w:tcW w:w="20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(475 )</w:t>
            </w: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other assets and other liabilities, net</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(13,929 )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(1,278 )</w:t>
            </w:r>
          </w:p>
        </w:tc>
      </w:tr>
      <w:tr>
        <w:trPr>
          <w:trHeight w:val="197"/>
        </w:trPr>
        <w:tc>
          <w:tcPr>
            <w:tcW w:w="7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21,969</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Activity in available-for-sale securities: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25,061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41,305</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Sales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9,291</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Purchases</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(35,986 )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(146,634 )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Activity in other securities, at cost:</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Purchases</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(65 )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(207 )</w:t>
            </w: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redemption of FHLB stock</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1,522</w:t>
            </w:r>
          </w:p>
        </w:tc>
        <w:tc>
          <w:tcPr>
            <w:tcW w:w="100" w:type="dxa"/>
            <w:vAlign w:val="bottom"/>
            <w:shd w:val="clear" w:color="auto" w:fill="CFF0FC"/>
          </w:tcPr>
          <w:p>
            <w:pPr>
              <w:spacing w:after="0"/>
              <w:rPr>
                <w:sz w:val="17"/>
                <w:szCs w:val="17"/>
                <w:color w:val="auto"/>
              </w:rPr>
            </w:pPr>
          </w:p>
        </w:tc>
      </w:tr>
      <w:tr>
        <w:trPr>
          <w:trHeight w:val="204"/>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interest-bearing time deposits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sale of other assets owned</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Additions to premises and equipment</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(1,706 )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(1,418 )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 originations and principal collections, net</w:t>
            </w:r>
          </w:p>
        </w:tc>
        <w:tc>
          <w:tcPr>
            <w:tcW w:w="18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(283,836 )</w:t>
            </w:r>
          </w:p>
        </w:tc>
        <w:tc>
          <w:tcPr>
            <w:tcW w:w="20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(141,116 )</w:t>
            </w: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Acquisition of Ossian Financial Services, Inc., net of cash received</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7"/>
                <w:szCs w:val="17"/>
                <w:color w:val="auto"/>
              </w:rPr>
            </w:pPr>
          </w:p>
        </w:tc>
      </w:tr>
      <w:tr>
        <w:trPr>
          <w:trHeight w:val="197"/>
        </w:trPr>
        <w:tc>
          <w:tcPr>
            <w:tcW w:w="7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(290,376</w:t>
            </w:r>
          </w:p>
        </w:tc>
        <w:tc>
          <w:tcPr>
            <w:tcW w:w="280" w:type="dxa"/>
            <w:vAlign w:val="bottom"/>
            <w:tcBorders>
              <w:bottom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(226,576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change in deposits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91,432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154,042</w:t>
            </w:r>
          </w:p>
        </w:tc>
        <w:tc>
          <w:tcPr>
            <w:tcW w:w="100" w:type="dxa"/>
            <w:vAlign w:val="bottom"/>
            <w:shd w:val="clear" w:color="auto" w:fill="CFF0FC"/>
          </w:tcPr>
          <w:p>
            <w:pPr>
              <w:spacing w:after="0"/>
              <w:rPr>
                <w:sz w:val="17"/>
                <w:szCs w:val="17"/>
                <w:color w:val="auto"/>
              </w:rPr>
            </w:pPr>
          </w:p>
        </w:tc>
      </w:tr>
      <w:tr>
        <w:trPr>
          <w:trHeight w:val="162"/>
        </w:trPr>
        <w:tc>
          <w:tcPr>
            <w:tcW w:w="70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Net change in federal funds purchased and securities sold under agreements</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 repurchase</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(638 )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FHLB advances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Repayment of FHLB advances</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(21,855 )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Repayment of other borrowings</w:t>
            </w:r>
          </w:p>
        </w:tc>
        <w:tc>
          <w:tcPr>
            <w:tcW w:w="18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(30,000 )</w:t>
            </w: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(308 )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(331 )</w:t>
            </w:r>
          </w:p>
        </w:tc>
      </w:tr>
      <w:tr>
        <w:trPr>
          <w:trHeight w:val="204"/>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issuance of subordinated notes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34,421</w:t>
            </w:r>
          </w:p>
        </w:tc>
        <w:tc>
          <w:tcPr>
            <w:tcW w:w="100" w:type="dxa"/>
            <w:vAlign w:val="bottom"/>
            <w:shd w:val="clear" w:color="auto" w:fill="CFF0FC"/>
          </w:tcPr>
          <w:p>
            <w:pPr>
              <w:spacing w:after="0"/>
              <w:rPr>
                <w:sz w:val="17"/>
                <w:szCs w:val="17"/>
                <w:color w:val="auto"/>
              </w:rPr>
            </w:pP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(7,549 )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(5,666 )</w:t>
            </w:r>
          </w:p>
        </w:tc>
      </w:tr>
      <w:tr>
        <w:trPr>
          <w:trHeight w:val="197"/>
        </w:trPr>
        <w:tc>
          <w:tcPr>
            <w:tcW w:w="7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158,254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181,671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180" w:type="dxa"/>
            <w:vAlign w:val="bottom"/>
          </w:tcPr>
          <w:p>
            <w:pPr>
              <w:spacing w:after="0"/>
              <w:rPr>
                <w:sz w:val="17"/>
                <w:szCs w:val="17"/>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(110,153 )</w:t>
            </w:r>
          </w:p>
        </w:tc>
        <w:tc>
          <w:tcPr>
            <w:tcW w:w="2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(17,628 )</w:t>
            </w:r>
          </w:p>
        </w:tc>
      </w:tr>
      <w:tr>
        <w:trPr>
          <w:trHeight w:val="197"/>
        </w:trPr>
        <w:tc>
          <w:tcPr>
            <w:tcW w:w="7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 Beginning of year</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180,823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175,706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70,670</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158,078</w:t>
            </w:r>
          </w:p>
        </w:tc>
        <w:tc>
          <w:tcPr>
            <w:tcW w:w="10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-3698875</wp:posOffset>
            </wp:positionV>
            <wp:extent cx="73025" cy="1377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-3698875</wp:posOffset>
            </wp:positionV>
            <wp:extent cx="64770" cy="1377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-1865630</wp:posOffset>
            </wp:positionV>
            <wp:extent cx="73025" cy="1377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-1865630</wp:posOffset>
            </wp:positionV>
            <wp:extent cx="64770"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-437515</wp:posOffset>
            </wp:positionV>
            <wp:extent cx="7302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-437515</wp:posOffset>
            </wp:positionV>
            <wp:extent cx="6477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770" cy="146050"/>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-161925</wp:posOffset>
            </wp:positionV>
            <wp:extent cx="73025" cy="292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25" cy="29210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-161925</wp:posOffset>
            </wp:positionV>
            <wp:extent cx="64770" cy="292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70" cy="29210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(continued)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 (Continued)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gridSpan w:val="4"/>
          </w:tcPr>
          <w:p>
            <w:pPr>
              <w:jc w:val="right"/>
              <w:ind w:right="1135"/>
              <w:spacing w:after="0"/>
              <w:rPr>
                <w:sz w:val="20"/>
                <w:szCs w:val="20"/>
                <w:color w:val="auto"/>
              </w:rPr>
            </w:pPr>
            <w:r>
              <w:rPr>
                <w:rFonts w:ascii="Times New Roman" w:cs="Times New Roman" w:eastAsia="Times New Roman" w:hAnsi="Times New Roman"/>
                <w:sz w:val="17"/>
                <w:szCs w:val="17"/>
                <w:color w:val="auto"/>
              </w:rPr>
              <w:t>(in thousands of dollars)</w:t>
            </w:r>
          </w:p>
        </w:tc>
        <w:tc>
          <w:tcPr>
            <w:tcW w:w="100" w:type="dxa"/>
            <w:vAlign w:val="bottom"/>
          </w:tcPr>
          <w:p>
            <w:pPr>
              <w:spacing w:after="0"/>
              <w:rPr>
                <w:sz w:val="17"/>
                <w:szCs w:val="17"/>
                <w:color w:val="auto"/>
              </w:rPr>
            </w:pPr>
          </w:p>
        </w:tc>
      </w:tr>
      <w:tr>
        <w:trPr>
          <w:trHeight w:val="221"/>
        </w:trPr>
        <w:tc>
          <w:tcPr>
            <w:tcW w:w="7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4"/>
          </w:tcPr>
          <w:p>
            <w:pPr>
              <w:jc w:val="right"/>
              <w:ind w:right="1275"/>
              <w:spacing w:after="0"/>
              <w:rPr>
                <w:sz w:val="20"/>
                <w:szCs w:val="20"/>
                <w:color w:val="auto"/>
              </w:rPr>
            </w:pPr>
            <w:r>
              <w:rPr>
                <w:rFonts w:ascii="Times New Roman" w:cs="Times New Roman" w:eastAsia="Times New Roman" w:hAnsi="Times New Roman"/>
                <w:sz w:val="17"/>
                <w:szCs w:val="17"/>
                <w:color w:val="auto"/>
              </w:rPr>
              <w:t>Nine Months Ended</w:t>
            </w:r>
          </w:p>
        </w:tc>
        <w:tc>
          <w:tcPr>
            <w:tcW w:w="100" w:type="dxa"/>
            <w:vAlign w:val="bottom"/>
          </w:tcPr>
          <w:p>
            <w:pPr>
              <w:spacing w:after="0"/>
              <w:rPr>
                <w:sz w:val="19"/>
                <w:szCs w:val="19"/>
                <w:color w:val="auto"/>
              </w:rPr>
            </w:pPr>
          </w:p>
        </w:tc>
      </w:tr>
      <w:tr>
        <w:trPr>
          <w:trHeight w:val="197"/>
        </w:trPr>
        <w:tc>
          <w:tcPr>
            <w:tcW w:w="7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September 30, 2022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September 30, 2021</w:t>
            </w:r>
          </w:p>
        </w:tc>
        <w:tc>
          <w:tcPr>
            <w:tcW w:w="100" w:type="dxa"/>
            <w:vAlign w:val="bottom"/>
          </w:tcPr>
          <w:p>
            <w:pPr>
              <w:spacing w:after="0"/>
              <w:rPr>
                <w:sz w:val="17"/>
                <w:szCs w:val="17"/>
                <w:color w:val="auto"/>
              </w:rPr>
            </w:pPr>
          </w:p>
        </w:tc>
      </w:tr>
      <w:tr>
        <w:trPr>
          <w:trHeight w:val="197"/>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Information</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7,765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4,559</w:t>
            </w:r>
          </w:p>
        </w:tc>
        <w:tc>
          <w:tcPr>
            <w:tcW w:w="100" w:type="dxa"/>
            <w:vAlign w:val="bottom"/>
            <w:shd w:val="clear" w:color="auto" w:fill="CFF0FC"/>
          </w:tcPr>
          <w:p>
            <w:pPr>
              <w:spacing w:after="0"/>
              <w:rPr>
                <w:sz w:val="17"/>
                <w:szCs w:val="17"/>
                <w:color w:val="auto"/>
              </w:rPr>
            </w:pPr>
          </w:p>
        </w:tc>
      </w:tr>
      <w:tr>
        <w:trPr>
          <w:trHeight w:val="204"/>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5,100</w:t>
            </w:r>
          </w:p>
        </w:tc>
        <w:tc>
          <w:tcPr>
            <w:tcW w:w="100" w:type="dxa"/>
            <w:vAlign w:val="bottom"/>
          </w:tcPr>
          <w:p>
            <w:pPr>
              <w:spacing w:after="0"/>
              <w:rPr>
                <w:sz w:val="17"/>
                <w:szCs w:val="17"/>
                <w:color w:val="auto"/>
              </w:rPr>
            </w:pPr>
          </w:p>
        </w:tc>
      </w:tr>
      <w:tr>
        <w:trPr>
          <w:trHeight w:val="204"/>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Supplemental noncash disclosures:</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of loans to other real estate owned</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7"/>
                <w:szCs w:val="17"/>
                <w:color w:val="auto"/>
              </w:rPr>
            </w:pPr>
          </w:p>
        </w:tc>
      </w:tr>
      <w:tr>
        <w:trPr>
          <w:trHeight w:val="204"/>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dividends declared not paid</w:t>
            </w: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100" w:type="dxa"/>
            <w:vAlign w:val="bottom"/>
            <w:shd w:val="clear" w:color="auto" w:fill="CFF0FC"/>
          </w:tcPr>
          <w:p>
            <w:pPr>
              <w:spacing w:after="0"/>
              <w:rPr>
                <w:sz w:val="17"/>
                <w:szCs w:val="17"/>
                <w:color w:val="auto"/>
              </w:rPr>
            </w:pPr>
          </w:p>
        </w:tc>
      </w:tr>
      <w:tr>
        <w:trPr>
          <w:trHeight w:val="162"/>
        </w:trPr>
        <w:tc>
          <w:tcPr>
            <w:tcW w:w="702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The Company purchased the assets of Ossian Financial Services, Inc. for $20,001 on April 30,</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Fair value of assets acquired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137,058</w:t>
            </w:r>
          </w:p>
        </w:tc>
        <w:tc>
          <w:tcPr>
            <w:tcW w:w="100" w:type="dxa"/>
            <w:vAlign w:val="bottom"/>
            <w:shd w:val="clear" w:color="auto" w:fill="CFF0FC"/>
          </w:tcPr>
          <w:p>
            <w:pPr>
              <w:spacing w:after="0"/>
              <w:rPr>
                <w:sz w:val="17"/>
                <w:szCs w:val="17"/>
                <w:color w:val="auto"/>
              </w:rPr>
            </w:pPr>
          </w:p>
        </w:tc>
      </w:tr>
      <w:tr>
        <w:trPr>
          <w:trHeight w:val="204"/>
        </w:trPr>
        <w:tc>
          <w:tcPr>
            <w:tcW w:w="7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the capital stock</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20,001</w:t>
            </w:r>
          </w:p>
        </w:tc>
        <w:tc>
          <w:tcPr>
            <w:tcW w:w="100" w:type="dxa"/>
            <w:vAlign w:val="bottom"/>
          </w:tcPr>
          <w:p>
            <w:pPr>
              <w:spacing w:after="0"/>
              <w:rPr>
                <w:sz w:val="17"/>
                <w:szCs w:val="17"/>
                <w:color w:val="auto"/>
              </w:rPr>
            </w:pPr>
          </w:p>
        </w:tc>
      </w:tr>
      <w:tr>
        <w:trPr>
          <w:trHeight w:val="237"/>
        </w:trPr>
        <w:tc>
          <w:tcPr>
            <w:tcW w:w="7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Liabilities assumed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117,057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-23495</wp:posOffset>
            </wp:positionV>
            <wp:extent cx="730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-7620</wp:posOffset>
            </wp:positionV>
            <wp:extent cx="730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-23495</wp:posOffset>
            </wp:positionV>
            <wp:extent cx="647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-7620</wp:posOffset>
            </wp:positionV>
            <wp:extent cx="647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right="3560" w:hanging="1269"/>
        <w:spacing w:after="0" w:line="644" w:lineRule="auto"/>
        <w:tabs>
          <w:tab w:leader="none" w:pos="44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-165100</wp:posOffset>
            </wp:positionV>
            <wp:extent cx="7165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w:t>
      </w:r>
    </w:p>
    <w:p>
      <w:pPr>
        <w:spacing w:after="0" w:line="3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NOTE 1 BASIS OF PRESENTATION AND OTHER</w:t>
      </w:r>
    </w:p>
    <w:p>
      <w:pPr>
        <w:spacing w:after="0" w:line="17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2022 are not necessarily indicative of the results that are expected for the year ended December 31, 2022. The condensed consolidated balance sheet of the Company as of December 31, 2021,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2021.</w:t>
      </w:r>
    </w:p>
    <w:p>
      <w:pPr>
        <w:spacing w:after="0" w:line="135"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2 BUSINESS COMBINATION AND ASSET PURCHASE</w:t>
      </w:r>
    </w:p>
    <w:p>
      <w:pPr>
        <w:spacing w:after="0" w:line="30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has had an opportunity to increase its deposit base and reduce transaction costs. The Company has reduced costs through economies of scale.</w:t>
      </w:r>
    </w:p>
    <w:p>
      <w:pPr>
        <w:spacing w:after="0" w:line="187"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8"/>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Consideration Transferred</w:t>
            </w:r>
          </w:p>
        </w:tc>
        <w:tc>
          <w:tcPr>
            <w:tcW w:w="260" w:type="dxa"/>
            <w:vAlign w:val="bottom"/>
          </w:tcPr>
          <w:p>
            <w:pPr>
              <w:spacing w:after="0"/>
              <w:rPr>
                <w:sz w:val="24"/>
                <w:szCs w:val="24"/>
                <w:color w:val="auto"/>
              </w:rPr>
            </w:pPr>
          </w:p>
        </w:tc>
        <w:tc>
          <w:tcPr>
            <w:tcW w:w="1660" w:type="dxa"/>
            <w:vAlign w:val="bottom"/>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59,234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Shares</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100,312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Recognized amounts of identifiable assets acquired and liabilities assumed</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Federal funds sold</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Interest-bearing time deposits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securities, at cost</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net</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334,661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Premises and equipment</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Purchased</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Noninterest bearing</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Interest bearing</w:t>
            </w:r>
          </w:p>
        </w:tc>
        <w:tc>
          <w:tcPr>
            <w:tcW w:w="2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309,090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deposits</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Federal Home Loan Bank (FHLB) advances</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Assumed</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319,850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7076440</wp:posOffset>
            </wp:positionH>
            <wp:positionV relativeFrom="paragraph">
              <wp:posOffset>-2952750</wp:posOffset>
            </wp:positionV>
            <wp:extent cx="64770" cy="414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770" cy="41402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-1370330</wp:posOffset>
            </wp:positionV>
            <wp:extent cx="6477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-559435</wp:posOffset>
            </wp:positionV>
            <wp:extent cx="64770" cy="1377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-23495</wp:posOffset>
            </wp:positionV>
            <wp:extent cx="647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-7620</wp:posOffset>
            </wp:positionV>
            <wp:extent cx="647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55"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fair value of the assets acquired includes loans with a fair value of $334.7 million. The gross principal and contractual interest due under the contracts is $403.3 million, of which $5.6 million is expected to be uncollectible. The loans have a weighted average life of 52 months.</w:t>
      </w:r>
    </w:p>
    <w:p>
      <w:pPr>
        <w:spacing w:after="0" w:line="166"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fair value of building and land included in premises and equipment was written down by $4 thousand with $297 thousand attributable to the buildings and is being amortized over the useful life of 16.2 years.</w:t>
      </w:r>
    </w:p>
    <w:p>
      <w:pPr>
        <w:spacing w:after="0" w:line="153"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The fair value for certificates of deposit incorporates a valuation amount of $3.9 million which is being accreted over 1.6 years. The fair value of Federal Home Loan Bank (FHLB) advances included a valuation amount of $218 thousand which is being accreted over 2.6 years.</w:t>
      </w:r>
    </w:p>
    <w:p>
      <w:pPr>
        <w:spacing w:after="0" w:line="139"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Company acquired loans in the acquisition that had evidence of deterioration of credit quality since origination and it was probable, at acquisition, that all contractually required payments would not be collected.</w:t>
      </w:r>
    </w:p>
    <w:p>
      <w:pPr>
        <w:spacing w:after="0" w:line="153"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 risk models, which incorporated the estimate of current key assumptions, such as default rates, severity and prepayment speeds.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carrying amount of those loans is included in loans, net on the balance sheet at September 30, 2022.  The amounts of loans at October 1, 2021,</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December 31, 2021 and September 30, 2022 are as follows:</w:t>
      </w:r>
    </w:p>
    <w:p>
      <w:pPr>
        <w:spacing w:after="0" w:line="387"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6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9"/>
                <w:szCs w:val="19"/>
                <w:color w:val="auto"/>
              </w:rPr>
            </w:pPr>
          </w:p>
        </w:tc>
      </w:tr>
      <w:tr>
        <w:trPr>
          <w:trHeight w:val="19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 October 1, 2021</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6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tcPr>
          <w:p>
            <w:pPr>
              <w:spacing w:after="0"/>
              <w:rPr>
                <w:sz w:val="17"/>
                <w:szCs w:val="17"/>
                <w:color w:val="auto"/>
              </w:rPr>
            </w:pPr>
          </w:p>
        </w:tc>
      </w:tr>
      <w:tr>
        <w:trPr>
          <w:trHeight w:val="204"/>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shd w:val="clear" w:color="auto" w:fill="CFF0FC"/>
          </w:tcPr>
          <w:p>
            <w:pPr>
              <w:spacing w:after="0"/>
              <w:rPr>
                <w:sz w:val="17"/>
                <w:szCs w:val="17"/>
                <w:color w:val="auto"/>
              </w:rPr>
            </w:pPr>
          </w:p>
        </w:tc>
      </w:tr>
      <w:tr>
        <w:trPr>
          <w:trHeight w:val="204"/>
        </w:trPr>
        <w:tc>
          <w:tcPr>
            <w:tcW w:w="6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17"/>
                <w:szCs w:val="17"/>
                <w:color w:val="auto"/>
              </w:rPr>
            </w:pPr>
          </w:p>
        </w:tc>
      </w:tr>
      <w:tr>
        <w:trPr>
          <w:trHeight w:val="204"/>
        </w:trPr>
        <w:tc>
          <w:tcPr>
            <w:tcW w:w="6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8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7"/>
        </w:trPr>
        <w:tc>
          <w:tcPr>
            <w:tcW w:w="6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Carrying amount, net of fair value adjustment of $237</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8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December 31, 2021</w:t>
            </w: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80" w:type="dxa"/>
            <w:vAlign w:val="bottom"/>
            <w:shd w:val="clear" w:color="auto" w:fill="CFF0FC"/>
          </w:tcPr>
          <w:p>
            <w:pPr>
              <w:spacing w:after="0"/>
              <w:rPr>
                <w:sz w:val="17"/>
                <w:szCs w:val="17"/>
                <w:color w:val="auto"/>
              </w:rPr>
            </w:pPr>
          </w:p>
        </w:tc>
      </w:tr>
      <w:tr>
        <w:trPr>
          <w:trHeight w:val="204"/>
        </w:trPr>
        <w:tc>
          <w:tcPr>
            <w:tcW w:w="6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7"/>
                <w:szCs w:val="17"/>
                <w:color w:val="auto"/>
              </w:rPr>
            </w:pPr>
          </w:p>
        </w:tc>
      </w:tr>
      <w:tr>
        <w:trPr>
          <w:trHeight w:val="204"/>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FF0FC"/>
          </w:tcPr>
          <w:p>
            <w:pPr>
              <w:spacing w:after="0"/>
              <w:rPr>
                <w:sz w:val="17"/>
                <w:szCs w:val="17"/>
                <w:color w:val="auto"/>
              </w:rPr>
            </w:pPr>
          </w:p>
        </w:tc>
      </w:tr>
      <w:tr>
        <w:trPr>
          <w:trHeight w:val="204"/>
        </w:trPr>
        <w:tc>
          <w:tcPr>
            <w:tcW w:w="6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37"/>
        </w:trPr>
        <w:tc>
          <w:tcPr>
            <w:tcW w:w="6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Carrying amount, net of fair value adjustment of $190</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87"/>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September 30, 2022</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FF0FC"/>
          </w:tcPr>
          <w:p>
            <w:pPr>
              <w:spacing w:after="0"/>
              <w:rPr>
                <w:sz w:val="17"/>
                <w:szCs w:val="17"/>
                <w:color w:val="auto"/>
              </w:rPr>
            </w:pPr>
          </w:p>
        </w:tc>
      </w:tr>
      <w:tr>
        <w:trPr>
          <w:trHeight w:val="204"/>
        </w:trPr>
        <w:tc>
          <w:tcPr>
            <w:tcW w:w="6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7"/>
                <w:szCs w:val="17"/>
                <w:color w:val="auto"/>
              </w:rPr>
            </w:pPr>
          </w:p>
        </w:tc>
      </w:tr>
      <w:tr>
        <w:trPr>
          <w:trHeight w:val="204"/>
        </w:trPr>
        <w:tc>
          <w:tcPr>
            <w:tcW w:w="6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r>
      <w:tr>
        <w:trPr>
          <w:trHeight w:val="204"/>
        </w:trPr>
        <w:tc>
          <w:tcPr>
            <w:tcW w:w="6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37"/>
        </w:trPr>
        <w:tc>
          <w:tcPr>
            <w:tcW w:w="69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Carrying amount, net of fair value adjustment of $141</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-2044065</wp:posOffset>
            </wp:positionV>
            <wp:extent cx="5651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-964565</wp:posOffset>
            </wp:positionV>
            <wp:extent cx="56515" cy="283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15" cy="28384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-23495</wp:posOffset>
            </wp:positionV>
            <wp:extent cx="56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-7620</wp:posOffset>
            </wp:positionV>
            <wp:extent cx="56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Loans acquired during 2021 for which it was probable at acquisition that all contractually required payments would not be collected are as follows: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9"/>
                <w:szCs w:val="19"/>
                <w:color w:val="auto"/>
              </w:rPr>
            </w:pPr>
          </w:p>
        </w:tc>
      </w:tr>
      <w:tr>
        <w:trPr>
          <w:trHeight w:val="19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Contractually required payments receivable at acquisition</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80" w:type="dxa"/>
            <w:vAlign w:val="bottom"/>
          </w:tcPr>
          <w:p>
            <w:pPr>
              <w:spacing w:after="0"/>
              <w:rPr>
                <w:sz w:val="17"/>
                <w:szCs w:val="17"/>
                <w:color w:val="auto"/>
              </w:rPr>
            </w:pPr>
          </w:p>
        </w:tc>
      </w:tr>
      <w:tr>
        <w:trPr>
          <w:trHeight w:val="204"/>
        </w:trPr>
        <w:tc>
          <w:tcPr>
            <w:tcW w:w="7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FF0FC"/>
          </w:tcPr>
          <w:p>
            <w:pPr>
              <w:spacing w:after="0"/>
              <w:rPr>
                <w:sz w:val="17"/>
                <w:szCs w:val="17"/>
                <w:color w:val="auto"/>
              </w:rPr>
            </w:pPr>
          </w:p>
        </w:tc>
      </w:tr>
      <w:tr>
        <w:trPr>
          <w:trHeight w:val="204"/>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tcPr>
          <w:p>
            <w:pPr>
              <w:spacing w:after="0"/>
              <w:rPr>
                <w:sz w:val="17"/>
                <w:szCs w:val="17"/>
                <w:color w:val="auto"/>
              </w:rPr>
            </w:pPr>
          </w:p>
        </w:tc>
      </w:tr>
      <w:tr>
        <w:trPr>
          <w:trHeight w:val="204"/>
        </w:trPr>
        <w:tc>
          <w:tcPr>
            <w:tcW w:w="7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7"/>
        </w:trPr>
        <w:tc>
          <w:tcPr>
            <w:tcW w:w="7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required payments receivable</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8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expected to be collected at acquisition</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80" w:type="dxa"/>
            <w:vAlign w:val="bottom"/>
          </w:tcPr>
          <w:p>
            <w:pPr>
              <w:spacing w:after="0"/>
              <w:rPr>
                <w:sz w:val="17"/>
                <w:szCs w:val="17"/>
                <w:color w:val="auto"/>
              </w:rPr>
            </w:pPr>
          </w:p>
        </w:tc>
      </w:tr>
      <w:tr>
        <w:trPr>
          <w:trHeight w:val="204"/>
        </w:trPr>
        <w:tc>
          <w:tcPr>
            <w:tcW w:w="7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Basis in acquired loans at acquisition</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-692150</wp:posOffset>
            </wp:positionV>
            <wp:extent cx="5651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15" cy="162560"/>
                    </a:xfrm>
                    <a:prstGeom prst="rect">
                      <a:avLst/>
                    </a:prstGeom>
                    <a:noFill/>
                  </pic:spPr>
                </pic:pic>
              </a:graphicData>
            </a:graphic>
          </wp:anchor>
        </w:drawing>
      </w:r>
    </w:p>
    <w:p>
      <w:pPr>
        <w:spacing w:after="0" w:line="138"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17"/>
          <w:szCs w:val="17"/>
          <w:color w:val="auto"/>
        </w:rPr>
        <w:t>During the third quarter 2022, the associated discount of $1 thousand for one consumer real estate purchased credit impaired loan was included in the loan interest income in the Company's consolidated statement of income. Two consumer real estate purchased credit impaired loans with an associated discount of $36 thousand were paid off during the second quarter 2022 in addition to one consumer real estate purchased credit impaired loan with an associated discount of $12 thousand was paid off during the first quarter 2022 and has been included in the loan interest income in the Company’s consolidated statement of income for the nine months ended September 30, 2022. During the fourth quarter 2021, two commercial real estate and one consumer purchased credit impaired loans were paid off in full. The associated discount originally recognized at acquisition of $47 thousand was included in the loan interest income in the Company’s consolidated statement of income for the year ended December 31, 2021. The balance of the fair value adjustment for loans acquired and accounted for under this guidance (ASC 310-30) was $141 thousand at September 30, 2022, $190 thousand at December 31, 2021 and $237 thousand at October 1, 2021.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Changes in accretable yield, or income expected to be collected, are as follows:</w:t>
      </w:r>
    </w:p>
    <w:tbl>
      <w:tblPr>
        <w:tblLayout w:type="fixed"/>
        <w:tblInd w:w="1120" w:type="dxa"/>
        <w:tblCellMar>
          <w:top w:w="0" w:type="dxa"/>
          <w:left w:w="0" w:type="dxa"/>
          <w:bottom w:w="0" w:type="dxa"/>
          <w:right w:w="0" w:type="dxa"/>
        </w:tblCellMar>
      </w:tblPr>
      <w:tr>
        <w:trPr>
          <w:trHeight w:val="175"/>
        </w:trPr>
        <w:tc>
          <w:tcPr>
            <w:tcW w:w="2420" w:type="dxa"/>
            <w:vAlign w:val="bottom"/>
          </w:tcPr>
          <w:p>
            <w:pPr>
              <w:spacing w:after="0"/>
              <w:rPr>
                <w:sz w:val="15"/>
                <w:szCs w:val="15"/>
                <w:color w:val="auto"/>
              </w:rPr>
            </w:pPr>
          </w:p>
        </w:tc>
        <w:tc>
          <w:tcPr>
            <w:tcW w:w="1560" w:type="dxa"/>
            <w:vAlign w:val="bottom"/>
            <w:gridSpan w:val="3"/>
          </w:tcPr>
          <w:p>
            <w:pPr>
              <w:jc w:val="center"/>
              <w:ind w:right="240"/>
              <w:spacing w:after="0" w:line="175" w:lineRule="exact"/>
              <w:rPr>
                <w:sz w:val="20"/>
                <w:szCs w:val="20"/>
                <w:color w:val="auto"/>
              </w:rPr>
            </w:pPr>
            <w:r>
              <w:rPr>
                <w:rFonts w:ascii="Times New Roman" w:cs="Times New Roman" w:eastAsia="Times New Roman" w:hAnsi="Times New Roman"/>
                <w:sz w:val="17"/>
                <w:szCs w:val="17"/>
                <w:color w:val="auto"/>
              </w:rPr>
              <w:t>Three Months</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60"/>
              <w:spacing w:after="0" w:line="175" w:lineRule="exact"/>
              <w:rPr>
                <w:sz w:val="20"/>
                <w:szCs w:val="20"/>
                <w:color w:val="auto"/>
              </w:rPr>
            </w:pPr>
            <w:r>
              <w:rPr>
                <w:rFonts w:ascii="Times New Roman" w:cs="Times New Roman" w:eastAsia="Times New Roman" w:hAnsi="Times New Roman"/>
                <w:sz w:val="17"/>
                <w:szCs w:val="17"/>
                <w:color w:val="auto"/>
              </w:rPr>
              <w:t>Nine Months</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920" w:type="dxa"/>
            <w:vAlign w:val="bottom"/>
          </w:tcPr>
          <w:p>
            <w:pPr>
              <w:jc w:val="center"/>
              <w:ind w:left="335"/>
              <w:spacing w:after="0" w:line="179" w:lineRule="exact"/>
              <w:rPr>
                <w:sz w:val="20"/>
                <w:szCs w:val="20"/>
                <w:color w:val="auto"/>
              </w:rPr>
            </w:pPr>
            <w:r>
              <w:rPr>
                <w:rFonts w:ascii="Times New Roman" w:cs="Times New Roman" w:eastAsia="Times New Roman" w:hAnsi="Times New Roman"/>
                <w:sz w:val="17"/>
                <w:szCs w:val="17"/>
                <w:color w:val="auto"/>
                <w:w w:val="96"/>
              </w:rPr>
              <w:t>Ended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line="179" w:lineRule="exact"/>
              <w:rPr>
                <w:sz w:val="20"/>
                <w:szCs w:val="20"/>
                <w:color w:val="auto"/>
              </w:rPr>
            </w:pPr>
            <w:r>
              <w:rPr>
                <w:rFonts w:ascii="Times New Roman" w:cs="Times New Roman" w:eastAsia="Times New Roman" w:hAnsi="Times New Roman"/>
                <w:sz w:val="17"/>
                <w:szCs w:val="17"/>
                <w:color w:val="auto"/>
              </w:rPr>
              <w:t>Ended</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1560" w:type="dxa"/>
            <w:vAlign w:val="bottom"/>
            <w:gridSpan w:val="3"/>
          </w:tcPr>
          <w:p>
            <w:pPr>
              <w:jc w:val="center"/>
              <w:ind w:right="22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540" w:type="dxa"/>
            <w:vAlign w:val="bottom"/>
          </w:tcPr>
          <w:p>
            <w:pPr>
              <w:jc w:val="center"/>
              <w:ind w:left="15"/>
              <w:spacing w:after="0" w:line="179" w:lineRule="exact"/>
              <w:rPr>
                <w:sz w:val="20"/>
                <w:szCs w:val="20"/>
                <w:color w:val="auto"/>
              </w:rPr>
            </w:pPr>
            <w:r>
              <w:rPr>
                <w:rFonts w:ascii="Times New Roman" w:cs="Times New Roman" w:eastAsia="Times New Roman" w:hAnsi="Times New Roman"/>
                <w:sz w:val="17"/>
                <w:szCs w:val="17"/>
                <w:color w:val="auto"/>
              </w:rPr>
              <w:t>Three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2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20" w:type="dxa"/>
            <w:vAlign w:val="bottom"/>
          </w:tcPr>
          <w:p>
            <w:pPr>
              <w:spacing w:after="0"/>
              <w:rPr>
                <w:sz w:val="15"/>
                <w:szCs w:val="15"/>
                <w:color w:val="auto"/>
              </w:rPr>
            </w:pPr>
          </w:p>
        </w:tc>
        <w:tc>
          <w:tcPr>
            <w:tcW w:w="1500" w:type="dxa"/>
            <w:vAlign w:val="bottom"/>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20" w:type="dxa"/>
            <w:vAlign w:val="bottom"/>
          </w:tcPr>
          <w:p>
            <w:pPr>
              <w:spacing w:after="0"/>
              <w:rPr>
                <w:sz w:val="19"/>
                <w:szCs w:val="19"/>
                <w:color w:val="auto"/>
              </w:rPr>
            </w:pPr>
          </w:p>
        </w:tc>
        <w:tc>
          <w:tcPr>
            <w:tcW w:w="92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7"/>
                <w:szCs w:val="17"/>
                <w:color w:val="auto"/>
                <w:w w:val="99"/>
              </w:rPr>
              <w:t>2022</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rPr>
              <w:t>September 30, 2021</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w w:val="99"/>
              </w:rPr>
              <w:t>2022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September 30, 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 Thousands)</w:t>
            </w: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4,710</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355"/>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w:t>
            </w:r>
          </w:p>
        </w:tc>
        <w:tc>
          <w:tcPr>
            <w:tcW w:w="9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Accretion</w:t>
            </w: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(330 )</w:t>
            </w: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(979 )</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Reclassification from</w:t>
            </w:r>
          </w:p>
        </w:tc>
        <w:tc>
          <w:tcPr>
            <w:tcW w:w="9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nonaccretable difference</w:t>
            </w:r>
          </w:p>
        </w:tc>
        <w:tc>
          <w:tcPr>
            <w:tcW w:w="9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4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Disposals</w:t>
            </w:r>
          </w:p>
        </w:tc>
        <w:tc>
          <w:tcPr>
            <w:tcW w:w="9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(2 )</w:t>
            </w: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4,406</w:t>
            </w:r>
          </w:p>
        </w:tc>
        <w:tc>
          <w:tcPr>
            <w:tcW w:w="220" w:type="dxa"/>
            <w:vAlign w:val="bottom"/>
            <w:tcBorders>
              <w:top w:val="single" w:sz="8" w:color="CFF0FC"/>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1355"/>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4,406</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-161925</wp:posOffset>
            </wp:positionV>
            <wp:extent cx="6477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-161925</wp:posOffset>
            </wp:positionV>
            <wp:extent cx="5651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-161925</wp:posOffset>
            </wp:positionV>
            <wp:extent cx="56515"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-161925</wp:posOffset>
            </wp:positionV>
            <wp:extent cx="5651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15" cy="162560"/>
                    </a:xfrm>
                    <a:prstGeom prst="rect">
                      <a:avLst/>
                    </a:prstGeom>
                    <a:noFill/>
                  </pic:spPr>
                </pic:pic>
              </a:graphicData>
            </a:graphic>
          </wp:anchor>
        </w:drawing>
      </w:r>
    </w:p>
    <w:p>
      <w:pPr>
        <w:spacing w:after="0" w:line="360"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 As a result of the acquisition, the Company has increased its deposit base and is working to reduce transaction costs. The Company has reduced costs through economies of scale.</w:t>
      </w:r>
    </w:p>
    <w:p>
      <w:pPr>
        <w:spacing w:after="0" w:line="157"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17"/>
          <w:szCs w:val="17"/>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Consideration Transferred</w:t>
            </w:r>
          </w:p>
        </w:tc>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4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37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376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Recognized amounts of identifiable assets acquired and liabilities assumed</w:t>
            </w:r>
          </w:p>
        </w:tc>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46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Interest-bearing time deposits</w:t>
            </w: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Securities - available-for-sale</w:t>
            </w:r>
          </w:p>
        </w:tc>
        <w:tc>
          <w:tcPr>
            <w:tcW w:w="3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30,243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securities, at cost</w:t>
            </w: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 net</w:t>
            </w:r>
          </w:p>
        </w:tc>
        <w:tc>
          <w:tcPr>
            <w:tcW w:w="3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Premises and equipment</w:t>
            </w: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Goodwill</w:t>
            </w:r>
          </w:p>
        </w:tc>
        <w:tc>
          <w:tcPr>
            <w:tcW w:w="3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3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Purchased</w:t>
            </w:r>
          </w:p>
        </w:tc>
        <w:tc>
          <w:tcPr>
            <w:tcW w:w="37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Noninterest bearing</w:t>
            </w:r>
          </w:p>
        </w:tc>
        <w:tc>
          <w:tcPr>
            <w:tcW w:w="40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bearing</w:t>
            </w:r>
          </w:p>
        </w:tc>
        <w:tc>
          <w:tcPr>
            <w:tcW w:w="3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7"/>
                <w:szCs w:val="17"/>
                <w:color w:val="auto"/>
              </w:rPr>
              <w:t>Total deposits</w:t>
            </w:r>
          </w:p>
        </w:tc>
        <w:tc>
          <w:tcPr>
            <w:tcW w:w="3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116,044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Assumed</w:t>
            </w:r>
          </w:p>
        </w:tc>
        <w:tc>
          <w:tcPr>
            <w:tcW w:w="37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117,057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5460" w:type="dxa"/>
            <w:vAlign w:val="bottom"/>
          </w:tcPr>
          <w:p>
            <w:pPr>
              <w:spacing w:after="0"/>
              <w:rPr>
                <w:sz w:val="24"/>
                <w:szCs w:val="24"/>
                <w:color w:val="auto"/>
              </w:rPr>
            </w:pPr>
          </w:p>
        </w:tc>
        <w:tc>
          <w:tcPr>
            <w:tcW w:w="3760" w:type="dxa"/>
            <w:vAlign w:val="bottom"/>
          </w:tcPr>
          <w:p>
            <w:pPr>
              <w:jc w:val="right"/>
              <w:ind w:right="3435"/>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46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7076440</wp:posOffset>
            </wp:positionH>
            <wp:positionV relativeFrom="paragraph">
              <wp:posOffset>-1500505</wp:posOffset>
            </wp:positionV>
            <wp:extent cx="6477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770" cy="15430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-421005</wp:posOffset>
            </wp:positionV>
            <wp:extent cx="647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-405130</wp:posOffset>
            </wp:positionV>
            <wp:extent cx="647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fair value of the assets acquired includes loans with a fair value of $52.4 million. The gross principal and contractual interest due under the contracts is $63.7 million, of which $1.1 million is expected to be uncollectible. The loans have a weighted average life of 52 months.</w:t>
      </w:r>
    </w:p>
    <w:p>
      <w:pPr>
        <w:spacing w:after="0" w:line="102"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The fair value of building and land included in premises and equipment was written down by $596 thousand with $244 thousand attributable to buildings and will be accreted over the useful life of 39 years,</w:t>
      </w:r>
    </w:p>
    <w:p>
      <w:pPr>
        <w:spacing w:after="0" w:line="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fair value for certificates of deposit incorporates a valuation amount of $59 thousand which will be accreted over 1.4 years.</w:t>
      </w:r>
    </w:p>
    <w:p>
      <w:pPr>
        <w:spacing w:after="0" w:line="149"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Certain transferred loans evidenced deterioration of credit quality since origination and management deemed it probable, at acquisition, that all contractually required payments would not be collected.</w:t>
      </w:r>
    </w:p>
    <w:p>
      <w:pPr>
        <w:spacing w:after="0" w:line="88"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carrying amount of those loans is included in loans, net on the balance sheet at September 30, 2022.  The amounts of loans at April 30, 2021,</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December 31, 2021 and September 30, 2022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 April 30, 2021</w:t>
            </w:r>
          </w:p>
        </w:tc>
        <w:tc>
          <w:tcPr>
            <w:tcW w:w="2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30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7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4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Carrying amount, net of fair value adjustment of $325</w:t>
            </w:r>
          </w:p>
        </w:tc>
        <w:tc>
          <w:tcPr>
            <w:tcW w:w="30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4240" w:type="dxa"/>
            <w:vAlign w:val="bottom"/>
            <w:shd w:val="clear" w:color="auto" w:fill="CFF0FC"/>
          </w:tcPr>
          <w:p>
            <w:pPr>
              <w:spacing w:after="0"/>
              <w:rPr>
                <w:sz w:val="15"/>
                <w:szCs w:val="15"/>
                <w:color w:val="auto"/>
              </w:rPr>
            </w:pPr>
          </w:p>
        </w:tc>
        <w:tc>
          <w:tcPr>
            <w:tcW w:w="2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December 31, 2021</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30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1120" w:type="dxa"/>
            <w:vAlign w:val="bottom"/>
          </w:tcPr>
          <w:p>
            <w:pPr>
              <w:spacing w:after="0"/>
              <w:rPr>
                <w:sz w:val="20"/>
                <w:szCs w:val="20"/>
                <w:color w:val="auto"/>
              </w:rPr>
            </w:pPr>
          </w:p>
        </w:tc>
        <w:tc>
          <w:tcPr>
            <w:tcW w:w="4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Carrying amount, net of fair value adjustment of $321</w:t>
            </w:r>
          </w:p>
        </w:tc>
        <w:tc>
          <w:tcPr>
            <w:tcW w:w="27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387"/>
        </w:trPr>
        <w:tc>
          <w:tcPr>
            <w:tcW w:w="1120" w:type="dxa"/>
            <w:vAlign w:val="bottom"/>
          </w:tcPr>
          <w:p>
            <w:pPr>
              <w:spacing w:after="0"/>
              <w:rPr>
                <w:sz w:val="24"/>
                <w:szCs w:val="24"/>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September 30, 2022</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4"/>
        </w:trPr>
        <w:tc>
          <w:tcPr>
            <w:tcW w:w="1120" w:type="dxa"/>
            <w:vAlign w:val="bottom"/>
          </w:tcPr>
          <w:p>
            <w:pPr>
              <w:spacing w:after="0"/>
              <w:rPr>
                <w:sz w:val="17"/>
                <w:szCs w:val="17"/>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30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1120" w:type="dxa"/>
            <w:vAlign w:val="bottom"/>
          </w:tcPr>
          <w:p>
            <w:pPr>
              <w:spacing w:after="0"/>
              <w:rPr>
                <w:sz w:val="20"/>
                <w:szCs w:val="20"/>
                <w:color w:val="auto"/>
              </w:rPr>
            </w:pPr>
          </w:p>
        </w:tc>
        <w:tc>
          <w:tcPr>
            <w:tcW w:w="4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Carrying amount, net of fair value adjustment of $10</w:t>
            </w:r>
          </w:p>
        </w:tc>
        <w:tc>
          <w:tcPr>
            <w:tcW w:w="27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69"/>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740" w:type="dxa"/>
            <w:vAlign w:val="bottom"/>
          </w:tcPr>
          <w:p>
            <w:pPr>
              <w:jc w:val="right"/>
              <w:ind w:right="2315"/>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7"/>
        </w:trPr>
        <w:tc>
          <w:tcPr>
            <w:tcW w:w="112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-2562860</wp:posOffset>
            </wp:positionV>
            <wp:extent cx="56515"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-1483995</wp:posOffset>
            </wp:positionV>
            <wp:extent cx="56515" cy="283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15" cy="28384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-542925</wp:posOffset>
            </wp:positionV>
            <wp:extent cx="56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-526415</wp:posOffset>
            </wp:positionV>
            <wp:extent cx="56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Loans acquired during 2021 for which it was probable at acquisition that all contractually required payments would not be collected are as follows: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7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9"/>
                <w:szCs w:val="19"/>
                <w:color w:val="auto"/>
              </w:rPr>
            </w:pPr>
          </w:p>
        </w:tc>
      </w:tr>
      <w:tr>
        <w:trPr>
          <w:trHeight w:val="19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Contractually required payments receivable at acquisition</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7"/>
                <w:szCs w:val="17"/>
                <w:color w:val="auto"/>
              </w:rPr>
            </w:pPr>
          </w:p>
        </w:tc>
      </w:tr>
      <w:tr>
        <w:trPr>
          <w:trHeight w:val="204"/>
        </w:trPr>
        <w:tc>
          <w:tcPr>
            <w:tcW w:w="7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80" w:type="dxa"/>
            <w:vAlign w:val="bottom"/>
            <w:shd w:val="clear" w:color="auto" w:fill="CFF0FC"/>
          </w:tcPr>
          <w:p>
            <w:pPr>
              <w:spacing w:after="0"/>
              <w:rPr>
                <w:sz w:val="17"/>
                <w:szCs w:val="17"/>
                <w:color w:val="auto"/>
              </w:rPr>
            </w:pPr>
          </w:p>
        </w:tc>
      </w:tr>
      <w:tr>
        <w:trPr>
          <w:trHeight w:val="204"/>
        </w:trPr>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tcPr>
          <w:p>
            <w:pPr>
              <w:spacing w:after="0"/>
              <w:rPr>
                <w:sz w:val="17"/>
                <w:szCs w:val="17"/>
                <w:color w:val="auto"/>
              </w:rPr>
            </w:pPr>
          </w:p>
        </w:tc>
      </w:tr>
      <w:tr>
        <w:trPr>
          <w:trHeight w:val="204"/>
        </w:trPr>
        <w:tc>
          <w:tcPr>
            <w:tcW w:w="7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7"/>
        </w:trPr>
        <w:tc>
          <w:tcPr>
            <w:tcW w:w="7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required payments receivable</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w:t>
            </w:r>
          </w:p>
        </w:tc>
        <w:tc>
          <w:tcPr>
            <w:tcW w:w="8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expected to be collected at acquisition</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80" w:type="dxa"/>
            <w:vAlign w:val="bottom"/>
          </w:tcPr>
          <w:p>
            <w:pPr>
              <w:spacing w:after="0"/>
              <w:rPr>
                <w:sz w:val="17"/>
                <w:szCs w:val="17"/>
                <w:color w:val="auto"/>
              </w:rPr>
            </w:pPr>
          </w:p>
        </w:tc>
      </w:tr>
      <w:tr>
        <w:trPr>
          <w:trHeight w:val="204"/>
        </w:trPr>
        <w:tc>
          <w:tcPr>
            <w:tcW w:w="7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Basis in acquired loans at acquisition</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-692150</wp:posOffset>
            </wp:positionV>
            <wp:extent cx="5651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15" cy="162560"/>
                    </a:xfrm>
                    <a:prstGeom prst="rect">
                      <a:avLst/>
                    </a:prstGeom>
                    <a:noFill/>
                  </pic:spPr>
                </pic:pic>
              </a:graphicData>
            </a:graphic>
          </wp:anchor>
        </w:drawing>
      </w:r>
    </w:p>
    <w:p>
      <w:pPr>
        <w:spacing w:after="0" w:line="151"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During the third quarter 2022, the associated discount of $311 thousand for six purchased credit impaired loans between two relationships was included in the loan interest income in the Company's consolidated statement of income for the three and nine months ended September 30, 2022. The balance of the fair value adjustment for loans acquired and accounted for under this guidance (ASC 310-30) was $10 thousand at September 30, 2022, $321 thousand at December 31, 2021 and $325 thousand at April 30, 2021.</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Changes in accretable yield, or income expected to be collected, are as follows: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Three Months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500"/>
              <w:spacing w:after="0" w:line="179" w:lineRule="exact"/>
              <w:rPr>
                <w:sz w:val="20"/>
                <w:szCs w:val="20"/>
                <w:color w:val="auto"/>
              </w:rPr>
            </w:pPr>
            <w:r>
              <w:rPr>
                <w:rFonts w:ascii="Times New Roman" w:cs="Times New Roman" w:eastAsia="Times New Roman" w:hAnsi="Times New Roman"/>
                <w:sz w:val="17"/>
                <w:szCs w:val="17"/>
                <w:color w:val="auto"/>
              </w:rPr>
              <w:t>Three Months</w:t>
            </w:r>
          </w:p>
        </w:tc>
        <w:tc>
          <w:tcPr>
            <w:tcW w:w="140" w:type="dxa"/>
            <w:vAlign w:val="bottom"/>
          </w:tcPr>
          <w:p>
            <w:pPr>
              <w:spacing w:after="0"/>
              <w:rPr>
                <w:sz w:val="15"/>
                <w:szCs w:val="15"/>
                <w:color w:val="auto"/>
              </w:rPr>
            </w:pPr>
          </w:p>
        </w:tc>
        <w:tc>
          <w:tcPr>
            <w:tcW w:w="150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7"/>
                <w:szCs w:val="17"/>
                <w:color w:val="auto"/>
              </w:rPr>
              <w:t>Ended</w:t>
            </w:r>
          </w:p>
        </w:tc>
        <w:tc>
          <w:tcPr>
            <w:tcW w:w="1620" w:type="dxa"/>
            <w:vAlign w:val="bottom"/>
            <w:gridSpan w:val="3"/>
          </w:tcPr>
          <w:p>
            <w:pPr>
              <w:jc w:val="center"/>
              <w:ind w:right="220"/>
              <w:spacing w:after="0" w:line="179" w:lineRule="exact"/>
              <w:rPr>
                <w:sz w:val="20"/>
                <w:szCs w:val="20"/>
                <w:color w:val="auto"/>
              </w:rPr>
            </w:pPr>
            <w:r>
              <w:rPr>
                <w:rFonts w:ascii="Times New Roman" w:cs="Times New Roman" w:eastAsia="Times New Roman" w:hAnsi="Times New Roman"/>
                <w:sz w:val="17"/>
                <w:szCs w:val="17"/>
                <w:color w:val="auto"/>
                <w:w w:val="99"/>
              </w:rPr>
              <w:t>Nine Months Ended</w:t>
            </w:r>
          </w:p>
        </w:tc>
        <w:tc>
          <w:tcPr>
            <w:tcW w:w="1520" w:type="dxa"/>
            <w:vAlign w:val="bottom"/>
            <w:gridSpan w:val="3"/>
          </w:tcPr>
          <w:p>
            <w:pPr>
              <w:jc w:val="center"/>
              <w:ind w:right="80"/>
              <w:spacing w:after="0" w:line="179" w:lineRule="exact"/>
              <w:rPr>
                <w:sz w:val="20"/>
                <w:szCs w:val="20"/>
                <w:color w:val="auto"/>
              </w:rPr>
            </w:pPr>
            <w:r>
              <w:rPr>
                <w:rFonts w:ascii="Times New Roman" w:cs="Times New Roman" w:eastAsia="Times New Roman" w:hAnsi="Times New Roman"/>
                <w:sz w:val="17"/>
                <w:szCs w:val="17"/>
                <w:color w:val="auto"/>
                <w:w w:val="99"/>
              </w:rPr>
              <w:t>Nine Months Ended</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7"/>
                <w:szCs w:val="17"/>
                <w:color w:val="auto"/>
                <w:w w:val="96"/>
              </w:rPr>
              <w:t>Ended</w:t>
            </w:r>
          </w:p>
        </w:tc>
        <w:tc>
          <w:tcPr>
            <w:tcW w:w="140" w:type="dxa"/>
            <w:vAlign w:val="bottom"/>
          </w:tcPr>
          <w:p>
            <w:pPr>
              <w:spacing w:after="0"/>
              <w:rPr>
                <w:sz w:val="15"/>
                <w:szCs w:val="15"/>
                <w:color w:val="auto"/>
              </w:rPr>
            </w:pPr>
          </w:p>
        </w:tc>
        <w:tc>
          <w:tcPr>
            <w:tcW w:w="1500" w:type="dxa"/>
            <w:vAlign w:val="bottom"/>
            <w:gridSpan w:val="2"/>
          </w:tcPr>
          <w:p>
            <w:pPr>
              <w:jc w:val="center"/>
              <w:ind w:right="36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15"/>
                <w:szCs w:val="15"/>
                <w:color w:val="auto"/>
              </w:rPr>
            </w:pPr>
          </w:p>
        </w:tc>
        <w:tc>
          <w:tcPr>
            <w:tcW w:w="1480" w:type="dxa"/>
            <w:vAlign w:val="bottom"/>
            <w:gridSpan w:val="2"/>
          </w:tcPr>
          <w:p>
            <w:pPr>
              <w:jc w:val="center"/>
              <w:ind w:right="360"/>
              <w:spacing w:after="0" w:line="179" w:lineRule="exact"/>
              <w:rPr>
                <w:sz w:val="20"/>
                <w:szCs w:val="20"/>
                <w:color w:val="auto"/>
              </w:rPr>
            </w:pPr>
            <w:r>
              <w:rPr>
                <w:rFonts w:ascii="Times New Roman" w:cs="Times New Roman" w:eastAsia="Times New Roman" w:hAnsi="Times New Roman"/>
                <w:sz w:val="17"/>
                <w:szCs w:val="17"/>
                <w:color w:val="auto"/>
              </w:rPr>
              <w:t>September 30,</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0" w:type="dxa"/>
            <w:vAlign w:val="bottom"/>
          </w:tcPr>
          <w:p>
            <w:pPr>
              <w:spacing w:after="0"/>
              <w:rPr>
                <w:sz w:val="1"/>
                <w:szCs w:val="1"/>
                <w:color w:val="auto"/>
              </w:rPr>
            </w:pPr>
          </w:p>
        </w:tc>
      </w:tr>
      <w:tr>
        <w:trPr>
          <w:trHeight w:val="221"/>
        </w:trPr>
        <w:tc>
          <w:tcPr>
            <w:tcW w:w="2540" w:type="dxa"/>
            <w:vAlign w:val="bottom"/>
          </w:tcPr>
          <w:p>
            <w:pPr>
              <w:spacing w:after="0"/>
              <w:rPr>
                <w:sz w:val="19"/>
                <w:szCs w:val="19"/>
                <w:color w:val="auto"/>
              </w:rPr>
            </w:pPr>
          </w:p>
        </w:tc>
        <w:tc>
          <w:tcPr>
            <w:tcW w:w="16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rPr>
              <w:t>September 30, 2022</w:t>
            </w:r>
          </w:p>
        </w:tc>
        <w:tc>
          <w:tcPr>
            <w:tcW w:w="140" w:type="dxa"/>
            <w:vAlign w:val="bottom"/>
          </w:tcPr>
          <w:p>
            <w:pPr>
              <w:spacing w:after="0"/>
              <w:rPr>
                <w:sz w:val="19"/>
                <w:szCs w:val="19"/>
                <w:color w:val="auto"/>
              </w:rPr>
            </w:pPr>
          </w:p>
        </w:tc>
        <w:tc>
          <w:tcPr>
            <w:tcW w:w="12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2021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2022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5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w w:val="98"/>
              </w:rPr>
              <w:t>(In Thousands)</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Accretion</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(44 )</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(44 )</w:t>
            </w: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(132 )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(73 )</w:t>
            </w:r>
          </w:p>
        </w:tc>
        <w:tc>
          <w:tcPr>
            <w:tcW w:w="0" w:type="dxa"/>
            <w:vAlign w:val="bottom"/>
          </w:tcPr>
          <w:p>
            <w:pPr>
              <w:spacing w:after="0"/>
              <w:rPr>
                <w:sz w:val="1"/>
                <w:szCs w:val="1"/>
                <w:color w:val="auto"/>
              </w:rPr>
            </w:pPr>
          </w:p>
        </w:tc>
      </w:tr>
      <w:tr>
        <w:trPr>
          <w:trHeight w:val="162"/>
        </w:trPr>
        <w:tc>
          <w:tcPr>
            <w:tcW w:w="254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Reclassification from</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5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nonaccretable difference</w:t>
            </w:r>
          </w:p>
        </w:tc>
        <w:tc>
          <w:tcPr>
            <w:tcW w:w="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Disposals</w:t>
            </w: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-161925</wp:posOffset>
            </wp:positionV>
            <wp:extent cx="5651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-161925</wp:posOffset>
            </wp:positionV>
            <wp:extent cx="5651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-161925</wp:posOffset>
            </wp:positionV>
            <wp:extent cx="5651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-161925</wp:posOffset>
            </wp:positionV>
            <wp:extent cx="5651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15" cy="162560"/>
                    </a:xfrm>
                    <a:prstGeom prst="rect">
                      <a:avLst/>
                    </a:prstGeom>
                    <a:noFill/>
                  </pic:spPr>
                </pic:pic>
              </a:graphicData>
            </a:graphic>
          </wp:anchor>
        </w:drawing>
      </w:r>
    </w:p>
    <w:p>
      <w:pPr>
        <w:spacing w:after="0" w:line="168"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results of operations of Ossian State Bank and Perpetual Federal Savings Bank have been included in the Company’s consolidated financial statements since the acquisition dates of April 30, 2021 and October 1, 2021, respectively. The following schedule includes pro-forma results for the three and nine months ended September 30, 2022 and 2021 as if the Ossian State Bank and Perpetual Federal Savings Bank acquisitions had occurred as of the beginning of the comparable prior reporting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(in thousands of dollars, except per share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jc w:val="right"/>
              <w:ind w:right="135"/>
              <w:spacing w:after="0"/>
              <w:rPr>
                <w:sz w:val="20"/>
                <w:szCs w:val="20"/>
                <w:color w:val="auto"/>
              </w:rPr>
            </w:pPr>
            <w:r>
              <w:rPr>
                <w:rFonts w:ascii="Times New Roman" w:cs="Times New Roman" w:eastAsia="Times New Roman" w:hAnsi="Times New Roman"/>
                <w:sz w:val="17"/>
                <w:szCs w:val="17"/>
                <w:color w:val="auto"/>
              </w:rPr>
              <w:t>(in thousands of dollars, except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4"/>
              </w:rPr>
              <w:t>data)</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5"/>
          </w:tcPr>
          <w:p>
            <w:pPr>
              <w:jc w:val="right"/>
              <w:ind w:right="935"/>
              <w:spacing w:after="0"/>
              <w:rPr>
                <w:sz w:val="20"/>
                <w:szCs w:val="20"/>
                <w:color w:val="auto"/>
              </w:rPr>
            </w:pPr>
            <w:r>
              <w:rPr>
                <w:rFonts w:ascii="Times New Roman" w:cs="Times New Roman" w:eastAsia="Times New Roman" w:hAnsi="Times New Roman"/>
                <w:sz w:val="17"/>
                <w:szCs w:val="17"/>
                <w:color w:val="auto"/>
              </w:rPr>
              <w:t>share data)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jc w:val="right"/>
              <w:ind w:right="635"/>
              <w:spacing w:after="0"/>
              <w:rPr>
                <w:sz w:val="20"/>
                <w:szCs w:val="20"/>
                <w:color w:val="auto"/>
              </w:rPr>
            </w:pPr>
            <w:r>
              <w:rPr>
                <w:rFonts w:ascii="Times New Roman" w:cs="Times New Roman" w:eastAsia="Times New Roman" w:hAnsi="Times New Roman"/>
                <w:sz w:val="17"/>
                <w:szCs w:val="17"/>
                <w:color w:val="auto"/>
              </w:rPr>
              <w:t>Three Months Ended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5"/>
          </w:tcPr>
          <w:p>
            <w:pPr>
              <w:jc w:val="right"/>
              <w:ind w:right="615"/>
              <w:spacing w:after="0"/>
              <w:rPr>
                <w:sz w:val="20"/>
                <w:szCs w:val="20"/>
                <w:color w:val="auto"/>
              </w:rPr>
            </w:pPr>
            <w:r>
              <w:rPr>
                <w:rFonts w:ascii="Times New Roman" w:cs="Times New Roman" w:eastAsia="Times New Roman" w:hAnsi="Times New Roman"/>
                <w:sz w:val="17"/>
                <w:szCs w:val="17"/>
                <w:color w:val="auto"/>
              </w:rPr>
              <w:t>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75"/>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135"/>
              <w:spacing w:after="0" w:line="179" w:lineRule="exact"/>
              <w:rPr>
                <w:sz w:val="20"/>
                <w:szCs w:val="20"/>
                <w:color w:val="auto"/>
              </w:rPr>
            </w:pPr>
            <w:r>
              <w:rPr>
                <w:rFonts w:ascii="Times New Roman" w:cs="Times New Roman" w:eastAsia="Times New Roman" w:hAnsi="Times New Roman"/>
                <w:sz w:val="17"/>
                <w:szCs w:val="17"/>
                <w:color w:val="auto"/>
              </w:rPr>
              <w:t>September 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55"/>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15"/>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Summary of Operations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Interest Income - Before Provision for Loan Losses</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22,583</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22,124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64,230</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61,019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Loan Losses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20,946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21,465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60,385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12,941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14,167</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39,668</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6,321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Basic and Diluted Earnings Per Share</w:t>
            </w:r>
          </w:p>
        </w:tc>
        <w:tc>
          <w:tcPr>
            <w:tcW w:w="100" w:type="dxa"/>
            <w:vAlign w:val="bottom"/>
            <w:tcBorders>
              <w:bottom w:val="single" w:sz="8" w:color="auto"/>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0.72</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0.73</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1.97</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-972820</wp:posOffset>
            </wp:positionV>
            <wp:extent cx="73025" cy="1377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-972820</wp:posOffset>
            </wp:positionV>
            <wp:extent cx="73025" cy="1377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6086475</wp:posOffset>
            </wp:positionH>
            <wp:positionV relativeFrom="paragraph">
              <wp:posOffset>-972820</wp:posOffset>
            </wp:positionV>
            <wp:extent cx="64770" cy="1377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-972820</wp:posOffset>
            </wp:positionV>
            <wp:extent cx="64770" cy="1377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-705485</wp:posOffset>
            </wp:positionV>
            <wp:extent cx="73025"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-705485</wp:posOffset>
            </wp:positionV>
            <wp:extent cx="73025"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6086475</wp:posOffset>
            </wp:positionH>
            <wp:positionV relativeFrom="paragraph">
              <wp:posOffset>-705485</wp:posOffset>
            </wp:positionV>
            <wp:extent cx="6477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-705485</wp:posOffset>
            </wp:positionV>
            <wp:extent cx="6477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-413385</wp:posOffset>
            </wp:positionV>
            <wp:extent cx="730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-396875</wp:posOffset>
            </wp:positionV>
            <wp:extent cx="730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-413385</wp:posOffset>
            </wp:positionV>
            <wp:extent cx="730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-396875</wp:posOffset>
            </wp:positionV>
            <wp:extent cx="730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6086475</wp:posOffset>
            </wp:positionH>
            <wp:positionV relativeFrom="paragraph">
              <wp:posOffset>-413385</wp:posOffset>
            </wp:positionV>
            <wp:extent cx="647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6086475</wp:posOffset>
            </wp:positionH>
            <wp:positionV relativeFrom="paragraph">
              <wp:posOffset>-396875</wp:posOffset>
            </wp:positionV>
            <wp:extent cx="647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-413385</wp:posOffset>
            </wp:positionV>
            <wp:extent cx="647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-396875</wp:posOffset>
            </wp:positionV>
            <wp:extent cx="647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94"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pro-forma information includes adjustments for interest income on loans, amortization of intangibles arising from the transactions, interest expense on deposits acquired, premises expense for the branches acquired and the related income tax effects. The pro-forma information for the quarter and nine months ended September 30, 2022 includes approximately $2.9 million and $7.5 million, respectively, net of tax, of operating revenue from Ossian State Bank and Perpetual Federal Savings Bank since January 1, 2022.</w:t>
      </w:r>
    </w:p>
    <w:p>
      <w:pPr>
        <w:spacing w:after="0" w:line="166"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pro-forma financial information is presented for informational purposes only and is not indicative of the results of operations that actually would have been achieved had the acquisitions been consummated as of that time, nor is it intended to be a projection of future results.</w:t>
      </w:r>
    </w:p>
    <w:p>
      <w:pPr>
        <w:spacing w:after="0" w:line="140"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36"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Changes in accretable yield, or income expected to be collected, for the three and nine months ended are as follows: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Three Months</w:t>
            </w:r>
          </w:p>
        </w:tc>
        <w:tc>
          <w:tcPr>
            <w:tcW w:w="14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Nine Months</w:t>
            </w:r>
          </w:p>
        </w:tc>
        <w:tc>
          <w:tcPr>
            <w:tcW w:w="14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Nine Months</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520"/>
              <w:spacing w:after="0" w:line="179" w:lineRule="exact"/>
              <w:rPr>
                <w:sz w:val="20"/>
                <w:szCs w:val="20"/>
                <w:color w:val="auto"/>
              </w:rPr>
            </w:pPr>
            <w:r>
              <w:rPr>
                <w:rFonts w:ascii="Times New Roman" w:cs="Times New Roman" w:eastAsia="Times New Roman" w:hAnsi="Times New Roman"/>
                <w:sz w:val="17"/>
                <w:szCs w:val="17"/>
                <w:color w:val="auto"/>
              </w:rPr>
              <w:t>Three Months</w:t>
            </w:r>
          </w:p>
        </w:tc>
        <w:tc>
          <w:tcPr>
            <w:tcW w:w="140" w:type="dxa"/>
            <w:vAlign w:val="bottom"/>
          </w:tcPr>
          <w:p>
            <w:pPr>
              <w:spacing w:after="0"/>
              <w:rPr>
                <w:sz w:val="15"/>
                <w:szCs w:val="15"/>
                <w:color w:val="auto"/>
              </w:rPr>
            </w:pPr>
          </w:p>
        </w:tc>
        <w:tc>
          <w:tcPr>
            <w:tcW w:w="1460" w:type="dxa"/>
            <w:vAlign w:val="bottom"/>
            <w:gridSpan w:val="2"/>
          </w:tcPr>
          <w:p>
            <w:pPr>
              <w:jc w:val="center"/>
              <w:ind w:right="340"/>
              <w:spacing w:after="0" w:line="179" w:lineRule="exact"/>
              <w:rPr>
                <w:sz w:val="20"/>
                <w:szCs w:val="20"/>
                <w:color w:val="auto"/>
              </w:rPr>
            </w:pPr>
            <w:r>
              <w:rPr>
                <w:rFonts w:ascii="Times New Roman" w:cs="Times New Roman" w:eastAsia="Times New Roman" w:hAnsi="Times New Roman"/>
                <w:sz w:val="17"/>
                <w:szCs w:val="17"/>
                <w:color w:val="auto"/>
              </w:rPr>
              <w:t>Ended</w:t>
            </w:r>
          </w:p>
        </w:tc>
        <w:tc>
          <w:tcPr>
            <w:tcW w:w="140" w:type="dxa"/>
            <w:vAlign w:val="bottom"/>
          </w:tcPr>
          <w:p>
            <w:pPr>
              <w:spacing w:after="0"/>
              <w:rPr>
                <w:sz w:val="15"/>
                <w:szCs w:val="15"/>
                <w:color w:val="auto"/>
              </w:rPr>
            </w:pPr>
          </w:p>
        </w:tc>
        <w:tc>
          <w:tcPr>
            <w:tcW w:w="1480" w:type="dxa"/>
            <w:vAlign w:val="bottom"/>
            <w:gridSpan w:val="2"/>
          </w:tcPr>
          <w:p>
            <w:pPr>
              <w:jc w:val="center"/>
              <w:ind w:right="360"/>
              <w:spacing w:after="0" w:line="179" w:lineRule="exact"/>
              <w:rPr>
                <w:sz w:val="20"/>
                <w:szCs w:val="20"/>
                <w:color w:val="auto"/>
              </w:rPr>
            </w:pPr>
            <w:r>
              <w:rPr>
                <w:rFonts w:ascii="Times New Roman" w:cs="Times New Roman" w:eastAsia="Times New Roman" w:hAnsi="Times New Roman"/>
                <w:sz w:val="17"/>
                <w:szCs w:val="17"/>
                <w:color w:val="auto"/>
              </w:rPr>
              <w:t>Ended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7"/>
                <w:szCs w:val="17"/>
                <w:color w:val="auto"/>
              </w:rPr>
              <w:t>Ended</w:t>
            </w: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400"/>
              <w:spacing w:after="0" w:line="179" w:lineRule="exact"/>
              <w:rPr>
                <w:sz w:val="20"/>
                <w:szCs w:val="20"/>
                <w:color w:val="auto"/>
              </w:rPr>
            </w:pPr>
            <w:r>
              <w:rPr>
                <w:rFonts w:ascii="Times New Roman" w:cs="Times New Roman" w:eastAsia="Times New Roman" w:hAnsi="Times New Roman"/>
                <w:sz w:val="17"/>
                <w:szCs w:val="17"/>
                <w:color w:val="auto"/>
                <w:w w:val="96"/>
              </w:rPr>
              <w:t>Ended</w:t>
            </w:r>
          </w:p>
        </w:tc>
        <w:tc>
          <w:tcPr>
            <w:tcW w:w="140" w:type="dxa"/>
            <w:vAlign w:val="bottom"/>
          </w:tcPr>
          <w:p>
            <w:pPr>
              <w:spacing w:after="0"/>
              <w:rPr>
                <w:sz w:val="15"/>
                <w:szCs w:val="15"/>
                <w:color w:val="auto"/>
              </w:rPr>
            </w:pPr>
          </w:p>
        </w:tc>
        <w:tc>
          <w:tcPr>
            <w:tcW w:w="1460" w:type="dxa"/>
            <w:vAlign w:val="bottom"/>
            <w:gridSpan w:val="2"/>
          </w:tcPr>
          <w:p>
            <w:pPr>
              <w:jc w:val="center"/>
              <w:ind w:right="36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15"/>
                <w:szCs w:val="15"/>
                <w:color w:val="auto"/>
              </w:rPr>
            </w:pPr>
          </w:p>
        </w:tc>
        <w:tc>
          <w:tcPr>
            <w:tcW w:w="1480" w:type="dxa"/>
            <w:vAlign w:val="bottom"/>
            <w:gridSpan w:val="2"/>
          </w:tcPr>
          <w:p>
            <w:pPr>
              <w:jc w:val="center"/>
              <w:ind w:right="34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0" w:type="dxa"/>
            <w:vAlign w:val="bottom"/>
          </w:tcPr>
          <w:p>
            <w:pPr>
              <w:spacing w:after="0"/>
              <w:rPr>
                <w:sz w:val="1"/>
                <w:szCs w:val="1"/>
                <w:color w:val="auto"/>
              </w:rPr>
            </w:pPr>
          </w:p>
        </w:tc>
      </w:tr>
      <w:tr>
        <w:trPr>
          <w:trHeight w:val="221"/>
        </w:trPr>
        <w:tc>
          <w:tcPr>
            <w:tcW w:w="2600" w:type="dxa"/>
            <w:vAlign w:val="bottom"/>
          </w:tcPr>
          <w:p>
            <w:pPr>
              <w:spacing w:after="0"/>
              <w:rPr>
                <w:sz w:val="19"/>
                <w:szCs w:val="19"/>
                <w:color w:val="auto"/>
              </w:rPr>
            </w:pPr>
          </w:p>
        </w:tc>
        <w:tc>
          <w:tcPr>
            <w:tcW w:w="17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rPr>
              <w:t>September 30, 2022</w:t>
            </w:r>
          </w:p>
        </w:tc>
        <w:tc>
          <w:tcPr>
            <w:tcW w:w="140" w:type="dxa"/>
            <w:vAlign w:val="bottom"/>
          </w:tcPr>
          <w:p>
            <w:pPr>
              <w:spacing w:after="0"/>
              <w:rPr>
                <w:sz w:val="19"/>
                <w:szCs w:val="19"/>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2021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2022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w w:val="98"/>
              </w:rPr>
              <w:t>(In Thousands)</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Accretion</w:t>
            </w: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(107 )</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(108 )</w:t>
            </w: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(319 )</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(323 )</w:t>
            </w:r>
          </w:p>
        </w:tc>
        <w:tc>
          <w:tcPr>
            <w:tcW w:w="0" w:type="dxa"/>
            <w:vAlign w:val="bottom"/>
          </w:tcPr>
          <w:p>
            <w:pPr>
              <w:spacing w:after="0"/>
              <w:rPr>
                <w:sz w:val="1"/>
                <w:szCs w:val="1"/>
                <w:color w:val="auto"/>
              </w:rPr>
            </w:pPr>
          </w:p>
        </w:tc>
      </w:tr>
      <w:tr>
        <w:trPr>
          <w:trHeight w:val="162"/>
        </w:trPr>
        <w:tc>
          <w:tcPr>
            <w:tcW w:w="260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Reclassification from</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6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nonaccretable difference</w:t>
            </w:r>
          </w:p>
        </w:tc>
        <w:tc>
          <w:tcPr>
            <w:tcW w:w="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Disposals</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197"/>
        </w:trPr>
        <w:tc>
          <w:tcPr>
            <w:tcW w:w="2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-161925</wp:posOffset>
            </wp:positionV>
            <wp:extent cx="6477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-161925</wp:posOffset>
            </wp:positionV>
            <wp:extent cx="5651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-161925</wp:posOffset>
            </wp:positionV>
            <wp:extent cx="56515"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-161925</wp:posOffset>
            </wp:positionV>
            <wp:extent cx="56515"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15" cy="162560"/>
                    </a:xfrm>
                    <a:prstGeom prst="rect">
                      <a:avLst/>
                    </a:prstGeom>
                    <a:noFill/>
                  </pic:spPr>
                </pic:pic>
              </a:graphicData>
            </a:graphic>
          </wp:anchor>
        </w:drawing>
      </w:r>
    </w:p>
    <w:p>
      <w:pPr>
        <w:spacing w:after="0" w:line="155"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As mentioned previously, the acquisition of Bank of Geneva resulted in the recognition of $3.9 million in core deposit intangible assets, the acquisition of Ossian State Bank resulted in the recognition of $980.2 thousand in core deposits assets and the acquisition of Perpetual Federal Savings Bank resulted in the recognition of $668 thousand in core deposits which are all being amortized over its remaining economic useful life of 7 years on a straight line basis. Core deposit intangible is included in other assets on the consolidated balance sheets.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amortization expense of the core deposit intangible for the nine months ended September 30, 2021 was $478 thousand. Of the $795 thousand to be expensed in 2022, $597 thousand has been expensed for the nine months ended September 30, 2022. Annual amortization of core deposit intangible assets is as follows: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375"/>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1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Geneva</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Ossian</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Perpetual</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Total</w:t>
            </w:r>
          </w:p>
        </w:tc>
      </w:tr>
      <w:tr>
        <w:trPr>
          <w:trHeight w:val="19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04"/>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04"/>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04"/>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04"/>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04"/>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169</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37"/>
        </w:trPr>
        <w:tc>
          <w:tcPr>
            <w:tcW w:w="16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644</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-23495</wp:posOffset>
            </wp:positionV>
            <wp:extent cx="647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-7620</wp:posOffset>
            </wp:positionV>
            <wp:extent cx="647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-23495</wp:posOffset>
            </wp:positionV>
            <wp:extent cx="56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-7620</wp:posOffset>
            </wp:positionV>
            <wp:extent cx="56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-23495</wp:posOffset>
            </wp:positionV>
            <wp:extent cx="56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-7620</wp:posOffset>
            </wp:positionV>
            <wp:extent cx="56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55"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On November 16, 2020, FM Investment Services, a division of the Bank, purchased the assets and clients of Adams County Financial Resources (ACFR), a full-service registered investment advisory firm located in Geneva, Indiana.</w:t>
      </w:r>
    </w:p>
    <w:p>
      <w:pPr>
        <w:spacing w:after="0" w:line="127"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53"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66"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amortization expense of the customer list intangible for the nine months ended September 30, 2021 was $92 thousand. Of the $123 thousand to be expensed in 2022, $92 thousand has been expensed for the nine months ended September 30, 2022. Annual amortization expense of customer list intangible is as follows: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21"/>
        </w:trPr>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7"/>
                <w:szCs w:val="17"/>
                <w:color w:val="auto"/>
              </w:rPr>
              <w:t>(In Thousands)</w:t>
            </w:r>
          </w:p>
        </w:tc>
        <w:tc>
          <w:tcPr>
            <w:tcW w:w="60" w:type="dxa"/>
            <w:vAlign w:val="bottom"/>
          </w:tcPr>
          <w:p>
            <w:pPr>
              <w:spacing w:after="0"/>
              <w:rPr>
                <w:sz w:val="19"/>
                <w:szCs w:val="19"/>
                <w:color w:val="auto"/>
              </w:rPr>
            </w:pPr>
          </w:p>
        </w:tc>
      </w:tr>
      <w:tr>
        <w:trPr>
          <w:trHeight w:val="197"/>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Adams County Financial Resources</w:t>
            </w:r>
          </w:p>
        </w:tc>
        <w:tc>
          <w:tcPr>
            <w:tcW w:w="60" w:type="dxa"/>
            <w:vAlign w:val="bottom"/>
          </w:tcPr>
          <w:p>
            <w:pPr>
              <w:spacing w:after="0"/>
              <w:rPr>
                <w:sz w:val="17"/>
                <w:szCs w:val="17"/>
                <w:color w:val="auto"/>
              </w:rPr>
            </w:pPr>
          </w:p>
        </w:tc>
      </w:tr>
      <w:tr>
        <w:trPr>
          <w:trHeight w:val="197"/>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shd w:val="clear" w:color="auto" w:fill="CFF0FC"/>
          </w:tcPr>
          <w:p>
            <w:pPr>
              <w:spacing w:after="0"/>
              <w:rPr>
                <w:sz w:val="17"/>
                <w:szCs w:val="17"/>
                <w:color w:val="auto"/>
              </w:rPr>
            </w:pPr>
          </w:p>
        </w:tc>
      </w:tr>
      <w:tr>
        <w:trPr>
          <w:trHeight w:val="204"/>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Pr>
          <w:p>
            <w:pPr>
              <w:spacing w:after="0"/>
              <w:rPr>
                <w:sz w:val="17"/>
                <w:szCs w:val="17"/>
                <w:color w:val="auto"/>
              </w:rPr>
            </w:pPr>
          </w:p>
        </w:tc>
      </w:tr>
      <w:tr>
        <w:trPr>
          <w:trHeight w:val="20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FF0FC"/>
          </w:tcPr>
          <w:p>
            <w:pPr>
              <w:spacing w:after="0"/>
              <w:rPr>
                <w:sz w:val="17"/>
                <w:szCs w:val="17"/>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shd w:val="clear" w:color="auto" w:fill="CFF0FC"/>
          </w:tcPr>
          <w:p>
            <w:pPr>
              <w:spacing w:after="0"/>
              <w:rPr>
                <w:sz w:val="17"/>
                <w:szCs w:val="17"/>
                <w:color w:val="auto"/>
              </w:rPr>
            </w:pPr>
          </w:p>
        </w:tc>
      </w:tr>
      <w:tr>
        <w:trPr>
          <w:trHeight w:val="204"/>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Pr>
          <w:p>
            <w:pPr>
              <w:spacing w:after="0"/>
              <w:rPr>
                <w:sz w:val="17"/>
                <w:szCs w:val="17"/>
                <w:color w:val="auto"/>
              </w:rPr>
            </w:pPr>
          </w:p>
        </w:tc>
      </w:tr>
      <w:tr>
        <w:trPr>
          <w:trHeight w:val="20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FF0FC"/>
          </w:tcPr>
          <w:p>
            <w:pPr>
              <w:spacing w:after="0"/>
              <w:rPr>
                <w:sz w:val="17"/>
                <w:szCs w:val="17"/>
                <w:color w:val="auto"/>
              </w:rPr>
            </w:pPr>
          </w:p>
        </w:tc>
        <w:tc>
          <w:tcPr>
            <w:tcW w:w="2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shd w:val="clear" w:color="auto" w:fill="CFF0FC"/>
          </w:tcPr>
          <w:p>
            <w:pPr>
              <w:spacing w:after="0"/>
              <w:rPr>
                <w:sz w:val="17"/>
                <w:szCs w:val="17"/>
                <w:color w:val="auto"/>
              </w:rPr>
            </w:pPr>
          </w:p>
        </w:tc>
      </w:tr>
      <w:tr>
        <w:trPr>
          <w:trHeight w:val="204"/>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tcPr>
          <w:p>
            <w:pPr>
              <w:spacing w:after="0"/>
              <w:rPr>
                <w:sz w:val="17"/>
                <w:szCs w:val="17"/>
                <w:color w:val="auto"/>
              </w:rPr>
            </w:pPr>
          </w:p>
        </w:tc>
      </w:tr>
      <w:tr>
        <w:trPr>
          <w:trHeight w:val="237"/>
        </w:trPr>
        <w:tc>
          <w:tcPr>
            <w:tcW w:w="37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-23495</wp:posOffset>
            </wp:positionV>
            <wp:extent cx="406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40" cy="825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-7620</wp:posOffset>
            </wp:positionV>
            <wp:extent cx="406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right="3560" w:hanging="1229"/>
        <w:spacing w:after="0" w:line="644" w:lineRule="auto"/>
        <w:tabs>
          <w:tab w:leader="none" w:pos="4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-165100</wp:posOffset>
            </wp:positionV>
            <wp:extent cx="716534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3 SECURITIES</w:t>
      </w:r>
    </w:p>
    <w:p>
      <w:pPr>
        <w:spacing w:after="0" w:line="201"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Mortgage-backed securities, as shown in the following tables, are all government sponsored enterprises. The amortized cost and fair value of securities, with gross unrealized gains and losses at September 30, 2022 and December 31, 2021, are as follows:</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715"/>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97"/>
        </w:trPr>
        <w:tc>
          <w:tcPr>
            <w:tcW w:w="5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ind w:right="555"/>
              <w:spacing w:after="0"/>
              <w:rPr>
                <w:sz w:val="20"/>
                <w:szCs w:val="20"/>
                <w:color w:val="auto"/>
              </w:rPr>
            </w:pPr>
            <w:r>
              <w:rPr>
                <w:rFonts w:ascii="Times New Roman" w:cs="Times New Roman" w:eastAsia="Times New Roman" w:hAnsi="Times New Roman"/>
                <w:sz w:val="17"/>
                <w:szCs w:val="17"/>
                <w:color w:val="auto"/>
              </w:rPr>
              <w:t>September 30, 2022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46"/>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6"/>
                <w:szCs w:val="16"/>
                <w:color w:val="auto"/>
              </w:rPr>
              <w:t>Gross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4"/>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95"/>
              <w:spacing w:after="0"/>
              <w:rPr>
                <w:sz w:val="20"/>
                <w:szCs w:val="20"/>
                <w:color w:val="auto"/>
              </w:rPr>
            </w:pPr>
            <w:r>
              <w:rPr>
                <w:rFonts w:ascii="Times New Roman" w:cs="Times New Roman" w:eastAsia="Times New Roman" w:hAnsi="Times New Roman"/>
                <w:sz w:val="17"/>
                <w:szCs w:val="17"/>
                <w:color w:val="auto"/>
              </w:rPr>
              <w:t>Fair</w:t>
            </w:r>
          </w:p>
        </w:tc>
      </w:tr>
      <w:tr>
        <w:trPr>
          <w:trHeight w:val="221"/>
        </w:trPr>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Gains</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Losses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Available-for-Sale: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4"/>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105,219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(10,057 )</w:t>
            </w:r>
          </w:p>
        </w:tc>
        <w:tc>
          <w:tcPr>
            <w:tcW w:w="34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95,162</w:t>
            </w:r>
          </w:p>
        </w:tc>
      </w:tr>
      <w:tr>
        <w:trPr>
          <w:trHeight w:val="204"/>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U.S. Government agencies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154,905</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(16,885 )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138,020</w:t>
            </w:r>
          </w:p>
        </w:tc>
      </w:tr>
      <w:tr>
        <w:trPr>
          <w:trHeight w:val="204"/>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104,242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(13,978 )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90,264</w:t>
            </w:r>
          </w:p>
        </w:tc>
      </w:tr>
      <w:tr>
        <w:trPr>
          <w:trHeight w:val="204"/>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State and local governments</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78,888</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(6,895 )</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72,039</w:t>
            </w:r>
          </w:p>
        </w:tc>
      </w:tr>
      <w:tr>
        <w:trPr>
          <w:trHeight w:val="197"/>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443,254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Borders>
              <w:bottom w:val="single" w:sz="8" w:color="auto"/>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(47,815 )</w:t>
            </w:r>
          </w:p>
        </w:tc>
        <w:tc>
          <w:tcPr>
            <w:tcW w:w="14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395,485</w:t>
            </w: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66"/>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675"/>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7"/>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ind w:right="515"/>
              <w:spacing w:after="0"/>
              <w:rPr>
                <w:sz w:val="20"/>
                <w:szCs w:val="20"/>
                <w:color w:val="auto"/>
              </w:rPr>
            </w:pPr>
            <w:r>
              <w:rPr>
                <w:rFonts w:ascii="Times New Roman" w:cs="Times New Roman" w:eastAsia="Times New Roman" w:hAnsi="Times New Roman"/>
                <w:sz w:val="17"/>
                <w:szCs w:val="17"/>
                <w:color w:val="auto"/>
              </w:rPr>
              <w:t>December 31, 2021</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55"/>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4"/>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color w:val="auto"/>
                <w:w w:val="98"/>
              </w:rPr>
              <w:t>Amortized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w w:val="94"/>
              </w:rPr>
              <w:t>Fair</w:t>
            </w:r>
          </w:p>
        </w:tc>
      </w:tr>
      <w:tr>
        <w:trPr>
          <w:trHeight w:val="221"/>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Gains</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color w:val="auto"/>
                <w:w w:val="99"/>
              </w:rPr>
              <w:t>Losses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Available-for-Sale: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4"/>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Treasury</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90,775</w:t>
            </w:r>
          </w:p>
        </w:tc>
        <w:tc>
          <w:tcPr>
            <w:tcW w:w="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(1,598 )</w:t>
            </w:r>
          </w:p>
        </w:tc>
        <w:tc>
          <w:tcPr>
            <w:tcW w:w="34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89,177</w:t>
            </w:r>
          </w:p>
        </w:tc>
      </w:tr>
      <w:tr>
        <w:trPr>
          <w:trHeight w:val="204"/>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U.S. Government agencies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159,673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695</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(3,482 )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156,886</w:t>
            </w:r>
          </w:p>
        </w:tc>
      </w:tr>
      <w:tr>
        <w:trPr>
          <w:trHeight w:val="204"/>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118,550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117,927</w:t>
            </w:r>
          </w:p>
        </w:tc>
      </w:tr>
      <w:tr>
        <w:trPr>
          <w:trHeight w:val="204"/>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State and local governments</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64,964</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1,498</w:t>
            </w: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(521 )</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65,941</w:t>
            </w:r>
          </w:p>
        </w:tc>
      </w:tr>
      <w:tr>
        <w:trPr>
          <w:trHeight w:val="197"/>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433,962</w:t>
            </w:r>
          </w:p>
        </w:tc>
        <w:tc>
          <w:tcPr>
            <w:tcW w:w="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3,032</w:t>
            </w:r>
          </w:p>
        </w:tc>
        <w:tc>
          <w:tcPr>
            <w:tcW w:w="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(7,063 )</w:t>
            </w:r>
          </w:p>
        </w:tc>
        <w:tc>
          <w:tcPr>
            <w:tcW w:w="34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429,931</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-1873250</wp:posOffset>
            </wp:positionV>
            <wp:extent cx="8953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-1873250</wp:posOffset>
            </wp:positionV>
            <wp:extent cx="89535"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6013450</wp:posOffset>
            </wp:positionH>
            <wp:positionV relativeFrom="paragraph">
              <wp:posOffset>-1873250</wp:posOffset>
            </wp:positionV>
            <wp:extent cx="8128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280" cy="16256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-161925</wp:posOffset>
            </wp:positionV>
            <wp:extent cx="89535"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-161925</wp:posOffset>
            </wp:positionV>
            <wp:extent cx="8953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9535" cy="162560"/>
                    </a:xfrm>
                    <a:prstGeom prst="rect">
                      <a:avLst/>
                    </a:prstGeom>
                    <a:noFill/>
                  </pic:spPr>
                </pic:pic>
              </a:graphicData>
            </a:graphic>
          </wp:anchor>
        </w:drawing>
        <w:drawing>
          <wp:anchor simplePos="0" relativeHeight="251657728" behindDoc="1" locked="0" layoutInCell="0" allowOverlap="1">
            <wp:simplePos x="0" y="0"/>
            <wp:positionH relativeFrom="column">
              <wp:posOffset>6005195</wp:posOffset>
            </wp:positionH>
            <wp:positionV relativeFrom="paragraph">
              <wp:posOffset>-161925</wp:posOffset>
            </wp:positionV>
            <wp:extent cx="8128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280" cy="162560"/>
                    </a:xfrm>
                    <a:prstGeom prst="rect">
                      <a:avLst/>
                    </a:prstGeom>
                    <a:noFill/>
                  </pic:spPr>
                </pic:pic>
              </a:graphicData>
            </a:graphic>
          </wp:anchor>
        </w:drawing>
      </w:r>
    </w:p>
    <w:p>
      <w:pPr>
        <w:spacing w:after="0" w:line="155"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7"/>
          <w:szCs w:val="17"/>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ind w:left="2260" w:hanging="759"/>
        <w:spacing w:after="0" w:line="235" w:lineRule="auto"/>
        <w:tabs>
          <w:tab w:leader="none" w:pos="2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security has significantly declined from book value.</w:t>
      </w:r>
    </w:p>
    <w:p>
      <w:pPr>
        <w:ind w:left="2260" w:hanging="759"/>
        <w:spacing w:after="0" w:line="243" w:lineRule="auto"/>
        <w:tabs>
          <w:tab w:leader="none" w:pos="2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downgrade has occurred that lowered the credit rating to below investment grade (below Baa3 by Moody and BBB – by Standard and Poors.)</w:t>
      </w:r>
    </w:p>
    <w:p>
      <w:pPr>
        <w:ind w:left="2260" w:hanging="759"/>
        <w:spacing w:after="0" w:line="235" w:lineRule="auto"/>
        <w:tabs>
          <w:tab w:leader="none" w:pos="2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have been reduced or eliminated or scheduled interest payments have not been made.</w:t>
      </w:r>
    </w:p>
    <w:p>
      <w:pPr>
        <w:ind w:left="2260" w:hanging="759"/>
        <w:spacing w:after="0"/>
        <w:tabs>
          <w:tab w:leader="none" w:pos="2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underwater security has longer than 10 years to maturity and the loss position had existed for more than 3 years.</w:t>
      </w:r>
    </w:p>
    <w:p>
      <w:pPr>
        <w:spacing w:after="0" w:line="8" w:lineRule="exact"/>
        <w:rPr>
          <w:rFonts w:ascii="Times New Roman" w:cs="Times New Roman" w:eastAsia="Times New Roman" w:hAnsi="Times New Roman"/>
          <w:sz w:val="17"/>
          <w:szCs w:val="17"/>
          <w:color w:val="auto"/>
        </w:rPr>
      </w:pPr>
    </w:p>
    <w:p>
      <w:pPr>
        <w:ind w:left="2260" w:hanging="759"/>
        <w:spacing w:after="0" w:line="246" w:lineRule="auto"/>
        <w:tabs>
          <w:tab w:leader="none" w:pos="2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does not possess both the intent and ability to hold the security for a period of time sufficient to allow for any anticipated recovery in fair value.</w:t>
      </w:r>
    </w:p>
    <w:p>
      <w:pPr>
        <w:spacing w:after="0" w:line="144"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69"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Information pertaining to securities with gross unrealized losses at September 30, 2022 and December 31, 2021, aggregated by investment category and length of time that individual securities have been in a continuous loss position follows:</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center"/>
              <w:ind w:right="155"/>
              <w:spacing w:after="0"/>
              <w:rPr>
                <w:sz w:val="20"/>
                <w:szCs w:val="20"/>
                <w:color w:val="auto"/>
              </w:rPr>
            </w:pPr>
            <w:r>
              <w:rPr>
                <w:rFonts w:ascii="Times New Roman" w:cs="Times New Roman" w:eastAsia="Times New Roman" w:hAnsi="Times New Roman"/>
                <w:sz w:val="17"/>
                <w:szCs w:val="17"/>
                <w:color w:val="auto"/>
                <w:w w:val="98"/>
              </w:rPr>
              <w:t>(In Thousands)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97"/>
        </w:trPr>
        <w:tc>
          <w:tcPr>
            <w:tcW w:w="2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155"/>
              <w:spacing w:after="0"/>
              <w:rPr>
                <w:sz w:val="20"/>
                <w:szCs w:val="20"/>
                <w:color w:val="auto"/>
              </w:rPr>
            </w:pPr>
            <w:r>
              <w:rPr>
                <w:rFonts w:ascii="Times New Roman" w:cs="Times New Roman" w:eastAsia="Times New Roman" w:hAnsi="Times New Roman"/>
                <w:sz w:val="17"/>
                <w:szCs w:val="17"/>
                <w:color w:val="auto"/>
              </w:rPr>
              <w:t>September 30, 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7"/>
        </w:trPr>
        <w:tc>
          <w:tcPr>
            <w:tcW w:w="2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Less Than Twelve Months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7"/>
                <w:szCs w:val="17"/>
                <w:color w:val="auto"/>
              </w:rPr>
              <w:t>Twelve Months &amp; Over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bottom w:val="single" w:sz="8" w:color="auto"/>
            </w:tcBorders>
          </w:tcPr>
          <w:p>
            <w:pPr>
              <w:spacing w:after="0"/>
              <w:rPr>
                <w:sz w:val="17"/>
                <w:szCs w:val="17"/>
                <w:color w:val="auto"/>
              </w:rPr>
            </w:pPr>
          </w:p>
        </w:tc>
      </w:tr>
      <w:tr>
        <w:trPr>
          <w:trHeight w:val="155"/>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ind w:left="180"/>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55"/>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ind w:left="180"/>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4"/>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4"/>
              </w:rPr>
              <w:t>Fair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w w:val="94"/>
              </w:rPr>
              <w:t>Fair</w:t>
            </w:r>
          </w:p>
        </w:tc>
      </w:tr>
      <w:tr>
        <w:trPr>
          <w:trHeight w:val="221"/>
        </w:trPr>
        <w:tc>
          <w:tcPr>
            <w:tcW w:w="2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Losses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3"/>
              </w:rPr>
              <w:t>Value</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Losses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color w:val="auto"/>
                <w:w w:val="93"/>
              </w:rPr>
              <w:t>Value</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7"/>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Treasury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(1,522 )</w:t>
            </w:r>
          </w:p>
        </w:tc>
        <w:tc>
          <w:tcPr>
            <w:tcW w:w="3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29,827</w:t>
            </w:r>
          </w:p>
        </w:tc>
        <w:tc>
          <w:tcPr>
            <w:tcW w:w="20" w:type="dxa"/>
            <w:vAlign w:val="bottom"/>
            <w:shd w:val="clear" w:color="auto" w:fill="CFF0FC"/>
          </w:tcPr>
          <w:p>
            <w:pPr>
              <w:spacing w:after="0"/>
              <w:rPr>
                <w:sz w:val="17"/>
                <w:szCs w:val="17"/>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(8,535 )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65,335</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(10,057 )</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95,162</w:t>
            </w:r>
          </w:p>
        </w:tc>
      </w:tr>
      <w:tr>
        <w:trPr>
          <w:trHeight w:val="204"/>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22,597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(15,819 )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115,423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138,020</w:t>
            </w:r>
          </w:p>
        </w:tc>
      </w:tr>
      <w:tr>
        <w:trPr>
          <w:trHeight w:val="204"/>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(3,176 )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33,338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(10,802 )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56,926</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(13,978 )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90,264</w:t>
            </w:r>
          </w:p>
        </w:tc>
      </w:tr>
      <w:tr>
        <w:trPr>
          <w:trHeight w:val="204"/>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 governments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(3,840 )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51,876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(3,055 )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18,257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(6,895 )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70,133</w:t>
            </w:r>
          </w:p>
        </w:tc>
      </w:tr>
      <w:tr>
        <w:trPr>
          <w:trHeight w:val="237"/>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(9,604 )</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137,638</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(38,211 )</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255,941</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(47,815 )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393,579</w:t>
            </w:r>
          </w:p>
        </w:tc>
      </w:tr>
      <w:tr>
        <w:trPr>
          <w:trHeight w:val="579"/>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155"/>
              <w:spacing w:after="0"/>
              <w:rPr>
                <w:sz w:val="20"/>
                <w:szCs w:val="20"/>
                <w:color w:val="auto"/>
              </w:rPr>
            </w:pPr>
            <w:r>
              <w:rPr>
                <w:rFonts w:ascii="Times New Roman" w:cs="Times New Roman" w:eastAsia="Times New Roman" w:hAnsi="Times New Roman"/>
                <w:sz w:val="17"/>
                <w:szCs w:val="17"/>
                <w:color w:val="auto"/>
                <w:w w:val="98"/>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97"/>
        </w:trPr>
        <w:tc>
          <w:tcPr>
            <w:tcW w:w="2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155"/>
              <w:spacing w:after="0"/>
              <w:rPr>
                <w:sz w:val="20"/>
                <w:szCs w:val="20"/>
                <w:color w:val="auto"/>
              </w:rPr>
            </w:pPr>
            <w:r>
              <w:rPr>
                <w:rFonts w:ascii="Times New Roman" w:cs="Times New Roman" w:eastAsia="Times New Roman" w:hAnsi="Times New Roman"/>
                <w:sz w:val="17"/>
                <w:szCs w:val="17"/>
                <w:color w:val="auto"/>
              </w:rPr>
              <w:t>December 31, 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7"/>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7"/>
                <w:szCs w:val="17"/>
                <w:color w:val="auto"/>
              </w:rPr>
              <w:t>Less Than Twelve Months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5"/>
          </w:tcPr>
          <w:p>
            <w:pPr>
              <w:jc w:val="center"/>
              <w:ind w:right="155"/>
              <w:spacing w:after="0"/>
              <w:rPr>
                <w:sz w:val="20"/>
                <w:szCs w:val="20"/>
                <w:color w:val="auto"/>
              </w:rPr>
            </w:pPr>
            <w:r>
              <w:rPr>
                <w:rFonts w:ascii="Times New Roman" w:cs="Times New Roman" w:eastAsia="Times New Roman" w:hAnsi="Times New Roman"/>
                <w:sz w:val="17"/>
                <w:szCs w:val="17"/>
                <w:color w:val="auto"/>
                <w:w w:val="99"/>
              </w:rPr>
              <w:t>Twelve Months &amp; Over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Pr>
          <w:p>
            <w:pPr>
              <w:spacing w:after="0"/>
              <w:rPr>
                <w:sz w:val="17"/>
                <w:szCs w:val="17"/>
                <w:color w:val="auto"/>
              </w:rPr>
            </w:pPr>
          </w:p>
        </w:tc>
      </w:tr>
      <w:tr>
        <w:trPr>
          <w:trHeight w:val="155"/>
        </w:trPr>
        <w:tc>
          <w:tcPr>
            <w:tcW w:w="2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ind w:left="180"/>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95"/>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ind w:left="180"/>
              <w:spacing w:after="0" w:line="155"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04"/>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215"/>
              <w:spacing w:after="0"/>
              <w:rPr>
                <w:sz w:val="20"/>
                <w:szCs w:val="20"/>
                <w:color w:val="auto"/>
              </w:rPr>
            </w:pPr>
            <w:r>
              <w:rPr>
                <w:rFonts w:ascii="Times New Roman" w:cs="Times New Roman" w:eastAsia="Times New Roman" w:hAnsi="Times New Roman"/>
                <w:sz w:val="17"/>
                <w:szCs w:val="17"/>
                <w:color w:val="auto"/>
                <w:w w:val="94"/>
              </w:rPr>
              <w:t>Fair</w:t>
            </w:r>
          </w:p>
        </w:tc>
      </w:tr>
      <w:tr>
        <w:trPr>
          <w:trHeight w:val="221"/>
        </w:trPr>
        <w:tc>
          <w:tcPr>
            <w:tcW w:w="2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Losses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Value</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color w:val="auto"/>
                <w:w w:val="99"/>
              </w:rPr>
              <w:t>Losses</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color w:val="auto"/>
                <w:w w:val="98"/>
              </w:rPr>
              <w:t>Value</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7"/>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Treasury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(1,598 )</w:t>
            </w:r>
          </w:p>
        </w:tc>
        <w:tc>
          <w:tcPr>
            <w:tcW w:w="3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89,177</w:t>
            </w:r>
          </w:p>
        </w:tc>
        <w:tc>
          <w:tcPr>
            <w:tcW w:w="20" w:type="dxa"/>
            <w:vAlign w:val="bottom"/>
            <w:shd w:val="clear" w:color="auto" w:fill="CFF0FC"/>
          </w:tcPr>
          <w:p>
            <w:pPr>
              <w:spacing w:after="0"/>
              <w:rPr>
                <w:sz w:val="17"/>
                <w:szCs w:val="17"/>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3"/>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(1,598 )</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89,177</w:t>
            </w:r>
          </w:p>
        </w:tc>
      </w:tr>
      <w:tr>
        <w:trPr>
          <w:trHeight w:val="204"/>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86,739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41,738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128,477</w:t>
            </w:r>
          </w:p>
        </w:tc>
      </w:tr>
      <w:tr>
        <w:trPr>
          <w:trHeight w:val="204"/>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(1,050 )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63,157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(412 )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16,434</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(1,462 )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79,591</w:t>
            </w:r>
          </w:p>
        </w:tc>
      </w:tr>
      <w:tr>
        <w:trPr>
          <w:trHeight w:val="204"/>
        </w:trPr>
        <w:tc>
          <w:tcPr>
            <w:tcW w:w="2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 governments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17,727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5,487</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23,214</w:t>
            </w:r>
          </w:p>
        </w:tc>
      </w:tr>
      <w:tr>
        <w:trPr>
          <w:trHeight w:val="237"/>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(4,842 )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256,800</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(2,221 )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63,659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(7,063 )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320,459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-1751965</wp:posOffset>
            </wp:positionV>
            <wp:extent cx="81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-1735455</wp:posOffset>
            </wp:positionV>
            <wp:extent cx="812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-1751965</wp:posOffset>
            </wp:positionV>
            <wp:extent cx="812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-1735455</wp:posOffset>
            </wp:positionV>
            <wp:extent cx="812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-1751965</wp:posOffset>
            </wp:positionV>
            <wp:extent cx="812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-1735455</wp:posOffset>
            </wp:positionV>
            <wp:extent cx="812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-1751965</wp:posOffset>
            </wp:positionV>
            <wp:extent cx="730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-1735455</wp:posOffset>
            </wp:positionV>
            <wp:extent cx="730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-1751965</wp:posOffset>
            </wp:positionV>
            <wp:extent cx="730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-1735455</wp:posOffset>
            </wp:positionV>
            <wp:extent cx="730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-23495</wp:posOffset>
            </wp:positionV>
            <wp:extent cx="730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-7620</wp:posOffset>
            </wp:positionV>
            <wp:extent cx="730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-23495</wp:posOffset>
            </wp:positionV>
            <wp:extent cx="730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-7620</wp:posOffset>
            </wp:positionV>
            <wp:extent cx="730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-23495</wp:posOffset>
            </wp:positionV>
            <wp:extent cx="730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-7620</wp:posOffset>
            </wp:positionV>
            <wp:extent cx="730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-23495</wp:posOffset>
            </wp:positionV>
            <wp:extent cx="730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-7620</wp:posOffset>
            </wp:positionV>
            <wp:extent cx="730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-23495</wp:posOffset>
            </wp:positionV>
            <wp:extent cx="647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47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55"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Below are the gross realized gains and losses for the three and nine months ended September 30, 2022 and September 30, 2021.</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Three Months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Nine Months</w:t>
            </w:r>
          </w:p>
        </w:tc>
        <w:tc>
          <w:tcPr>
            <w:tcW w:w="820" w:type="dxa"/>
            <w:vAlign w:val="bottom"/>
          </w:tcPr>
          <w:p>
            <w:pPr>
              <w:spacing w:after="0"/>
              <w:rPr>
                <w:sz w:val="17"/>
                <w:szCs w:val="17"/>
                <w:color w:val="auto"/>
              </w:rPr>
            </w:pPr>
          </w:p>
        </w:tc>
      </w:tr>
      <w:tr>
        <w:trPr>
          <w:trHeight w:val="221"/>
        </w:trPr>
        <w:tc>
          <w:tcPr>
            <w:tcW w:w="4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7"/>
                <w:szCs w:val="17"/>
                <w:color w:val="auto"/>
              </w:rPr>
              <w:t>(In Thousands)</w:t>
            </w:r>
          </w:p>
        </w:tc>
      </w:tr>
      <w:tr>
        <w:trPr>
          <w:trHeight w:val="197"/>
        </w:trPr>
        <w:tc>
          <w:tcPr>
            <w:tcW w:w="4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93"/>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99"/>
              </w:rPr>
              <w:t>2021</w:t>
            </w:r>
          </w:p>
        </w:tc>
      </w:tr>
      <w:tr>
        <w:trPr>
          <w:trHeight w:val="19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realized gains</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293</w:t>
            </w: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realized losses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realized gains</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293</w:t>
            </w:r>
          </w:p>
        </w:tc>
      </w:tr>
      <w:tr>
        <w:trPr>
          <w:trHeight w:val="183"/>
        </w:trPr>
        <w:tc>
          <w:tcPr>
            <w:tcW w:w="49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Tax expense related to net realized gains</w:t>
            </w:r>
          </w:p>
        </w:tc>
        <w:tc>
          <w:tcPr>
            <w:tcW w:w="260" w:type="dxa"/>
            <w:vAlign w:val="bottom"/>
          </w:tcPr>
          <w:p>
            <w:pPr>
              <w:jc w:val="right"/>
              <w:ind w:right="7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2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175"/>
              <w:spacing w:after="0" w:line="183"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62</w:t>
            </w: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-177800</wp:posOffset>
            </wp:positionV>
            <wp:extent cx="1768475" cy="178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68475" cy="178435"/>
                    </a:xfrm>
                    <a:prstGeom prst="rect">
                      <a:avLst/>
                    </a:prstGeom>
                    <a:noFill/>
                  </pic:spPr>
                </pic:pic>
              </a:graphicData>
            </a:graphic>
          </wp:anchor>
        </w:drawing>
      </w:r>
    </w:p>
    <w:p>
      <w:pPr>
        <w:spacing w:after="0" w:line="168"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net realized gains on sales and related tax expense is a reclassification out of accumulated other comprehensive income (loss). The net realized gains are included in net gains on sale of available-for-sale securities and the related tax expense is included in income taxes in the condensed consolidated statements of income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69"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The amortized cost and fair value of debt securities at September 30, 2022, by contractual maturity, are shown below. Expected maturities will differ from contractual maturities because borrowers may have the right to call or prepay obligations with or without call or prepayment penalties.</w:t>
      </w:r>
    </w:p>
    <w:p>
      <w:pPr>
        <w:spacing w:after="0" w:line="139"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5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7"/>
                <w:szCs w:val="17"/>
                <w:color w:val="auto"/>
              </w:rPr>
              <w:t>(In Thousands)</w:t>
            </w:r>
          </w:p>
        </w:tc>
      </w:tr>
      <w:tr>
        <w:trPr>
          <w:trHeight w:val="181"/>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75"/>
              <w:spacing w:after="0" w:line="181" w:lineRule="exact"/>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1"/>
        </w:trPr>
        <w:tc>
          <w:tcPr>
            <w:tcW w:w="5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Fair Value</w:t>
            </w:r>
          </w:p>
        </w:tc>
      </w:tr>
      <w:tr>
        <w:trPr>
          <w:trHeight w:val="19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One year or less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17,262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16,909</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After one year through five years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168,802</w:t>
            </w:r>
          </w:p>
        </w:tc>
      </w:tr>
      <w:tr>
        <w:trPr>
          <w:trHeight w:val="204"/>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After five years through ten years</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131,050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113,882</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After ten years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5,628</w:t>
            </w:r>
          </w:p>
        </w:tc>
      </w:tr>
      <w:tr>
        <w:trPr>
          <w:trHeight w:val="197"/>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339,012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305,221</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90,264</w:t>
            </w:r>
          </w:p>
        </w:tc>
      </w:tr>
      <w:tr>
        <w:trPr>
          <w:trHeight w:val="237"/>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443,254</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395,485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-23495</wp:posOffset>
            </wp:positionV>
            <wp:extent cx="812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812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280" cy="8255"/>
                    </a:xfrm>
                    <a:prstGeom prst="rect">
                      <a:avLst/>
                    </a:prstGeom>
                    <a:noFill/>
                  </pic:spPr>
                </pic:pic>
              </a:graphicData>
            </a:graphic>
          </wp:anchor>
        </w:drawing>
      </w:r>
    </w:p>
    <w:p>
      <w:pPr>
        <w:spacing w:after="0" w:line="168"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Investments with a carrying value of $133.0 million and $115.0 million at September 30, 2022 and December 31, 2021, respectively, were pledged to secure public deposits and securities sold under repurchase agreements.</w:t>
      </w:r>
    </w:p>
    <w:p>
      <w:pPr>
        <w:spacing w:after="0" w:line="114"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Other securities include Federal Home Loan Bank of Cincinnati and Indianapolis stock in the amount of $6.8 million as of September 30, 2022 and $7.3 million as of December 31, 2021 . Other securities also includes Ohio Equity Fund for Housing Limited Partnership funding of $1.5 million as of September 30, 2022 out of a total of $4.0 million committed and $820 thousand as of December 31, 2021 out of a total $3.0 million 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right="3560" w:hanging="1229"/>
        <w:spacing w:after="0" w:line="644" w:lineRule="auto"/>
        <w:tabs>
          <w:tab w:leader="none" w:pos="441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-165100</wp:posOffset>
            </wp:positionV>
            <wp:extent cx="716534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4 LOANS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Loan balances as of September 30, 2022 and December 31, 2021 are summarized below:</w:t>
      </w:r>
    </w:p>
    <w:p>
      <w:pPr>
        <w:spacing w:after="0" w:line="201"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Loans:</w:t>
            </w:r>
          </w:p>
        </w:tc>
        <w:tc>
          <w:tcPr>
            <w:tcW w:w="1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295"/>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right"/>
              <w:ind w:right="175"/>
              <w:spacing w:after="0" w:line="159" w:lineRule="exact"/>
              <w:rPr>
                <w:sz w:val="20"/>
                <w:szCs w:val="20"/>
                <w:color w:val="auto"/>
              </w:rPr>
            </w:pPr>
            <w:r>
              <w:rPr>
                <w:rFonts w:ascii="Times New Roman" w:cs="Times New Roman" w:eastAsia="Times New Roman" w:hAnsi="Times New Roman"/>
                <w:sz w:val="17"/>
                <w:szCs w:val="17"/>
                <w:color w:val="auto"/>
              </w:rPr>
              <w:t>September 30, 2022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55"/>
              <w:spacing w:after="0" w:line="159" w:lineRule="exact"/>
              <w:rPr>
                <w:sz w:val="20"/>
                <w:szCs w:val="20"/>
                <w:color w:val="auto"/>
              </w:rPr>
            </w:pPr>
            <w:r>
              <w:rPr>
                <w:rFonts w:ascii="Times New Roman" w:cs="Times New Roman" w:eastAsia="Times New Roman" w:hAnsi="Times New Roman"/>
                <w:sz w:val="17"/>
                <w:szCs w:val="17"/>
                <w:color w:val="auto"/>
              </w:rPr>
              <w:t>December 31,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416,001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395,873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198,343</w:t>
            </w:r>
          </w:p>
        </w:tc>
        <w:tc>
          <w:tcPr>
            <w:tcW w:w="0" w:type="dxa"/>
            <w:vAlign w:val="bottom"/>
          </w:tcPr>
          <w:p>
            <w:pPr>
              <w:spacing w:after="0"/>
              <w:rPr>
                <w:sz w:val="1"/>
                <w:szCs w:val="1"/>
                <w:color w:val="auto"/>
              </w:rPr>
            </w:pPr>
          </w:p>
        </w:tc>
      </w:tr>
      <w:tr>
        <w:trPr>
          <w:trHeight w:val="204"/>
        </w:trPr>
        <w:tc>
          <w:tcPr>
            <w:tcW w:w="20" w:type="dxa"/>
            <w:vAlign w:val="bottom"/>
            <w:shd w:val="clear" w:color="auto" w:fill="CFF0FC"/>
          </w:tcPr>
          <w:p>
            <w:pPr>
              <w:spacing w:after="0"/>
              <w:rPr>
                <w:sz w:val="17"/>
                <w:szCs w:val="17"/>
                <w:color w:val="auto"/>
              </w:rPr>
            </w:pPr>
          </w:p>
        </w:tc>
        <w:tc>
          <w:tcPr>
            <w:tcW w:w="4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128,615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118,368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1,063,661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848,477</w:t>
            </w:r>
          </w:p>
        </w:tc>
        <w:tc>
          <w:tcPr>
            <w:tcW w:w="0" w:type="dxa"/>
            <w:vAlign w:val="bottom"/>
          </w:tcPr>
          <w:p>
            <w:pPr>
              <w:spacing w:after="0"/>
              <w:rPr>
                <w:sz w:val="1"/>
                <w:szCs w:val="1"/>
                <w:color w:val="auto"/>
              </w:rPr>
            </w:pPr>
          </w:p>
        </w:tc>
      </w:tr>
      <w:tr>
        <w:trPr>
          <w:trHeight w:val="204"/>
        </w:trPr>
        <w:tc>
          <w:tcPr>
            <w:tcW w:w="20" w:type="dxa"/>
            <w:vAlign w:val="bottom"/>
            <w:shd w:val="clear" w:color="auto" w:fill="CFF0FC"/>
          </w:tcPr>
          <w:p>
            <w:pPr>
              <w:spacing w:after="0"/>
              <w:rPr>
                <w:sz w:val="17"/>
                <w:szCs w:val="17"/>
                <w:color w:val="auto"/>
              </w:rPr>
            </w:pPr>
          </w:p>
        </w:tc>
        <w:tc>
          <w:tcPr>
            <w:tcW w:w="4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229,388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208,270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57,737</w:t>
            </w:r>
          </w:p>
        </w:tc>
        <w:tc>
          <w:tcPr>
            <w:tcW w:w="0" w:type="dxa"/>
            <w:vAlign w:val="bottom"/>
          </w:tcPr>
          <w:p>
            <w:pPr>
              <w:spacing w:after="0"/>
              <w:rPr>
                <w:sz w:val="1"/>
                <w:szCs w:val="1"/>
                <w:color w:val="auto"/>
              </w:rPr>
            </w:pPr>
          </w:p>
        </w:tc>
      </w:tr>
      <w:tr>
        <w:trPr>
          <w:trHeight w:val="204"/>
        </w:trPr>
        <w:tc>
          <w:tcPr>
            <w:tcW w:w="20" w:type="dxa"/>
            <w:vAlign w:val="bottom"/>
            <w:tcBorders>
              <w:bottom w:val="single" w:sz="8" w:color="CFF0FC"/>
            </w:tcBorders>
            <w:shd w:val="clear" w:color="auto" w:fill="CFF0FC"/>
          </w:tcPr>
          <w:p>
            <w:pPr>
              <w:spacing w:after="0"/>
              <w:rPr>
                <w:sz w:val="17"/>
                <w:szCs w:val="17"/>
                <w:color w:val="auto"/>
              </w:rPr>
            </w:pPr>
          </w:p>
        </w:tc>
        <w:tc>
          <w:tcPr>
            <w:tcW w:w="4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30,662</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2,144,018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1,859,157</w:t>
            </w:r>
          </w:p>
        </w:tc>
        <w:tc>
          <w:tcPr>
            <w:tcW w:w="0" w:type="dxa"/>
            <w:vAlign w:val="bottom"/>
          </w:tcPr>
          <w:p>
            <w:pPr>
              <w:spacing w:after="0"/>
              <w:rPr>
                <w:sz w:val="1"/>
                <w:szCs w:val="1"/>
                <w:color w:val="auto"/>
              </w:rPr>
            </w:pPr>
          </w:p>
        </w:tc>
      </w:tr>
      <w:tr>
        <w:trPr>
          <w:trHeight w:val="204"/>
        </w:trPr>
        <w:tc>
          <w:tcPr>
            <w:tcW w:w="20" w:type="dxa"/>
            <w:vAlign w:val="bottom"/>
            <w:tcBorders>
              <w:bottom w:val="single" w:sz="8" w:color="CFF0FC"/>
            </w:tcBorders>
            <w:shd w:val="clear" w:color="auto" w:fill="CFF0FC"/>
          </w:tcPr>
          <w:p>
            <w:pPr>
              <w:spacing w:after="0"/>
              <w:rPr>
                <w:sz w:val="17"/>
                <w:szCs w:val="17"/>
                <w:color w:val="auto"/>
              </w:rPr>
            </w:pPr>
          </w:p>
        </w:tc>
        <w:tc>
          <w:tcPr>
            <w:tcW w:w="4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Less: Net deferred loan fees and costs</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(1,402 )</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(1,738 )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2,142,616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1,857,419</w:t>
            </w:r>
          </w:p>
        </w:tc>
        <w:tc>
          <w:tcPr>
            <w:tcW w:w="0" w:type="dxa"/>
            <w:vAlign w:val="bottom"/>
          </w:tcPr>
          <w:p>
            <w:pPr>
              <w:spacing w:after="0"/>
              <w:rPr>
                <w:sz w:val="1"/>
                <w:szCs w:val="1"/>
                <w:color w:val="auto"/>
              </w:rPr>
            </w:pPr>
          </w:p>
        </w:tc>
      </w:tr>
      <w:tr>
        <w:trPr>
          <w:trHeight w:val="204"/>
        </w:trPr>
        <w:tc>
          <w:tcPr>
            <w:tcW w:w="20" w:type="dxa"/>
            <w:vAlign w:val="bottom"/>
            <w:tcBorders>
              <w:bottom w:val="single" w:sz="8" w:color="CFF0FC"/>
            </w:tcBorders>
            <w:shd w:val="clear" w:color="auto" w:fill="CFF0FC"/>
          </w:tcPr>
          <w:p>
            <w:pPr>
              <w:spacing w:after="0"/>
              <w:rPr>
                <w:sz w:val="17"/>
                <w:szCs w:val="17"/>
                <w:color w:val="auto"/>
              </w:rPr>
            </w:pPr>
          </w:p>
        </w:tc>
        <w:tc>
          <w:tcPr>
            <w:tcW w:w="4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Less: Allowance for loan losses</w:t>
            </w:r>
          </w:p>
        </w:tc>
        <w:tc>
          <w:tcPr>
            <w:tcW w:w="1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(19,990 )</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(16,242 )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Loans -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2,122,626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1,841,177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-697230</wp:posOffset>
            </wp:positionV>
            <wp:extent cx="105410" cy="1377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5410" cy="13779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-429260</wp:posOffset>
            </wp:positionV>
            <wp:extent cx="105410" cy="1377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5410" cy="13779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-161925</wp:posOffset>
            </wp:positionV>
            <wp:extent cx="10541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5410" cy="162560"/>
                    </a:xfrm>
                    <a:prstGeom prst="rect">
                      <a:avLst/>
                    </a:prstGeom>
                    <a:noFill/>
                  </pic:spPr>
                </pic:pic>
              </a:graphicData>
            </a:graphic>
          </wp:anchor>
        </w:drawing>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Other loans primarily fund public improvements in the Bank’s service area.</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distribution of fixed rate loans and variable rate loans by major loan category is as follows as of September 30, 2022:</w:t>
      </w:r>
    </w:p>
    <w:p>
      <w:pPr>
        <w:spacing w:after="0" w:line="188"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5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7"/>
                <w:szCs w:val="17"/>
                <w:color w:val="auto"/>
              </w:rPr>
              <w:t>(In Thousands)</w:t>
            </w:r>
          </w:p>
        </w:tc>
      </w:tr>
      <w:tr>
        <w:trPr>
          <w:trHeight w:val="19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Fixed</w:t>
            </w:r>
          </w:p>
        </w:tc>
        <w:tc>
          <w:tcPr>
            <w:tcW w:w="300" w:type="dxa"/>
            <w:vAlign w:val="bottom"/>
          </w:tcPr>
          <w:p>
            <w:pPr>
              <w:spacing w:after="0"/>
              <w:rPr>
                <w:sz w:val="17"/>
                <w:szCs w:val="17"/>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Variable</w:t>
            </w:r>
          </w:p>
        </w:tc>
      </w:tr>
      <w:tr>
        <w:trPr>
          <w:trHeight w:val="204"/>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293,912</w:t>
            </w:r>
          </w:p>
        </w:tc>
        <w:tc>
          <w:tcPr>
            <w:tcW w:w="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122,089</w:t>
            </w:r>
          </w:p>
        </w:tc>
      </w:tr>
      <w:tr>
        <w:trPr>
          <w:trHeight w:val="20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2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130,078</w:t>
            </w:r>
          </w:p>
        </w:tc>
        <w:tc>
          <w:tcPr>
            <w:tcW w:w="30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75,011</w:t>
            </w:r>
          </w:p>
        </w:tc>
      </w:tr>
      <w:tr>
        <w:trPr>
          <w:trHeight w:val="204"/>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50,658</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77,957</w:t>
            </w:r>
          </w:p>
        </w:tc>
      </w:tr>
      <w:tr>
        <w:trPr>
          <w:trHeight w:val="20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22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871,664</w:t>
            </w:r>
          </w:p>
        </w:tc>
        <w:tc>
          <w:tcPr>
            <w:tcW w:w="30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191,997</w:t>
            </w:r>
          </w:p>
        </w:tc>
      </w:tr>
      <w:tr>
        <w:trPr>
          <w:trHeight w:val="204"/>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113,171</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116,217</w:t>
            </w:r>
          </w:p>
        </w:tc>
      </w:tr>
      <w:tr>
        <w:trPr>
          <w:trHeight w:val="20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2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67,154</w:t>
            </w:r>
          </w:p>
        </w:tc>
        <w:tc>
          <w:tcPr>
            <w:tcW w:w="30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3,448</w:t>
            </w:r>
          </w:p>
        </w:tc>
      </w:tr>
      <w:tr>
        <w:trPr>
          <w:trHeight w:val="204"/>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20,862</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9,800</w:t>
            </w:r>
          </w:p>
        </w:tc>
      </w:tr>
    </w:tbl>
    <w:p>
      <w:pPr>
        <w:spacing w:after="0" w:line="188"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As of September 30, 2022 and December 31, 2021 one to four family residential mortgage loans amounting to $182.7 million and $193.2 million, respectively, have been pledged as security for future loans and existing loans the Bank has received from the Federal Home Loan Bank.</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represents the contractual aging of the recorded investment (in thousands) in past due loans by portfolio classification of loans as of</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September 30, 2022 and December 31, 2021, net of deferred loan fees and 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Recorded</w:t>
            </w:r>
          </w:p>
        </w:tc>
        <w:tc>
          <w:tcPr>
            <w:tcW w:w="160" w:type="dxa"/>
            <w:vAlign w:val="bottom"/>
            <w:tcBorders>
              <w:top w:val="single" w:sz="8" w:color="auto"/>
            </w:tcBorders>
          </w:tcPr>
          <w:p>
            <w:pPr>
              <w:spacing w:after="0"/>
              <w:rPr>
                <w:sz w:val="15"/>
                <w:szCs w:val="15"/>
                <w:color w:val="auto"/>
              </w:rPr>
            </w:pPr>
          </w:p>
        </w:tc>
      </w:tr>
      <w:tr>
        <w:trPr>
          <w:trHeight w:val="179"/>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right w:val="single" w:sz="8" w:color="auto"/>
            </w:tcBorders>
            <w:gridSpan w:val="5"/>
          </w:tcPr>
          <w:p>
            <w:pPr>
              <w:jc w:val="right"/>
              <w:ind w:right="235"/>
              <w:spacing w:after="0" w:line="179" w:lineRule="exact"/>
              <w:rPr>
                <w:sz w:val="20"/>
                <w:szCs w:val="20"/>
                <w:color w:val="auto"/>
              </w:rPr>
            </w:pPr>
            <w:r>
              <w:rPr>
                <w:rFonts w:ascii="Times New Roman" w:cs="Times New Roman" w:eastAsia="Times New Roman" w:hAnsi="Times New Roman"/>
                <w:sz w:val="17"/>
                <w:szCs w:val="17"/>
                <w:color w:val="auto"/>
              </w:rPr>
              <w:t>30-59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right w:val="single" w:sz="8" w:color="auto"/>
            </w:tcBorders>
            <w:gridSpan w:val="3"/>
          </w:tcPr>
          <w:p>
            <w:pPr>
              <w:jc w:val="center"/>
              <w:ind w:right="215"/>
              <w:spacing w:after="0" w:line="179" w:lineRule="exact"/>
              <w:rPr>
                <w:sz w:val="20"/>
                <w:szCs w:val="20"/>
                <w:color w:val="auto"/>
              </w:rPr>
            </w:pPr>
            <w:r>
              <w:rPr>
                <w:rFonts w:ascii="Times New Roman" w:cs="Times New Roman" w:eastAsia="Times New Roman" w:hAnsi="Times New Roman"/>
                <w:sz w:val="17"/>
                <w:szCs w:val="17"/>
                <w:color w:val="auto"/>
              </w:rPr>
              <w:t>60-89</w:t>
            </w:r>
          </w:p>
        </w:tc>
        <w:tc>
          <w:tcPr>
            <w:tcW w:w="100" w:type="dxa"/>
            <w:vAlign w:val="bottom"/>
          </w:tcPr>
          <w:p>
            <w:pPr>
              <w:spacing w:after="0"/>
              <w:rPr>
                <w:sz w:val="15"/>
                <w:szCs w:val="15"/>
                <w:color w:val="auto"/>
              </w:rPr>
            </w:pPr>
          </w:p>
        </w:tc>
        <w:tc>
          <w:tcPr>
            <w:tcW w:w="78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w w:val="98"/>
              </w:rPr>
              <w:t>Greater</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7"/>
                <w:szCs w:val="17"/>
                <w:color w:val="auto"/>
                <w:w w:val="94"/>
              </w:rPr>
              <w:t>Total</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Times New Roman" w:cs="Times New Roman" w:eastAsia="Times New Roman" w:hAnsi="Times New Roman"/>
                <w:sz w:val="17"/>
                <w:szCs w:val="17"/>
                <w:color w:val="auto"/>
                <w:w w:val="99"/>
              </w:rPr>
              <w:t>Investment &gt; 90</w:t>
            </w:r>
          </w:p>
        </w:tc>
        <w:tc>
          <w:tcPr>
            <w:tcW w:w="160" w:type="dxa"/>
            <w:vAlign w:val="bottom"/>
          </w:tcPr>
          <w:p>
            <w:pPr>
              <w:spacing w:after="0"/>
              <w:rPr>
                <w:sz w:val="15"/>
                <w:szCs w:val="15"/>
                <w:color w:val="auto"/>
              </w:rPr>
            </w:pPr>
          </w:p>
        </w:tc>
      </w:tr>
      <w:tr>
        <w:trPr>
          <w:trHeight w:val="179"/>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Borders>
              <w:right w:val="single" w:sz="8" w:color="auto"/>
            </w:tcBorders>
            <w:gridSpan w:val="4"/>
          </w:tcPr>
          <w:p>
            <w:pPr>
              <w:jc w:val="right"/>
              <w:ind w:right="95"/>
              <w:spacing w:after="0" w:line="179" w:lineRule="exact"/>
              <w:rPr>
                <w:sz w:val="20"/>
                <w:szCs w:val="20"/>
                <w:color w:val="auto"/>
              </w:rPr>
            </w:pPr>
            <w:r>
              <w:rPr>
                <w:rFonts w:ascii="Times New Roman" w:cs="Times New Roman" w:eastAsia="Times New Roman" w:hAnsi="Times New Roman"/>
                <w:sz w:val="17"/>
                <w:szCs w:val="17"/>
                <w:color w:val="auto"/>
                <w:w w:val="97"/>
              </w:rPr>
              <w:t>Days Past</w:t>
            </w:r>
          </w:p>
        </w:tc>
        <w:tc>
          <w:tcPr>
            <w:tcW w:w="100" w:type="dxa"/>
            <w:vAlign w:val="bottom"/>
          </w:tcPr>
          <w:p>
            <w:pPr>
              <w:spacing w:after="0"/>
              <w:rPr>
                <w:sz w:val="15"/>
                <w:szCs w:val="15"/>
                <w:color w:val="auto"/>
              </w:rPr>
            </w:pPr>
          </w:p>
        </w:tc>
        <w:tc>
          <w:tcPr>
            <w:tcW w:w="840" w:type="dxa"/>
            <w:vAlign w:val="bottom"/>
            <w:tcBorders>
              <w:right w:val="single" w:sz="8" w:color="auto"/>
            </w:tcBorders>
            <w:gridSpan w:val="4"/>
          </w:tcPr>
          <w:p>
            <w:pPr>
              <w:jc w:val="center"/>
              <w:ind w:right="75"/>
              <w:spacing w:after="0" w:line="179" w:lineRule="exact"/>
              <w:rPr>
                <w:sz w:val="20"/>
                <w:szCs w:val="20"/>
                <w:color w:val="auto"/>
              </w:rPr>
            </w:pPr>
            <w:r>
              <w:rPr>
                <w:rFonts w:ascii="Times New Roman" w:cs="Times New Roman" w:eastAsia="Times New Roman" w:hAnsi="Times New Roman"/>
                <w:sz w:val="17"/>
                <w:szCs w:val="17"/>
                <w:color w:val="auto"/>
              </w:rPr>
              <w:t>Days Past</w:t>
            </w:r>
          </w:p>
        </w:tc>
        <w:tc>
          <w:tcPr>
            <w:tcW w:w="100" w:type="dxa"/>
            <w:vAlign w:val="bottom"/>
          </w:tcPr>
          <w:p>
            <w:pPr>
              <w:spacing w:after="0"/>
              <w:rPr>
                <w:sz w:val="15"/>
                <w:szCs w:val="15"/>
                <w:color w:val="auto"/>
              </w:rPr>
            </w:pPr>
          </w:p>
        </w:tc>
        <w:tc>
          <w:tcPr>
            <w:tcW w:w="78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rPr>
              <w:t>Than 90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spacing w:after="0" w:line="179" w:lineRule="exact"/>
              <w:rPr>
                <w:sz w:val="20"/>
                <w:szCs w:val="20"/>
                <w:color w:val="auto"/>
              </w:rPr>
            </w:pPr>
            <w:r>
              <w:rPr>
                <w:rFonts w:ascii="Times New Roman" w:cs="Times New Roman" w:eastAsia="Times New Roman" w:hAnsi="Times New Roman"/>
                <w:sz w:val="17"/>
                <w:szCs w:val="17"/>
                <w:color w:val="auto"/>
                <w:w w:val="96"/>
              </w:rPr>
              <w:t>Total Past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
              <w:spacing w:after="0" w:line="179" w:lineRule="exact"/>
              <w:rPr>
                <w:sz w:val="20"/>
                <w:szCs w:val="20"/>
                <w:color w:val="auto"/>
              </w:rPr>
            </w:pPr>
            <w:r>
              <w:rPr>
                <w:rFonts w:ascii="Times New Roman" w:cs="Times New Roman" w:eastAsia="Times New Roman" w:hAnsi="Times New Roman"/>
                <w:sz w:val="17"/>
                <w:szCs w:val="17"/>
                <w:color w:val="auto"/>
                <w:w w:val="99"/>
              </w:rPr>
              <w:t>Financing</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Days and</w:t>
            </w:r>
          </w:p>
        </w:tc>
        <w:tc>
          <w:tcPr>
            <w:tcW w:w="160" w:type="dxa"/>
            <w:vAlign w:val="bottom"/>
          </w:tcPr>
          <w:p>
            <w:pPr>
              <w:spacing w:after="0"/>
              <w:rPr>
                <w:sz w:val="15"/>
                <w:szCs w:val="15"/>
                <w:color w:val="auto"/>
              </w:rPr>
            </w:pPr>
          </w:p>
        </w:tc>
      </w:tr>
      <w:tr>
        <w:trPr>
          <w:trHeight w:val="221"/>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7"/>
                <w:szCs w:val="17"/>
                <w:color w:val="auto"/>
                <w:w w:val="98"/>
              </w:rPr>
              <w:t>Due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gridSpan w:val="3"/>
          </w:tcPr>
          <w:p>
            <w:pPr>
              <w:jc w:val="center"/>
              <w:ind w:right="175"/>
              <w:spacing w:after="0"/>
              <w:rPr>
                <w:sz w:val="20"/>
                <w:szCs w:val="20"/>
                <w:color w:val="auto"/>
              </w:rPr>
            </w:pPr>
            <w:r>
              <w:rPr>
                <w:rFonts w:ascii="Times New Roman" w:cs="Times New Roman" w:eastAsia="Times New Roman" w:hAnsi="Times New Roman"/>
                <w:sz w:val="17"/>
                <w:szCs w:val="17"/>
                <w:color w:val="auto"/>
                <w:w w:val="98"/>
              </w:rPr>
              <w:t>Due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Days</w:t>
            </w: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7"/>
                <w:szCs w:val="17"/>
                <w:color w:val="auto"/>
                <w:w w:val="77"/>
              </w:rPr>
              <w:t>Due</w:t>
            </w: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7"/>
                <w:szCs w:val="17"/>
                <w:color w:val="auto"/>
              </w:rPr>
              <w:t>Current</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gridSpan w:val="4"/>
          </w:tcPr>
          <w:p>
            <w:pPr>
              <w:jc w:val="center"/>
              <w:ind w:right="15"/>
              <w:spacing w:after="0"/>
              <w:rPr>
                <w:sz w:val="20"/>
                <w:szCs w:val="20"/>
                <w:color w:val="auto"/>
              </w:rPr>
            </w:pPr>
            <w:r>
              <w:rPr>
                <w:rFonts w:ascii="Times New Roman" w:cs="Times New Roman" w:eastAsia="Times New Roman" w:hAnsi="Times New Roman"/>
                <w:sz w:val="17"/>
                <w:szCs w:val="17"/>
                <w:color w:val="auto"/>
                <w:w w:val="99"/>
              </w:rPr>
              <w:t>Receivables</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Accruing</w:t>
            </w:r>
          </w:p>
        </w:tc>
        <w:tc>
          <w:tcPr>
            <w:tcW w:w="160" w:type="dxa"/>
            <w:vAlign w:val="bottom"/>
            <w:tcBorders>
              <w:bottom w:val="single" w:sz="8" w:color="auto"/>
            </w:tcBorders>
          </w:tcPr>
          <w:p>
            <w:pPr>
              <w:spacing w:after="0"/>
              <w:rPr>
                <w:sz w:val="19"/>
                <w:szCs w:val="19"/>
                <w:color w:val="auto"/>
              </w:rPr>
            </w:pPr>
          </w:p>
        </w:tc>
      </w:tr>
      <w:tr>
        <w:trPr>
          <w:trHeight w:val="197"/>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Borders>
              <w:right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1,056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167</w:t>
            </w:r>
          </w:p>
        </w:tc>
        <w:tc>
          <w:tcPr>
            <w:tcW w:w="500" w:type="dxa"/>
            <w:vAlign w:val="bottom"/>
            <w:tcBorders>
              <w:right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Borders>
              <w:right w:val="single" w:sz="8" w:color="auto"/>
            </w:tcBorders>
            <w:shd w:val="clear" w:color="auto" w:fill="CFF0FC"/>
          </w:tcPr>
          <w:p>
            <w:pPr>
              <w:spacing w:after="0"/>
              <w:rPr>
                <w:sz w:val="17"/>
                <w:szCs w:val="17"/>
                <w:color w:val="auto"/>
              </w:rPr>
            </w:pPr>
          </w:p>
        </w:tc>
        <w:tc>
          <w:tcPr>
            <w:tcW w:w="380" w:type="dxa"/>
            <w:vAlign w:val="bottom"/>
            <w:tcBorders>
              <w:right w:val="single" w:sz="8" w:color="CFF0FC"/>
            </w:tcBorders>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414,605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416,044</w:t>
            </w:r>
          </w:p>
        </w:tc>
        <w:tc>
          <w:tcPr>
            <w:tcW w:w="1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8"/>
              </w:rPr>
              <w:t>1,550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202,832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204,787</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tcBorders>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127,464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128,818</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1,061,723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1,061,904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tcBorders>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FF0FC"/>
          </w:tcPr>
          <w:p>
            <w:pPr>
              <w:spacing w:after="0"/>
              <w:rPr>
                <w:sz w:val="17"/>
                <w:szCs w:val="17"/>
                <w:color w:val="auto"/>
              </w:rPr>
            </w:pPr>
          </w:p>
        </w:tc>
        <w:tc>
          <w:tcPr>
            <w:tcW w:w="400" w:type="dxa"/>
            <w:vAlign w:val="bottom"/>
            <w:tcBorders>
              <w:right w:val="single" w:sz="8" w:color="CFF0FC"/>
            </w:tcBorders>
            <w:shd w:val="clear" w:color="auto" w:fill="CFF0FC"/>
          </w:tcPr>
          <w:p>
            <w:pPr>
              <w:spacing w:after="0"/>
              <w:rPr>
                <w:sz w:val="17"/>
                <w:szCs w:val="17"/>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tcBorders>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259,722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260,000</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70,957</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71,063</w:t>
            </w: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3200" w:type="dxa"/>
            <w:vAlign w:val="bottom"/>
            <w:tcBorders>
              <w:bottom w:val="single" w:sz="8" w:color="CFF0FC"/>
            </w:tcBorders>
            <w:shd w:val="clear" w:color="auto" w:fill="CFF0FC"/>
          </w:tcPr>
          <w:p>
            <w:pPr>
              <w:ind w:left="166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1,898</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right w:val="single" w:sz="8" w:color="CFF0FC"/>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8"/>
              </w:rPr>
              <w:t>2,847</w:t>
            </w:r>
          </w:p>
        </w:tc>
        <w:tc>
          <w:tcPr>
            <w:tcW w:w="120" w:type="dxa"/>
            <w:vAlign w:val="bottom"/>
            <w:tcBorders>
              <w:bottom w:val="single" w:sz="8" w:color="auto"/>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righ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5,313</w:t>
            </w:r>
          </w:p>
        </w:tc>
        <w:tc>
          <w:tcPr>
            <w:tcW w:w="120" w:type="dxa"/>
            <w:vAlign w:val="bottom"/>
            <w:tcBorders>
              <w:bottom w:val="single" w:sz="8" w:color="auto"/>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right w:val="single" w:sz="8" w:color="auto"/>
            </w:tcBorders>
            <w:gridSpan w:val="3"/>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2,137,303</w:t>
            </w:r>
          </w:p>
        </w:tc>
        <w:tc>
          <w:tcPr>
            <w:tcW w:w="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2,142,616</w:t>
            </w:r>
          </w:p>
        </w:tc>
        <w:tc>
          <w:tcPr>
            <w:tcW w:w="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362"/>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spacing w:after="0"/>
              <w:rPr>
                <w:sz w:val="24"/>
                <w:szCs w:val="24"/>
                <w:color w:val="auto"/>
              </w:rPr>
            </w:pPr>
          </w:p>
        </w:tc>
      </w:tr>
      <w:tr>
        <w:trPr>
          <w:trHeight w:val="155"/>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center"/>
              <w:ind w:right="60"/>
              <w:spacing w:after="0" w:line="155" w:lineRule="exact"/>
              <w:rPr>
                <w:sz w:val="20"/>
                <w:szCs w:val="20"/>
                <w:color w:val="auto"/>
              </w:rPr>
            </w:pPr>
            <w:r>
              <w:rPr>
                <w:rFonts w:ascii="Times New Roman" w:cs="Times New Roman" w:eastAsia="Times New Roman" w:hAnsi="Times New Roman"/>
                <w:sz w:val="17"/>
                <w:szCs w:val="17"/>
                <w:color w:val="auto"/>
              </w:rPr>
              <w:t>Recorded Investment</w:t>
            </w:r>
          </w:p>
        </w:tc>
      </w:tr>
      <w:tr>
        <w:trPr>
          <w:trHeight w:val="179"/>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35"/>
              <w:spacing w:after="0" w:line="179" w:lineRule="exact"/>
              <w:rPr>
                <w:sz w:val="20"/>
                <w:szCs w:val="20"/>
                <w:color w:val="auto"/>
              </w:rPr>
            </w:pPr>
            <w:r>
              <w:rPr>
                <w:rFonts w:ascii="Times New Roman" w:cs="Times New Roman" w:eastAsia="Times New Roman" w:hAnsi="Times New Roman"/>
                <w:sz w:val="17"/>
                <w:szCs w:val="17"/>
                <w:color w:val="auto"/>
              </w:rPr>
              <w:t>30-59</w:t>
            </w:r>
          </w:p>
        </w:tc>
        <w:tc>
          <w:tcPr>
            <w:tcW w:w="120" w:type="dxa"/>
            <w:vAlign w:val="bottom"/>
            <w:tcBorders>
              <w:right w:val="single" w:sz="8" w:color="auto"/>
            </w:tcBorders>
          </w:tcPr>
          <w:p>
            <w:pPr>
              <w:spacing w:after="0"/>
              <w:rPr>
                <w:sz w:val="15"/>
                <w:szCs w:val="15"/>
                <w:color w:val="auto"/>
              </w:rPr>
            </w:pPr>
          </w:p>
        </w:tc>
        <w:tc>
          <w:tcPr>
            <w:tcW w:w="620" w:type="dxa"/>
            <w:vAlign w:val="bottom"/>
            <w:gridSpan w:val="3"/>
          </w:tcPr>
          <w:p>
            <w:pPr>
              <w:jc w:val="center"/>
              <w:ind w:left="135"/>
              <w:spacing w:after="0" w:line="179" w:lineRule="exact"/>
              <w:rPr>
                <w:sz w:val="20"/>
                <w:szCs w:val="20"/>
                <w:color w:val="auto"/>
              </w:rPr>
            </w:pPr>
            <w:r>
              <w:rPr>
                <w:rFonts w:ascii="Times New Roman" w:cs="Times New Roman" w:eastAsia="Times New Roman" w:hAnsi="Times New Roman"/>
                <w:sz w:val="17"/>
                <w:szCs w:val="17"/>
                <w:color w:val="auto"/>
              </w:rPr>
              <w:t>60-89</w:t>
            </w:r>
          </w:p>
        </w:tc>
        <w:tc>
          <w:tcPr>
            <w:tcW w:w="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right w:val="single" w:sz="8" w:color="auto"/>
            </w:tcBorders>
            <w:gridSpan w:val="3"/>
          </w:tcPr>
          <w:p>
            <w:pPr>
              <w:jc w:val="right"/>
              <w:ind w:right="215"/>
              <w:spacing w:after="0" w:line="179" w:lineRule="exact"/>
              <w:rPr>
                <w:sz w:val="20"/>
                <w:szCs w:val="20"/>
                <w:color w:val="auto"/>
              </w:rPr>
            </w:pPr>
            <w:r>
              <w:rPr>
                <w:rFonts w:ascii="Times New Roman" w:cs="Times New Roman" w:eastAsia="Times New Roman" w:hAnsi="Times New Roman"/>
                <w:sz w:val="17"/>
                <w:szCs w:val="17"/>
                <w:color w:val="auto"/>
              </w:rPr>
              <w:t>Greater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55"/>
              <w:spacing w:after="0" w:line="179" w:lineRule="exact"/>
              <w:rPr>
                <w:sz w:val="20"/>
                <w:szCs w:val="20"/>
                <w:color w:val="auto"/>
              </w:rPr>
            </w:pPr>
            <w:r>
              <w:rPr>
                <w:rFonts w:ascii="Times New Roman" w:cs="Times New Roman" w:eastAsia="Times New Roman" w:hAnsi="Times New Roman"/>
                <w:sz w:val="17"/>
                <w:szCs w:val="17"/>
                <w:color w:val="auto"/>
              </w:rPr>
              <w:t>&gt;</w:t>
            </w:r>
          </w:p>
        </w:tc>
        <w:tc>
          <w:tcPr>
            <w:tcW w:w="160" w:type="dxa"/>
            <w:vAlign w:val="bottom"/>
          </w:tcPr>
          <w:p>
            <w:pPr>
              <w:spacing w:after="0"/>
              <w:rPr>
                <w:sz w:val="15"/>
                <w:szCs w:val="15"/>
                <w:color w:val="auto"/>
              </w:rPr>
            </w:pPr>
          </w:p>
        </w:tc>
      </w:tr>
      <w:tr>
        <w:trPr>
          <w:trHeight w:val="179"/>
        </w:trPr>
        <w:tc>
          <w:tcPr>
            <w:tcW w:w="3200" w:type="dxa"/>
            <w:vAlign w:val="bottom"/>
          </w:tcPr>
          <w:p>
            <w:pPr>
              <w:spacing w:after="0"/>
              <w:rPr>
                <w:sz w:val="15"/>
                <w:szCs w:val="15"/>
                <w:color w:val="auto"/>
              </w:rPr>
            </w:pPr>
          </w:p>
        </w:tc>
        <w:tc>
          <w:tcPr>
            <w:tcW w:w="780" w:type="dxa"/>
            <w:vAlign w:val="bottom"/>
            <w:gridSpan w:val="3"/>
          </w:tcPr>
          <w:p>
            <w:pPr>
              <w:ind w:left="40"/>
              <w:spacing w:after="0" w:line="179" w:lineRule="exact"/>
              <w:rPr>
                <w:sz w:val="20"/>
                <w:szCs w:val="20"/>
                <w:color w:val="auto"/>
              </w:rPr>
            </w:pPr>
            <w:r>
              <w:rPr>
                <w:rFonts w:ascii="Times New Roman" w:cs="Times New Roman" w:eastAsia="Times New Roman" w:hAnsi="Times New Roman"/>
                <w:sz w:val="17"/>
                <w:szCs w:val="17"/>
                <w:color w:val="auto"/>
              </w:rPr>
              <w:t>Days Past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rPr>
              <w:t>Days</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right w:val="single" w:sz="8" w:color="auto"/>
            </w:tcBorders>
            <w:gridSpan w:val="3"/>
          </w:tcPr>
          <w:p>
            <w:pPr>
              <w:jc w:val="right"/>
              <w:ind w:right="195"/>
              <w:spacing w:after="0" w:line="179" w:lineRule="exact"/>
              <w:rPr>
                <w:sz w:val="20"/>
                <w:szCs w:val="20"/>
                <w:color w:val="auto"/>
              </w:rPr>
            </w:pPr>
            <w:r>
              <w:rPr>
                <w:rFonts w:ascii="Times New Roman" w:cs="Times New Roman" w:eastAsia="Times New Roman" w:hAnsi="Times New Roman"/>
                <w:sz w:val="17"/>
                <w:szCs w:val="17"/>
                <w:color w:val="auto"/>
              </w:rPr>
              <w:t>Than 90</w:t>
            </w:r>
          </w:p>
        </w:tc>
        <w:tc>
          <w:tcPr>
            <w:tcW w:w="120" w:type="dxa"/>
            <w:vAlign w:val="bottom"/>
          </w:tcPr>
          <w:p>
            <w:pPr>
              <w:spacing w:after="0"/>
              <w:rPr>
                <w:sz w:val="15"/>
                <w:szCs w:val="15"/>
                <w:color w:val="auto"/>
              </w:rPr>
            </w:pPr>
          </w:p>
        </w:tc>
        <w:tc>
          <w:tcPr>
            <w:tcW w:w="760" w:type="dxa"/>
            <w:vAlign w:val="bottom"/>
            <w:tcBorders>
              <w:right w:val="single" w:sz="8" w:color="auto"/>
            </w:tcBorders>
            <w:gridSpan w:val="4"/>
          </w:tcPr>
          <w:p>
            <w:pPr>
              <w:jc w:val="right"/>
              <w:ind w:right="195"/>
              <w:spacing w:after="0" w:line="179" w:lineRule="exact"/>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right w:val="single" w:sz="8" w:color="auto"/>
            </w:tcBorders>
            <w:gridSpan w:val="4"/>
          </w:tcPr>
          <w:p>
            <w:pPr>
              <w:jc w:val="right"/>
              <w:ind w:right="55"/>
              <w:spacing w:after="0" w:line="179" w:lineRule="exact"/>
              <w:rPr>
                <w:sz w:val="20"/>
                <w:szCs w:val="20"/>
                <w:color w:val="auto"/>
              </w:rPr>
            </w:pPr>
            <w:r>
              <w:rPr>
                <w:rFonts w:ascii="Times New Roman" w:cs="Times New Roman" w:eastAsia="Times New Roman" w:hAnsi="Times New Roman"/>
                <w:sz w:val="17"/>
                <w:szCs w:val="17"/>
                <w:color w:val="auto"/>
                <w:w w:val="97"/>
              </w:rPr>
              <w:t>Total Financing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ind w:left="40"/>
              <w:spacing w:after="0" w:line="179" w:lineRule="exact"/>
              <w:rPr>
                <w:sz w:val="20"/>
                <w:szCs w:val="20"/>
                <w:color w:val="auto"/>
              </w:rPr>
            </w:pPr>
            <w:r>
              <w:rPr>
                <w:rFonts w:ascii="Times New Roman" w:cs="Times New Roman" w:eastAsia="Times New Roman" w:hAnsi="Times New Roman"/>
                <w:sz w:val="17"/>
                <w:szCs w:val="17"/>
                <w:color w:val="auto"/>
              </w:rPr>
              <w:t>90 Days and</w:t>
            </w:r>
          </w:p>
        </w:tc>
        <w:tc>
          <w:tcPr>
            <w:tcW w:w="160" w:type="dxa"/>
            <w:vAlign w:val="bottom"/>
          </w:tcPr>
          <w:p>
            <w:pPr>
              <w:spacing w:after="0"/>
              <w:rPr>
                <w:sz w:val="15"/>
                <w:szCs w:val="15"/>
                <w:color w:val="auto"/>
              </w:rPr>
            </w:pPr>
          </w:p>
        </w:tc>
      </w:tr>
      <w:tr>
        <w:trPr>
          <w:trHeight w:val="221"/>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2021</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Due</w:t>
            </w: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Past Due</w:t>
            </w:r>
          </w:p>
        </w:tc>
        <w:tc>
          <w:tcPr>
            <w:tcW w:w="1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7"/>
                <w:szCs w:val="17"/>
                <w:color w:val="auto"/>
              </w:rPr>
              <w:t>Days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Past Due</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7"/>
                <w:szCs w:val="17"/>
                <w:color w:val="auto"/>
              </w:rPr>
              <w:t>Current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7"/>
                <w:szCs w:val="17"/>
                <w:color w:val="auto"/>
              </w:rPr>
              <w:t>Receivables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color w:val="auto"/>
                <w:w w:val="97"/>
              </w:rPr>
              <w:t>Accruing</w:t>
            </w:r>
          </w:p>
        </w:tc>
        <w:tc>
          <w:tcPr>
            <w:tcW w:w="160" w:type="dxa"/>
            <w:vAlign w:val="bottom"/>
            <w:tcBorders>
              <w:bottom w:val="single" w:sz="8" w:color="auto"/>
            </w:tcBorders>
          </w:tcPr>
          <w:p>
            <w:pPr>
              <w:spacing w:after="0"/>
              <w:rPr>
                <w:sz w:val="19"/>
                <w:szCs w:val="19"/>
                <w:color w:val="auto"/>
              </w:rPr>
            </w:pPr>
          </w:p>
        </w:tc>
      </w:tr>
      <w:tr>
        <w:trPr>
          <w:trHeight w:val="197"/>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Borders>
              <w:right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right w:val="single" w:sz="8" w:color="auto"/>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right w:val="single" w:sz="8" w:color="auto"/>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Borders>
              <w:right w:val="single" w:sz="8" w:color="auto"/>
            </w:tcBorders>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246</w:t>
            </w:r>
          </w:p>
        </w:tc>
        <w:tc>
          <w:tcPr>
            <w:tcW w:w="3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474</w:t>
            </w:r>
          </w:p>
        </w:tc>
        <w:tc>
          <w:tcPr>
            <w:tcW w:w="4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395,331</w:t>
            </w:r>
          </w:p>
        </w:tc>
        <w:tc>
          <w:tcPr>
            <w:tcW w:w="460" w:type="dxa"/>
            <w:vAlign w:val="bottom"/>
            <w:tcBorders>
              <w:right w:val="single" w:sz="8" w:color="CFF0FC"/>
            </w:tcBorders>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7"/>
              </w:rPr>
              <w:t>395,805</w:t>
            </w:r>
          </w:p>
        </w:tc>
        <w:tc>
          <w:tcPr>
            <w:tcW w:w="1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Borders>
              <w:right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right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197,597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7"/>
              </w:rPr>
              <w:t>198,033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500" w:type="dxa"/>
            <w:vAlign w:val="bottom"/>
            <w:tcBorders>
              <w:right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118,504</w:t>
            </w:r>
          </w:p>
        </w:tc>
        <w:tc>
          <w:tcPr>
            <w:tcW w:w="10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7"/>
              </w:rPr>
              <w:t>118,504</w:t>
            </w:r>
          </w:p>
        </w:tc>
        <w:tc>
          <w:tcPr>
            <w:tcW w:w="1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Borders>
              <w:right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Borders>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right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846,930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7"/>
              </w:rPr>
              <w:t>847,110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6"/>
              </w:rPr>
              <w:t>131</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500" w:type="dxa"/>
            <w:vAlign w:val="bottom"/>
            <w:tcBorders>
              <w:right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tcBorders>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239,837</w:t>
            </w:r>
          </w:p>
        </w:tc>
        <w:tc>
          <w:tcPr>
            <w:tcW w:w="10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7"/>
              </w:rPr>
              <w:t>240,138</w:t>
            </w:r>
          </w:p>
        </w:tc>
        <w:tc>
          <w:tcPr>
            <w:tcW w:w="1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57,765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57,829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3200" w:type="dxa"/>
            <w:vAlign w:val="bottom"/>
            <w:tcBorders>
              <w:bottom w:val="single" w:sz="8" w:color="CFF0FC"/>
            </w:tcBorders>
            <w:shd w:val="clear" w:color="auto" w:fill="CFF0FC"/>
          </w:tcPr>
          <w:p>
            <w:pPr>
              <w:ind w:left="138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20" w:type="dxa"/>
            <w:vAlign w:val="bottom"/>
            <w:tcBorders>
              <w:bottom w:val="single" w:sz="8" w:color="auto"/>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right w:val="single" w:sz="8" w:color="CFF0FC"/>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86"/>
              </w:rPr>
              <w:t>131</w:t>
            </w:r>
          </w:p>
        </w:tc>
        <w:tc>
          <w:tcPr>
            <w:tcW w:w="140" w:type="dxa"/>
            <w:vAlign w:val="bottom"/>
            <w:tcBorders>
              <w:bottom w:val="single" w:sz="8" w:color="auto"/>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right w:val="single" w:sz="8" w:color="CFF0FC"/>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right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1,455</w:t>
            </w:r>
          </w:p>
        </w:tc>
        <w:tc>
          <w:tcPr>
            <w:tcW w:w="1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9"/>
              </w:rPr>
              <w:t>1,855,964</w:t>
            </w:r>
          </w:p>
        </w:tc>
        <w:tc>
          <w:tcPr>
            <w:tcW w:w="1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right w:val="single" w:sz="8" w:color="CFF0FC"/>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right w:val="single" w:sz="8" w:color="auto"/>
            </w:tcBorders>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1,857,419</w:t>
            </w: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presents the recorded investment in nonaccrual loans by class of loans as of September 30, 2022 and December 31, 2021:</w:t>
      </w:r>
    </w:p>
    <w:p>
      <w:pPr>
        <w:spacing w:after="0" w:line="188"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1215"/>
              <w:spacing w:after="0"/>
              <w:rPr>
                <w:sz w:val="20"/>
                <w:szCs w:val="20"/>
                <w:color w:val="auto"/>
              </w:rPr>
            </w:pPr>
            <w:r>
              <w:rPr>
                <w:rFonts w:ascii="Times New Roman" w:cs="Times New Roman" w:eastAsia="Times New Roman" w:hAnsi="Times New Roman"/>
                <w:sz w:val="17"/>
                <w:szCs w:val="17"/>
                <w:color w:val="auto"/>
              </w:rPr>
              <w:t>(In Thousands)</w:t>
            </w:r>
          </w:p>
        </w:tc>
      </w:tr>
      <w:tr>
        <w:trPr>
          <w:trHeight w:val="155"/>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ind w:right="335"/>
              <w:spacing w:after="0" w:line="155" w:lineRule="exact"/>
              <w:rPr>
                <w:sz w:val="20"/>
                <w:szCs w:val="20"/>
                <w:color w:val="auto"/>
              </w:rPr>
            </w:pPr>
            <w:r>
              <w:rPr>
                <w:rFonts w:ascii="Times New Roman" w:cs="Times New Roman" w:eastAsia="Times New Roman" w:hAnsi="Times New Roman"/>
                <w:sz w:val="17"/>
                <w:szCs w:val="17"/>
                <w:color w:val="auto"/>
              </w:rPr>
              <w:t>December 31,</w:t>
            </w:r>
          </w:p>
        </w:tc>
      </w:tr>
      <w:tr>
        <w:trPr>
          <w:trHeight w:val="221"/>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rPr>
              <w:t>2021</w:t>
            </w:r>
          </w:p>
        </w:tc>
      </w:tr>
      <w:tr>
        <w:trPr>
          <w:trHeight w:val="197"/>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4"/>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4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6,477</w:t>
            </w:r>
          </w:p>
        </w:tc>
      </w:tr>
      <w:tr>
        <w:trPr>
          <w:trHeight w:val="204"/>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04"/>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4320" w:type="dxa"/>
            <w:vAlign w:val="bottom"/>
            <w:tcBorders>
              <w:bottom w:val="single" w:sz="8" w:color="CFF0FC"/>
            </w:tcBorders>
            <w:shd w:val="clear" w:color="auto" w:fill="CFF0FC"/>
          </w:tcPr>
          <w:p>
            <w:pPr>
              <w:ind w:left="19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5,470</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8,076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-23495</wp:posOffset>
            </wp:positionV>
            <wp:extent cx="1136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-7620</wp:posOffset>
            </wp:positionV>
            <wp:extent cx="1136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3665" cy="8255"/>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Following are the characteristics and underwriting criteria for each major type of loan the Bank offers:</w:t>
      </w:r>
    </w:p>
    <w:p>
      <w:pPr>
        <w:spacing w:after="0" w:line="149"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14"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28" w:lineRule="exact"/>
        <w:rPr>
          <w:sz w:val="20"/>
          <w:szCs w:val="20"/>
          <w:color w:val="auto"/>
        </w:rPr>
      </w:pPr>
    </w:p>
    <w:p>
      <w:pPr>
        <w:jc w:val="both"/>
        <w:ind w:left="760"/>
        <w:spacing w:after="0"/>
        <w:rPr>
          <w:sz w:val="20"/>
          <w:szCs w:val="20"/>
          <w:color w:val="auto"/>
        </w:rPr>
      </w:pPr>
      <w:r>
        <w:rPr>
          <w:rFonts w:ascii="Times New Roman" w:cs="Times New Roman" w:eastAsia="Times New Roman" w:hAnsi="Times New Roman"/>
          <w:sz w:val="17"/>
          <w:szCs w:val="17"/>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crop insurance.</w:t>
      </w:r>
    </w:p>
    <w:p>
      <w:pPr>
        <w:spacing w:after="0" w:line="138"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17"/>
          <w:szCs w:val="17"/>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38" w:lineRule="exact"/>
        <w:rPr>
          <w:sz w:val="20"/>
          <w:szCs w:val="20"/>
          <w:color w:val="auto"/>
        </w:rPr>
      </w:pPr>
    </w:p>
    <w:p>
      <w:pPr>
        <w:jc w:val="both"/>
        <w:ind w:left="760"/>
        <w:spacing w:after="0" w:line="234" w:lineRule="auto"/>
        <w:rPr>
          <w:sz w:val="20"/>
          <w:szCs w:val="20"/>
          <w:color w:val="auto"/>
        </w:rPr>
      </w:pPr>
      <w:r>
        <w:rPr>
          <w:rFonts w:ascii="Times New Roman" w:cs="Times New Roman" w:eastAsia="Times New Roman" w:hAnsi="Times New Roman"/>
          <w:sz w:val="17"/>
          <w:szCs w:val="17"/>
          <w:color w:val="auto"/>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September 2022 and December 2021 were Paycheck Protection Program (PPP) loans, administered by the Small Business Administration (SBA), in the amounts of $7 thousand and $2.9 million, respectively. The PPP provided loans to eligible businesses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56"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Consumer: Funding for individual and family purposes. Success in repayment is subject to borrower’s income, debt level, character in fulfilling payment obligations, employment, and others.</w:t>
      </w:r>
    </w:p>
    <w:p>
      <w:pPr>
        <w:spacing w:after="0" w:line="102"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Other: Primarily funds public improvements in the Bank’s service area. Repayment ability is based on the continuance of the taxation revenue as the source of repayment.</w:t>
      </w:r>
    </w:p>
    <w:p>
      <w:pPr>
        <w:spacing w:after="0" w:line="1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Bank uses a nine tier risk rating system to grade its loans. The grade of a loan may change during the life of the loan.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risk ratings are described as follows.</w:t>
      </w:r>
    </w:p>
    <w:p>
      <w:pPr>
        <w:spacing w:after="0" w:line="14" w:lineRule="exact"/>
        <w:rPr>
          <w:sz w:val="20"/>
          <w:szCs w:val="20"/>
          <w:color w:val="auto"/>
        </w:rPr>
      </w:pPr>
    </w:p>
    <w:p>
      <w:pPr>
        <w:ind w:left="2260" w:hanging="759"/>
        <w:spacing w:after="0"/>
        <w:tabs>
          <w:tab w:leader="none" w:pos="2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Zero (0) Unclassified. Any loan which has not been assigned a classification.</w:t>
      </w:r>
    </w:p>
    <w:p>
      <w:pPr>
        <w:spacing w:after="0" w:line="8" w:lineRule="exact"/>
        <w:rPr>
          <w:rFonts w:ascii="Times New Roman" w:cs="Times New Roman" w:eastAsia="Times New Roman" w:hAnsi="Times New Roman"/>
          <w:sz w:val="17"/>
          <w:szCs w:val="17"/>
          <w:color w:val="auto"/>
        </w:rPr>
      </w:pPr>
    </w:p>
    <w:p>
      <w:pPr>
        <w:jc w:val="both"/>
        <w:ind w:left="2260" w:hanging="759"/>
        <w:spacing w:after="0" w:line="239" w:lineRule="auto"/>
        <w:tabs>
          <w:tab w:leader="none" w:pos="2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4" w:lineRule="exact"/>
        <w:rPr>
          <w:rFonts w:ascii="Times New Roman" w:cs="Times New Roman" w:eastAsia="Times New Roman" w:hAnsi="Times New Roman"/>
          <w:sz w:val="17"/>
          <w:szCs w:val="17"/>
          <w:color w:val="auto"/>
        </w:rPr>
      </w:pPr>
    </w:p>
    <w:p>
      <w:pPr>
        <w:jc w:val="both"/>
        <w:ind w:left="2260" w:hanging="759"/>
        <w:spacing w:after="0" w:line="239" w:lineRule="auto"/>
        <w:tabs>
          <w:tab w:leader="none" w:pos="2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1" w:lineRule="exact"/>
        <w:rPr>
          <w:rFonts w:ascii="Times New Roman" w:cs="Times New Roman" w:eastAsia="Times New Roman" w:hAnsi="Times New Roman"/>
          <w:sz w:val="17"/>
          <w:szCs w:val="17"/>
          <w:color w:val="auto"/>
        </w:rPr>
      </w:pPr>
    </w:p>
    <w:p>
      <w:pPr>
        <w:jc w:val="both"/>
        <w:ind w:left="2260" w:hanging="759"/>
        <w:spacing w:after="0" w:line="239" w:lineRule="auto"/>
        <w:tabs>
          <w:tab w:leader="none" w:pos="2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ind w:left="2260"/>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may be rated 3 when there is no recent information on which to base a current risk evaluation and the following conditions apply:</w:t>
      </w:r>
    </w:p>
    <w:p>
      <w:pPr>
        <w:ind w:left="2260"/>
        <w:spacing w:after="0" w:line="23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inception, the loan was properly underwritten and did not possess an unwarranted level of credit risk;</w:t>
      </w:r>
    </w:p>
    <w:p>
      <w:pPr>
        <w:ind w:left="2620" w:hanging="369"/>
        <w:spacing w:after="0" w:line="235" w:lineRule="auto"/>
        <w:tabs>
          <w:tab w:leader="none" w:pos="2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inception, the loan was secured with collateral possessing a loan-to-value adequate to protect The Bank from loss;</w:t>
      </w:r>
    </w:p>
    <w:p>
      <w:pPr>
        <w:ind w:left="2620" w:hanging="369"/>
        <w:spacing w:after="0"/>
        <w:tabs>
          <w:tab w:leader="none" w:pos="2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exhibited two or more years of satisfactory repayment with a reasonable reduction of the principal balance;</w:t>
      </w:r>
    </w:p>
    <w:p>
      <w:pPr>
        <w:spacing w:after="0" w:line="8" w:lineRule="exact"/>
        <w:rPr>
          <w:rFonts w:ascii="Times New Roman" w:cs="Times New Roman" w:eastAsia="Times New Roman" w:hAnsi="Times New Roman"/>
          <w:sz w:val="17"/>
          <w:szCs w:val="17"/>
          <w:color w:val="auto"/>
        </w:rPr>
      </w:pPr>
    </w:p>
    <w:p>
      <w:pPr>
        <w:jc w:val="both"/>
        <w:ind w:left="2620" w:hanging="369"/>
        <w:spacing w:after="0" w:line="239" w:lineRule="auto"/>
        <w:tabs>
          <w:tab w:leader="none" w:pos="2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 w:lineRule="exact"/>
        <w:rPr>
          <w:rFonts w:ascii="Times New Roman" w:cs="Times New Roman" w:eastAsia="Times New Roman" w:hAnsi="Times New Roman"/>
          <w:sz w:val="17"/>
          <w:szCs w:val="17"/>
          <w:color w:val="auto"/>
        </w:rPr>
      </w:pPr>
    </w:p>
    <w:p>
      <w:pPr>
        <w:jc w:val="both"/>
        <w:ind w:left="2260" w:hanging="759"/>
        <w:spacing w:after="0" w:line="239" w:lineRule="auto"/>
        <w:tabs>
          <w:tab w:leader="none" w:pos="2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jc w:val="both"/>
        <w:ind w:left="2260" w:hanging="759"/>
        <w:spacing w:after="0" w:line="245" w:lineRule="auto"/>
        <w:tabs>
          <w:tab w:leader="none" w:pos="2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2260" w:hanging="759"/>
        <w:spacing w:after="0"/>
        <w:tabs>
          <w:tab w:leader="none" w:pos="2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 (6) Substandard. One or more of the following characteristics may be exhibited in loans classified substandard:</w:t>
      </w:r>
    </w:p>
    <w:p>
      <w:pPr>
        <w:spacing w:after="0" w:line="14" w:lineRule="exact"/>
        <w:rPr>
          <w:rFonts w:ascii="Times New Roman" w:cs="Times New Roman" w:eastAsia="Times New Roman" w:hAnsi="Times New Roman"/>
          <w:sz w:val="17"/>
          <w:szCs w:val="17"/>
          <w:color w:val="auto"/>
        </w:rPr>
      </w:pPr>
    </w:p>
    <w:p>
      <w:pPr>
        <w:jc w:val="both"/>
        <w:ind w:left="2620" w:hanging="369"/>
        <w:spacing w:after="0"/>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7"/>
          <w:szCs w:val="17"/>
          <w:color w:val="auto"/>
        </w:rPr>
      </w:pPr>
    </w:p>
    <w:p>
      <w:pPr>
        <w:ind w:left="2620" w:hanging="369"/>
        <w:spacing w:after="0" w:line="235"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are inadequately protected by the current net worth and paying capacity of the borrower.</w:t>
      </w:r>
    </w:p>
    <w:p>
      <w:pPr>
        <w:ind w:left="2620" w:hanging="369"/>
        <w:spacing w:after="0" w:line="243"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source of repayment is weakened, and The Bank is forced to rely on a secondary source of repayment such as collateral liquidation or guarantees.</w:t>
      </w:r>
    </w:p>
    <w:p>
      <w:pPr>
        <w:ind w:left="2620" w:hanging="369"/>
        <w:spacing w:after="0" w:line="235"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are characterized by the distinct possibility that The Bank will sustain some loss if deficiencies are not corrected.</w:t>
      </w:r>
    </w:p>
    <w:p>
      <w:pPr>
        <w:ind w:left="2620" w:hanging="369"/>
        <w:spacing w:after="0" w:line="235"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Unusual courses of action are needed to maintain a high probability of repayment.</w:t>
      </w:r>
    </w:p>
    <w:p>
      <w:pPr>
        <w:ind w:left="2620" w:hanging="369"/>
        <w:spacing w:after="0"/>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is not generating enough cash flow to repay loan principal; however, continues to make interest payments.</w:t>
      </w:r>
    </w:p>
    <w:p>
      <w:pPr>
        <w:spacing w:after="0" w:line="8" w:lineRule="exact"/>
        <w:rPr>
          <w:rFonts w:ascii="Times New Roman" w:cs="Times New Roman" w:eastAsia="Times New Roman" w:hAnsi="Times New Roman"/>
          <w:sz w:val="17"/>
          <w:szCs w:val="17"/>
          <w:color w:val="auto"/>
        </w:rPr>
      </w:pPr>
    </w:p>
    <w:p>
      <w:pPr>
        <w:ind w:left="2620" w:hanging="369"/>
        <w:spacing w:after="0" w:line="236"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is forced into a subordinate position or unsecured collateral position due to flaws in documentation.</w:t>
      </w:r>
    </w:p>
    <w:p>
      <w:pPr>
        <w:ind w:left="2620" w:hanging="369"/>
        <w:spacing w:after="0" w:line="242"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have been restructured so that payment schedules, terms and collateral represent concessions to the borrower when compared to the normal loan terms.</w:t>
      </w:r>
    </w:p>
    <w:p>
      <w:pPr>
        <w:spacing w:after="0" w:line="1" w:lineRule="exact"/>
        <w:rPr>
          <w:rFonts w:ascii="Times New Roman" w:cs="Times New Roman" w:eastAsia="Times New Roman" w:hAnsi="Times New Roman"/>
          <w:sz w:val="17"/>
          <w:szCs w:val="17"/>
          <w:color w:val="auto"/>
        </w:rPr>
      </w:pPr>
    </w:p>
    <w:p>
      <w:pPr>
        <w:ind w:left="2620" w:hanging="369"/>
        <w:spacing w:after="0" w:line="236"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is seriously contemplating foreclosure or legal action due to the apparent deterioration in the loan.</w:t>
      </w:r>
    </w:p>
    <w:p>
      <w:pPr>
        <w:ind w:left="2620" w:hanging="369"/>
        <w:spacing w:after="0" w:line="235"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significant deterioration in the market conditions and the borrower is highly vulnerable to these conditions.</w:t>
      </w:r>
    </w:p>
    <w:p>
      <w:pPr>
        <w:ind w:left="2260" w:hanging="759"/>
        <w:spacing w:after="0"/>
        <w:tabs>
          <w:tab w:leader="none" w:pos="2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Seven (7) Doubtful. One or more of the following characteristics may be exhibited in loans classified Doubtful:</w:t>
      </w:r>
    </w:p>
    <w:p>
      <w:pPr>
        <w:spacing w:after="0" w:line="8" w:lineRule="exact"/>
        <w:rPr>
          <w:rFonts w:ascii="Times New Roman" w:cs="Times New Roman" w:eastAsia="Times New Roman" w:hAnsi="Times New Roman"/>
          <w:sz w:val="17"/>
          <w:szCs w:val="17"/>
          <w:color w:val="auto"/>
        </w:rPr>
      </w:pPr>
    </w:p>
    <w:p>
      <w:pPr>
        <w:ind w:left="2620" w:hanging="369"/>
        <w:spacing w:after="0" w:line="235"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have all of the weaknesses of those classified as Substandard. Additionally, however, these weaknesses make collection or liquidation in full based on existing conditions improbable.</w:t>
      </w:r>
    </w:p>
    <w:p>
      <w:pPr>
        <w:spacing w:after="0" w:line="1" w:lineRule="exact"/>
        <w:rPr>
          <w:rFonts w:ascii="Times New Roman" w:cs="Times New Roman" w:eastAsia="Times New Roman" w:hAnsi="Times New Roman"/>
          <w:sz w:val="17"/>
          <w:szCs w:val="17"/>
          <w:color w:val="auto"/>
        </w:rPr>
      </w:pPr>
    </w:p>
    <w:p>
      <w:pPr>
        <w:ind w:left="2620" w:hanging="369"/>
        <w:spacing w:after="0" w:line="243" w:lineRule="auto"/>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source of repayment is gone, and there is considerable doubt as to the quality of the secondary source of repayment.</w:t>
      </w:r>
    </w:p>
    <w:p>
      <w:pPr>
        <w:jc w:val="both"/>
        <w:ind w:left="2620" w:hanging="369"/>
        <w:spacing w:after="0"/>
        <w:tabs>
          <w:tab w:leader="none" w:pos="26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Times New Roman" w:cs="Times New Roman" w:eastAsia="Times New Roman" w:hAnsi="Times New Roman"/>
          <w:sz w:val="17"/>
          <w:szCs w:val="17"/>
          <w:color w:val="auto"/>
        </w:rPr>
      </w:pPr>
    </w:p>
    <w:p>
      <w:pPr>
        <w:jc w:val="both"/>
        <w:ind w:left="2260" w:hanging="759"/>
        <w:spacing w:after="0" w:line="243" w:lineRule="auto"/>
        <w:tabs>
          <w:tab w:leader="none" w:pos="2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hanging="89"/>
        <w:spacing w:after="0"/>
        <w:tabs>
          <w:tab w:leader="none" w:pos="4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6"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820"/>
        <w:spacing w:after="0" w:line="267" w:lineRule="auto"/>
        <w:rPr>
          <w:sz w:val="20"/>
          <w:szCs w:val="20"/>
          <w:color w:val="auto"/>
        </w:rPr>
      </w:pPr>
      <w:r>
        <w:rPr>
          <w:rFonts w:ascii="Times New Roman" w:cs="Times New Roman" w:eastAsia="Times New Roman" w:hAnsi="Times New Roman"/>
          <w:sz w:val="17"/>
          <w:szCs w:val="17"/>
          <w:color w:val="auto"/>
        </w:rPr>
        <w:t>The following table represents the risk category of loans by portfolio class, net of deferred fees and costs, based on the most recent analysis performed as of September 30, 2022 and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1"/>
        </w:trPr>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5"/>
          </w:tcPr>
          <w:p>
            <w:pPr>
              <w:jc w:val="right"/>
              <w:ind w:right="115"/>
              <w:spacing w:after="0" w:line="181" w:lineRule="exact"/>
              <w:rPr>
                <w:sz w:val="20"/>
                <w:szCs w:val="20"/>
                <w:color w:val="auto"/>
              </w:rPr>
            </w:pPr>
            <w:r>
              <w:rPr>
                <w:rFonts w:ascii="Times New Roman" w:cs="Times New Roman" w:eastAsia="Times New Roman" w:hAnsi="Times New Roman"/>
                <w:sz w:val="17"/>
                <w:szCs w:val="17"/>
                <w:color w:val="auto"/>
              </w:rPr>
              <w:t>Agricultural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80"/>
              <w:spacing w:after="0" w:line="181" w:lineRule="exact"/>
              <w:rPr>
                <w:sz w:val="20"/>
                <w:szCs w:val="20"/>
                <w:color w:val="auto"/>
              </w:rPr>
            </w:pPr>
            <w:r>
              <w:rPr>
                <w:rFonts w:ascii="Times New Roman" w:cs="Times New Roman" w:eastAsia="Times New Roman" w:hAnsi="Times New Roman"/>
                <w:sz w:val="17"/>
                <w:szCs w:val="17"/>
                <w:color w:val="auto"/>
              </w:rPr>
              <w:t>Commercial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95"/>
              <w:spacing w:after="0" w:line="181" w:lineRule="exact"/>
              <w:rPr>
                <w:sz w:val="20"/>
                <w:szCs w:val="20"/>
                <w:color w:val="auto"/>
              </w:rPr>
            </w:pPr>
            <w:r>
              <w:rPr>
                <w:rFonts w:ascii="Times New Roman" w:cs="Times New Roman" w:eastAsia="Times New Roman" w:hAnsi="Times New Roman"/>
                <w:sz w:val="17"/>
                <w:szCs w:val="17"/>
                <w:color w:val="auto"/>
              </w:rPr>
              <w:t>Commercial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auto"/>
              </w:rPr>
              <w:t>Real Estate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Real Estate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and Industrial</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Other</w:t>
            </w:r>
          </w:p>
        </w:tc>
      </w:tr>
      <w:tr>
        <w:trPr>
          <w:trHeight w:val="19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September 30, 2022</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4"/>
        </w:trPr>
        <w:tc>
          <w:tcPr>
            <w:tcW w:w="4440" w:type="dxa"/>
            <w:vAlign w:val="bottom"/>
          </w:tcPr>
          <w:p>
            <w:pPr>
              <w:jc w:val="center"/>
              <w:ind w:left="495"/>
              <w:spacing w:after="0"/>
              <w:rPr>
                <w:sz w:val="20"/>
                <w:szCs w:val="20"/>
                <w:color w:val="auto"/>
              </w:rPr>
            </w:pPr>
            <w:r>
              <w:rPr>
                <w:rFonts w:ascii="Times New Roman" w:cs="Times New Roman" w:eastAsia="Times New Roman" w:hAnsi="Times New Roman"/>
                <w:sz w:val="17"/>
                <w:szCs w:val="17"/>
                <w:color w:val="auto"/>
                <w:w w:val="96"/>
              </w:rPr>
              <w:t>1-2</w:t>
            </w:r>
          </w:p>
        </w:tc>
        <w:tc>
          <w:tcPr>
            <w:tcW w:w="140" w:type="dxa"/>
            <w:vAlign w:val="bottom"/>
          </w:tcPr>
          <w:p>
            <w:pPr>
              <w:spacing w:after="0"/>
              <w:rPr>
                <w:sz w:val="17"/>
                <w:szCs w:val="17"/>
                <w:color w:val="auto"/>
              </w:rPr>
            </w:pPr>
          </w:p>
        </w:tc>
        <w:tc>
          <w:tcPr>
            <w:tcW w:w="9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2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9,608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5,358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14,227</w:t>
            </w:r>
          </w:p>
        </w:tc>
        <w:tc>
          <w:tcPr>
            <w:tcW w:w="100" w:type="dxa"/>
            <w:vAlign w:val="bottom"/>
          </w:tcPr>
          <w:p>
            <w:pPr>
              <w:spacing w:after="0"/>
              <w:rPr>
                <w:sz w:val="17"/>
                <w:szCs w:val="17"/>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1,195</w:t>
            </w:r>
          </w:p>
        </w:tc>
        <w:tc>
          <w:tcPr>
            <w:tcW w:w="34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w w:val="93"/>
              </w:rPr>
              <w:t>3</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50,781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33,381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303,291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66,129</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11,110</w:t>
            </w:r>
          </w:p>
        </w:tc>
      </w:tr>
      <w:tr>
        <w:trPr>
          <w:trHeight w:val="204"/>
        </w:trPr>
        <w:tc>
          <w:tcPr>
            <w:tcW w:w="4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w w:val="93"/>
              </w:rPr>
              <w:t>4</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127,806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88,476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705,358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155,223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19,552</w:t>
            </w:r>
          </w:p>
        </w:tc>
      </w:tr>
      <w:tr>
        <w:trPr>
          <w:trHeight w:val="204"/>
        </w:trPr>
        <w:tc>
          <w:tcPr>
            <w:tcW w:w="4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w w:val="93"/>
              </w:rPr>
              <w:t>5</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5,024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15,322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3,214</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w w:val="93"/>
              </w:rPr>
              <w:t>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11,568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9"/>
              </w:rPr>
              <w:t>1,363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23,706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3,577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w w:val="93"/>
              </w:rPr>
              <w:t>7</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w w:val="93"/>
              </w:rPr>
              <w:t>8</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440" w:type="dxa"/>
            <w:vAlign w:val="bottom"/>
            <w:tcBorders>
              <w:bottom w:val="single" w:sz="8" w:color="CFF0FC"/>
            </w:tcBorders>
            <w:shd w:val="clear" w:color="auto" w:fill="CFF0FC"/>
          </w:tcPr>
          <w:p>
            <w:pPr>
              <w:ind w:left="23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204,787</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128,818</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1,061,904</w:t>
            </w:r>
          </w:p>
        </w:tc>
        <w:tc>
          <w:tcPr>
            <w:tcW w:w="1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229,338</w:t>
            </w:r>
          </w:p>
        </w:tc>
        <w:tc>
          <w:tcPr>
            <w:tcW w:w="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30,662</w:t>
            </w:r>
          </w:p>
        </w:tc>
      </w:tr>
      <w:tr>
        <w:trPr>
          <w:trHeight w:val="550"/>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Agricultural</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w w:val="97"/>
              </w:rPr>
              <w:t>Commercial</w:t>
            </w:r>
          </w:p>
        </w:tc>
        <w:tc>
          <w:tcPr>
            <w:tcW w:w="100" w:type="dxa"/>
            <w:vAlign w:val="bottom"/>
          </w:tcPr>
          <w:p>
            <w:pPr>
              <w:spacing w:after="0"/>
              <w:rPr>
                <w:sz w:val="24"/>
                <w:szCs w:val="24"/>
                <w:color w:val="auto"/>
              </w:rPr>
            </w:pPr>
          </w:p>
        </w:tc>
        <w:tc>
          <w:tcPr>
            <w:tcW w:w="1220" w:type="dxa"/>
            <w:vAlign w:val="bottom"/>
            <w:gridSpan w:val="3"/>
          </w:tcPr>
          <w:p>
            <w:pPr>
              <w:jc w:val="right"/>
              <w:ind w:right="175"/>
              <w:spacing w:after="0"/>
              <w:rPr>
                <w:sz w:val="20"/>
                <w:szCs w:val="20"/>
                <w:color w:val="auto"/>
              </w:rPr>
            </w:pPr>
            <w:r>
              <w:rPr>
                <w:rFonts w:ascii="Times New Roman" w:cs="Times New Roman" w:eastAsia="Times New Roman" w:hAnsi="Times New Roman"/>
                <w:sz w:val="17"/>
                <w:szCs w:val="17"/>
                <w:color w:val="auto"/>
              </w:rPr>
              <w:t>Commercial</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1"/>
        </w:trPr>
        <w:tc>
          <w:tcPr>
            <w:tcW w:w="4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Real Estate</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7"/>
                <w:szCs w:val="17"/>
                <w:color w:val="auto"/>
              </w:rPr>
              <w:t>Real Estate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and Industrial</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Other</w:t>
            </w:r>
          </w:p>
        </w:tc>
      </w:tr>
      <w:tr>
        <w:trPr>
          <w:trHeight w:val="19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December 31, 2021</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04"/>
        </w:trPr>
        <w:tc>
          <w:tcPr>
            <w:tcW w:w="44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8,720</w:t>
            </w:r>
          </w:p>
        </w:tc>
        <w:tc>
          <w:tcPr>
            <w:tcW w:w="620" w:type="dxa"/>
            <w:vAlign w:val="bottom"/>
            <w:gridSpan w:val="3"/>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10,894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shd w:val="clear" w:color="auto" w:fill="CFF0FC"/>
          </w:tcPr>
          <w:p>
            <w:pPr>
              <w:jc w:val="center"/>
              <w:ind w:right="35"/>
              <w:spacing w:after="0"/>
              <w:rPr>
                <w:sz w:val="20"/>
                <w:szCs w:val="20"/>
                <w:color w:val="auto"/>
              </w:rPr>
            </w:pPr>
            <w:r>
              <w:rPr>
                <w:rFonts w:ascii="Times New Roman" w:cs="Times New Roman" w:eastAsia="Times New Roman" w:hAnsi="Times New Roman"/>
                <w:sz w:val="17"/>
                <w:szCs w:val="17"/>
                <w:color w:val="auto"/>
                <w:w w:val="93"/>
              </w:rPr>
              <w:t>3</w:t>
            </w:r>
          </w:p>
        </w:tc>
        <w:tc>
          <w:tcPr>
            <w:tcW w:w="14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42,180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38,623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238,132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46,547</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11,408</w:t>
            </w:r>
          </w:p>
        </w:tc>
      </w:tr>
      <w:tr>
        <w:trPr>
          <w:trHeight w:val="204"/>
        </w:trPr>
        <w:tc>
          <w:tcPr>
            <w:tcW w:w="44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3"/>
              </w:rPr>
              <w:t>4</w:t>
            </w: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129,301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75,164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568,038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152,736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20,681</w:t>
            </w:r>
          </w:p>
        </w:tc>
      </w:tr>
      <w:tr>
        <w:trPr>
          <w:trHeight w:val="204"/>
        </w:trPr>
        <w:tc>
          <w:tcPr>
            <w:tcW w:w="4440" w:type="dxa"/>
            <w:vAlign w:val="bottom"/>
            <w:shd w:val="clear" w:color="auto" w:fill="CFF0FC"/>
          </w:tcPr>
          <w:p>
            <w:pPr>
              <w:jc w:val="center"/>
              <w:ind w:right="35"/>
              <w:spacing w:after="0"/>
              <w:rPr>
                <w:sz w:val="20"/>
                <w:szCs w:val="20"/>
                <w:color w:val="auto"/>
              </w:rPr>
            </w:pPr>
            <w:r>
              <w:rPr>
                <w:rFonts w:ascii="Times New Roman" w:cs="Times New Roman" w:eastAsia="Times New Roman" w:hAnsi="Times New Roman"/>
                <w:sz w:val="17"/>
                <w:szCs w:val="17"/>
                <w:color w:val="auto"/>
                <w:w w:val="93"/>
              </w:rPr>
              <w:t>5</w:t>
            </w:r>
          </w:p>
        </w:tc>
        <w:tc>
          <w:tcPr>
            <w:tcW w:w="14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4,599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14,509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3"/>
              </w:rPr>
              <w:t>6</w:t>
            </w: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13,233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15,537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shd w:val="clear" w:color="auto" w:fill="CFF0FC"/>
          </w:tcPr>
          <w:p>
            <w:pPr>
              <w:jc w:val="center"/>
              <w:ind w:right="35"/>
              <w:spacing w:after="0"/>
              <w:rPr>
                <w:sz w:val="20"/>
                <w:szCs w:val="20"/>
                <w:color w:val="auto"/>
              </w:rPr>
            </w:pPr>
            <w:r>
              <w:rPr>
                <w:rFonts w:ascii="Times New Roman" w:cs="Times New Roman" w:eastAsia="Times New Roman" w:hAnsi="Times New Roman"/>
                <w:sz w:val="17"/>
                <w:szCs w:val="17"/>
                <w:color w:val="auto"/>
                <w:w w:val="93"/>
              </w:rPr>
              <w:t>7</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3"/>
              </w:rPr>
              <w:t>8</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440" w:type="dxa"/>
            <w:vAlign w:val="bottom"/>
            <w:tcBorders>
              <w:bottom w:val="single" w:sz="8" w:color="CFF0FC"/>
            </w:tcBorders>
            <w:shd w:val="clear" w:color="auto" w:fill="CFF0FC"/>
          </w:tcPr>
          <w:p>
            <w:pPr>
              <w:ind w:left="198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198,033</w:t>
            </w: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118,504</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847,110</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208,049</w:t>
            </w:r>
          </w:p>
        </w:tc>
        <w:tc>
          <w:tcPr>
            <w:tcW w:w="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32,089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-1735455</wp:posOffset>
            </wp:positionV>
            <wp:extent cx="895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9535" cy="825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-1719580</wp:posOffset>
            </wp:positionV>
            <wp:extent cx="895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9535" cy="825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-1735455</wp:posOffset>
            </wp:positionV>
            <wp:extent cx="89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9535" cy="825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-1719580</wp:posOffset>
            </wp:positionV>
            <wp:extent cx="895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953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-1735455</wp:posOffset>
            </wp:positionV>
            <wp:extent cx="81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-1719580</wp:posOffset>
            </wp:positionV>
            <wp:extent cx="812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-1735455</wp:posOffset>
            </wp:positionV>
            <wp:extent cx="812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-1719580</wp:posOffset>
            </wp:positionV>
            <wp:extent cx="81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-23495</wp:posOffset>
            </wp:positionV>
            <wp:extent cx="73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730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-23495</wp:posOffset>
            </wp:positionV>
            <wp:extent cx="730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-7620</wp:posOffset>
            </wp:positionV>
            <wp:extent cx="730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-23495</wp:posOffset>
            </wp:positionV>
            <wp:extent cx="730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-7620</wp:posOffset>
            </wp:positionV>
            <wp:extent cx="730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6394450</wp:posOffset>
            </wp:positionH>
            <wp:positionV relativeFrom="paragraph">
              <wp:posOffset>-23495</wp:posOffset>
            </wp:positionV>
            <wp:extent cx="730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6394450</wp:posOffset>
            </wp:positionH>
            <wp:positionV relativeFrom="paragraph">
              <wp:posOffset>-7620</wp:posOffset>
            </wp:positionV>
            <wp:extent cx="730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360"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2022 and December 31, 2021.</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1175"/>
              <w:spacing w:after="0"/>
              <w:rPr>
                <w:sz w:val="20"/>
                <w:szCs w:val="20"/>
                <w:color w:val="auto"/>
              </w:rPr>
            </w:pPr>
            <w:r>
              <w:rPr>
                <w:rFonts w:ascii="Times New Roman" w:cs="Times New Roman" w:eastAsia="Times New Roman" w:hAnsi="Times New Roman"/>
                <w:sz w:val="17"/>
                <w:szCs w:val="17"/>
                <w:color w:val="auto"/>
              </w:rPr>
              <w:t>(In Thousands)</w:t>
            </w:r>
          </w:p>
        </w:tc>
      </w:tr>
      <w:tr>
        <w:trPr>
          <w:trHeight w:val="181"/>
        </w:trPr>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175"/>
              <w:spacing w:after="0" w:line="181" w:lineRule="exact"/>
              <w:rPr>
                <w:sz w:val="20"/>
                <w:szCs w:val="20"/>
                <w:color w:val="auto"/>
              </w:rPr>
            </w:pPr>
            <w:r>
              <w:rPr>
                <w:rFonts w:ascii="Times New Roman" w:cs="Times New Roman" w:eastAsia="Times New Roman" w:hAnsi="Times New Roman"/>
                <w:sz w:val="17"/>
                <w:szCs w:val="17"/>
                <w:color w:val="auto"/>
              </w:rPr>
              <w:t>Consumer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right="195"/>
              <w:spacing w:after="0" w:line="181" w:lineRule="exact"/>
              <w:rPr>
                <w:sz w:val="20"/>
                <w:szCs w:val="20"/>
                <w:color w:val="auto"/>
              </w:rPr>
            </w:pPr>
            <w:r>
              <w:rPr>
                <w:rFonts w:ascii="Times New Roman" w:cs="Times New Roman" w:eastAsia="Times New Roman" w:hAnsi="Times New Roman"/>
                <w:sz w:val="17"/>
                <w:szCs w:val="17"/>
                <w:color w:val="auto"/>
              </w:rPr>
              <w:t>Consumer</w:t>
            </w:r>
          </w:p>
        </w:tc>
      </w:tr>
      <w:tr>
        <w:trPr>
          <w:trHeight w:val="221"/>
        </w:trPr>
        <w:tc>
          <w:tcPr>
            <w:tcW w:w="4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color w:val="auto"/>
              </w:rPr>
              <w:t>Real Estate</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color w:val="auto"/>
                <w:w w:val="98"/>
              </w:rPr>
              <w:t>Real Estate</w:t>
            </w:r>
          </w:p>
        </w:tc>
      </w:tr>
      <w:tr>
        <w:trPr>
          <w:trHeight w:val="155"/>
        </w:trPr>
        <w:tc>
          <w:tcPr>
            <w:tcW w:w="4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ind w:right="175"/>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15"/>
              <w:spacing w:after="0" w:line="155" w:lineRule="exact"/>
              <w:rPr>
                <w:sz w:val="20"/>
                <w:szCs w:val="20"/>
                <w:color w:val="auto"/>
              </w:rPr>
            </w:pPr>
            <w:r>
              <w:rPr>
                <w:rFonts w:ascii="Times New Roman" w:cs="Times New Roman" w:eastAsia="Times New Roman" w:hAnsi="Times New Roman"/>
                <w:sz w:val="17"/>
                <w:szCs w:val="17"/>
                <w:color w:val="auto"/>
              </w:rPr>
              <w:t>December 31,</w:t>
            </w:r>
          </w:p>
        </w:tc>
      </w:tr>
      <w:tr>
        <w:trPr>
          <w:trHeight w:val="221"/>
        </w:trPr>
        <w:tc>
          <w:tcPr>
            <w:tcW w:w="4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color w:val="auto"/>
                <w:w w:val="99"/>
              </w:rPr>
              <w:t>2022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color w:val="auto"/>
                <w:w w:val="99"/>
              </w:rPr>
              <w:t>2021</w:t>
            </w:r>
          </w:p>
        </w:tc>
      </w:tr>
      <w:tr>
        <w:trPr>
          <w:trHeight w:val="19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Grade</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4"/>
        </w:trPr>
        <w:tc>
          <w:tcPr>
            <w:tcW w:w="4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414,490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392,940</w:t>
            </w:r>
          </w:p>
        </w:tc>
      </w:tr>
      <w:tr>
        <w:trPr>
          <w:trHeight w:val="204"/>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Special Mention (5)</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1,673</w:t>
            </w:r>
          </w:p>
        </w:tc>
      </w:tr>
      <w:tr>
        <w:trPr>
          <w:trHeight w:val="204"/>
        </w:trPr>
        <w:tc>
          <w:tcPr>
            <w:tcW w:w="4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Substandard (6)</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1,192</w:t>
            </w:r>
          </w:p>
        </w:tc>
      </w:tr>
      <w:tr>
        <w:trPr>
          <w:trHeight w:val="204"/>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Doubtful (7)</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40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416,044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395,805</w:t>
            </w: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-161925</wp:posOffset>
            </wp:positionV>
            <wp:extent cx="11366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3665" cy="16256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1055"/>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197"/>
        </w:trPr>
        <w:tc>
          <w:tcPr>
            <w:tcW w:w="5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955"/>
              <w:spacing w:after="0"/>
              <w:rPr>
                <w:sz w:val="20"/>
                <w:szCs w:val="20"/>
                <w:color w:val="auto"/>
              </w:rPr>
            </w:pPr>
            <w:r>
              <w:rPr>
                <w:rFonts w:ascii="Times New Roman" w:cs="Times New Roman" w:eastAsia="Times New Roman" w:hAnsi="Times New Roman"/>
                <w:sz w:val="17"/>
                <w:szCs w:val="17"/>
                <w:color w:val="auto"/>
              </w:rPr>
              <w:t>Consumer - Credit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7"/>
                <w:szCs w:val="17"/>
                <w:color w:val="auto"/>
              </w:rPr>
              <w:t>Consumer - Other</w:t>
            </w:r>
          </w:p>
        </w:tc>
        <w:tc>
          <w:tcPr>
            <w:tcW w:w="560" w:type="dxa"/>
            <w:vAlign w:val="bottom"/>
          </w:tcPr>
          <w:p>
            <w:pPr>
              <w:spacing w:after="0"/>
              <w:rPr>
                <w:sz w:val="17"/>
                <w:szCs w:val="17"/>
                <w:color w:val="auto"/>
              </w:rPr>
            </w:pPr>
          </w:p>
        </w:tc>
      </w:tr>
      <w:tr>
        <w:trPr>
          <w:trHeight w:val="155"/>
        </w:trPr>
        <w:tc>
          <w:tcPr>
            <w:tcW w:w="5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6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7"/>
                <w:szCs w:val="17"/>
                <w:color w:val="auto"/>
              </w:rPr>
              <w:t>September 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155"/>
              <w:spacing w:after="0" w:line="155" w:lineRule="exact"/>
              <w:rPr>
                <w:sz w:val="20"/>
                <w:szCs w:val="20"/>
                <w:color w:val="auto"/>
              </w:rPr>
            </w:pPr>
            <w:r>
              <w:rPr>
                <w:rFonts w:ascii="Times New Roman" w:cs="Times New Roman" w:eastAsia="Times New Roman" w:hAnsi="Times New Roman"/>
                <w:sz w:val="17"/>
                <w:szCs w:val="17"/>
                <w:color w:val="auto"/>
                <w:w w:val="99"/>
              </w:rPr>
              <w:t>September 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7"/>
                <w:szCs w:val="17"/>
                <w:color w:val="auto"/>
              </w:rPr>
              <w:t>December 31,</w:t>
            </w:r>
          </w:p>
        </w:tc>
        <w:tc>
          <w:tcPr>
            <w:tcW w:w="560" w:type="dxa"/>
            <w:vAlign w:val="bottom"/>
          </w:tcPr>
          <w:p>
            <w:pPr>
              <w:spacing w:after="0"/>
              <w:rPr>
                <w:sz w:val="13"/>
                <w:szCs w:val="13"/>
                <w:color w:val="auto"/>
              </w:rPr>
            </w:pPr>
          </w:p>
        </w:tc>
      </w:tr>
      <w:tr>
        <w:trPr>
          <w:trHeight w:val="221"/>
        </w:trPr>
        <w:tc>
          <w:tcPr>
            <w:tcW w:w="5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4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2021</w:t>
            </w:r>
          </w:p>
        </w:tc>
        <w:tc>
          <w:tcPr>
            <w:tcW w:w="560" w:type="dxa"/>
            <w:vAlign w:val="bottom"/>
          </w:tcPr>
          <w:p>
            <w:pPr>
              <w:spacing w:after="0"/>
              <w:rPr>
                <w:sz w:val="19"/>
                <w:szCs w:val="19"/>
                <w:color w:val="auto"/>
              </w:rPr>
            </w:pPr>
          </w:p>
        </w:tc>
      </w:tr>
      <w:tr>
        <w:trPr>
          <w:trHeight w:val="197"/>
        </w:trPr>
        <w:tc>
          <w:tcPr>
            <w:tcW w:w="560" w:type="dxa"/>
            <w:vAlign w:val="bottom"/>
          </w:tcPr>
          <w:p>
            <w:pPr>
              <w:spacing w:after="0"/>
              <w:rPr>
                <w:sz w:val="17"/>
                <w:szCs w:val="17"/>
                <w:color w:val="auto"/>
              </w:rPr>
            </w:pPr>
          </w:p>
        </w:tc>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Performing</w:t>
            </w:r>
          </w:p>
        </w:tc>
        <w:tc>
          <w:tcPr>
            <w:tcW w:w="1460" w:type="dxa"/>
            <w:vAlign w:val="bottom"/>
            <w:shd w:val="clear" w:color="auto" w:fill="CFF0FC"/>
          </w:tcPr>
          <w:p>
            <w:pPr>
              <w:jc w:val="right"/>
              <w:ind w:right="1275"/>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3,906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71,003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53,820</w:t>
            </w:r>
          </w:p>
        </w:tc>
        <w:tc>
          <w:tcPr>
            <w:tcW w:w="560" w:type="dxa"/>
            <w:vAlign w:val="bottom"/>
          </w:tcPr>
          <w:p>
            <w:pPr>
              <w:spacing w:after="0"/>
              <w:rPr>
                <w:sz w:val="17"/>
                <w:szCs w:val="17"/>
                <w:color w:val="auto"/>
              </w:rPr>
            </w:pPr>
          </w:p>
        </w:tc>
      </w:tr>
      <w:tr>
        <w:trPr>
          <w:trHeight w:val="204"/>
        </w:trPr>
        <w:tc>
          <w:tcPr>
            <w:tcW w:w="56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Nonperforming</w:t>
            </w:r>
          </w:p>
        </w:tc>
        <w:tc>
          <w:tcPr>
            <w:tcW w:w="1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90</w:t>
            </w:r>
          </w:p>
        </w:tc>
        <w:tc>
          <w:tcPr>
            <w:tcW w:w="560" w:type="dxa"/>
            <w:vAlign w:val="bottom"/>
          </w:tcPr>
          <w:p>
            <w:pPr>
              <w:spacing w:after="0"/>
              <w:rPr>
                <w:sz w:val="17"/>
                <w:szCs w:val="17"/>
                <w:color w:val="auto"/>
              </w:rPr>
            </w:pPr>
          </w:p>
        </w:tc>
      </w:tr>
      <w:tr>
        <w:trPr>
          <w:trHeight w:val="237"/>
        </w:trPr>
        <w:tc>
          <w:tcPr>
            <w:tcW w:w="56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bottom w:val="single" w:sz="8" w:color="auto"/>
            </w:tcBorders>
            <w:shd w:val="clear" w:color="auto" w:fill="CFF0FC"/>
          </w:tcPr>
          <w:p>
            <w:pPr>
              <w:jc w:val="right"/>
              <w:ind w:right="1275"/>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3,919</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71,062</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53,910</w:t>
            </w:r>
          </w:p>
        </w:tc>
        <w:tc>
          <w:tcPr>
            <w:tcW w:w="560" w:type="dxa"/>
            <w:vAlign w:val="bottom"/>
          </w:tcPr>
          <w:p>
            <w:pPr>
              <w:spacing w:after="0"/>
              <w:rPr>
                <w:sz w:val="20"/>
                <w:szCs w:val="20"/>
                <w:color w:val="auto"/>
              </w:rPr>
            </w:pPr>
          </w:p>
        </w:tc>
      </w:tr>
      <w:tr>
        <w:trPr>
          <w:trHeight w:val="478"/>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1"/>
        </w:trPr>
        <w:tc>
          <w:tcPr>
            <w:tcW w:w="56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-405130</wp:posOffset>
            </wp:positionV>
            <wp:extent cx="1054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-388620</wp:posOffset>
            </wp:positionV>
            <wp:extent cx="1054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-405130</wp:posOffset>
            </wp:positionV>
            <wp:extent cx="1054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-388620</wp:posOffset>
            </wp:positionV>
            <wp:extent cx="1054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-405130</wp:posOffset>
            </wp:positionV>
            <wp:extent cx="971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7155" cy="8255"/>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-388620</wp:posOffset>
            </wp:positionV>
            <wp:extent cx="97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715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Information about impaired loans as of September 30, 2022, December 31, 2021 and September 30, 2021 are as follows: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4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55"/>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7"/>
                <w:szCs w:val="17"/>
                <w:color w:val="auto"/>
              </w:rPr>
              <w:t>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215"/>
              <w:spacing w:after="0" w:line="155"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7"/>
                <w:szCs w:val="17"/>
                <w:color w:val="auto"/>
              </w:rPr>
              <w:t>September 30,</w:t>
            </w:r>
          </w:p>
        </w:tc>
      </w:tr>
      <w:tr>
        <w:trPr>
          <w:trHeight w:val="221"/>
        </w:trPr>
        <w:tc>
          <w:tcPr>
            <w:tcW w:w="4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2021</w:t>
            </w:r>
          </w:p>
        </w:tc>
      </w:tr>
      <w:tr>
        <w:trPr>
          <w:trHeight w:val="197"/>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4"/>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Impaired loans without a valuation allowance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5,835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1,228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2,461</w:t>
            </w:r>
          </w:p>
        </w:tc>
      </w:tr>
      <w:tr>
        <w:trPr>
          <w:trHeight w:val="204"/>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Impaired loans with a valuation allowance</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4,918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10,711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9,388</w:t>
            </w:r>
          </w:p>
        </w:tc>
      </w:tr>
      <w:tr>
        <w:trPr>
          <w:trHeight w:val="237"/>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impaired loans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10,753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11,939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11,849</w:t>
            </w:r>
          </w:p>
        </w:tc>
      </w:tr>
      <w:tr>
        <w:trPr>
          <w:trHeight w:val="183"/>
        </w:trPr>
        <w:tc>
          <w:tcPr>
            <w:tcW w:w="45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Valuation allowance related to impaired loans</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2,436</w:t>
            </w:r>
          </w:p>
        </w:tc>
        <w:tc>
          <w:tcPr>
            <w:tcW w:w="2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2,184</w:t>
            </w:r>
          </w:p>
        </w:tc>
        <w:tc>
          <w:tcPr>
            <w:tcW w:w="2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2,400</w:t>
            </w: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5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Total non-accrual loans</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5,470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8,076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6,248</w:t>
            </w:r>
          </w:p>
        </w:tc>
      </w:tr>
      <w:tr>
        <w:trPr>
          <w:trHeight w:val="141"/>
        </w:trPr>
        <w:tc>
          <w:tcPr>
            <w:tcW w:w="456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Total loans past-due ninety days or more and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1"/>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still accruing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62"/>
        </w:trPr>
        <w:tc>
          <w:tcPr>
            <w:tcW w:w="456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Quarter ended average investment in impaired</w:t>
            </w: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r>
      <w:tr>
        <w:trPr>
          <w:trHeight w:val="221"/>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10,662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11,676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11,639</w:t>
            </w:r>
          </w:p>
        </w:tc>
      </w:tr>
      <w:tr>
        <w:trPr>
          <w:trHeight w:val="162"/>
        </w:trPr>
        <w:tc>
          <w:tcPr>
            <w:tcW w:w="45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Year to date average investment in impaired</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2"/>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11,059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-1062990</wp:posOffset>
            </wp:positionV>
            <wp:extent cx="1030605" cy="178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30605" cy="17843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-754380</wp:posOffset>
            </wp:positionV>
            <wp:extent cx="1030605" cy="267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30605" cy="26797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There were no additional funds available to be advanced in connection with impaired loans as of September 30, 2022.</w:t>
      </w:r>
    </w:p>
    <w:p>
      <w:pPr>
        <w:spacing w:after="0" w:line="175"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Bank had approximately $4.0 million of its impaired loans classified as troubled debt restructured (TDR) as of September 30, 2022, $7.6 million as of December 31, 2021 and $6.0 million as of September 30, 2021.</w:t>
      </w:r>
    </w:p>
    <w:p>
      <w:pPr>
        <w:spacing w:after="0" w:line="319"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Modification programs focus on payment pattern changes and/or modified maturity dates with most receiving a combination of the two concessions. The modifications did not result in the contractual forgiveness of principal. During the third quarter of 2022, three new loans were considered TDR as a result of the continuance of interest only payment modifications. These three loans stem from a single relationship with a borrower. This relationship has a Small Business Administration (SBA) guaranty and consequently the request for the continuance of the interest only period was also approved by the SBA as were previous requests. During the third quarter of 2021, one new loan was considered TDR as a result of being in a deficiency balance upon the sale of property. The loan is set for a 3 year term and 10 year amortization. The ALLL included $1.0 million for the specific allocation on the principal balance of this loan. Year to date 2021, there were two new loans considered TDR with two previously reported TDR loans paid off in June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Three Months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Pre-</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Post-</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Nine Months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Post-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September 30, 2022</w:t>
            </w:r>
          </w:p>
        </w:tc>
        <w:tc>
          <w:tcPr>
            <w:tcW w:w="1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Number of</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Modification</w:t>
            </w: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color w:val="auto"/>
              </w:rPr>
              <w:t>Modification</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September 30, 2022</w:t>
            </w:r>
          </w:p>
        </w:tc>
        <w:tc>
          <w:tcPr>
            <w:tcW w:w="2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Number of</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Modification</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Modification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(in thousands)</w:t>
            </w:r>
          </w:p>
        </w:tc>
        <w:tc>
          <w:tcPr>
            <w:tcW w:w="1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Contracts</w:t>
            </w:r>
          </w:p>
        </w:tc>
        <w:tc>
          <w:tcPr>
            <w:tcW w:w="20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color w:val="auto"/>
              </w:rPr>
              <w:t>Outstanding</w:t>
            </w:r>
          </w:p>
        </w:tc>
        <w:tc>
          <w:tcPr>
            <w:tcW w:w="2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Outstanding</w:t>
            </w:r>
          </w:p>
        </w:tc>
        <w:tc>
          <w:tcPr>
            <w:tcW w:w="24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Contracts</w:t>
            </w:r>
          </w:p>
        </w:tc>
        <w:tc>
          <w:tcPr>
            <w:tcW w:w="20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color w:val="auto"/>
              </w:rPr>
              <w:t>Outstanding</w:t>
            </w:r>
          </w:p>
        </w:tc>
        <w:tc>
          <w:tcPr>
            <w:tcW w:w="20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color w:val="auto"/>
              </w:rPr>
              <w:t>Outstanding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Troubled Debt</w:t>
            </w:r>
          </w:p>
        </w:tc>
        <w:tc>
          <w:tcPr>
            <w:tcW w:w="1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Modified in the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Recorded</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Recorded</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Troubled Debt</w:t>
            </w:r>
          </w:p>
        </w:tc>
        <w:tc>
          <w:tcPr>
            <w:tcW w:w="2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Modified in the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Recorded</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Recorded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6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Restructurings</w:t>
            </w:r>
          </w:p>
        </w:tc>
        <w:tc>
          <w:tcPr>
            <w:tcW w:w="150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Last Three Months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ind w:right="24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ind w:right="34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1900" w:type="dxa"/>
            <w:vAlign w:val="bottom"/>
            <w:gridSpan w:val="3"/>
          </w:tcPr>
          <w:p>
            <w:pPr>
              <w:ind w:left="220"/>
              <w:spacing w:after="0" w:line="166" w:lineRule="exact"/>
              <w:rPr>
                <w:sz w:val="20"/>
                <w:szCs w:val="20"/>
                <w:color w:val="auto"/>
              </w:rPr>
            </w:pPr>
            <w:r>
              <w:rPr>
                <w:rFonts w:ascii="Times New Roman" w:cs="Times New Roman" w:eastAsia="Times New Roman" w:hAnsi="Times New Roman"/>
                <w:sz w:val="15"/>
                <w:szCs w:val="15"/>
                <w:color w:val="auto"/>
              </w:rPr>
              <w:t>Restructurings</w:t>
            </w:r>
          </w:p>
        </w:tc>
        <w:tc>
          <w:tcPr>
            <w:tcW w:w="146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5"/>
                <w:szCs w:val="15"/>
                <w:color w:val="auto"/>
              </w:rPr>
              <w:t>Last Nine Months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center"/>
              <w:ind w:right="20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Commercial Real Estate</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74</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74</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Commercial Real Estate</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74</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Commercial and</w:t>
            </w:r>
          </w:p>
        </w:tc>
        <w:tc>
          <w:tcPr>
            <w:tcW w:w="15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3"/>
                <w:szCs w:val="13"/>
                <w:color w:val="auto"/>
              </w:rPr>
            </w:pPr>
          </w:p>
        </w:tc>
        <w:tc>
          <w:tcPr>
            <w:tcW w:w="9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1,232</w:t>
            </w:r>
          </w:p>
        </w:tc>
        <w:tc>
          <w:tcPr>
            <w:tcW w:w="220" w:type="dxa"/>
            <w:vAlign w:val="bottom"/>
            <w:shd w:val="clear" w:color="auto" w:fill="CFF0FC"/>
          </w:tcPr>
          <w:p>
            <w:pPr>
              <w:spacing w:after="0"/>
              <w:rPr>
                <w:sz w:val="13"/>
                <w:szCs w:val="13"/>
                <w:color w:val="auto"/>
              </w:rPr>
            </w:pPr>
          </w:p>
        </w:tc>
        <w:tc>
          <w:tcPr>
            <w:tcW w:w="106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1,232</w:t>
            </w:r>
          </w:p>
        </w:tc>
        <w:tc>
          <w:tcPr>
            <w:tcW w:w="1900" w:type="dxa"/>
            <w:vAlign w:val="bottom"/>
            <w:gridSpan w:val="3"/>
            <w:shd w:val="clear" w:color="auto" w:fill="CFF0FC"/>
          </w:tcPr>
          <w:p>
            <w:pPr>
              <w:ind w:left="220"/>
              <w:spacing w:after="0" w:line="156" w:lineRule="exact"/>
              <w:rPr>
                <w:sz w:val="20"/>
                <w:szCs w:val="20"/>
                <w:color w:val="auto"/>
              </w:rPr>
            </w:pPr>
            <w:r>
              <w:rPr>
                <w:rFonts w:ascii="Times New Roman" w:cs="Times New Roman" w:eastAsia="Times New Roman" w:hAnsi="Times New Roman"/>
                <w:sz w:val="15"/>
                <w:szCs w:val="15"/>
                <w:color w:val="auto"/>
              </w:rPr>
              <w:t>Commercial and</w:t>
            </w:r>
          </w:p>
        </w:tc>
        <w:tc>
          <w:tcPr>
            <w:tcW w:w="14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3"/>
                <w:szCs w:val="13"/>
                <w:color w:val="auto"/>
              </w:rPr>
            </w:pPr>
          </w:p>
        </w:tc>
        <w:tc>
          <w:tcPr>
            <w:tcW w:w="9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1,232</w:t>
            </w:r>
          </w:p>
        </w:tc>
        <w:tc>
          <w:tcPr>
            <w:tcW w:w="200" w:type="dxa"/>
            <w:vAlign w:val="bottom"/>
            <w:shd w:val="clear" w:color="auto" w:fill="CFF0FC"/>
          </w:tcPr>
          <w:p>
            <w:pPr>
              <w:spacing w:after="0"/>
              <w:rPr>
                <w:sz w:val="13"/>
                <w:szCs w:val="13"/>
                <w:color w:val="auto"/>
              </w:rPr>
            </w:pPr>
          </w:p>
        </w:tc>
        <w:tc>
          <w:tcPr>
            <w:tcW w:w="94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1,232</w:t>
            </w:r>
          </w:p>
        </w:tc>
        <w:tc>
          <w:tcPr>
            <w:tcW w:w="0" w:type="dxa"/>
            <w:vAlign w:val="bottom"/>
          </w:tcPr>
          <w:p>
            <w:pPr>
              <w:spacing w:after="0"/>
              <w:rPr>
                <w:sz w:val="1"/>
                <w:szCs w:val="1"/>
                <w:color w:val="auto"/>
              </w:rPr>
            </w:pPr>
          </w:p>
        </w:tc>
      </w:tr>
      <w:tr>
        <w:trPr>
          <w:trHeight w:val="191"/>
        </w:trPr>
        <w:tc>
          <w:tcPr>
            <w:tcW w:w="2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Industrial</w:t>
            </w:r>
          </w:p>
        </w:tc>
        <w:tc>
          <w:tcPr>
            <w:tcW w:w="1500" w:type="dxa"/>
            <w:vAlign w:val="bottom"/>
            <w:gridSpan w:val="3"/>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3"/>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3"/>
            <w:vMerge w:val="continue"/>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Industrial</w:t>
            </w:r>
          </w:p>
        </w:tc>
        <w:tc>
          <w:tcPr>
            <w:tcW w:w="1460" w:type="dxa"/>
            <w:vAlign w:val="bottom"/>
            <w:gridSpan w:val="3"/>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Three Months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5"/>
              </w:rPr>
              <w:t>Pre-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Post-</w:t>
            </w:r>
          </w:p>
        </w:tc>
        <w:tc>
          <w:tcPr>
            <w:tcW w:w="2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Nine Months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7"/>
              </w:rPr>
              <w:t>Post-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September 30, 2021</w:t>
            </w:r>
          </w:p>
        </w:tc>
        <w:tc>
          <w:tcPr>
            <w:tcW w:w="1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Number of</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Modification</w:t>
            </w: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color w:val="auto"/>
              </w:rPr>
              <w:t>Modification</w:t>
            </w:r>
          </w:p>
        </w:tc>
        <w:tc>
          <w:tcPr>
            <w:tcW w:w="24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September 30, 2021</w:t>
            </w:r>
          </w:p>
        </w:tc>
        <w:tc>
          <w:tcPr>
            <w:tcW w:w="20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Number of</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Modification</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Modification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(in thousands)</w:t>
            </w:r>
          </w:p>
        </w:tc>
        <w:tc>
          <w:tcPr>
            <w:tcW w:w="1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Contracts</w:t>
            </w:r>
          </w:p>
        </w:tc>
        <w:tc>
          <w:tcPr>
            <w:tcW w:w="20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color w:val="auto"/>
              </w:rPr>
              <w:t>Outstanding</w:t>
            </w:r>
          </w:p>
        </w:tc>
        <w:tc>
          <w:tcPr>
            <w:tcW w:w="220" w:type="dxa"/>
            <w:vAlign w:val="bottom"/>
          </w:tcPr>
          <w:p>
            <w:pPr>
              <w:spacing w:after="0"/>
              <w:rPr>
                <w:sz w:val="16"/>
                <w:szCs w:val="16"/>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color w:val="auto"/>
              </w:rPr>
              <w:t>Outstanding</w:t>
            </w:r>
          </w:p>
        </w:tc>
        <w:tc>
          <w:tcPr>
            <w:tcW w:w="24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Contracts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Outstanding</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Outstanding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Troubled Debt</w:t>
            </w:r>
          </w:p>
        </w:tc>
        <w:tc>
          <w:tcPr>
            <w:tcW w:w="1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Modified in the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Recorded</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rPr>
              <w:t>Recorded</w:t>
            </w:r>
          </w:p>
        </w:tc>
        <w:tc>
          <w:tcPr>
            <w:tcW w:w="24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Troubled Debt</w:t>
            </w:r>
          </w:p>
        </w:tc>
        <w:tc>
          <w:tcPr>
            <w:tcW w:w="20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Modified in the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Recorded</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Recorded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6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Restructurings</w:t>
            </w:r>
          </w:p>
        </w:tc>
        <w:tc>
          <w:tcPr>
            <w:tcW w:w="180" w:type="dxa"/>
            <w:vAlign w:val="bottom"/>
          </w:tcPr>
          <w:p>
            <w:pPr>
              <w:spacing w:after="0"/>
              <w:rPr>
                <w:sz w:val="14"/>
                <w:szCs w:val="14"/>
                <w:color w:val="auto"/>
              </w:rPr>
            </w:pPr>
          </w:p>
        </w:tc>
        <w:tc>
          <w:tcPr>
            <w:tcW w:w="1320" w:type="dxa"/>
            <w:vAlign w:val="bottom"/>
            <w:gridSpan w:val="2"/>
          </w:tcPr>
          <w:p>
            <w:pPr>
              <w:jc w:val="center"/>
              <w:ind w:right="160"/>
              <w:spacing w:after="0" w:line="166" w:lineRule="exact"/>
              <w:rPr>
                <w:sz w:val="20"/>
                <w:szCs w:val="20"/>
                <w:color w:val="auto"/>
              </w:rPr>
            </w:pPr>
            <w:r>
              <w:rPr>
                <w:rFonts w:ascii="Times New Roman" w:cs="Times New Roman" w:eastAsia="Times New Roman" w:hAnsi="Times New Roman"/>
                <w:sz w:val="15"/>
                <w:szCs w:val="15"/>
                <w:color w:val="auto"/>
              </w:rPr>
              <w:t>Last Three Months</w:t>
            </w:r>
          </w:p>
        </w:tc>
        <w:tc>
          <w:tcPr>
            <w:tcW w:w="200" w:type="dxa"/>
            <w:vAlign w:val="bottom"/>
          </w:tcPr>
          <w:p>
            <w:pPr>
              <w:spacing w:after="0"/>
              <w:rPr>
                <w:sz w:val="14"/>
                <w:szCs w:val="14"/>
                <w:color w:val="auto"/>
              </w:rPr>
            </w:pPr>
          </w:p>
        </w:tc>
        <w:tc>
          <w:tcPr>
            <w:tcW w:w="960" w:type="dxa"/>
            <w:vAlign w:val="bottom"/>
            <w:gridSpan w:val="3"/>
          </w:tcPr>
          <w:p>
            <w:pPr>
              <w:jc w:val="center"/>
              <w:ind w:right="20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220" w:type="dxa"/>
            <w:vAlign w:val="bottom"/>
          </w:tcPr>
          <w:p>
            <w:pPr>
              <w:spacing w:after="0"/>
              <w:rPr>
                <w:sz w:val="14"/>
                <w:szCs w:val="14"/>
                <w:color w:val="auto"/>
              </w:rPr>
            </w:pPr>
          </w:p>
        </w:tc>
        <w:tc>
          <w:tcPr>
            <w:tcW w:w="1060" w:type="dxa"/>
            <w:vAlign w:val="bottom"/>
            <w:gridSpan w:val="3"/>
          </w:tcPr>
          <w:p>
            <w:pPr>
              <w:jc w:val="center"/>
              <w:ind w:right="30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240" w:type="dxa"/>
            <w:vAlign w:val="bottom"/>
          </w:tcPr>
          <w:p>
            <w:pPr>
              <w:spacing w:after="0"/>
              <w:rPr>
                <w:sz w:val="14"/>
                <w:szCs w:val="14"/>
                <w:color w:val="auto"/>
              </w:rPr>
            </w:pPr>
          </w:p>
        </w:tc>
        <w:tc>
          <w:tcPr>
            <w:tcW w:w="166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Restructurings</w:t>
            </w:r>
          </w:p>
        </w:tc>
        <w:tc>
          <w:tcPr>
            <w:tcW w:w="200" w:type="dxa"/>
            <w:vAlign w:val="bottom"/>
          </w:tcPr>
          <w:p>
            <w:pPr>
              <w:spacing w:after="0"/>
              <w:rPr>
                <w:sz w:val="14"/>
                <w:szCs w:val="14"/>
                <w:color w:val="auto"/>
              </w:rPr>
            </w:pPr>
          </w:p>
        </w:tc>
        <w:tc>
          <w:tcPr>
            <w:tcW w:w="1260" w:type="dxa"/>
            <w:vAlign w:val="bottom"/>
            <w:gridSpan w:val="2"/>
          </w:tcPr>
          <w:p>
            <w:pPr>
              <w:jc w:val="center"/>
              <w:ind w:right="160"/>
              <w:spacing w:after="0" w:line="166" w:lineRule="exact"/>
              <w:rPr>
                <w:sz w:val="20"/>
                <w:szCs w:val="20"/>
                <w:color w:val="auto"/>
              </w:rPr>
            </w:pPr>
            <w:r>
              <w:rPr>
                <w:rFonts w:ascii="Times New Roman" w:cs="Times New Roman" w:eastAsia="Times New Roman" w:hAnsi="Times New Roman"/>
                <w:sz w:val="15"/>
                <w:szCs w:val="15"/>
                <w:color w:val="auto"/>
              </w:rPr>
              <w:t>Last Nine Months</w:t>
            </w:r>
          </w:p>
        </w:tc>
        <w:tc>
          <w:tcPr>
            <w:tcW w:w="200" w:type="dxa"/>
            <w:vAlign w:val="bottom"/>
          </w:tcPr>
          <w:p>
            <w:pPr>
              <w:spacing w:after="0"/>
              <w:rPr>
                <w:sz w:val="14"/>
                <w:szCs w:val="14"/>
                <w:color w:val="auto"/>
              </w:rPr>
            </w:pPr>
          </w:p>
        </w:tc>
        <w:tc>
          <w:tcPr>
            <w:tcW w:w="920" w:type="dxa"/>
            <w:vAlign w:val="bottom"/>
            <w:gridSpan w:val="3"/>
          </w:tcPr>
          <w:p>
            <w:pPr>
              <w:jc w:val="center"/>
              <w:ind w:right="20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200" w:type="dxa"/>
            <w:vAlign w:val="bottom"/>
          </w:tcPr>
          <w:p>
            <w:pPr>
              <w:spacing w:after="0"/>
              <w:rPr>
                <w:sz w:val="14"/>
                <w:szCs w:val="14"/>
                <w:color w:val="auto"/>
              </w:rPr>
            </w:pPr>
          </w:p>
        </w:tc>
        <w:tc>
          <w:tcPr>
            <w:tcW w:w="940" w:type="dxa"/>
            <w:vAlign w:val="bottom"/>
            <w:gridSpan w:val="3"/>
          </w:tcPr>
          <w:p>
            <w:pPr>
              <w:jc w:val="center"/>
              <w:ind w:right="180"/>
              <w:spacing w:after="0" w:line="166" w:lineRule="exact"/>
              <w:rPr>
                <w:sz w:val="20"/>
                <w:szCs w:val="20"/>
                <w:color w:val="auto"/>
              </w:rPr>
            </w:pPr>
            <w:r>
              <w:rPr>
                <w:rFonts w:ascii="Times New Roman" w:cs="Times New Roman" w:eastAsia="Times New Roman" w:hAnsi="Times New Roman"/>
                <w:sz w:val="15"/>
                <w:szCs w:val="15"/>
                <w:color w:val="auto"/>
              </w:rPr>
              <w:t>Investment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Commercial Real Estate</w:t>
            </w:r>
          </w:p>
        </w:tc>
        <w:tc>
          <w:tcPr>
            <w:tcW w:w="1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Commercial Real Estate</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382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Commercial and</w:t>
            </w:r>
          </w:p>
        </w:tc>
        <w:tc>
          <w:tcPr>
            <w:tcW w:w="15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3"/>
                <w:szCs w:val="13"/>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1,000</w:t>
            </w:r>
          </w:p>
        </w:tc>
        <w:tc>
          <w:tcPr>
            <w:tcW w:w="220" w:type="dxa"/>
            <w:vAlign w:val="bottom"/>
          </w:tcPr>
          <w:p>
            <w:pPr>
              <w:spacing w:after="0"/>
              <w:rPr>
                <w:sz w:val="13"/>
                <w:szCs w:val="13"/>
                <w:color w:val="auto"/>
              </w:rPr>
            </w:pP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tcPr>
          <w:p>
            <w:pPr>
              <w:spacing w:after="0"/>
              <w:rPr>
                <w:sz w:val="13"/>
                <w:szCs w:val="13"/>
                <w:color w:val="auto"/>
              </w:rPr>
            </w:pPr>
          </w:p>
        </w:tc>
        <w:tc>
          <w:tcPr>
            <w:tcW w:w="16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Commercial and</w:t>
            </w:r>
          </w:p>
        </w:tc>
        <w:tc>
          <w:tcPr>
            <w:tcW w:w="1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3"/>
                <w:szCs w:val="13"/>
                <w:color w:val="auto"/>
              </w:rPr>
            </w:pP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1,000</w:t>
            </w:r>
          </w:p>
        </w:tc>
        <w:tc>
          <w:tcPr>
            <w:tcW w:w="200" w:type="dxa"/>
            <w:vAlign w:val="bottom"/>
          </w:tcPr>
          <w:p>
            <w:pPr>
              <w:spacing w:after="0"/>
              <w:rPr>
                <w:sz w:val="13"/>
                <w:szCs w:val="13"/>
                <w:color w:val="auto"/>
              </w:rPr>
            </w:pPr>
          </w:p>
        </w:tc>
        <w:tc>
          <w:tcPr>
            <w:tcW w:w="9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Industrial</w:t>
            </w:r>
          </w:p>
        </w:tc>
        <w:tc>
          <w:tcPr>
            <w:tcW w:w="15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Industrial</w:t>
            </w: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17"/>
          <w:szCs w:val="17"/>
          <w:color w:val="auto"/>
        </w:rPr>
        <w:t>For the three months ended September 30, 2022 and 2021, there were no TDRs that subsequently defaulted after modification.</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69"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For the nine month period ended September 30, 2022, there were two impaired agriculture real estate loans of $4.5 million that were classified as TDR and paid off. For the nine month period ended September 30, 2021, there was one impaired commercial real estate loan of $86 thousand and one impaired commercial loan of $480 thousand that were classified as TDR paid off as well as three impaired commercial loans of $809 thousand that were classified as TDR charged off.</w:t>
      </w:r>
    </w:p>
    <w:p>
      <w:pPr>
        <w:spacing w:after="0" w:line="332"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44"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48"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following tables present loans individually evaluated for impairment by class of loans for the three and nine months ended September 30, 2022 and September 30, 2021 and for the year ended December 31, 2021.</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35"/>
              <w:spacing w:after="0" w:line="181" w:lineRule="exact"/>
              <w:rPr>
                <w:sz w:val="20"/>
                <w:szCs w:val="20"/>
                <w:color w:val="auto"/>
              </w:rPr>
            </w:pPr>
            <w:r>
              <w:rPr>
                <w:rFonts w:ascii="Times New Roman" w:cs="Times New Roman" w:eastAsia="Times New Roman" w:hAnsi="Times New Roman"/>
                <w:sz w:val="17"/>
                <w:szCs w:val="17"/>
                <w:color w:val="auto"/>
              </w:rPr>
              <w:t>QTD</w:t>
            </w:r>
          </w:p>
        </w:tc>
        <w:tc>
          <w:tcPr>
            <w:tcW w:w="100" w:type="dxa"/>
            <w:vAlign w:val="bottom"/>
          </w:tcPr>
          <w:p>
            <w:pPr>
              <w:spacing w:after="0"/>
              <w:rPr>
                <w:sz w:val="15"/>
                <w:szCs w:val="15"/>
                <w:color w:val="auto"/>
              </w:rPr>
            </w:pPr>
          </w:p>
        </w:tc>
      </w:tr>
      <w:tr>
        <w:trPr>
          <w:trHeight w:val="204"/>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7"/>
              </w:rPr>
              <w:t>QTD</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QTD</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7"/>
                <w:szCs w:val="17"/>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Unpaid</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Average</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Interest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Income</w:t>
            </w:r>
          </w:p>
        </w:tc>
        <w:tc>
          <w:tcPr>
            <w:tcW w:w="100" w:type="dxa"/>
            <w:vAlign w:val="bottom"/>
          </w:tcPr>
          <w:p>
            <w:pPr>
              <w:spacing w:after="0"/>
              <w:rPr>
                <w:sz w:val="17"/>
                <w:szCs w:val="17"/>
                <w:color w:val="auto"/>
              </w:rPr>
            </w:pPr>
          </w:p>
        </w:tc>
      </w:tr>
      <w:tr>
        <w:trPr>
          <w:trHeight w:val="204"/>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Recorded</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Principal</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Related</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Recorded</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Income</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Recognized</w:t>
            </w:r>
          </w:p>
        </w:tc>
        <w:tc>
          <w:tcPr>
            <w:tcW w:w="100" w:type="dxa"/>
            <w:vAlign w:val="bottom"/>
          </w:tcPr>
          <w:p>
            <w:pPr>
              <w:spacing w:after="0"/>
              <w:rPr>
                <w:sz w:val="17"/>
                <w:szCs w:val="17"/>
                <w:color w:val="auto"/>
              </w:rPr>
            </w:pPr>
          </w:p>
        </w:tc>
      </w:tr>
      <w:tr>
        <w:trPr>
          <w:trHeight w:val="221"/>
        </w:trPr>
        <w:tc>
          <w:tcPr>
            <w:tcW w:w="4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Investment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rPr>
              <w:t>Balance</w:t>
            </w:r>
          </w:p>
        </w:tc>
        <w:tc>
          <w:tcPr>
            <w:tcW w:w="140" w:type="dxa"/>
            <w:vAlign w:val="bottom"/>
            <w:tcBorders>
              <w:right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Allowance</w:t>
            </w:r>
          </w:p>
        </w:tc>
        <w:tc>
          <w:tcPr>
            <w:tcW w:w="12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7"/>
              </w:rPr>
              <w:t>Investment</w:t>
            </w:r>
          </w:p>
        </w:tc>
        <w:tc>
          <w:tcPr>
            <w:tcW w:w="12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w w:val="99"/>
              </w:rPr>
              <w:t>Recognized</w:t>
            </w:r>
          </w:p>
        </w:tc>
        <w:tc>
          <w:tcPr>
            <w:tcW w:w="1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rPr>
              <w:t>Cash Basis</w:t>
            </w:r>
          </w:p>
        </w:tc>
        <w:tc>
          <w:tcPr>
            <w:tcW w:w="100" w:type="dxa"/>
            <w:vAlign w:val="bottom"/>
          </w:tcPr>
          <w:p>
            <w:pPr>
              <w:spacing w:after="0"/>
              <w:rPr>
                <w:sz w:val="19"/>
                <w:szCs w:val="19"/>
                <w:color w:val="auto"/>
              </w:rPr>
            </w:pPr>
          </w:p>
        </w:tc>
      </w:tr>
      <w:tr>
        <w:trPr>
          <w:trHeight w:val="19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With no related allowance recorded:</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Borders>
              <w:right w:val="single" w:sz="8" w:color="auto"/>
            </w:tcBorders>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20" w:type="dxa"/>
            <w:vAlign w:val="bottom"/>
            <w:tcBorders>
              <w:right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2,467</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 a specific allowance recorded: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2,960</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2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2,588</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2,693</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2,467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38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1,309</w:t>
            </w:r>
          </w:p>
        </w:tc>
        <w:tc>
          <w:tcPr>
            <w:tcW w:w="12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4,187</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4,187</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4,465</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38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2,003</w:t>
            </w:r>
          </w:p>
        </w:tc>
        <w:tc>
          <w:tcPr>
            <w:tcW w:w="14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2,003</w:t>
            </w: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1,936</w:t>
            </w:r>
          </w:p>
        </w:tc>
        <w:tc>
          <w:tcPr>
            <w:tcW w:w="12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2,052</w:t>
            </w:r>
          </w:p>
        </w:tc>
        <w:tc>
          <w:tcPr>
            <w:tcW w:w="12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78"/>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gridSpan w:val="3"/>
          </w:tcPr>
          <w:p>
            <w:pPr>
              <w:jc w:val="right"/>
              <w:ind w:right="555"/>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4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-1021715</wp:posOffset>
            </wp:positionV>
            <wp:extent cx="730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-1005205</wp:posOffset>
            </wp:positionV>
            <wp:extent cx="730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-1021715</wp:posOffset>
            </wp:positionV>
            <wp:extent cx="730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-1005205</wp:posOffset>
            </wp:positionV>
            <wp:extent cx="730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-1021715</wp:posOffset>
            </wp:positionV>
            <wp:extent cx="730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-1005205</wp:posOffset>
            </wp:positionV>
            <wp:extent cx="730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-1021715</wp:posOffset>
            </wp:positionV>
            <wp:extent cx="647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-1005205</wp:posOffset>
            </wp:positionV>
            <wp:extent cx="647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-1021715</wp:posOffset>
            </wp:positionV>
            <wp:extent cx="647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-1005205</wp:posOffset>
            </wp:positionV>
            <wp:extent cx="647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-1021715</wp:posOffset>
            </wp:positionV>
            <wp:extent cx="647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-1005205</wp:posOffset>
            </wp:positionV>
            <wp:extent cx="647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-713105</wp:posOffset>
            </wp:positionV>
            <wp:extent cx="730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-697230</wp:posOffset>
            </wp:positionV>
            <wp:extent cx="730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-713105</wp:posOffset>
            </wp:positionV>
            <wp:extent cx="730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-697230</wp:posOffset>
            </wp:positionV>
            <wp:extent cx="730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-713105</wp:posOffset>
            </wp:positionV>
            <wp:extent cx="730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-697230</wp:posOffset>
            </wp:positionV>
            <wp:extent cx="730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-713105</wp:posOffset>
            </wp:positionV>
            <wp:extent cx="647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-697230</wp:posOffset>
            </wp:positionV>
            <wp:extent cx="647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-713105</wp:posOffset>
            </wp:positionV>
            <wp:extent cx="647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-697230</wp:posOffset>
            </wp:positionV>
            <wp:extent cx="647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-713105</wp:posOffset>
            </wp:positionV>
            <wp:extent cx="647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-697230</wp:posOffset>
            </wp:positionV>
            <wp:extent cx="647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-405130</wp:posOffset>
            </wp:positionV>
            <wp:extent cx="730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-388620</wp:posOffset>
            </wp:positionV>
            <wp:extent cx="730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-405130</wp:posOffset>
            </wp:positionV>
            <wp:extent cx="730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-388620</wp:posOffset>
            </wp:positionV>
            <wp:extent cx="730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-405130</wp:posOffset>
            </wp:positionV>
            <wp:extent cx="730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-388620</wp:posOffset>
            </wp:positionV>
            <wp:extent cx="730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-405130</wp:posOffset>
            </wp:positionV>
            <wp:extent cx="647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-388620</wp:posOffset>
            </wp:positionV>
            <wp:extent cx="647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-405130</wp:posOffset>
            </wp:positionV>
            <wp:extent cx="647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-388620</wp:posOffset>
            </wp:positionV>
            <wp:extent cx="647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-405130</wp:posOffset>
            </wp:positionV>
            <wp:extent cx="647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-388620</wp:posOffset>
            </wp:positionV>
            <wp:extent cx="647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2"/>
        </w:trPr>
        <w:tc>
          <w:tcPr>
            <w:tcW w:w="7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w w:val="99"/>
              </w:rPr>
              <w:t>ITEM 1 NOTES TO CONDENSED CONSOLIDATED UNAUDITED FINANCIAL STATEMENTS (Continued)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55"/>
        </w:trPr>
        <w:tc>
          <w:tcPr>
            <w:tcW w:w="4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5"/>
              <w:spacing w:after="0" w:line="181" w:lineRule="exact"/>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5"/>
                <w:szCs w:val="15"/>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Unpaid</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Average</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7"/>
              </w:rPr>
              <w:t>Interest</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Income</w:t>
            </w:r>
          </w:p>
        </w:tc>
        <w:tc>
          <w:tcPr>
            <w:tcW w:w="100" w:type="dxa"/>
            <w:vAlign w:val="bottom"/>
          </w:tcPr>
          <w:p>
            <w:pPr>
              <w:spacing w:after="0"/>
              <w:rPr>
                <w:sz w:val="17"/>
                <w:szCs w:val="17"/>
                <w:color w:val="auto"/>
              </w:rPr>
            </w:pPr>
          </w:p>
        </w:tc>
      </w:tr>
      <w:tr>
        <w:trPr>
          <w:trHeight w:val="204"/>
        </w:trPr>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Recorded</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Principal</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Related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8"/>
              </w:rPr>
              <w:t>Recorded</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7"/>
              </w:rPr>
              <w:t>Income</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9"/>
              </w:rPr>
              <w:t>Recognized</w:t>
            </w:r>
          </w:p>
        </w:tc>
        <w:tc>
          <w:tcPr>
            <w:tcW w:w="100" w:type="dxa"/>
            <w:vAlign w:val="bottom"/>
          </w:tcPr>
          <w:p>
            <w:pPr>
              <w:spacing w:after="0"/>
              <w:rPr>
                <w:sz w:val="17"/>
                <w:szCs w:val="17"/>
                <w:color w:val="auto"/>
              </w:rPr>
            </w:pPr>
          </w:p>
        </w:tc>
      </w:tr>
      <w:tr>
        <w:trPr>
          <w:trHeight w:val="221"/>
        </w:trPr>
        <w:tc>
          <w:tcPr>
            <w:tcW w:w="43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Investment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8"/>
              </w:rPr>
              <w:t>Balance</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Allowance</w:t>
            </w:r>
          </w:p>
        </w:tc>
        <w:tc>
          <w:tcPr>
            <w:tcW w:w="10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Investment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Recognized</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Cash Basis</w:t>
            </w:r>
          </w:p>
        </w:tc>
        <w:tc>
          <w:tcPr>
            <w:tcW w:w="100" w:type="dxa"/>
            <w:vAlign w:val="bottom"/>
          </w:tcPr>
          <w:p>
            <w:pPr>
              <w:spacing w:after="0"/>
              <w:rPr>
                <w:sz w:val="19"/>
                <w:szCs w:val="19"/>
                <w:color w:val="auto"/>
              </w:rPr>
            </w:pPr>
          </w:p>
        </w:tc>
      </w:tr>
      <w:tr>
        <w:trPr>
          <w:trHeight w:val="19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With no related allowance recorded:</w:t>
            </w: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40" w:type="dxa"/>
            <w:vAlign w:val="bottom"/>
            <w:tcBorders>
              <w:right w:val="single" w:sz="8" w:color="auto"/>
            </w:tcBorders>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2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right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 a specific allowance recorded: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6,302</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6,406</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r>
      <w:tr>
        <w:trPr>
          <w:trHeight w:val="204"/>
        </w:trPr>
        <w:tc>
          <w:tcPr>
            <w:tcW w:w="4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 Real Estate</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6,725</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ind w:left="10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6,829</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691</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6,414</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87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38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ind w:left="10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237</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18</w:t>
            </w:r>
          </w:p>
        </w:tc>
        <w:tc>
          <w:tcPr>
            <w:tcW w:w="12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3,561</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ind w:left="10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3,561</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664</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3,644</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38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and Industrial</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1,003</w:t>
            </w:r>
          </w:p>
        </w:tc>
        <w:tc>
          <w:tcPr>
            <w:tcW w:w="14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ind w:left="10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1,003</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825</w:t>
            </w:r>
          </w:p>
        </w:tc>
        <w:tc>
          <w:tcPr>
            <w:tcW w:w="14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1,418</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5"/>
                <w:szCs w:val="15"/>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ind w:left="100"/>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695"/>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43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-1159510</wp:posOffset>
            </wp:positionV>
            <wp:extent cx="730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-1143635</wp:posOffset>
            </wp:positionV>
            <wp:extent cx="730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-1159510</wp:posOffset>
            </wp:positionV>
            <wp:extent cx="730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-1143635</wp:posOffset>
            </wp:positionV>
            <wp:extent cx="730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-1159510</wp:posOffset>
            </wp:positionV>
            <wp:extent cx="730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-1143635</wp:posOffset>
            </wp:positionV>
            <wp:extent cx="730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-1159510</wp:posOffset>
            </wp:positionV>
            <wp:extent cx="647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-1143635</wp:posOffset>
            </wp:positionV>
            <wp:extent cx="647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-1159510</wp:posOffset>
            </wp:positionV>
            <wp:extent cx="647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-1143635</wp:posOffset>
            </wp:positionV>
            <wp:extent cx="647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-1159510</wp:posOffset>
            </wp:positionV>
            <wp:extent cx="647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-1143635</wp:posOffset>
            </wp:positionV>
            <wp:extent cx="647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-851535</wp:posOffset>
            </wp:positionV>
            <wp:extent cx="730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-835025</wp:posOffset>
            </wp:positionV>
            <wp:extent cx="730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-851535</wp:posOffset>
            </wp:positionV>
            <wp:extent cx="730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-835025</wp:posOffset>
            </wp:positionV>
            <wp:extent cx="730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-851535</wp:posOffset>
            </wp:positionV>
            <wp:extent cx="730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-835025</wp:posOffset>
            </wp:positionV>
            <wp:extent cx="730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-851535</wp:posOffset>
            </wp:positionV>
            <wp:extent cx="647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-835025</wp:posOffset>
            </wp:positionV>
            <wp:extent cx="647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-851535</wp:posOffset>
            </wp:positionV>
            <wp:extent cx="647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-835025</wp:posOffset>
            </wp:positionV>
            <wp:extent cx="647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-851535</wp:posOffset>
            </wp:positionV>
            <wp:extent cx="647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-835025</wp:posOffset>
            </wp:positionV>
            <wp:extent cx="647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-542925</wp:posOffset>
            </wp:positionV>
            <wp:extent cx="730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-526415</wp:posOffset>
            </wp:positionV>
            <wp:extent cx="730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-542925</wp:posOffset>
            </wp:positionV>
            <wp:extent cx="730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-526415</wp:posOffset>
            </wp:positionV>
            <wp:extent cx="730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-542925</wp:posOffset>
            </wp:positionV>
            <wp:extent cx="730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-526415</wp:posOffset>
            </wp:positionV>
            <wp:extent cx="730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-542925</wp:posOffset>
            </wp:positionV>
            <wp:extent cx="647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-526415</wp:posOffset>
            </wp:positionV>
            <wp:extent cx="647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-542925</wp:posOffset>
            </wp:positionV>
            <wp:extent cx="647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-526415</wp:posOffset>
            </wp:positionV>
            <wp:extent cx="647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-542925</wp:posOffset>
            </wp:positionV>
            <wp:extent cx="6477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770" cy="15430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79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55"/>
        </w:trPr>
        <w:tc>
          <w:tcPr>
            <w:tcW w:w="3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w w:val="98"/>
              </w:rPr>
              <w:t>(In Thousands)</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155"/>
              <w:spacing w:after="0" w:line="181" w:lineRule="exact"/>
              <w:rPr>
                <w:sz w:val="20"/>
                <w:szCs w:val="20"/>
                <w:color w:val="auto"/>
              </w:rPr>
            </w:pPr>
            <w:r>
              <w:rPr>
                <w:rFonts w:ascii="Times New Roman" w:cs="Times New Roman" w:eastAsia="Times New Roman" w:hAnsi="Times New Roman"/>
                <w:sz w:val="17"/>
                <w:szCs w:val="17"/>
                <w:color w:val="auto"/>
              </w:rPr>
              <w:t>QTD</w:t>
            </w:r>
          </w:p>
        </w:tc>
        <w:tc>
          <w:tcPr>
            <w:tcW w:w="100" w:type="dxa"/>
            <w:vAlign w:val="bottom"/>
          </w:tcPr>
          <w:p>
            <w:pPr>
              <w:spacing w:after="0"/>
              <w:rPr>
                <w:sz w:val="15"/>
                <w:szCs w:val="15"/>
                <w:color w:val="auto"/>
              </w:rPr>
            </w:pPr>
          </w:p>
        </w:tc>
      </w:tr>
      <w:tr>
        <w:trPr>
          <w:trHeight w:val="204"/>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QTD</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7"/>
              </w:rPr>
              <w:t>QTD</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7"/>
                <w:szCs w:val="17"/>
                <w:color w:val="auto"/>
              </w:rPr>
            </w:pPr>
          </w:p>
        </w:tc>
      </w:tr>
      <w:tr>
        <w:trPr>
          <w:trHeight w:val="204"/>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Ended September 30, 2021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9"/>
              </w:rPr>
              <w:t>Unpaid</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Average</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7"/>
              </w:rPr>
              <w:t>Interest</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Income</w:t>
            </w:r>
          </w:p>
        </w:tc>
        <w:tc>
          <w:tcPr>
            <w:tcW w:w="100" w:type="dxa"/>
            <w:vAlign w:val="bottom"/>
          </w:tcPr>
          <w:p>
            <w:pPr>
              <w:spacing w:after="0"/>
              <w:rPr>
                <w:sz w:val="17"/>
                <w:szCs w:val="17"/>
                <w:color w:val="auto"/>
              </w:rPr>
            </w:pPr>
          </w:p>
        </w:tc>
      </w:tr>
      <w:tr>
        <w:trPr>
          <w:trHeight w:val="204"/>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Recorded</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Principal</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Related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8"/>
              </w:rPr>
              <w:t>Recorded</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7"/>
              </w:rPr>
              <w:t>Income</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w w:val="99"/>
              </w:rPr>
              <w:t>Recognized</w:t>
            </w:r>
          </w:p>
        </w:tc>
        <w:tc>
          <w:tcPr>
            <w:tcW w:w="100" w:type="dxa"/>
            <w:vAlign w:val="bottom"/>
          </w:tcPr>
          <w:p>
            <w:pPr>
              <w:spacing w:after="0"/>
              <w:rPr>
                <w:sz w:val="17"/>
                <w:szCs w:val="17"/>
                <w:color w:val="auto"/>
              </w:rPr>
            </w:pPr>
          </w:p>
        </w:tc>
      </w:tr>
      <w:tr>
        <w:trPr>
          <w:trHeight w:val="221"/>
        </w:trPr>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7"/>
              </w:rPr>
              <w:t>Investment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8"/>
              </w:rPr>
              <w:t>Balance</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Allowance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Investment</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Recognized</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7"/>
                <w:szCs w:val="17"/>
                <w:color w:val="auto"/>
              </w:rPr>
              <w:t>Cash Basis</w:t>
            </w:r>
          </w:p>
        </w:tc>
        <w:tc>
          <w:tcPr>
            <w:tcW w:w="100" w:type="dxa"/>
            <w:vAlign w:val="bottom"/>
          </w:tcPr>
          <w:p>
            <w:pPr>
              <w:spacing w:after="0"/>
              <w:rPr>
                <w:sz w:val="19"/>
                <w:szCs w:val="19"/>
                <w:color w:val="auto"/>
              </w:rPr>
            </w:pPr>
          </w:p>
        </w:tc>
      </w:tr>
      <w:tr>
        <w:trPr>
          <w:trHeight w:val="197"/>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With no related allowance recorded:</w:t>
            </w: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4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4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40" w:type="dxa"/>
            <w:vAlign w:val="bottom"/>
            <w:tcBorders>
              <w:right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7"/>
                <w:szCs w:val="17"/>
                <w:color w:val="auto"/>
              </w:rPr>
            </w:pP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 a specific allowance recorded: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7"/>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3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46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6,051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6,051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636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6,151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63"/>
        </w:trPr>
        <w:tc>
          <w:tcPr>
            <w:tcW w:w="346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right w:val="single" w:sz="8" w:color="auto"/>
            </w:tcBorders>
          </w:tcPr>
          <w:p>
            <w:pPr>
              <w:spacing w:after="0"/>
              <w:rPr>
                <w:sz w:val="14"/>
                <w:szCs w:val="14"/>
                <w:color w:val="auto"/>
              </w:rPr>
            </w:pPr>
          </w:p>
        </w:tc>
        <w:tc>
          <w:tcPr>
            <w:tcW w:w="300" w:type="dxa"/>
            <w:vAlign w:val="bottom"/>
            <w:tcBorders>
              <w:bottom w:val="single" w:sz="8" w:color="auto"/>
            </w:tcBorders>
          </w:tcPr>
          <w:p>
            <w:pPr>
              <w:jc w:val="right"/>
              <w:ind w:right="55"/>
              <w:spacing w:after="0" w:line="16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46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3,607</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3,607</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710</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3,914</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63"/>
        </w:trPr>
        <w:tc>
          <w:tcPr>
            <w:tcW w:w="346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1,215</w:t>
            </w:r>
          </w:p>
        </w:tc>
        <w:tc>
          <w:tcPr>
            <w:tcW w:w="1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1,215</w:t>
            </w:r>
          </w:p>
        </w:tc>
        <w:tc>
          <w:tcPr>
            <w:tcW w:w="1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858</w:t>
            </w:r>
          </w:p>
        </w:tc>
        <w:tc>
          <w:tcPr>
            <w:tcW w:w="14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tcPr>
          <w:p>
            <w:pPr>
              <w:spacing w:after="0"/>
              <w:rPr>
                <w:sz w:val="14"/>
                <w:szCs w:val="14"/>
                <w:color w:val="auto"/>
              </w:rPr>
            </w:pPr>
          </w:p>
        </w:tc>
        <w:tc>
          <w:tcPr>
            <w:tcW w:w="300" w:type="dxa"/>
            <w:vAlign w:val="bottom"/>
            <w:tcBorders>
              <w:bottom w:val="single" w:sz="8" w:color="auto"/>
            </w:tcBorders>
          </w:tcPr>
          <w:p>
            <w:pPr>
              <w:jc w:val="right"/>
              <w:ind w:right="55"/>
              <w:spacing w:after="0" w:line="16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46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90"/>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3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-1029970</wp:posOffset>
            </wp:positionV>
            <wp:extent cx="730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-1013460</wp:posOffset>
            </wp:positionV>
            <wp:extent cx="730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-1029970</wp:posOffset>
            </wp:positionV>
            <wp:extent cx="730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-1013460</wp:posOffset>
            </wp:positionV>
            <wp:extent cx="730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-1029970</wp:posOffset>
            </wp:positionV>
            <wp:extent cx="730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-1013460</wp:posOffset>
            </wp:positionV>
            <wp:extent cx="730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-1029970</wp:posOffset>
            </wp:positionV>
            <wp:extent cx="730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-1013460</wp:posOffset>
            </wp:positionV>
            <wp:extent cx="730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-1029970</wp:posOffset>
            </wp:positionV>
            <wp:extent cx="647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-1013460</wp:posOffset>
            </wp:positionV>
            <wp:extent cx="647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-1029970</wp:posOffset>
            </wp:positionV>
            <wp:extent cx="647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-1013460</wp:posOffset>
            </wp:positionV>
            <wp:extent cx="647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-721360</wp:posOffset>
            </wp:positionV>
            <wp:extent cx="730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-705485</wp:posOffset>
            </wp:positionV>
            <wp:extent cx="730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-721360</wp:posOffset>
            </wp:positionV>
            <wp:extent cx="730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-705485</wp:posOffset>
            </wp:positionV>
            <wp:extent cx="730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-721360</wp:posOffset>
            </wp:positionV>
            <wp:extent cx="730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-705485</wp:posOffset>
            </wp:positionV>
            <wp:extent cx="730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-721360</wp:posOffset>
            </wp:positionV>
            <wp:extent cx="730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-705485</wp:posOffset>
            </wp:positionV>
            <wp:extent cx="730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-721360</wp:posOffset>
            </wp:positionV>
            <wp:extent cx="647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-705485</wp:posOffset>
            </wp:positionV>
            <wp:extent cx="647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-721360</wp:posOffset>
            </wp:positionV>
            <wp:extent cx="647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-705485</wp:posOffset>
            </wp:positionV>
            <wp:extent cx="647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-413385</wp:posOffset>
            </wp:positionV>
            <wp:extent cx="730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-396875</wp:posOffset>
            </wp:positionV>
            <wp:extent cx="730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-413385</wp:posOffset>
            </wp:positionV>
            <wp:extent cx="730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-396875</wp:posOffset>
            </wp:positionV>
            <wp:extent cx="730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-413385</wp:posOffset>
            </wp:positionV>
            <wp:extent cx="730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-396875</wp:posOffset>
            </wp:positionV>
            <wp:extent cx="730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-413385</wp:posOffset>
            </wp:positionV>
            <wp:extent cx="730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-396875</wp:posOffset>
            </wp:positionV>
            <wp:extent cx="730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-413385</wp:posOffset>
            </wp:positionV>
            <wp:extent cx="647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-396875</wp:posOffset>
            </wp:positionV>
            <wp:extent cx="647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-413385</wp:posOffset>
            </wp:positionV>
            <wp:extent cx="647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-396875</wp:posOffset>
            </wp:positionV>
            <wp:extent cx="647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7860" w:type="dxa"/>
            <w:vAlign w:val="bottom"/>
            <w:gridSpan w:val="11"/>
          </w:tcPr>
          <w:p>
            <w:pPr>
              <w:spacing w:after="0"/>
              <w:rPr>
                <w:sz w:val="20"/>
                <w:szCs w:val="20"/>
                <w:color w:val="auto"/>
              </w:rPr>
            </w:pPr>
            <w:r>
              <w:rPr>
                <w:rFonts w:ascii="Times New Roman" w:cs="Times New Roman" w:eastAsia="Times New Roman" w:hAnsi="Times New Roman"/>
                <w:sz w:val="17"/>
                <w:szCs w:val="17"/>
                <w:color w:val="auto"/>
                <w:w w:val="99"/>
              </w:rPr>
              <w:t>ITEM 1 NOTES TO CONDENSED CONSOLIDATED UNAUDITED FINANCIAL STATEMENTS (Continued)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89"/>
        </w:trPr>
        <w:tc>
          <w:tcPr>
            <w:tcW w:w="4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75"/>
              <w:spacing w:after="0"/>
              <w:rPr>
                <w:sz w:val="20"/>
                <w:szCs w:val="20"/>
                <w:color w:val="auto"/>
              </w:rPr>
            </w:pPr>
            <w:r>
              <w:rPr>
                <w:rFonts w:ascii="Times New Roman" w:cs="Times New Roman" w:eastAsia="Times New Roman" w:hAnsi="Times New Roman"/>
                <w:sz w:val="17"/>
                <w:szCs w:val="17"/>
                <w:color w:val="auto"/>
                <w:w w:val="98"/>
              </w:rPr>
              <w:t>(In Thousands)</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35"/>
              <w:spacing w:after="0" w:line="181" w:lineRule="exact"/>
              <w:rPr>
                <w:sz w:val="20"/>
                <w:szCs w:val="20"/>
                <w:color w:val="auto"/>
              </w:rPr>
            </w:pPr>
            <w:r>
              <w:rPr>
                <w:rFonts w:ascii="Times New Roman" w:cs="Times New Roman" w:eastAsia="Times New Roman" w:hAnsi="Times New Roman"/>
                <w:sz w:val="17"/>
                <w:szCs w:val="17"/>
                <w:color w:val="auto"/>
              </w:rPr>
              <w:t>YTD</w:t>
            </w:r>
          </w:p>
        </w:tc>
        <w:tc>
          <w:tcPr>
            <w:tcW w:w="100" w:type="dxa"/>
            <w:vAlign w:val="bottom"/>
          </w:tcPr>
          <w:p>
            <w:pPr>
              <w:spacing w:after="0"/>
              <w:rPr>
                <w:sz w:val="15"/>
                <w:szCs w:val="15"/>
                <w:color w:val="auto"/>
              </w:rPr>
            </w:pPr>
          </w:p>
        </w:tc>
      </w:tr>
      <w:tr>
        <w:trPr>
          <w:trHeight w:val="204"/>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7"/>
              </w:rPr>
              <w:t>YTD</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YTD</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7"/>
                <w:szCs w:val="17"/>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Unpaid</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Average</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Interest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Income</w:t>
            </w:r>
          </w:p>
        </w:tc>
        <w:tc>
          <w:tcPr>
            <w:tcW w:w="100" w:type="dxa"/>
            <w:vAlign w:val="bottom"/>
          </w:tcPr>
          <w:p>
            <w:pPr>
              <w:spacing w:after="0"/>
              <w:rPr>
                <w:sz w:val="17"/>
                <w:szCs w:val="17"/>
                <w:color w:val="auto"/>
              </w:rPr>
            </w:pPr>
          </w:p>
        </w:tc>
      </w:tr>
      <w:tr>
        <w:trPr>
          <w:trHeight w:val="204"/>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8"/>
              </w:rPr>
              <w:t>Recorded</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Principal</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Related</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Recorded</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Income</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Recognized</w:t>
            </w:r>
          </w:p>
        </w:tc>
        <w:tc>
          <w:tcPr>
            <w:tcW w:w="100" w:type="dxa"/>
            <w:vAlign w:val="bottom"/>
          </w:tcPr>
          <w:p>
            <w:pPr>
              <w:spacing w:after="0"/>
              <w:rPr>
                <w:sz w:val="17"/>
                <w:szCs w:val="17"/>
                <w:color w:val="auto"/>
              </w:rPr>
            </w:pPr>
          </w:p>
        </w:tc>
      </w:tr>
      <w:tr>
        <w:trPr>
          <w:trHeight w:val="221"/>
        </w:trPr>
        <w:tc>
          <w:tcPr>
            <w:tcW w:w="44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Investment</w:t>
            </w:r>
          </w:p>
        </w:tc>
        <w:tc>
          <w:tcPr>
            <w:tcW w:w="1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rPr>
              <w:t>Balance</w:t>
            </w:r>
          </w:p>
        </w:tc>
        <w:tc>
          <w:tcPr>
            <w:tcW w:w="140" w:type="dxa"/>
            <w:vAlign w:val="bottom"/>
            <w:tcBorders>
              <w:right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Allowance</w:t>
            </w:r>
          </w:p>
        </w:tc>
        <w:tc>
          <w:tcPr>
            <w:tcW w:w="12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Investment</w:t>
            </w:r>
          </w:p>
        </w:tc>
        <w:tc>
          <w:tcPr>
            <w:tcW w:w="14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Recognized</w:t>
            </w:r>
          </w:p>
        </w:tc>
        <w:tc>
          <w:tcPr>
            <w:tcW w:w="1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rPr>
              <w:t>Cash Basis</w:t>
            </w:r>
          </w:p>
        </w:tc>
        <w:tc>
          <w:tcPr>
            <w:tcW w:w="100" w:type="dxa"/>
            <w:vAlign w:val="bottom"/>
          </w:tcPr>
          <w:p>
            <w:pPr>
              <w:spacing w:after="0"/>
              <w:rPr>
                <w:sz w:val="19"/>
                <w:szCs w:val="19"/>
                <w:color w:val="auto"/>
              </w:rPr>
            </w:pPr>
          </w:p>
        </w:tc>
      </w:tr>
      <w:tr>
        <w:trPr>
          <w:trHeight w:val="19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With no related allowance recorded:</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tcBorders>
              <w:right w:val="single" w:sz="8" w:color="auto"/>
            </w:tcBorders>
          </w:tcPr>
          <w:p>
            <w:pPr>
              <w:spacing w:after="0"/>
              <w:rPr>
                <w:sz w:val="17"/>
                <w:szCs w:val="17"/>
                <w:color w:val="auto"/>
              </w:rPr>
            </w:pPr>
          </w:p>
        </w:tc>
        <w:tc>
          <w:tcPr>
            <w:tcW w:w="2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Borders>
              <w:right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40" w:type="dxa"/>
            <w:vAlign w:val="bottom"/>
            <w:tcBorders>
              <w:right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r>
      <w:tr>
        <w:trPr>
          <w:trHeight w:val="204"/>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7"/>
                <w:szCs w:val="17"/>
                <w:color w:val="auto"/>
              </w:rPr>
            </w:pPr>
          </w:p>
        </w:tc>
      </w:tr>
      <w:tr>
        <w:trPr>
          <w:trHeight w:val="204"/>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r>
      <w:tr>
        <w:trPr>
          <w:trHeight w:val="204"/>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 a specific allowance recorded: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3,270</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4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4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 Real Estate</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2,588</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left="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2,693</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lef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3,803</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44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w:t>
            </w: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1,334</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center"/>
              <w:ind w:left="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center"/>
              <w:ind w:lef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591</w:t>
            </w: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4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left="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4,187</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500</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lef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4,432</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444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and Industrial</w:t>
            </w: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2,003</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center"/>
              <w:ind w:left="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2,003</w:t>
            </w: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1,936</w:t>
            </w:r>
          </w:p>
        </w:tc>
        <w:tc>
          <w:tcPr>
            <w:tcW w:w="12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center"/>
              <w:ind w:lef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1,840</w:t>
            </w: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5"/>
                <w:szCs w:val="15"/>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4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left="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lef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78"/>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gridSpan w:val="3"/>
          </w:tcPr>
          <w:p>
            <w:pPr>
              <w:jc w:val="center"/>
              <w:ind w:right="415"/>
              <w:spacing w:after="0"/>
              <w:rPr>
                <w:sz w:val="20"/>
                <w:szCs w:val="20"/>
                <w:color w:val="auto"/>
              </w:rPr>
            </w:pPr>
            <w:r>
              <w:rPr>
                <w:rFonts w:ascii="Times New Roman" w:cs="Times New Roman" w:eastAsia="Times New Roman" w:hAnsi="Times New Roman"/>
                <w:sz w:val="17"/>
                <w:szCs w:val="17"/>
                <w:color w:val="auto"/>
                <w:w w:val="93"/>
              </w:rPr>
              <w:t>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4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-1021715</wp:posOffset>
            </wp:positionV>
            <wp:extent cx="730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-1005205</wp:posOffset>
            </wp:positionV>
            <wp:extent cx="730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-1021715</wp:posOffset>
            </wp:positionV>
            <wp:extent cx="730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-1005205</wp:posOffset>
            </wp:positionV>
            <wp:extent cx="730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-1021715</wp:posOffset>
            </wp:positionV>
            <wp:extent cx="730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-1005205</wp:posOffset>
            </wp:positionV>
            <wp:extent cx="730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-1021715</wp:posOffset>
            </wp:positionV>
            <wp:extent cx="730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-1005205</wp:posOffset>
            </wp:positionV>
            <wp:extent cx="730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-1021715</wp:posOffset>
            </wp:positionV>
            <wp:extent cx="647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-1005205</wp:posOffset>
            </wp:positionV>
            <wp:extent cx="647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-1021715</wp:posOffset>
            </wp:positionV>
            <wp:extent cx="647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-1005205</wp:posOffset>
            </wp:positionV>
            <wp:extent cx="647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-713105</wp:posOffset>
            </wp:positionV>
            <wp:extent cx="730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-697230</wp:posOffset>
            </wp:positionV>
            <wp:extent cx="730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-713105</wp:posOffset>
            </wp:positionV>
            <wp:extent cx="730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-697230</wp:posOffset>
            </wp:positionV>
            <wp:extent cx="730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-713105</wp:posOffset>
            </wp:positionV>
            <wp:extent cx="730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-697230</wp:posOffset>
            </wp:positionV>
            <wp:extent cx="730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-713105</wp:posOffset>
            </wp:positionV>
            <wp:extent cx="730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-697230</wp:posOffset>
            </wp:positionV>
            <wp:extent cx="730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-713105</wp:posOffset>
            </wp:positionV>
            <wp:extent cx="647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-697230</wp:posOffset>
            </wp:positionV>
            <wp:extent cx="647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-713105</wp:posOffset>
            </wp:positionV>
            <wp:extent cx="647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-697230</wp:posOffset>
            </wp:positionV>
            <wp:extent cx="647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-405130</wp:posOffset>
            </wp:positionV>
            <wp:extent cx="730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-388620</wp:posOffset>
            </wp:positionV>
            <wp:extent cx="730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-405130</wp:posOffset>
            </wp:positionV>
            <wp:extent cx="730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-388620</wp:posOffset>
            </wp:positionV>
            <wp:extent cx="730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-405130</wp:posOffset>
            </wp:positionV>
            <wp:extent cx="730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-388620</wp:posOffset>
            </wp:positionV>
            <wp:extent cx="730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-405130</wp:posOffset>
            </wp:positionV>
            <wp:extent cx="730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-388620</wp:posOffset>
            </wp:positionV>
            <wp:extent cx="730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-405130</wp:posOffset>
            </wp:positionV>
            <wp:extent cx="647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-388620</wp:posOffset>
            </wp:positionV>
            <wp:extent cx="647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-405130</wp:posOffset>
            </wp:positionV>
            <wp:extent cx="647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-388620</wp:posOffset>
            </wp:positionV>
            <wp:extent cx="647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79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89"/>
        </w:trPr>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(In Thousands)</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color w:val="auto"/>
                <w:w w:val="97"/>
              </w:rPr>
              <w:t>YTD</w:t>
            </w:r>
          </w:p>
        </w:tc>
        <w:tc>
          <w:tcPr>
            <w:tcW w:w="100" w:type="dxa"/>
            <w:vAlign w:val="bottom"/>
          </w:tcPr>
          <w:p>
            <w:pPr>
              <w:spacing w:after="0"/>
              <w:rPr>
                <w:sz w:val="15"/>
                <w:szCs w:val="15"/>
                <w:color w:val="auto"/>
              </w:rPr>
            </w:pPr>
          </w:p>
        </w:tc>
      </w:tr>
      <w:tr>
        <w:trPr>
          <w:trHeight w:val="204"/>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YTD</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YTD</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w w:val="97"/>
              </w:rPr>
              <w:t>Interest</w:t>
            </w:r>
          </w:p>
        </w:tc>
        <w:tc>
          <w:tcPr>
            <w:tcW w:w="100" w:type="dxa"/>
            <w:vAlign w:val="bottom"/>
          </w:tcPr>
          <w:p>
            <w:pPr>
              <w:spacing w:after="0"/>
              <w:rPr>
                <w:sz w:val="17"/>
                <w:szCs w:val="17"/>
                <w:color w:val="auto"/>
              </w:rPr>
            </w:pPr>
          </w:p>
        </w:tc>
      </w:tr>
      <w:tr>
        <w:trPr>
          <w:trHeight w:val="204"/>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Ended September 30, 2021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Unpaid</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Average</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Interest</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w w:val="97"/>
              </w:rPr>
              <w:t>Income</w:t>
            </w:r>
          </w:p>
        </w:tc>
        <w:tc>
          <w:tcPr>
            <w:tcW w:w="100" w:type="dxa"/>
            <w:vAlign w:val="bottom"/>
          </w:tcPr>
          <w:p>
            <w:pPr>
              <w:spacing w:after="0"/>
              <w:rPr>
                <w:sz w:val="17"/>
                <w:szCs w:val="17"/>
                <w:color w:val="auto"/>
              </w:rPr>
            </w:pPr>
          </w:p>
        </w:tc>
      </w:tr>
      <w:tr>
        <w:trPr>
          <w:trHeight w:val="204"/>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Recorded</w:t>
            </w:r>
          </w:p>
        </w:tc>
        <w:tc>
          <w:tcPr>
            <w:tcW w:w="120" w:type="dxa"/>
            <w:vAlign w:val="bottom"/>
            <w:tcBorders>
              <w:right w:val="single" w:sz="8" w:color="auto"/>
            </w:tcBorders>
          </w:tcPr>
          <w:p>
            <w:pPr>
              <w:spacing w:after="0"/>
              <w:rPr>
                <w:sz w:val="17"/>
                <w:szCs w:val="17"/>
                <w:color w:val="auto"/>
              </w:rPr>
            </w:pPr>
          </w:p>
        </w:tc>
        <w:tc>
          <w:tcPr>
            <w:tcW w:w="8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7"/>
              </w:rPr>
              <w:t>Principal</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Recorded</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Income</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Recognized</w:t>
            </w:r>
          </w:p>
        </w:tc>
        <w:tc>
          <w:tcPr>
            <w:tcW w:w="100" w:type="dxa"/>
            <w:vAlign w:val="bottom"/>
          </w:tcPr>
          <w:p>
            <w:pPr>
              <w:spacing w:after="0"/>
              <w:rPr>
                <w:sz w:val="17"/>
                <w:szCs w:val="17"/>
                <w:color w:val="auto"/>
              </w:rPr>
            </w:pPr>
          </w:p>
        </w:tc>
      </w:tr>
      <w:tr>
        <w:trPr>
          <w:trHeight w:val="221"/>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7"/>
              </w:rPr>
              <w:t>Investment</w:t>
            </w:r>
          </w:p>
        </w:tc>
        <w:tc>
          <w:tcPr>
            <w:tcW w:w="12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rPr>
              <w:t>Balance</w:t>
            </w:r>
          </w:p>
        </w:tc>
        <w:tc>
          <w:tcPr>
            <w:tcW w:w="12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Allowance</w:t>
            </w:r>
          </w:p>
        </w:tc>
        <w:tc>
          <w:tcPr>
            <w:tcW w:w="1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w w:val="97"/>
              </w:rPr>
              <w:t>Investment</w:t>
            </w:r>
          </w:p>
        </w:tc>
        <w:tc>
          <w:tcPr>
            <w:tcW w:w="12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w w:val="99"/>
              </w:rPr>
              <w:t>Recognized</w:t>
            </w:r>
          </w:p>
        </w:tc>
        <w:tc>
          <w:tcPr>
            <w:tcW w:w="14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w w:val="98"/>
              </w:rPr>
              <w:t>Cash Basis</w:t>
            </w:r>
          </w:p>
        </w:tc>
        <w:tc>
          <w:tcPr>
            <w:tcW w:w="100" w:type="dxa"/>
            <w:vAlign w:val="bottom"/>
          </w:tcPr>
          <w:p>
            <w:pPr>
              <w:spacing w:after="0"/>
              <w:rPr>
                <w:sz w:val="19"/>
                <w:szCs w:val="19"/>
                <w:color w:val="auto"/>
              </w:rPr>
            </w:pPr>
          </w:p>
        </w:tc>
      </w:tr>
      <w:tr>
        <w:trPr>
          <w:trHeight w:val="19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With no related allowance recorded:</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right w:val="single" w:sz="8" w:color="auto"/>
            </w:tcBorders>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tcBorders>
              <w:right w:val="single" w:sz="8" w:color="auto"/>
            </w:tcBorders>
          </w:tcPr>
          <w:p>
            <w:pPr>
              <w:spacing w:after="0"/>
              <w:rPr>
                <w:sz w:val="17"/>
                <w:szCs w:val="17"/>
                <w:color w:val="auto"/>
              </w:rPr>
            </w:pP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tcPr>
          <w:p>
            <w:pPr>
              <w:spacing w:after="0"/>
              <w:rPr>
                <w:sz w:val="17"/>
                <w:szCs w:val="17"/>
                <w:color w:val="auto"/>
              </w:rPr>
            </w:pP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r>
      <w:tr>
        <w:trPr>
          <w:trHeight w:val="204"/>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r>
      <w:tr>
        <w:trPr>
          <w:trHeight w:val="204"/>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 a specific allowance recorded: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w:t>
            </w:r>
          </w:p>
        </w:tc>
        <w:tc>
          <w:tcPr>
            <w:tcW w:w="1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7"/>
                <w:szCs w:val="17"/>
                <w:color w:val="auto"/>
              </w:rPr>
            </w:pPr>
          </w:p>
        </w:tc>
      </w:tr>
      <w:tr>
        <w:trPr>
          <w:trHeight w:val="204"/>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 Real Estate</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6,051</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6,051</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636</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6,464</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68</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354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247</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247</w:t>
            </w:r>
          </w:p>
        </w:tc>
        <w:tc>
          <w:tcPr>
            <w:tcW w:w="12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284</w:t>
            </w:r>
          </w:p>
        </w:tc>
        <w:tc>
          <w:tcPr>
            <w:tcW w:w="1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12</w:t>
            </w: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3,607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3,607</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710</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3,568</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96</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3540" w:type="dxa"/>
            <w:vAlign w:val="bottom"/>
          </w:tcPr>
          <w:p>
            <w:pPr>
              <w:ind w:left="180"/>
              <w:spacing w:after="0" w:line="183" w:lineRule="exact"/>
              <w:rPr>
                <w:sz w:val="20"/>
                <w:szCs w:val="20"/>
                <w:color w:val="auto"/>
              </w:rPr>
            </w:pPr>
            <w:r>
              <w:rPr>
                <w:rFonts w:ascii="Times New Roman" w:cs="Times New Roman" w:eastAsia="Times New Roman" w:hAnsi="Times New Roman"/>
                <w:sz w:val="17"/>
                <w:szCs w:val="17"/>
                <w:color w:val="auto"/>
              </w:rPr>
              <w:t>Commercial and Industrial</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1,215</w:t>
            </w:r>
          </w:p>
        </w:tc>
        <w:tc>
          <w:tcPr>
            <w:tcW w:w="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1,215</w:t>
            </w:r>
          </w:p>
        </w:tc>
        <w:tc>
          <w:tcPr>
            <w:tcW w:w="12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1,540</w:t>
            </w:r>
          </w:p>
        </w:tc>
        <w:tc>
          <w:tcPr>
            <w:tcW w:w="12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5"/>
                <w:szCs w:val="15"/>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540" w:type="dxa"/>
            <w:vAlign w:val="bottom"/>
            <w:tcBorders>
              <w:bottom w:val="single" w:sz="8" w:color="CFF0FC"/>
            </w:tcBorders>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-640080</wp:posOffset>
            </wp:positionV>
            <wp:extent cx="730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-624205</wp:posOffset>
            </wp:positionV>
            <wp:extent cx="730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-640080</wp:posOffset>
            </wp:positionV>
            <wp:extent cx="730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-624205</wp:posOffset>
            </wp:positionV>
            <wp:extent cx="730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-640080</wp:posOffset>
            </wp:positionV>
            <wp:extent cx="730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-624205</wp:posOffset>
            </wp:positionV>
            <wp:extent cx="730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-640080</wp:posOffset>
            </wp:positionV>
            <wp:extent cx="647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-624205</wp:posOffset>
            </wp:positionV>
            <wp:extent cx="647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-640080</wp:posOffset>
            </wp:positionV>
            <wp:extent cx="647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-624205</wp:posOffset>
            </wp:positionV>
            <wp:extent cx="647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-640080</wp:posOffset>
            </wp:positionV>
            <wp:extent cx="647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-624205</wp:posOffset>
            </wp:positionV>
            <wp:extent cx="647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-332105</wp:posOffset>
            </wp:positionV>
            <wp:extent cx="730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-315595</wp:posOffset>
            </wp:positionV>
            <wp:extent cx="730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-332105</wp:posOffset>
            </wp:positionV>
            <wp:extent cx="730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-315595</wp:posOffset>
            </wp:positionV>
            <wp:extent cx="730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-332105</wp:posOffset>
            </wp:positionV>
            <wp:extent cx="730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-315595</wp:posOffset>
            </wp:positionV>
            <wp:extent cx="730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-332105</wp:posOffset>
            </wp:positionV>
            <wp:extent cx="647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-315595</wp:posOffset>
            </wp:positionV>
            <wp:extent cx="647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-332105</wp:posOffset>
            </wp:positionV>
            <wp:extent cx="647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-315595</wp:posOffset>
            </wp:positionV>
            <wp:extent cx="647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-332105</wp:posOffset>
            </wp:positionV>
            <wp:extent cx="647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-315595</wp:posOffset>
            </wp:positionV>
            <wp:extent cx="647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-23495</wp:posOffset>
            </wp:positionV>
            <wp:extent cx="730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-7620</wp:posOffset>
            </wp:positionV>
            <wp:extent cx="730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-23495</wp:posOffset>
            </wp:positionV>
            <wp:extent cx="730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-7620</wp:posOffset>
            </wp:positionV>
            <wp:extent cx="730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730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-7620</wp:posOffset>
            </wp:positionV>
            <wp:extent cx="730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-23495</wp:posOffset>
            </wp:positionV>
            <wp:extent cx="647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-7620</wp:posOffset>
            </wp:positionV>
            <wp:extent cx="647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-23495</wp:posOffset>
            </wp:positionV>
            <wp:extent cx="647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-7620</wp:posOffset>
            </wp:positionV>
            <wp:extent cx="647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-23495</wp:posOffset>
            </wp:positionV>
            <wp:extent cx="647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-7620</wp:posOffset>
            </wp:positionV>
            <wp:extent cx="647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As of September 30, 2022, the Company had no foreclosed residential real estate property obtained by physical possession and $211 thousand of consumer mortgage loans secured by residential real estate properties for which foreclosure proceedings are in process according to local jurisdictions. This compares to the Company having $159 thousand of foreclosed residential real estate property obtained by physical possession and $255 thousand of consumer mortgage loans secured by residential real estate properties for which foreclosure proceeding were in process according to local jurisdictions as of December 31, 2021. As of September 30, 2021, the Company had $167 thousand of foreclosed residential real estate property obtained by physical possession and $129 thousand of consumer mortgage loans secured by residential real estate properties for which foreclosure proceedings were in process according to local jurisdictions.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69"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53"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1115"/>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158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Nine Months Ended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195"/>
              <w:spacing w:after="0" w:line="155" w:lineRule="exact"/>
              <w:rPr>
                <w:sz w:val="20"/>
                <w:szCs w:val="20"/>
                <w:color w:val="auto"/>
              </w:rPr>
            </w:pPr>
            <w:r>
              <w:rPr>
                <w:rFonts w:ascii="Times New Roman" w:cs="Times New Roman" w:eastAsia="Times New Roman" w:hAnsi="Times New Roman"/>
                <w:sz w:val="17"/>
                <w:szCs w:val="17"/>
                <w:color w:val="auto"/>
                <w:w w:val="98"/>
              </w:rPr>
              <w:t>Twelve Months</w:t>
            </w: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7"/>
                <w:szCs w:val="17"/>
                <w:color w:val="auto"/>
              </w:rPr>
              <w:t>Ended</w:t>
            </w:r>
          </w:p>
        </w:tc>
        <w:tc>
          <w:tcPr>
            <w:tcW w:w="0" w:type="dxa"/>
            <w:vAlign w:val="bottom"/>
          </w:tcPr>
          <w:p>
            <w:pPr>
              <w:spacing w:after="0"/>
              <w:rPr>
                <w:sz w:val="1"/>
                <w:szCs w:val="1"/>
                <w:color w:val="auto"/>
              </w:rPr>
            </w:pPr>
          </w:p>
        </w:tc>
      </w:tr>
      <w:tr>
        <w:trPr>
          <w:trHeight w:val="72"/>
        </w:trPr>
        <w:tc>
          <w:tcPr>
            <w:tcW w:w="4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50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September 30, 2022</w:t>
            </w:r>
          </w:p>
        </w:tc>
        <w:tc>
          <w:tcPr>
            <w:tcW w:w="220" w:type="dxa"/>
            <w:vAlign w:val="bottom"/>
          </w:tcPr>
          <w:p>
            <w:pPr>
              <w:spacing w:after="0"/>
              <w:rPr>
                <w:sz w:val="19"/>
                <w:szCs w:val="19"/>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December 31, 2021</w:t>
            </w:r>
          </w:p>
        </w:tc>
        <w:tc>
          <w:tcPr>
            <w:tcW w:w="0" w:type="dxa"/>
            <w:vAlign w:val="bottom"/>
          </w:tcPr>
          <w:p>
            <w:pPr>
              <w:spacing w:after="0"/>
              <w:rPr>
                <w:sz w:val="1"/>
                <w:szCs w:val="1"/>
                <w:color w:val="auto"/>
              </w:rPr>
            </w:pPr>
          </w:p>
        </w:tc>
      </w:tr>
      <w:tr>
        <w:trPr>
          <w:trHeight w:val="19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Allowance for Loan &amp; Lease Losses</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16,242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13,672</w:t>
            </w:r>
          </w:p>
        </w:tc>
        <w:tc>
          <w:tcPr>
            <w:tcW w:w="0" w:type="dxa"/>
            <w:vAlign w:val="bottom"/>
          </w:tcPr>
          <w:p>
            <w:pPr>
              <w:spacing w:after="0"/>
              <w:rPr>
                <w:sz w:val="1"/>
                <w:szCs w:val="1"/>
                <w:color w:val="auto"/>
              </w:rPr>
            </w:pPr>
          </w:p>
        </w:tc>
      </w:tr>
      <w:tr>
        <w:trPr>
          <w:trHeight w:val="204"/>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Provision for loan loss</w:t>
            </w: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3,845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3,444</w:t>
            </w:r>
          </w:p>
        </w:tc>
        <w:tc>
          <w:tcPr>
            <w:tcW w:w="0" w:type="dxa"/>
            <w:vAlign w:val="bottom"/>
          </w:tcPr>
          <w:p>
            <w:pPr>
              <w:spacing w:after="0"/>
              <w:rPr>
                <w:sz w:val="1"/>
                <w:szCs w:val="1"/>
                <w:color w:val="auto"/>
              </w:rPr>
            </w:pPr>
          </w:p>
        </w:tc>
      </w:tr>
      <w:tr>
        <w:trPr>
          <w:trHeight w:val="204"/>
        </w:trPr>
        <w:tc>
          <w:tcPr>
            <w:tcW w:w="4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Loans charged off</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(1,332 )</w:t>
            </w:r>
          </w:p>
        </w:tc>
        <w:tc>
          <w:tcPr>
            <w:tcW w:w="0" w:type="dxa"/>
            <w:vAlign w:val="bottom"/>
          </w:tcPr>
          <w:p>
            <w:pPr>
              <w:spacing w:after="0"/>
              <w:rPr>
                <w:sz w:val="1"/>
                <w:szCs w:val="1"/>
                <w:color w:val="auto"/>
              </w:rPr>
            </w:pPr>
          </w:p>
        </w:tc>
      </w:tr>
      <w:tr>
        <w:trPr>
          <w:trHeight w:val="204"/>
        </w:trPr>
        <w:tc>
          <w:tcPr>
            <w:tcW w:w="4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Recoveries</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237</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197"/>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Loan &amp; Lease Losses</w:t>
            </w: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19,990</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16,242</w:t>
            </w:r>
          </w:p>
        </w:tc>
        <w:tc>
          <w:tcPr>
            <w:tcW w:w="0" w:type="dxa"/>
            <w:vAlign w:val="bottom"/>
          </w:tcPr>
          <w:p>
            <w:pPr>
              <w:spacing w:after="0"/>
              <w:rPr>
                <w:sz w:val="1"/>
                <w:szCs w:val="1"/>
                <w:color w:val="auto"/>
              </w:rPr>
            </w:pPr>
          </w:p>
        </w:tc>
      </w:tr>
      <w:tr>
        <w:trPr>
          <w:trHeight w:val="155"/>
        </w:trPr>
        <w:tc>
          <w:tcPr>
            <w:tcW w:w="450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color w:val="auto"/>
              </w:rPr>
              <w:t>Allowance for Unfunded Loan Commitments &amp;</w:t>
            </w:r>
          </w:p>
        </w:tc>
        <w:tc>
          <w:tcPr>
            <w:tcW w:w="560" w:type="dxa"/>
            <w:vAlign w:val="bottom"/>
            <w:vMerge w:val="restart"/>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1,118</w:t>
            </w:r>
          </w:p>
        </w:tc>
        <w:tc>
          <w:tcPr>
            <w:tcW w:w="220" w:type="dxa"/>
            <w:vAlign w:val="bottom"/>
            <w:vMerge w:val="restart"/>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1,041</w:t>
            </w:r>
          </w:p>
        </w:tc>
        <w:tc>
          <w:tcPr>
            <w:tcW w:w="0" w:type="dxa"/>
            <w:vAlign w:val="bottom"/>
          </w:tcPr>
          <w:p>
            <w:pPr>
              <w:spacing w:after="0"/>
              <w:rPr>
                <w:sz w:val="1"/>
                <w:szCs w:val="1"/>
                <w:color w:val="auto"/>
              </w:rPr>
            </w:pPr>
          </w:p>
        </w:tc>
      </w:tr>
      <w:tr>
        <w:trPr>
          <w:trHeight w:val="208"/>
        </w:trPr>
        <w:tc>
          <w:tcPr>
            <w:tcW w:w="4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Letters of Credit</w:t>
            </w:r>
          </w:p>
        </w:tc>
        <w:tc>
          <w:tcPr>
            <w:tcW w:w="560" w:type="dxa"/>
            <w:vAlign w:val="bottom"/>
            <w:tcBorders>
              <w:bottom w:val="single" w:sz="8" w:color="auto"/>
            </w:tcBorders>
            <w:vMerge w:val="continue"/>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vMerge w:val="continue"/>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14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Allowance for Credit Losses</w:t>
            </w: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21,108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-542925</wp:posOffset>
            </wp:positionV>
            <wp:extent cx="14605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-161925</wp:posOffset>
            </wp:positionV>
            <wp:extent cx="146050" cy="162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46050" cy="162560"/>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Company segregates its ALLL into two reserves: The ALLL and the Allowance for Unfunded Loan Commitments and Letters of Credit (AULC).</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When combined, these reserves constitute the total Allowance for Credit Losses (ACL).</w:t>
      </w:r>
    </w:p>
    <w:p>
      <w:pPr>
        <w:spacing w:after="0" w:line="170"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The ALLL does not include an accretable yield of $5.8 and $7.1 million as of September 30, 2022 and December 31, 2021, respectively, nor a nonaccretable yield of $151 and $510 thousand as of September 30, 2022 and December 31, 2021, respectively, related to the acquisitions of Bank of Geneva in 2019 and Ossian State Bank and Perpetual Federal Savings Bank in 2021 as previously discussed in Note 2.</w:t>
      </w:r>
    </w:p>
    <w:p>
      <w:pPr>
        <w:spacing w:after="0" w:line="121"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The AULC is reported within other liabilities while the ALLL is netted within the loans, net asset line on the Company’s consolidated balance sheet.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40" w:right="3540" w:hanging="1208"/>
        <w:spacing w:after="0" w:line="879" w:lineRule="auto"/>
        <w:tabs>
          <w:tab w:leader="none" w:pos="44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-286385</wp:posOffset>
            </wp:positionV>
            <wp:extent cx="7165340"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Additional analysis, presented in thousands, related to the allowance for credit losses for the three and nine months ended September 30, 2022 and</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September 30, 2021 in addition to the ending balances as of December 31, 2021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Unfunded</w:t>
            </w: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jc w:val="center"/>
              <w:ind w:right="135"/>
              <w:spacing w:after="0" w:line="176" w:lineRule="exact"/>
              <w:rPr>
                <w:sz w:val="20"/>
                <w:szCs w:val="20"/>
                <w:color w:val="auto"/>
              </w:rPr>
            </w:pPr>
            <w:r>
              <w:rPr>
                <w:rFonts w:ascii="Times New Roman" w:cs="Times New Roman" w:eastAsia="Times New Roman" w:hAnsi="Times New Roman"/>
                <w:sz w:val="17"/>
                <w:szCs w:val="17"/>
                <w:color w:val="auto"/>
                <w:w w:val="97"/>
              </w:rPr>
              <w:t>Loan</w:t>
            </w:r>
          </w:p>
        </w:tc>
        <w:tc>
          <w:tcPr>
            <w:tcW w:w="4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gridSpan w:val="2"/>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17"/>
                <w:szCs w:val="17"/>
                <w:color w:val="auto"/>
              </w:rPr>
              <w:t>Commitment</w:t>
            </w:r>
          </w:p>
        </w:tc>
        <w:tc>
          <w:tcPr>
            <w:tcW w:w="4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95"/>
              <w:spacing w:after="0" w:line="179" w:lineRule="exact"/>
              <w:rPr>
                <w:sz w:val="20"/>
                <w:szCs w:val="20"/>
                <w:color w:val="auto"/>
              </w:rPr>
            </w:pPr>
            <w:r>
              <w:rPr>
                <w:rFonts w:ascii="Times New Roman" w:cs="Times New Roman" w:eastAsia="Times New Roman" w:hAnsi="Times New Roman"/>
                <w:sz w:val="17"/>
                <w:szCs w:val="17"/>
                <w:color w:val="auto"/>
              </w:rPr>
              <w:t>Consumer</w:t>
            </w:r>
          </w:p>
        </w:tc>
        <w:tc>
          <w:tcPr>
            <w:tcW w:w="1080" w:type="dxa"/>
            <w:vAlign w:val="bottom"/>
            <w:tcBorders>
              <w:right w:val="single" w:sz="8" w:color="auto"/>
            </w:tcBorders>
            <w:gridSpan w:val="2"/>
          </w:tcPr>
          <w:p>
            <w:pPr>
              <w:jc w:val="right"/>
              <w:ind w:right="95"/>
              <w:spacing w:after="0" w:line="179" w:lineRule="exact"/>
              <w:rPr>
                <w:sz w:val="20"/>
                <w:szCs w:val="20"/>
                <w:color w:val="auto"/>
              </w:rPr>
            </w:pPr>
            <w:r>
              <w:rPr>
                <w:rFonts w:ascii="Times New Roman" w:cs="Times New Roman" w:eastAsia="Times New Roman" w:hAnsi="Times New Roman"/>
                <w:sz w:val="17"/>
                <w:szCs w:val="17"/>
                <w:color w:val="auto"/>
              </w:rPr>
              <w:t>Agricultural</w:t>
            </w:r>
          </w:p>
        </w:tc>
        <w:tc>
          <w:tcPr>
            <w:tcW w:w="2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gridSpan w:val="2"/>
          </w:tcPr>
          <w:p>
            <w:pPr>
              <w:jc w:val="right"/>
              <w:ind w:right="95"/>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140" w:type="dxa"/>
            <w:vAlign w:val="bottom"/>
          </w:tcPr>
          <w:p>
            <w:pPr>
              <w:spacing w:after="0"/>
              <w:rPr>
                <w:sz w:val="15"/>
                <w:szCs w:val="15"/>
                <w:color w:val="auto"/>
              </w:rPr>
            </w:pPr>
          </w:p>
        </w:tc>
        <w:tc>
          <w:tcPr>
            <w:tcW w:w="940" w:type="dxa"/>
            <w:vAlign w:val="bottom"/>
            <w:tcBorders>
              <w:right w:val="single" w:sz="8" w:color="auto"/>
            </w:tcBorders>
          </w:tcPr>
          <w:p>
            <w:pPr>
              <w:jc w:val="right"/>
              <w:ind w:right="415"/>
              <w:spacing w:after="0" w:line="179" w:lineRule="exact"/>
              <w:rPr>
                <w:sz w:val="20"/>
                <w:szCs w:val="20"/>
                <w:color w:val="auto"/>
              </w:rPr>
            </w:pPr>
            <w:r>
              <w:rPr>
                <w:rFonts w:ascii="Times New Roman" w:cs="Times New Roman" w:eastAsia="Times New Roman" w:hAnsi="Times New Roman"/>
                <w:sz w:val="17"/>
                <w:szCs w:val="17"/>
                <w:color w:val="auto"/>
              </w:rPr>
              <w:t>and</w:t>
            </w:r>
          </w:p>
        </w:tc>
        <w:tc>
          <w:tcPr>
            <w:tcW w:w="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jc w:val="center"/>
              <w:ind w:right="135"/>
              <w:spacing w:after="0" w:line="179" w:lineRule="exact"/>
              <w:rPr>
                <w:sz w:val="20"/>
                <w:szCs w:val="20"/>
                <w:color w:val="auto"/>
              </w:rPr>
            </w:pPr>
            <w:r>
              <w:rPr>
                <w:rFonts w:ascii="Times New Roman" w:cs="Times New Roman" w:eastAsia="Times New Roman" w:hAnsi="Times New Roman"/>
                <w:sz w:val="17"/>
                <w:szCs w:val="17"/>
                <w:color w:val="auto"/>
                <w:w w:val="98"/>
              </w:rPr>
              <w:t>&amp; Letters of</w:t>
            </w:r>
          </w:p>
        </w:tc>
        <w:tc>
          <w:tcPr>
            <w:tcW w:w="4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9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Real Estate</w:t>
            </w:r>
          </w:p>
        </w:tc>
        <w:tc>
          <w:tcPr>
            <w:tcW w:w="1080" w:type="dxa"/>
            <w:vAlign w:val="bottom"/>
            <w:tcBorders>
              <w:bottom w:val="single" w:sz="8" w:color="auto"/>
              <w:right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Real Estate</w:t>
            </w:r>
          </w:p>
        </w:tc>
        <w:tc>
          <w:tcPr>
            <w:tcW w:w="1060" w:type="dxa"/>
            <w:vAlign w:val="bottom"/>
            <w:tcBorders>
              <w:bottom w:val="single" w:sz="8" w:color="auto"/>
              <w:right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Agricultural</w:t>
            </w:r>
          </w:p>
        </w:tc>
        <w:tc>
          <w:tcPr>
            <w:tcW w:w="1100" w:type="dxa"/>
            <w:vAlign w:val="bottom"/>
            <w:tcBorders>
              <w:bottom w:val="single" w:sz="8" w:color="auto"/>
              <w:right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Real Estate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8"/>
              </w:rPr>
              <w:t>Industrial</w:t>
            </w:r>
          </w:p>
        </w:tc>
        <w:tc>
          <w:tcPr>
            <w:tcW w:w="960" w:type="dxa"/>
            <w:vAlign w:val="bottom"/>
            <w:tcBorders>
              <w:bottom w:val="single" w:sz="8" w:color="auto"/>
              <w:right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color w:val="auto"/>
                <w:w w:val="98"/>
              </w:rPr>
              <w:t>Credit</w:t>
            </w:r>
          </w:p>
        </w:tc>
        <w:tc>
          <w:tcPr>
            <w:tcW w:w="1080" w:type="dxa"/>
            <w:vAlign w:val="bottom"/>
            <w:tcBorders>
              <w:bottom w:val="single" w:sz="8" w:color="auto"/>
              <w:right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Unallocated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46"/>
        </w:trPr>
        <w:tc>
          <w:tcPr>
            <w:tcW w:w="1720" w:type="dxa"/>
            <w:vAlign w:val="bottom"/>
            <w:shd w:val="clear" w:color="auto" w:fill="CFF0FC"/>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shd w:val="clear" w:color="auto" w:fill="CFF0FC"/>
          </w:tcPr>
          <w:p>
            <w:pPr>
              <w:spacing w:after="0"/>
              <w:rPr>
                <w:sz w:val="12"/>
                <w:szCs w:val="12"/>
                <w:color w:val="auto"/>
              </w:rPr>
            </w:pPr>
          </w:p>
        </w:tc>
        <w:tc>
          <w:tcPr>
            <w:tcW w:w="78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tcBorders>
              <w:right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8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tcBorders>
              <w:right w:val="single" w:sz="8" w:color="auto"/>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7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ALLOWANCE FOR</w:t>
            </w:r>
          </w:p>
        </w:tc>
        <w:tc>
          <w:tcPr>
            <w:tcW w:w="1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8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939</w:t>
            </w:r>
          </w:p>
        </w:tc>
        <w:tc>
          <w:tcPr>
            <w:tcW w:w="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346</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10,427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5,365</w:t>
            </w:r>
          </w:p>
        </w:tc>
        <w:tc>
          <w:tcPr>
            <w:tcW w:w="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567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1,167</w:t>
            </w:r>
          </w:p>
        </w:tc>
        <w:tc>
          <w:tcPr>
            <w:tcW w:w="42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19,591</w:t>
            </w:r>
          </w:p>
        </w:tc>
        <w:tc>
          <w:tcPr>
            <w:tcW w:w="0" w:type="dxa"/>
            <w:vAlign w:val="bottom"/>
          </w:tcPr>
          <w:p>
            <w:pPr>
              <w:spacing w:after="0"/>
              <w:rPr>
                <w:sz w:val="1"/>
                <w:szCs w:val="1"/>
                <w:color w:val="auto"/>
              </w:rPr>
            </w:pPr>
          </w:p>
        </w:tc>
      </w:tr>
      <w:tr>
        <w:trPr>
          <w:trHeight w:val="204"/>
        </w:trPr>
        <w:tc>
          <w:tcPr>
            <w:tcW w:w="1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Charge Offs</w:t>
            </w: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0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140" w:type="dxa"/>
            <w:vAlign w:val="bottom"/>
          </w:tcPr>
          <w:p>
            <w:pPr>
              <w:spacing w:after="0"/>
              <w:rPr>
                <w:sz w:val="17"/>
                <w:szCs w:val="17"/>
                <w:color w:val="auto"/>
              </w:rPr>
            </w:pPr>
          </w:p>
        </w:tc>
        <w:tc>
          <w:tcPr>
            <w:tcW w:w="108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66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0" w:type="dxa"/>
            <w:vAlign w:val="bottom"/>
          </w:tcPr>
          <w:p>
            <w:pPr>
              <w:spacing w:after="0"/>
              <w:rPr>
                <w:sz w:val="1"/>
                <w:szCs w:val="1"/>
                <w:color w:val="auto"/>
              </w:rPr>
            </w:pPr>
          </w:p>
        </w:tc>
      </w:tr>
      <w:tr>
        <w:trPr>
          <w:trHeight w:val="204"/>
        </w:trPr>
        <w:tc>
          <w:tcPr>
            <w:tcW w:w="1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Recoveries</w:t>
            </w:r>
          </w:p>
        </w:tc>
        <w:tc>
          <w:tcPr>
            <w:tcW w:w="1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FF0FC"/>
          </w:tcPr>
          <w:p>
            <w:pPr>
              <w:spacing w:after="0"/>
              <w:rPr>
                <w:sz w:val="17"/>
                <w:szCs w:val="17"/>
                <w:color w:val="auto"/>
              </w:rPr>
            </w:pPr>
          </w:p>
        </w:tc>
        <w:tc>
          <w:tcPr>
            <w:tcW w:w="108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4"/>
        </w:trPr>
        <w:tc>
          <w:tcPr>
            <w:tcW w:w="1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(Credit)</w:t>
            </w: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260" w:type="dxa"/>
            <w:vAlign w:val="bottom"/>
          </w:tcPr>
          <w:p>
            <w:pPr>
              <w:spacing w:after="0"/>
              <w:rPr>
                <w:sz w:val="17"/>
                <w:szCs w:val="17"/>
                <w:color w:val="auto"/>
              </w:rPr>
            </w:pPr>
          </w:p>
        </w:tc>
        <w:tc>
          <w:tcPr>
            <w:tcW w:w="8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17"/>
                <w:szCs w:val="17"/>
                <w:color w:val="auto"/>
              </w:rPr>
            </w:pPr>
          </w:p>
        </w:tc>
        <w:tc>
          <w:tcPr>
            <w:tcW w:w="8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7"/>
                <w:szCs w:val="17"/>
                <w:color w:val="auto"/>
              </w:rPr>
            </w:pPr>
          </w:p>
        </w:tc>
        <w:tc>
          <w:tcPr>
            <w:tcW w:w="90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1,122</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297</w:t>
            </w:r>
          </w:p>
        </w:tc>
        <w:tc>
          <w:tcPr>
            <w:tcW w:w="240" w:type="dxa"/>
            <w:vAlign w:val="bottom"/>
          </w:tcPr>
          <w:p>
            <w:pPr>
              <w:spacing w:after="0"/>
              <w:rPr>
                <w:sz w:val="17"/>
                <w:szCs w:val="17"/>
                <w:color w:val="auto"/>
              </w:rPr>
            </w:pPr>
          </w:p>
        </w:tc>
        <w:tc>
          <w:tcPr>
            <w:tcW w:w="7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246</w:t>
            </w:r>
          </w:p>
        </w:tc>
        <w:tc>
          <w:tcPr>
            <w:tcW w:w="140" w:type="dxa"/>
            <w:vAlign w:val="bottom"/>
          </w:tcPr>
          <w:p>
            <w:pPr>
              <w:spacing w:after="0"/>
              <w:rPr>
                <w:sz w:val="17"/>
                <w:szCs w:val="17"/>
                <w:color w:val="auto"/>
              </w:rPr>
            </w:pPr>
          </w:p>
        </w:tc>
        <w:tc>
          <w:tcPr>
            <w:tcW w:w="108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4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1,637</w:t>
            </w:r>
          </w:p>
        </w:tc>
        <w:tc>
          <w:tcPr>
            <w:tcW w:w="0" w:type="dxa"/>
            <w:vAlign w:val="bottom"/>
          </w:tcPr>
          <w:p>
            <w:pPr>
              <w:spacing w:after="0"/>
              <w:rPr>
                <w:sz w:val="1"/>
                <w:szCs w:val="1"/>
                <w:color w:val="auto"/>
              </w:rPr>
            </w:pPr>
          </w:p>
        </w:tc>
      </w:tr>
      <w:tr>
        <w:trPr>
          <w:trHeight w:val="153"/>
        </w:trPr>
        <w:tc>
          <w:tcPr>
            <w:tcW w:w="1720" w:type="dxa"/>
            <w:vAlign w:val="bottom"/>
            <w:shd w:val="clear" w:color="auto" w:fill="CFF0FC"/>
          </w:tcPr>
          <w:p>
            <w:pPr>
              <w:ind w:left="180"/>
              <w:spacing w:after="0" w:line="154" w:lineRule="exact"/>
              <w:rPr>
                <w:sz w:val="20"/>
                <w:szCs w:val="20"/>
                <w:color w:val="auto"/>
              </w:rPr>
            </w:pPr>
            <w:r>
              <w:rPr>
                <w:rFonts w:ascii="Times New Roman" w:cs="Times New Roman" w:eastAsia="Times New Roman" w:hAnsi="Times New Roman"/>
                <w:sz w:val="17"/>
                <w:szCs w:val="17"/>
                <w:color w:val="auto"/>
              </w:rPr>
              <w:t>Other Non-interest</w:t>
            </w:r>
          </w:p>
        </w:tc>
        <w:tc>
          <w:tcPr>
            <w:tcW w:w="180" w:type="dxa"/>
            <w:vAlign w:val="bottom"/>
            <w:shd w:val="clear" w:color="auto" w:fill="CFF0FC"/>
          </w:tcPr>
          <w:p>
            <w:pPr>
              <w:spacing w:after="0"/>
              <w:rPr>
                <w:sz w:val="13"/>
                <w:szCs w:val="13"/>
                <w:color w:val="auto"/>
              </w:rPr>
            </w:pPr>
          </w:p>
        </w:tc>
        <w:tc>
          <w:tcPr>
            <w:tcW w:w="780" w:type="dxa"/>
            <w:vAlign w:val="bottom"/>
            <w:tcBorders>
              <w:right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tcBorders>
              <w:right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tcBorders>
              <w:right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tcBorders>
              <w:right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tcBorders>
              <w:right w:val="single" w:sz="8" w:color="auto"/>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6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expense related to</w:t>
            </w:r>
          </w:p>
        </w:tc>
        <w:tc>
          <w:tcPr>
            <w:tcW w:w="18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tcBorders>
              <w:right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tcBorders>
              <w:right w:val="single" w:sz="8" w:color="auto"/>
            </w:tcBorders>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6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197"/>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926</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356</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11,551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5,670</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1,118</w:t>
            </w: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21,108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7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spacing w:after="0"/>
              <w:rPr>
                <w:sz w:val="11"/>
                <w:szCs w:val="11"/>
                <w:color w:val="auto"/>
              </w:rPr>
            </w:pPr>
          </w:p>
        </w:tc>
        <w:tc>
          <w:tcPr>
            <w:tcW w:w="780" w:type="dxa"/>
            <w:vAlign w:val="bottom"/>
            <w:tcBorders>
              <w:right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tcBorders>
              <w:right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tcBorders>
              <w:right w:val="single" w:sz="8" w:color="auto"/>
            </w:tcBorders>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7"/>
                <w:szCs w:val="17"/>
                <w:color w:val="auto"/>
              </w:rPr>
              <w:t>individually evaluated</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1,936</w:t>
            </w:r>
          </w:p>
        </w:tc>
        <w:tc>
          <w:tcPr>
            <w:tcW w:w="2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2,436</w:t>
            </w:r>
          </w:p>
        </w:tc>
        <w:tc>
          <w:tcPr>
            <w:tcW w:w="0" w:type="dxa"/>
            <w:vAlign w:val="bottom"/>
          </w:tcPr>
          <w:p>
            <w:pPr>
              <w:spacing w:after="0"/>
              <w:rPr>
                <w:sz w:val="1"/>
                <w:szCs w:val="1"/>
                <w:color w:val="auto"/>
              </w:rPr>
            </w:pPr>
          </w:p>
        </w:tc>
      </w:tr>
      <w:tr>
        <w:trPr>
          <w:trHeight w:val="255"/>
        </w:trPr>
        <w:tc>
          <w:tcPr>
            <w:tcW w:w="1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shd w:val="clear" w:color="auto" w:fill="CFF0FC"/>
          </w:tcPr>
          <w:p>
            <w:pPr>
              <w:spacing w:after="0"/>
              <w:rPr>
                <w:sz w:val="22"/>
                <w:szCs w:val="22"/>
                <w:color w:val="auto"/>
              </w:rPr>
            </w:pPr>
          </w:p>
        </w:tc>
        <w:tc>
          <w:tcPr>
            <w:tcW w:w="78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260" w:type="dxa"/>
            <w:vAlign w:val="bottom"/>
            <w:tcBorders>
              <w:bottom w:val="single" w:sz="8" w:color="auto"/>
            </w:tcBorders>
            <w:vMerge w:val="continue"/>
            <w:shd w:val="clear" w:color="auto" w:fill="CFF0FC"/>
          </w:tcPr>
          <w:p>
            <w:pPr>
              <w:spacing w:after="0"/>
              <w:rPr>
                <w:sz w:val="22"/>
                <w:szCs w:val="22"/>
                <w:color w:val="auto"/>
              </w:rPr>
            </w:pPr>
          </w:p>
        </w:tc>
        <w:tc>
          <w:tcPr>
            <w:tcW w:w="82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240" w:type="dxa"/>
            <w:vAlign w:val="bottom"/>
            <w:tcBorders>
              <w:bottom w:val="single" w:sz="8" w:color="auto"/>
            </w:tcBorders>
            <w:vMerge w:val="continue"/>
            <w:shd w:val="clear" w:color="auto" w:fill="CFF0FC"/>
          </w:tcPr>
          <w:p>
            <w:pPr>
              <w:spacing w:after="0"/>
              <w:rPr>
                <w:sz w:val="22"/>
                <w:szCs w:val="22"/>
                <w:color w:val="auto"/>
              </w:rPr>
            </w:pPr>
          </w:p>
        </w:tc>
        <w:tc>
          <w:tcPr>
            <w:tcW w:w="82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90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94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240" w:type="dxa"/>
            <w:vAlign w:val="bottom"/>
            <w:tcBorders>
              <w:bottom w:val="single" w:sz="8" w:color="auto"/>
            </w:tcBorders>
            <w:vMerge w:val="continue"/>
            <w:shd w:val="clear" w:color="auto" w:fill="CFF0FC"/>
          </w:tcPr>
          <w:p>
            <w:pPr>
              <w:spacing w:after="0"/>
              <w:rPr>
                <w:sz w:val="22"/>
                <w:szCs w:val="22"/>
                <w:color w:val="auto"/>
              </w:rPr>
            </w:pPr>
          </w:p>
        </w:tc>
        <w:tc>
          <w:tcPr>
            <w:tcW w:w="72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108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420" w:type="dxa"/>
            <w:vAlign w:val="bottom"/>
            <w:tcBorders>
              <w:bottom w:val="single" w:sz="8" w:color="auto"/>
            </w:tcBorders>
            <w:vMerge w:val="continue"/>
            <w:shd w:val="clear" w:color="auto" w:fill="CFF0FC"/>
          </w:tcPr>
          <w:p>
            <w:pPr>
              <w:spacing w:after="0"/>
              <w:rPr>
                <w:sz w:val="22"/>
                <w:szCs w:val="22"/>
                <w:color w:val="auto"/>
              </w:rPr>
            </w:pPr>
          </w:p>
        </w:tc>
        <w:tc>
          <w:tcPr>
            <w:tcW w:w="660" w:type="dxa"/>
            <w:vAlign w:val="bottom"/>
            <w:tcBorders>
              <w:bottom w:val="single" w:sz="8" w:color="auto"/>
              <w:right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840" w:type="dxa"/>
            <w:vAlign w:val="bottom"/>
            <w:tcBorders>
              <w:bottom w:val="single" w:sz="8" w:color="auto"/>
            </w:tcBorders>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1720" w:type="dxa"/>
            <w:vAlign w:val="bottom"/>
          </w:tcPr>
          <w:p>
            <w:pPr>
              <w:ind w:left="20"/>
              <w:spacing w:after="0" w:line="112" w:lineRule="exact"/>
              <w:rPr>
                <w:sz w:val="20"/>
                <w:szCs w:val="20"/>
                <w:color w:val="auto"/>
              </w:rPr>
            </w:pPr>
            <w:r>
              <w:rPr>
                <w:rFonts w:ascii="Times New Roman" w:cs="Times New Roman" w:eastAsia="Times New Roman" w:hAnsi="Times New Roman"/>
                <w:sz w:val="12"/>
                <w:szCs w:val="12"/>
                <w:color w:val="auto"/>
              </w:rPr>
              <w:t>Ending balance:</w:t>
            </w: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collectively evaluated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926</w:t>
            </w:r>
          </w:p>
        </w:tc>
        <w:tc>
          <w:tcPr>
            <w:tcW w:w="26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356</w:t>
            </w: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756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11,051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3,734</w:t>
            </w:r>
          </w:p>
        </w:tc>
        <w:tc>
          <w:tcPr>
            <w:tcW w:w="2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725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1,118</w:t>
            </w:r>
          </w:p>
        </w:tc>
        <w:tc>
          <w:tcPr>
            <w:tcW w:w="42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18,672</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7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rPr>
              <w:t>Ending balance: loans</w:t>
            </w:r>
          </w:p>
        </w:tc>
        <w:tc>
          <w:tcPr>
            <w:tcW w:w="180" w:type="dxa"/>
            <w:vAlign w:val="bottom"/>
            <w:shd w:val="clear" w:color="auto" w:fill="CFF0FC"/>
          </w:tcPr>
          <w:p>
            <w:pPr>
              <w:spacing w:after="0"/>
              <w:rPr>
                <w:sz w:val="11"/>
                <w:szCs w:val="11"/>
                <w:color w:val="auto"/>
              </w:rPr>
            </w:pPr>
          </w:p>
        </w:tc>
        <w:tc>
          <w:tcPr>
            <w:tcW w:w="780" w:type="dxa"/>
            <w:vAlign w:val="bottom"/>
            <w:tcBorders>
              <w:right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tcBorders>
              <w:right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tcBorders>
              <w:right w:val="single" w:sz="8" w:color="auto"/>
            </w:tcBorders>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7"/>
                <w:szCs w:val="17"/>
                <w:color w:val="auto"/>
              </w:rPr>
              <w:t>acquired with</w:t>
            </w:r>
          </w:p>
        </w:tc>
        <w:tc>
          <w:tcPr>
            <w:tcW w:w="180" w:type="dxa"/>
            <w:vAlign w:val="bottom"/>
            <w:shd w:val="clear" w:color="auto" w:fill="CFF0FC"/>
          </w:tcPr>
          <w:p>
            <w:pPr>
              <w:spacing w:after="0"/>
              <w:rPr>
                <w:sz w:val="15"/>
                <w:szCs w:val="15"/>
                <w:color w:val="auto"/>
              </w:rPr>
            </w:pPr>
          </w:p>
        </w:tc>
        <w:tc>
          <w:tcPr>
            <w:tcW w:w="7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tcBorders>
              <w:right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tcBorders>
              <w:right w:val="single" w:sz="8" w:color="auto"/>
            </w:tcBorders>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6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FF0FC"/>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quality</w:t>
            </w: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82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82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90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72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66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72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1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8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416,044</w:t>
            </w:r>
          </w:p>
        </w:tc>
        <w:tc>
          <w:tcPr>
            <w:tcW w:w="2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204,787</w:t>
            </w: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128,818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1,061,904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260,000</w:t>
            </w:r>
          </w:p>
        </w:tc>
        <w:tc>
          <w:tcPr>
            <w:tcW w:w="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71,063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2,142,616</w:t>
            </w:r>
          </w:p>
        </w:tc>
        <w:tc>
          <w:tcPr>
            <w:tcW w:w="0" w:type="dxa"/>
            <w:vAlign w:val="bottom"/>
          </w:tcPr>
          <w:p>
            <w:pPr>
              <w:spacing w:after="0"/>
              <w:rPr>
                <w:sz w:val="1"/>
                <w:szCs w:val="1"/>
                <w:color w:val="auto"/>
              </w:rPr>
            </w:pPr>
          </w:p>
        </w:tc>
      </w:tr>
      <w:tr>
        <w:trPr>
          <w:trHeight w:val="132"/>
        </w:trPr>
        <w:tc>
          <w:tcPr>
            <w:tcW w:w="172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individually evaluated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624</w:t>
            </w:r>
          </w:p>
        </w:tc>
        <w:tc>
          <w:tcPr>
            <w:tcW w:w="26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2,588</w:t>
            </w: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1,334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4,187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2,003</w:t>
            </w:r>
          </w:p>
        </w:tc>
        <w:tc>
          <w:tcPr>
            <w:tcW w:w="2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10,753</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7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spacing w:after="0"/>
              <w:rPr>
                <w:sz w:val="11"/>
                <w:szCs w:val="11"/>
                <w:color w:val="auto"/>
              </w:rPr>
            </w:pPr>
          </w:p>
        </w:tc>
        <w:tc>
          <w:tcPr>
            <w:tcW w:w="780" w:type="dxa"/>
            <w:vAlign w:val="bottom"/>
            <w:tcBorders>
              <w:right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tcBorders>
              <w:right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tcBorders>
              <w:right w:val="single" w:sz="8" w:color="auto"/>
            </w:tcBorders>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7"/>
                <w:szCs w:val="17"/>
                <w:color w:val="auto"/>
              </w:rPr>
              <w:t>collectively evaluated</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414,951</w:t>
            </w:r>
          </w:p>
        </w:tc>
        <w:tc>
          <w:tcPr>
            <w:tcW w:w="26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202,003</w:t>
            </w: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127,484</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1,057,699</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257,948</w:t>
            </w:r>
          </w:p>
        </w:tc>
        <w:tc>
          <w:tcPr>
            <w:tcW w:w="2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71,046</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2,131,131</w:t>
            </w:r>
          </w:p>
        </w:tc>
        <w:tc>
          <w:tcPr>
            <w:tcW w:w="0" w:type="dxa"/>
            <w:vAlign w:val="bottom"/>
          </w:tcPr>
          <w:p>
            <w:pPr>
              <w:spacing w:after="0"/>
              <w:rPr>
                <w:sz w:val="1"/>
                <w:szCs w:val="1"/>
                <w:color w:val="auto"/>
              </w:rPr>
            </w:pPr>
          </w:p>
        </w:tc>
      </w:tr>
      <w:tr>
        <w:trPr>
          <w:trHeight w:val="235"/>
        </w:trPr>
        <w:tc>
          <w:tcPr>
            <w:tcW w:w="1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82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82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90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72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660" w:type="dxa"/>
            <w:vAlign w:val="bottom"/>
            <w:tcBorders>
              <w:bottom w:val="single" w:sz="8" w:color="auto"/>
              <w:right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72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rPr>
              <w:t>Ending balance: loans</w:t>
            </w:r>
          </w:p>
        </w:tc>
        <w:tc>
          <w:tcPr>
            <w:tcW w:w="1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acquired with</w:t>
            </w: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20" w:type="dxa"/>
            <w:vAlign w:val="bottom"/>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469</w:t>
            </w:r>
          </w:p>
        </w:tc>
        <w:tc>
          <w:tcPr>
            <w:tcW w:w="26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196</w:t>
            </w: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49</w:t>
            </w:r>
          </w:p>
        </w:tc>
        <w:tc>
          <w:tcPr>
            <w:tcW w:w="2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quality</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79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color w:val="auto"/>
                <w:w w:val="99"/>
              </w:rPr>
              <w:t>Unfunded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75"/>
              <w:spacing w:after="0" w:line="179" w:lineRule="exact"/>
              <w:rPr>
                <w:sz w:val="20"/>
                <w:szCs w:val="20"/>
                <w:color w:val="auto"/>
              </w:rPr>
            </w:pPr>
            <w:r>
              <w:rPr>
                <w:rFonts w:ascii="Times New Roman" w:cs="Times New Roman" w:eastAsia="Times New Roman" w:hAnsi="Times New Roman"/>
                <w:sz w:val="17"/>
                <w:szCs w:val="17"/>
                <w:color w:val="auto"/>
                <w:w w:val="97"/>
              </w:rPr>
              <w:t>Loan</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rPr>
                <w:sz w:val="15"/>
                <w:szCs w:val="15"/>
                <w:color w:val="auto"/>
              </w:rPr>
            </w:pPr>
          </w:p>
        </w:tc>
        <w:tc>
          <w:tcPr>
            <w:tcW w:w="7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5"/>
              <w:spacing w:after="0" w:line="179" w:lineRule="exact"/>
              <w:rPr>
                <w:sz w:val="20"/>
                <w:szCs w:val="20"/>
                <w:color w:val="auto"/>
              </w:rPr>
            </w:pPr>
            <w:r>
              <w:rPr>
                <w:rFonts w:ascii="Times New Roman" w:cs="Times New Roman" w:eastAsia="Times New Roman" w:hAnsi="Times New Roman"/>
                <w:sz w:val="17"/>
                <w:szCs w:val="17"/>
                <w:color w:val="auto"/>
              </w:rPr>
              <w:t>Real</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95"/>
              <w:spacing w:after="0" w:line="179" w:lineRule="exact"/>
              <w:rPr>
                <w:sz w:val="20"/>
                <w:szCs w:val="20"/>
                <w:color w:val="auto"/>
              </w:rPr>
            </w:pPr>
            <w:r>
              <w:rPr>
                <w:rFonts w:ascii="Times New Roman" w:cs="Times New Roman" w:eastAsia="Times New Roman" w:hAnsi="Times New Roman"/>
                <w:sz w:val="17"/>
                <w:szCs w:val="17"/>
                <w:color w:val="auto"/>
              </w:rPr>
              <w:t>and</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w w:val="98"/>
              </w:rPr>
              <w:t>&amp; Letters of</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Estate</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Real Estate</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Real Estate</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Industrial</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w w:val="98"/>
              </w:rPr>
              <w:t>Credit</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Unallocated</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b w:val="1"/>
                <w:bCs w:val="1"/>
                <w:color w:val="auto"/>
              </w:rPr>
              <w:t>ALLOWANCE FOR</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9,130</w:t>
            </w: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86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 for</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26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20" w:type="dxa"/>
            <w:vAlign w:val="bottom"/>
            <w:tcBorders>
              <w:right w:val="single" w:sz="8" w:color="auto"/>
            </w:tcBorders>
            <w:shd w:val="clear" w:color="auto" w:fill="CFF0FC"/>
          </w:tcPr>
          <w:p>
            <w:pPr>
              <w:spacing w:after="0"/>
              <w:rPr>
                <w:sz w:val="15"/>
                <w:szCs w:val="15"/>
                <w:color w:val="auto"/>
              </w:rPr>
            </w:pPr>
          </w:p>
        </w:tc>
        <w:tc>
          <w:tcPr>
            <w:tcW w:w="260" w:type="dxa"/>
            <w:vAlign w:val="bottom"/>
            <w:gridSpan w:val="2"/>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shd w:val="clear" w:color="auto" w:fill="CFF0FC"/>
          </w:tcPr>
          <w:p>
            <w:pPr>
              <w:spacing w:after="0"/>
              <w:rPr>
                <w:sz w:val="15"/>
                <w:szCs w:val="15"/>
                <w:color w:val="auto"/>
              </w:rPr>
            </w:pPr>
          </w:p>
        </w:tc>
        <w:tc>
          <w:tcPr>
            <w:tcW w:w="28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40" w:type="dxa"/>
            <w:vAlign w:val="bottom"/>
            <w:tcBorders>
              <w:right w:val="single" w:sz="8" w:color="auto"/>
            </w:tcBorders>
            <w:shd w:val="clear" w:color="auto" w:fill="CFF0FC"/>
          </w:tcPr>
          <w:p>
            <w:pPr>
              <w:spacing w:after="0"/>
              <w:rPr>
                <w:sz w:val="15"/>
                <w:szCs w:val="15"/>
                <w:color w:val="auto"/>
              </w:rPr>
            </w:pPr>
          </w:p>
        </w:tc>
        <w:tc>
          <w:tcPr>
            <w:tcW w:w="1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20" w:type="dxa"/>
            <w:vAlign w:val="bottom"/>
            <w:tcBorders>
              <w:right w:val="single" w:sz="8" w:color="auto"/>
            </w:tcBorders>
            <w:shd w:val="clear" w:color="auto" w:fill="CFF0FC"/>
          </w:tcPr>
          <w:p>
            <w:pPr>
              <w:spacing w:after="0"/>
              <w:rPr>
                <w:sz w:val="15"/>
                <w:szCs w:val="15"/>
                <w:color w:val="auto"/>
              </w:rPr>
            </w:pPr>
          </w:p>
        </w:tc>
        <w:tc>
          <w:tcPr>
            <w:tcW w:w="220" w:type="dxa"/>
            <w:vAlign w:val="bottom"/>
            <w:gridSpan w:val="2"/>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420" w:type="dxa"/>
            <w:vAlign w:val="bottom"/>
            <w:gridSpan w:val="2"/>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60" w:type="dxa"/>
            <w:vAlign w:val="bottom"/>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80" w:type="dxa"/>
            <w:vAlign w:val="bottom"/>
            <w:gridSpan w:val="2"/>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860" w:type="dxa"/>
            <w:vAlign w:val="bottom"/>
            <w:tcBorders>
              <w:top w:val="single" w:sz="8" w:color="CFF0FC"/>
            </w:tcBorders>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 for</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right w:val="single" w:sz="8" w:color="auto"/>
            </w:tcBorders>
          </w:tcPr>
          <w:p>
            <w:pPr>
              <w:spacing w:after="0"/>
              <w:rPr>
                <w:sz w:val="15"/>
                <w:szCs w:val="15"/>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8,466</w:t>
            </w:r>
          </w:p>
        </w:tc>
        <w:tc>
          <w:tcPr>
            <w:tcW w:w="140" w:type="dxa"/>
            <w:vAlign w:val="bottom"/>
            <w:tcBorders>
              <w:right w:val="single" w:sz="8" w:color="auto"/>
            </w:tcBorders>
          </w:tcPr>
          <w:p>
            <w:pPr>
              <w:spacing w:after="0"/>
              <w:rPr>
                <w:sz w:val="15"/>
                <w:szCs w:val="15"/>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40" w:type="dxa"/>
            <w:vAlign w:val="bottom"/>
            <w:tcBorders>
              <w:right w:val="single" w:sz="8" w:color="auto"/>
            </w:tcBorders>
          </w:tcPr>
          <w:p>
            <w:pPr>
              <w:spacing w:after="0"/>
              <w:rPr>
                <w:sz w:val="15"/>
                <w:szCs w:val="15"/>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20" w:type="dxa"/>
            <w:vAlign w:val="bottom"/>
            <w:tcBorders>
              <w:right w:val="single" w:sz="8" w:color="auto"/>
            </w:tcBorders>
          </w:tcPr>
          <w:p>
            <w:pPr>
              <w:spacing w:after="0"/>
              <w:rPr>
                <w:sz w:val="15"/>
                <w:szCs w:val="15"/>
                <w:color w:val="auto"/>
              </w:rPr>
            </w:pPr>
          </w:p>
        </w:tc>
        <w:tc>
          <w:tcPr>
            <w:tcW w:w="420" w:type="dxa"/>
            <w:vAlign w:val="bottom"/>
            <w:gridSpan w:val="2"/>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right w:val="single" w:sz="8" w:color="auto"/>
            </w:tcBorders>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15,099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86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 deteriorated</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right w:val="single" w:sz="8" w:color="auto"/>
            </w:tcBorders>
            <w:shd w:val="clear" w:color="auto" w:fill="CFF0FC"/>
          </w:tcPr>
          <w:p>
            <w:pPr>
              <w:spacing w:after="0"/>
              <w:rPr>
                <w:sz w:val="15"/>
                <w:szCs w:val="15"/>
                <w:color w:val="auto"/>
              </w:rPr>
            </w:pPr>
          </w:p>
        </w:tc>
        <w:tc>
          <w:tcPr>
            <w:tcW w:w="26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260" w:type="dxa"/>
            <w:vAlign w:val="bottom"/>
            <w:gridSpan w:val="2"/>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28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220" w:type="dxa"/>
            <w:vAlign w:val="bottom"/>
            <w:gridSpan w:val="2"/>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420" w:type="dxa"/>
            <w:vAlign w:val="bottom"/>
            <w:gridSpan w:val="2"/>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60" w:type="dxa"/>
            <w:vAlign w:val="bottom"/>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credit quality</w:t>
            </w:r>
          </w:p>
        </w:tc>
        <w:tc>
          <w:tcPr>
            <w:tcW w:w="140" w:type="dxa"/>
            <w:vAlign w:val="bottom"/>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80" w:type="dxa"/>
            <w:vAlign w:val="bottom"/>
            <w:gridSpan w:val="2"/>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860" w:type="dxa"/>
            <w:vAlign w:val="bottom"/>
            <w:tcBorders>
              <w:top w:val="single" w:sz="8" w:color="CFF0FC"/>
            </w:tcBorders>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395,805</w:t>
            </w: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198,033</w:t>
            </w:r>
          </w:p>
        </w:tc>
        <w:tc>
          <w:tcPr>
            <w:tcW w:w="12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118,504</w:t>
            </w:r>
          </w:p>
        </w:tc>
        <w:tc>
          <w:tcPr>
            <w:tcW w:w="120" w:type="dxa"/>
            <w:vAlign w:val="bottom"/>
            <w:tcBorders>
              <w:right w:val="single" w:sz="8" w:color="auto"/>
            </w:tcBorders>
            <w:shd w:val="clear" w:color="auto" w:fill="CFF0FC"/>
          </w:tcPr>
          <w:p>
            <w:pPr>
              <w:spacing w:after="0"/>
              <w:rPr>
                <w:sz w:val="21"/>
                <w:szCs w:val="21"/>
                <w:color w:val="auto"/>
              </w:rPr>
            </w:pP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847,110</w:t>
            </w:r>
          </w:p>
        </w:tc>
        <w:tc>
          <w:tcPr>
            <w:tcW w:w="140" w:type="dxa"/>
            <w:vAlign w:val="bottom"/>
            <w:tcBorders>
              <w:right w:val="single" w:sz="8" w:color="auto"/>
            </w:tcBorders>
            <w:shd w:val="clear" w:color="auto" w:fill="CFF0FC"/>
          </w:tcPr>
          <w:p>
            <w:pPr>
              <w:spacing w:after="0"/>
              <w:rPr>
                <w:sz w:val="21"/>
                <w:szCs w:val="21"/>
                <w:color w:val="auto"/>
              </w:rPr>
            </w:pPr>
          </w:p>
        </w:tc>
        <w:tc>
          <w:tcPr>
            <w:tcW w:w="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240,138</w:t>
            </w:r>
          </w:p>
        </w:tc>
        <w:tc>
          <w:tcPr>
            <w:tcW w:w="12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57,829</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420" w:type="dxa"/>
            <w:vAlign w:val="bottom"/>
            <w:gridSpan w:val="2"/>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1,857,419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860" w:type="dxa"/>
            <w:vAlign w:val="bottom"/>
            <w:tcBorders>
              <w:top w:val="single" w:sz="8" w:color="CFF0FC"/>
            </w:tcBorders>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 for</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6,725</w:t>
            </w: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right w:val="single" w:sz="8" w:color="auto"/>
            </w:tcBorders>
          </w:tcPr>
          <w:p>
            <w:pPr>
              <w:spacing w:after="0"/>
              <w:rPr>
                <w:sz w:val="15"/>
                <w:szCs w:val="15"/>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3,561</w:t>
            </w:r>
          </w:p>
        </w:tc>
        <w:tc>
          <w:tcPr>
            <w:tcW w:w="140" w:type="dxa"/>
            <w:vAlign w:val="bottom"/>
            <w:tcBorders>
              <w:right w:val="single" w:sz="8" w:color="auto"/>
            </w:tcBorders>
          </w:tcPr>
          <w:p>
            <w:pPr>
              <w:spacing w:after="0"/>
              <w:rPr>
                <w:sz w:val="15"/>
                <w:szCs w:val="15"/>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right w:val="single" w:sz="8" w:color="auto"/>
            </w:tcBorders>
          </w:tcPr>
          <w:p>
            <w:pPr>
              <w:spacing w:after="0"/>
              <w:rPr>
                <w:sz w:val="15"/>
                <w:szCs w:val="15"/>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420" w:type="dxa"/>
            <w:vAlign w:val="bottom"/>
            <w:gridSpan w:val="2"/>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11,939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86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 for</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394,489</w:t>
            </w:r>
          </w:p>
        </w:tc>
        <w:tc>
          <w:tcPr>
            <w:tcW w:w="120" w:type="dxa"/>
            <w:vAlign w:val="bottom"/>
            <w:tcBorders>
              <w:right w:val="single" w:sz="8" w:color="auto"/>
            </w:tcBorders>
            <w:shd w:val="clear" w:color="auto" w:fill="CFF0FC"/>
          </w:tcPr>
          <w:p>
            <w:pPr>
              <w:spacing w:after="0"/>
              <w:rPr>
                <w:sz w:val="15"/>
                <w:szCs w:val="15"/>
                <w:color w:val="auto"/>
              </w:rPr>
            </w:pPr>
          </w:p>
        </w:tc>
        <w:tc>
          <w:tcPr>
            <w:tcW w:w="26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191,107</w:t>
            </w:r>
          </w:p>
        </w:tc>
        <w:tc>
          <w:tcPr>
            <w:tcW w:w="120" w:type="dxa"/>
            <w:vAlign w:val="bottom"/>
            <w:tcBorders>
              <w:right w:val="single" w:sz="8" w:color="auto"/>
            </w:tcBorders>
            <w:shd w:val="clear" w:color="auto" w:fill="CFF0FC"/>
          </w:tcPr>
          <w:p>
            <w:pPr>
              <w:spacing w:after="0"/>
              <w:rPr>
                <w:sz w:val="15"/>
                <w:szCs w:val="15"/>
                <w:color w:val="auto"/>
              </w:rPr>
            </w:pPr>
          </w:p>
        </w:tc>
        <w:tc>
          <w:tcPr>
            <w:tcW w:w="260" w:type="dxa"/>
            <w:vAlign w:val="bottom"/>
            <w:gridSpan w:val="2"/>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118,484</w:t>
            </w:r>
          </w:p>
        </w:tc>
        <w:tc>
          <w:tcPr>
            <w:tcW w:w="120" w:type="dxa"/>
            <w:vAlign w:val="bottom"/>
            <w:tcBorders>
              <w:right w:val="single" w:sz="8" w:color="auto"/>
            </w:tcBorders>
            <w:shd w:val="clear" w:color="auto" w:fill="CFF0FC"/>
          </w:tcPr>
          <w:p>
            <w:pPr>
              <w:spacing w:after="0"/>
              <w:rPr>
                <w:sz w:val="15"/>
                <w:szCs w:val="15"/>
                <w:color w:val="auto"/>
              </w:rPr>
            </w:pPr>
          </w:p>
        </w:tc>
        <w:tc>
          <w:tcPr>
            <w:tcW w:w="28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843,299</w:t>
            </w:r>
          </w:p>
        </w:tc>
        <w:tc>
          <w:tcPr>
            <w:tcW w:w="140" w:type="dxa"/>
            <w:vAlign w:val="bottom"/>
            <w:tcBorders>
              <w:right w:val="single" w:sz="8" w:color="auto"/>
            </w:tcBorders>
            <w:shd w:val="clear" w:color="auto" w:fill="CFF0FC"/>
          </w:tcPr>
          <w:p>
            <w:pPr>
              <w:spacing w:after="0"/>
              <w:rPr>
                <w:sz w:val="15"/>
                <w:szCs w:val="15"/>
                <w:color w:val="auto"/>
              </w:rPr>
            </w:pPr>
          </w:p>
        </w:tc>
        <w:tc>
          <w:tcPr>
            <w:tcW w:w="1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238,849</w:t>
            </w:r>
          </w:p>
        </w:tc>
        <w:tc>
          <w:tcPr>
            <w:tcW w:w="120" w:type="dxa"/>
            <w:vAlign w:val="bottom"/>
            <w:tcBorders>
              <w:right w:val="single" w:sz="8" w:color="auto"/>
            </w:tcBorders>
            <w:shd w:val="clear" w:color="auto" w:fill="CFF0FC"/>
          </w:tcPr>
          <w:p>
            <w:pPr>
              <w:spacing w:after="0"/>
              <w:rPr>
                <w:sz w:val="15"/>
                <w:szCs w:val="15"/>
                <w:color w:val="auto"/>
              </w:rPr>
            </w:pPr>
          </w:p>
        </w:tc>
        <w:tc>
          <w:tcPr>
            <w:tcW w:w="220" w:type="dxa"/>
            <w:vAlign w:val="bottom"/>
            <w:gridSpan w:val="2"/>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57,803</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420" w:type="dxa"/>
            <w:vAlign w:val="bottom"/>
            <w:gridSpan w:val="2"/>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1,844,031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60" w:type="dxa"/>
            <w:vAlign w:val="bottom"/>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80" w:type="dxa"/>
            <w:vAlign w:val="bottom"/>
            <w:gridSpan w:val="2"/>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4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860" w:type="dxa"/>
            <w:vAlign w:val="bottom"/>
            <w:tcBorders>
              <w:top w:val="single" w:sz="8" w:color="CFF0FC"/>
            </w:tcBorders>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CFF0FC"/>
              <w:right w:val="single" w:sz="8" w:color="auto"/>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Borders>
              <w:right w:val="single" w:sz="8" w:color="auto"/>
            </w:tcBorders>
          </w:tcPr>
          <w:p>
            <w:pPr>
              <w:spacing w:after="0"/>
              <w:rPr>
                <w:sz w:val="15"/>
                <w:szCs w:val="15"/>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5"/>
                <w:szCs w:val="15"/>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420" w:type="dxa"/>
            <w:vAlign w:val="bottom"/>
            <w:gridSpan w:val="2"/>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-2830830</wp:posOffset>
            </wp:positionV>
            <wp:extent cx="5468620" cy="3816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68620" cy="381635"/>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-2117090</wp:posOffset>
            </wp:positionV>
            <wp:extent cx="5468620" cy="2679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468620" cy="26797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-1719580</wp:posOffset>
            </wp:positionV>
            <wp:extent cx="5468620" cy="3816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68620" cy="381635"/>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-1005205</wp:posOffset>
            </wp:positionV>
            <wp:extent cx="5468620" cy="4946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468620" cy="49466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80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ind w:right="95"/>
              <w:spacing w:after="0"/>
              <w:rPr>
                <w:sz w:val="20"/>
                <w:szCs w:val="20"/>
                <w:color w:val="auto"/>
              </w:rPr>
            </w:pPr>
            <w:r>
              <w:rPr>
                <w:rFonts w:ascii="Times New Roman" w:cs="Times New Roman" w:eastAsia="Times New Roman" w:hAnsi="Times New Roman"/>
                <w:sz w:val="17"/>
                <w:szCs w:val="17"/>
                <w:color w:val="auto"/>
                <w:w w:val="99"/>
              </w:rPr>
              <w:t>Unfunded</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15"/>
              <w:spacing w:after="0" w:line="179" w:lineRule="exact"/>
              <w:rPr>
                <w:sz w:val="20"/>
                <w:szCs w:val="20"/>
                <w:color w:val="auto"/>
              </w:rPr>
            </w:pPr>
            <w:r>
              <w:rPr>
                <w:rFonts w:ascii="Times New Roman" w:cs="Times New Roman" w:eastAsia="Times New Roman" w:hAnsi="Times New Roman"/>
                <w:sz w:val="17"/>
                <w:szCs w:val="17"/>
                <w:color w:val="auto"/>
                <w:w w:val="97"/>
              </w:rPr>
              <w:t>Loan</w:t>
            </w:r>
          </w:p>
        </w:tc>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14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95"/>
              <w:spacing w:after="0" w:line="179" w:lineRule="exact"/>
              <w:rPr>
                <w:sz w:val="20"/>
                <w:szCs w:val="20"/>
                <w:color w:val="auto"/>
              </w:rPr>
            </w:pPr>
            <w:r>
              <w:rPr>
                <w:rFonts w:ascii="Times New Roman" w:cs="Times New Roman" w:eastAsia="Times New Roman" w:hAnsi="Times New Roman"/>
                <w:sz w:val="17"/>
                <w:szCs w:val="17"/>
                <w:color w:val="auto"/>
              </w:rPr>
              <w:t>Consumer</w:t>
            </w:r>
          </w:p>
        </w:tc>
        <w:tc>
          <w:tcPr>
            <w:tcW w:w="1140" w:type="dxa"/>
            <w:vAlign w:val="bottom"/>
            <w:tcBorders>
              <w:right w:val="single" w:sz="8" w:color="auto"/>
            </w:tcBorders>
            <w:gridSpan w:val="2"/>
          </w:tcPr>
          <w:p>
            <w:pPr>
              <w:jc w:val="right"/>
              <w:ind w:right="115"/>
              <w:spacing w:after="0" w:line="179" w:lineRule="exact"/>
              <w:rPr>
                <w:sz w:val="20"/>
                <w:szCs w:val="20"/>
                <w:color w:val="auto"/>
              </w:rPr>
            </w:pPr>
            <w:r>
              <w:rPr>
                <w:rFonts w:ascii="Times New Roman" w:cs="Times New Roman" w:eastAsia="Times New Roman" w:hAnsi="Times New Roman"/>
                <w:sz w:val="17"/>
                <w:szCs w:val="17"/>
                <w:color w:val="auto"/>
              </w:rPr>
              <w:t>Agricultural</w:t>
            </w:r>
          </w:p>
        </w:tc>
        <w:tc>
          <w:tcPr>
            <w:tcW w:w="2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gridSpan w:val="2"/>
          </w:tcPr>
          <w:p>
            <w:pPr>
              <w:jc w:val="right"/>
              <w:ind w:right="115"/>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1160" w:type="dxa"/>
            <w:vAlign w:val="bottom"/>
            <w:tcBorders>
              <w:right w:val="single" w:sz="8" w:color="auto"/>
            </w:tcBorders>
            <w:gridSpan w:val="2"/>
          </w:tcPr>
          <w:p>
            <w:pPr>
              <w:jc w:val="right"/>
              <w:ind w:right="115"/>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95"/>
              <w:spacing w:after="0" w:line="179" w:lineRule="exact"/>
              <w:rPr>
                <w:sz w:val="20"/>
                <w:szCs w:val="20"/>
                <w:color w:val="auto"/>
              </w:rPr>
            </w:pPr>
            <w:r>
              <w:rPr>
                <w:rFonts w:ascii="Times New Roman" w:cs="Times New Roman" w:eastAsia="Times New Roman" w:hAnsi="Times New Roman"/>
                <w:sz w:val="17"/>
                <w:szCs w:val="17"/>
                <w:color w:val="auto"/>
              </w:rPr>
              <w:t>&amp; Letters of</w:t>
            </w:r>
          </w:p>
        </w:tc>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20" w:type="dxa"/>
            <w:vAlign w:val="bottom"/>
          </w:tcPr>
          <w:p>
            <w:pPr>
              <w:spacing w:after="0"/>
              <w:rPr>
                <w:sz w:val="19"/>
                <w:szCs w:val="19"/>
                <w:color w:val="auto"/>
              </w:rPr>
            </w:pPr>
          </w:p>
        </w:tc>
        <w:tc>
          <w:tcPr>
            <w:tcW w:w="9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Real Estate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8"/>
              </w:rPr>
              <w:t>Real Estate</w:t>
            </w:r>
          </w:p>
        </w:tc>
        <w:tc>
          <w:tcPr>
            <w:tcW w:w="1140" w:type="dxa"/>
            <w:vAlign w:val="bottom"/>
            <w:tcBorders>
              <w:bottom w:val="single" w:sz="8" w:color="auto"/>
              <w:right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Agricultural</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8"/>
              </w:rPr>
              <w:t>Real Estate</w:t>
            </w:r>
          </w:p>
        </w:tc>
        <w:tc>
          <w:tcPr>
            <w:tcW w:w="11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and Industrial</w:t>
            </w:r>
          </w:p>
        </w:tc>
        <w:tc>
          <w:tcPr>
            <w:tcW w:w="940" w:type="dxa"/>
            <w:vAlign w:val="bottom"/>
            <w:tcBorders>
              <w:bottom w:val="single" w:sz="8" w:color="auto"/>
              <w:right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w w:val="98"/>
              </w:rPr>
              <w:t>Credit</w:t>
            </w:r>
          </w:p>
        </w:tc>
        <w:tc>
          <w:tcPr>
            <w:tcW w:w="104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Unallocated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51"/>
        </w:trPr>
        <w:tc>
          <w:tcPr>
            <w:tcW w:w="162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shd w:val="clear" w:color="auto" w:fill="CFF0FC"/>
          </w:tcPr>
          <w:p>
            <w:pPr>
              <w:spacing w:after="0"/>
              <w:rPr>
                <w:sz w:val="13"/>
                <w:szCs w:val="13"/>
                <w:color w:val="auto"/>
              </w:rPr>
            </w:pPr>
          </w:p>
        </w:tc>
        <w:tc>
          <w:tcPr>
            <w:tcW w:w="7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Borders>
              <w:right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tcBorders>
              <w:right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00" w:type="dxa"/>
            <w:vAlign w:val="bottom"/>
            <w:tcBorders>
              <w:left w:val="single" w:sz="8" w:color="auto"/>
            </w:tcBorders>
            <w:shd w:val="clear" w:color="auto" w:fill="CFF0FC"/>
          </w:tcPr>
          <w:p>
            <w:pPr>
              <w:spacing w:after="0"/>
              <w:rPr>
                <w:sz w:val="13"/>
                <w:szCs w:val="13"/>
                <w:color w:val="auto"/>
              </w:rPr>
            </w:pPr>
          </w:p>
        </w:tc>
        <w:tc>
          <w:tcPr>
            <w:tcW w:w="640" w:type="dxa"/>
            <w:vAlign w:val="bottom"/>
            <w:tcBorders>
              <w:right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2021</w:t>
            </w:r>
          </w:p>
        </w:tc>
        <w:tc>
          <w:tcPr>
            <w:tcW w:w="18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tcBorders>
              <w:left w:val="single" w:sz="8" w:color="auto"/>
            </w:tcBorders>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6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ALLOWANCE FOR</w:t>
            </w:r>
          </w:p>
        </w:tc>
        <w:tc>
          <w:tcPr>
            <w:tcW w:w="1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1,217</w:t>
            </w:r>
          </w:p>
        </w:tc>
        <w:tc>
          <w:tcPr>
            <w:tcW w:w="2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720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8,831</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2,837</w:t>
            </w:r>
          </w:p>
        </w:tc>
        <w:tc>
          <w:tcPr>
            <w:tcW w:w="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1,145</w:t>
            </w:r>
          </w:p>
        </w:tc>
        <w:tc>
          <w:tcPr>
            <w:tcW w:w="400" w:type="dxa"/>
            <w:vAlign w:val="bottom"/>
            <w:tcBorders>
              <w:lef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16,232</w:t>
            </w:r>
          </w:p>
        </w:tc>
        <w:tc>
          <w:tcPr>
            <w:tcW w:w="0" w:type="dxa"/>
            <w:vAlign w:val="bottom"/>
          </w:tcPr>
          <w:p>
            <w:pPr>
              <w:spacing w:after="0"/>
              <w:rPr>
                <w:sz w:val="1"/>
                <w:szCs w:val="1"/>
                <w:color w:val="auto"/>
              </w:rPr>
            </w:pPr>
          </w:p>
        </w:tc>
      </w:tr>
      <w:tr>
        <w:trPr>
          <w:trHeight w:val="204"/>
        </w:trPr>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Charge Offs</w:t>
            </w:r>
          </w:p>
        </w:tc>
        <w:tc>
          <w:tcPr>
            <w:tcW w:w="18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24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Recoveries</w:t>
            </w:r>
          </w:p>
        </w:tc>
        <w:tc>
          <w:tcPr>
            <w:tcW w:w="18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FF0FC"/>
          </w:tcPr>
          <w:p>
            <w:pPr>
              <w:spacing w:after="0"/>
              <w:rPr>
                <w:sz w:val="17"/>
                <w:szCs w:val="17"/>
                <w:color w:val="auto"/>
              </w:rPr>
            </w:pPr>
          </w:p>
        </w:tc>
        <w:tc>
          <w:tcPr>
            <w:tcW w:w="102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FF0FC"/>
          </w:tcPr>
          <w:p>
            <w:pPr>
              <w:spacing w:after="0"/>
              <w:rPr>
                <w:sz w:val="17"/>
                <w:szCs w:val="17"/>
                <w:color w:val="auto"/>
              </w:rPr>
            </w:pPr>
          </w:p>
        </w:tc>
        <w:tc>
          <w:tcPr>
            <w:tcW w:w="102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4"/>
        </w:trPr>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(Credit)</w:t>
            </w:r>
          </w:p>
        </w:tc>
        <w:tc>
          <w:tcPr>
            <w:tcW w:w="180" w:type="dxa"/>
            <w:vAlign w:val="bottom"/>
          </w:tcPr>
          <w:p>
            <w:pPr>
              <w:spacing w:after="0"/>
              <w:rPr>
                <w:sz w:val="17"/>
                <w:szCs w:val="17"/>
                <w:color w:val="auto"/>
              </w:rPr>
            </w:pPr>
          </w:p>
        </w:tc>
        <w:tc>
          <w:tcPr>
            <w:tcW w:w="76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(291 )</w:t>
            </w:r>
          </w:p>
        </w:tc>
        <w:tc>
          <w:tcPr>
            <w:tcW w:w="28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(469 )</w:t>
            </w:r>
          </w:p>
        </w:tc>
        <w:tc>
          <w:tcPr>
            <w:tcW w:w="300" w:type="dxa"/>
            <w:vAlign w:val="bottom"/>
          </w:tcPr>
          <w:p>
            <w:pPr>
              <w:spacing w:after="0"/>
              <w:rPr>
                <w:sz w:val="17"/>
                <w:szCs w:val="17"/>
                <w:color w:val="auto"/>
              </w:rPr>
            </w:pPr>
          </w:p>
        </w:tc>
        <w:tc>
          <w:tcPr>
            <w:tcW w:w="86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973</w:t>
            </w:r>
          </w:p>
        </w:tc>
        <w:tc>
          <w:tcPr>
            <w:tcW w:w="240" w:type="dxa"/>
            <w:vAlign w:val="bottom"/>
          </w:tcPr>
          <w:p>
            <w:pPr>
              <w:spacing w:after="0"/>
              <w:rPr>
                <w:sz w:val="17"/>
                <w:szCs w:val="17"/>
                <w:color w:val="auto"/>
              </w:rPr>
            </w:pPr>
          </w:p>
        </w:tc>
        <w:tc>
          <w:tcPr>
            <w:tcW w:w="7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284</w:t>
            </w:r>
          </w:p>
        </w:tc>
        <w:tc>
          <w:tcPr>
            <w:tcW w:w="14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162"/>
        </w:trPr>
        <w:tc>
          <w:tcPr>
            <w:tcW w:w="1620" w:type="dxa"/>
            <w:vAlign w:val="bottom"/>
            <w:shd w:val="clear" w:color="auto" w:fill="CFF0FC"/>
          </w:tcPr>
          <w:p>
            <w:pPr>
              <w:ind w:left="180"/>
              <w:spacing w:after="0" w:line="163" w:lineRule="exact"/>
              <w:rPr>
                <w:sz w:val="20"/>
                <w:szCs w:val="20"/>
                <w:color w:val="auto"/>
              </w:rPr>
            </w:pPr>
            <w:r>
              <w:rPr>
                <w:rFonts w:ascii="Times New Roman" w:cs="Times New Roman" w:eastAsia="Times New Roman" w:hAnsi="Times New Roman"/>
                <w:sz w:val="17"/>
                <w:szCs w:val="17"/>
                <w:color w:val="auto"/>
              </w:rPr>
              <w:t>Other Non-interest</w:t>
            </w:r>
          </w:p>
        </w:tc>
        <w:tc>
          <w:tcPr>
            <w:tcW w:w="180" w:type="dxa"/>
            <w:vAlign w:val="bottom"/>
            <w:shd w:val="clear" w:color="auto" w:fill="CFF0FC"/>
          </w:tcPr>
          <w:p>
            <w:pPr>
              <w:spacing w:after="0"/>
              <w:rPr>
                <w:sz w:val="14"/>
                <w:szCs w:val="14"/>
                <w:color w:val="auto"/>
              </w:rPr>
            </w:pPr>
          </w:p>
        </w:tc>
        <w:tc>
          <w:tcPr>
            <w:tcW w:w="7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right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tcBorders>
              <w:right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0" w:type="dxa"/>
            <w:vAlign w:val="bottom"/>
            <w:tcBorders>
              <w:left w:val="single" w:sz="8" w:color="auto"/>
            </w:tcBorders>
            <w:shd w:val="clear" w:color="auto" w:fill="CFF0FC"/>
          </w:tcPr>
          <w:p>
            <w:pPr>
              <w:spacing w:after="0"/>
              <w:rPr>
                <w:sz w:val="14"/>
                <w:szCs w:val="14"/>
                <w:color w:val="auto"/>
              </w:rPr>
            </w:pPr>
          </w:p>
        </w:tc>
        <w:tc>
          <w:tcPr>
            <w:tcW w:w="64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7"/>
                <w:szCs w:val="17"/>
                <w:color w:val="auto"/>
              </w:rPr>
              <w:t>expense related to</w:t>
            </w:r>
          </w:p>
        </w:tc>
        <w:tc>
          <w:tcPr>
            <w:tcW w:w="180" w:type="dxa"/>
            <w:vAlign w:val="bottom"/>
            <w:shd w:val="clear" w:color="auto" w:fill="CFF0FC"/>
          </w:tcPr>
          <w:p>
            <w:pPr>
              <w:spacing w:after="0"/>
              <w:rPr>
                <w:sz w:val="15"/>
                <w:szCs w:val="15"/>
                <w:color w:val="auto"/>
              </w:rPr>
            </w:pPr>
          </w:p>
        </w:tc>
        <w:tc>
          <w:tcPr>
            <w:tcW w:w="7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5"/>
                <w:szCs w:val="15"/>
                <w:color w:val="auto"/>
              </w:rPr>
            </w:pPr>
          </w:p>
        </w:tc>
        <w:tc>
          <w:tcPr>
            <w:tcW w:w="10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5"/>
                <w:szCs w:val="15"/>
                <w:color w:val="auto"/>
              </w:rPr>
            </w:pP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5"/>
                <w:szCs w:val="15"/>
                <w:color w:val="auto"/>
              </w:rPr>
            </w:pPr>
          </w:p>
        </w:tc>
        <w:tc>
          <w:tcPr>
            <w:tcW w:w="10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5"/>
                <w:szCs w:val="15"/>
                <w:color w:val="auto"/>
              </w:rPr>
            </w:pP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5"/>
                <w:szCs w:val="15"/>
                <w:color w:val="auto"/>
              </w:rPr>
            </w:pPr>
          </w:p>
        </w:tc>
        <w:tc>
          <w:tcPr>
            <w:tcW w:w="70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400" w:type="dxa"/>
            <w:vAlign w:val="bottom"/>
            <w:tcBorders>
              <w:left w:val="single" w:sz="8" w:color="auto"/>
            </w:tcBorders>
            <w:shd w:val="clear" w:color="auto" w:fill="CFF0FC"/>
          </w:tcPr>
          <w:p>
            <w:pPr>
              <w:spacing w:after="0"/>
              <w:rPr>
                <w:sz w:val="15"/>
                <w:szCs w:val="15"/>
                <w:color w:val="auto"/>
              </w:rPr>
            </w:pPr>
          </w:p>
        </w:tc>
        <w:tc>
          <w:tcPr>
            <w:tcW w:w="64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0" w:type="dxa"/>
            <w:vAlign w:val="bottom"/>
          </w:tcPr>
          <w:p>
            <w:pPr>
              <w:spacing w:after="0"/>
              <w:rPr>
                <w:sz w:val="1"/>
                <w:szCs w:val="1"/>
                <w:color w:val="auto"/>
              </w:rPr>
            </w:pPr>
          </w:p>
        </w:tc>
      </w:tr>
      <w:tr>
        <w:trPr>
          <w:trHeight w:val="208"/>
        </w:trPr>
        <w:tc>
          <w:tcPr>
            <w:tcW w:w="16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400" w:type="dxa"/>
            <w:vAlign w:val="bottom"/>
            <w:tcBorders>
              <w:left w:val="single" w:sz="8" w:color="auto"/>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926</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687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8,365</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3,814</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1,039</w:t>
            </w:r>
          </w:p>
        </w:tc>
        <w:tc>
          <w:tcPr>
            <w:tcW w:w="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504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16,737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2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shd w:val="clear" w:color="auto" w:fill="CFF0FC"/>
          </w:tcPr>
          <w:p>
            <w:pPr>
              <w:spacing w:after="0"/>
              <w:rPr>
                <w:sz w:val="12"/>
                <w:szCs w:val="12"/>
                <w:color w:val="auto"/>
              </w:rPr>
            </w:pPr>
          </w:p>
        </w:tc>
        <w:tc>
          <w:tcPr>
            <w:tcW w:w="7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00" w:type="dxa"/>
            <w:vAlign w:val="bottom"/>
            <w:tcBorders>
              <w:left w:val="single" w:sz="8" w:color="auto"/>
            </w:tcBorders>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w:t>
            </w: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636</w:t>
            </w:r>
          </w:p>
        </w:tc>
        <w:tc>
          <w:tcPr>
            <w:tcW w:w="28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710</w:t>
            </w:r>
          </w:p>
        </w:tc>
        <w:tc>
          <w:tcPr>
            <w:tcW w:w="3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2,400</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FF0FC"/>
            </w:tcBorders>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left w:val="single" w:sz="8" w:color="auto"/>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62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2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290</w:t>
            </w:r>
          </w:p>
        </w:tc>
        <w:tc>
          <w:tcPr>
            <w:tcW w:w="2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7,655</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2,814</w:t>
            </w:r>
          </w:p>
        </w:tc>
        <w:tc>
          <w:tcPr>
            <w:tcW w:w="2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1,039</w:t>
            </w:r>
          </w:p>
        </w:tc>
        <w:tc>
          <w:tcPr>
            <w:tcW w:w="40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504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14,337</w:t>
            </w:r>
          </w:p>
        </w:tc>
        <w:tc>
          <w:tcPr>
            <w:tcW w:w="0" w:type="dxa"/>
            <w:vAlign w:val="bottom"/>
          </w:tcPr>
          <w:p>
            <w:pPr>
              <w:spacing w:after="0"/>
              <w:rPr>
                <w:sz w:val="1"/>
                <w:szCs w:val="1"/>
                <w:color w:val="auto"/>
              </w:rPr>
            </w:pPr>
          </w:p>
        </w:tc>
      </w:tr>
      <w:tr>
        <w:trPr>
          <w:trHeight w:val="188"/>
        </w:trPr>
        <w:tc>
          <w:tcPr>
            <w:tcW w:w="162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0" w:type="dxa"/>
            <w:vAlign w:val="bottom"/>
            <w:tcBorders>
              <w:left w:val="single" w:sz="8" w:color="auto"/>
              <w:bottom w:val="single" w:sz="8" w:color="auto"/>
            </w:tcBorders>
            <w:vMerge w:val="continue"/>
          </w:tcPr>
          <w:p>
            <w:pPr>
              <w:spacing w:after="0"/>
              <w:rPr>
                <w:sz w:val="15"/>
                <w:szCs w:val="15"/>
                <w:color w:val="auto"/>
              </w:rPr>
            </w:pP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2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80" w:type="dxa"/>
            <w:vAlign w:val="bottom"/>
            <w:shd w:val="clear" w:color="auto" w:fill="CFF0FC"/>
          </w:tcPr>
          <w:p>
            <w:pPr>
              <w:spacing w:after="0"/>
              <w:rPr>
                <w:sz w:val="12"/>
                <w:szCs w:val="12"/>
                <w:color w:val="auto"/>
              </w:rPr>
            </w:pPr>
          </w:p>
        </w:tc>
        <w:tc>
          <w:tcPr>
            <w:tcW w:w="7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00" w:type="dxa"/>
            <w:vAlign w:val="bottom"/>
            <w:tcBorders>
              <w:left w:val="single" w:sz="8" w:color="auto"/>
            </w:tcBorders>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80" w:type="dxa"/>
            <w:vAlign w:val="bottom"/>
            <w:shd w:val="clear" w:color="auto" w:fill="CFF0FC"/>
          </w:tcPr>
          <w:p>
            <w:pPr>
              <w:spacing w:after="0"/>
              <w:rPr>
                <w:sz w:val="15"/>
                <w:szCs w:val="15"/>
                <w:color w:val="auto"/>
              </w:rPr>
            </w:pPr>
          </w:p>
        </w:tc>
        <w:tc>
          <w:tcPr>
            <w:tcW w:w="7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right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00" w:type="dxa"/>
            <w:vAlign w:val="bottom"/>
            <w:tcBorders>
              <w:left w:val="single" w:sz="8" w:color="auto"/>
            </w:tcBorders>
            <w:shd w:val="clear" w:color="auto" w:fill="CFF0FC"/>
          </w:tcPr>
          <w:p>
            <w:pPr>
              <w:spacing w:after="0"/>
              <w:rPr>
                <w:sz w:val="15"/>
                <w:szCs w:val="15"/>
                <w:color w:val="auto"/>
              </w:rPr>
            </w:pPr>
          </w:p>
        </w:tc>
        <w:tc>
          <w:tcPr>
            <w:tcW w:w="64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FF0FC"/>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left w:val="single" w:sz="8" w:color="auto"/>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202,370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179,051</w:t>
            </w:r>
          </w:p>
        </w:tc>
        <w:tc>
          <w:tcPr>
            <w:tcW w:w="2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105,722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727,418</w:t>
            </w:r>
          </w:p>
        </w:tc>
        <w:tc>
          <w:tcPr>
            <w:tcW w:w="3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right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225,382</w:t>
            </w:r>
          </w:p>
        </w:tc>
        <w:tc>
          <w:tcPr>
            <w:tcW w:w="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55,619</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right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1,495,562</w:t>
            </w:r>
          </w:p>
        </w:tc>
        <w:tc>
          <w:tcPr>
            <w:tcW w:w="0" w:type="dxa"/>
            <w:vAlign w:val="bottom"/>
          </w:tcPr>
          <w:p>
            <w:pPr>
              <w:spacing w:after="0"/>
              <w:rPr>
                <w:sz w:val="1"/>
                <w:szCs w:val="1"/>
                <w:color w:val="auto"/>
              </w:rPr>
            </w:pPr>
          </w:p>
        </w:tc>
      </w:tr>
      <w:tr>
        <w:trPr>
          <w:trHeight w:val="141"/>
        </w:trPr>
        <w:tc>
          <w:tcPr>
            <w:tcW w:w="162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2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6,051</w:t>
            </w:r>
          </w:p>
        </w:tc>
        <w:tc>
          <w:tcPr>
            <w:tcW w:w="2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3,607</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1,215</w:t>
            </w:r>
          </w:p>
        </w:tc>
        <w:tc>
          <w:tcPr>
            <w:tcW w:w="2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11,849</w:t>
            </w:r>
          </w:p>
        </w:tc>
        <w:tc>
          <w:tcPr>
            <w:tcW w:w="0" w:type="dxa"/>
            <w:vAlign w:val="bottom"/>
          </w:tcPr>
          <w:p>
            <w:pPr>
              <w:spacing w:after="0"/>
              <w:rPr>
                <w:sz w:val="1"/>
                <w:szCs w:val="1"/>
                <w:color w:val="auto"/>
              </w:rPr>
            </w:pPr>
          </w:p>
        </w:tc>
      </w:tr>
      <w:tr>
        <w:trPr>
          <w:trHeight w:val="188"/>
        </w:trPr>
        <w:tc>
          <w:tcPr>
            <w:tcW w:w="162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0" w:type="dxa"/>
            <w:vAlign w:val="bottom"/>
            <w:tcBorders>
              <w:left w:val="single" w:sz="8" w:color="auto"/>
              <w:bottom w:val="single" w:sz="8" w:color="auto"/>
            </w:tcBorders>
            <w:vMerge w:val="continue"/>
          </w:tcPr>
          <w:p>
            <w:pPr>
              <w:spacing w:after="0"/>
              <w:rPr>
                <w:sz w:val="15"/>
                <w:szCs w:val="15"/>
                <w:color w:val="auto"/>
              </w:rPr>
            </w:pP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2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shd w:val="clear" w:color="auto" w:fill="CFF0FC"/>
          </w:tcPr>
          <w:p>
            <w:pPr>
              <w:spacing w:after="0"/>
              <w:rPr>
                <w:sz w:val="12"/>
                <w:szCs w:val="12"/>
                <w:color w:val="auto"/>
              </w:rPr>
            </w:pPr>
          </w:p>
        </w:tc>
        <w:tc>
          <w:tcPr>
            <w:tcW w:w="7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00" w:type="dxa"/>
            <w:vAlign w:val="bottom"/>
            <w:tcBorders>
              <w:left w:val="single" w:sz="8" w:color="auto"/>
            </w:tcBorders>
            <w:shd w:val="clear" w:color="auto" w:fill="CFF0FC"/>
          </w:tcPr>
          <w:p>
            <w:pPr>
              <w:spacing w:after="0"/>
              <w:rPr>
                <w:sz w:val="12"/>
                <w:szCs w:val="12"/>
                <w:color w:val="auto"/>
              </w:rPr>
            </w:pPr>
          </w:p>
        </w:tc>
        <w:tc>
          <w:tcPr>
            <w:tcW w:w="64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w:t>
            </w: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201,595</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173,000</w:t>
            </w:r>
          </w:p>
        </w:tc>
        <w:tc>
          <w:tcPr>
            <w:tcW w:w="28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105,475</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723,577</w:t>
            </w:r>
          </w:p>
        </w:tc>
        <w:tc>
          <w:tcPr>
            <w:tcW w:w="3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223,803</w:t>
            </w:r>
          </w:p>
        </w:tc>
        <w:tc>
          <w:tcPr>
            <w:tcW w:w="2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55,604</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vMerge w:val="restart"/>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1,483,054</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FF0FC"/>
            </w:tcBorders>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left w:val="single" w:sz="8" w:color="auto"/>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right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62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8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2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234</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364</w:t>
            </w:r>
          </w:p>
        </w:tc>
        <w:tc>
          <w:tcPr>
            <w:tcW w:w="2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188"/>
        </w:trPr>
        <w:tc>
          <w:tcPr>
            <w:tcW w:w="16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0" w:type="dxa"/>
            <w:vAlign w:val="bottom"/>
            <w:tcBorders>
              <w:left w:val="single" w:sz="8" w:color="auto"/>
              <w:bottom w:val="single" w:sz="8" w:color="auto"/>
            </w:tcBorders>
            <w:vMerge w:val="continue"/>
          </w:tcPr>
          <w:p>
            <w:pPr>
              <w:spacing w:after="0"/>
              <w:rPr>
                <w:sz w:val="15"/>
                <w:szCs w:val="15"/>
                <w:color w:val="auto"/>
              </w:rPr>
            </w:pP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36</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2"/>
        </w:trPr>
        <w:tc>
          <w:tcPr>
            <w:tcW w:w="80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7"/>
                <w:szCs w:val="17"/>
                <w:color w:val="auto"/>
                <w:w w:val="99"/>
              </w:rPr>
              <w:t>Unfunded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rPr>
              <w:t>Loan</w:t>
            </w:r>
          </w:p>
        </w:tc>
        <w:tc>
          <w:tcPr>
            <w:tcW w:w="1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7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Commitment</w:t>
            </w:r>
          </w:p>
        </w:tc>
        <w:tc>
          <w:tcPr>
            <w:tcW w:w="1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115"/>
              <w:spacing w:after="0" w:line="179" w:lineRule="exact"/>
              <w:rPr>
                <w:sz w:val="20"/>
                <w:szCs w:val="20"/>
                <w:color w:val="auto"/>
              </w:rPr>
            </w:pPr>
            <w:r>
              <w:rPr>
                <w:rFonts w:ascii="Times New Roman" w:cs="Times New Roman" w:eastAsia="Times New Roman" w:hAnsi="Times New Roman"/>
                <w:sz w:val="17"/>
                <w:szCs w:val="17"/>
                <w:color w:val="auto"/>
              </w:rPr>
              <w:t>Real</w:t>
            </w:r>
          </w:p>
        </w:tc>
        <w:tc>
          <w:tcPr>
            <w:tcW w:w="1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gridSpan w:val="3"/>
          </w:tcPr>
          <w:p>
            <w:pPr>
              <w:jc w:val="right"/>
              <w:ind w:right="220"/>
              <w:spacing w:after="0" w:line="179" w:lineRule="exact"/>
              <w:rPr>
                <w:sz w:val="20"/>
                <w:szCs w:val="20"/>
                <w:color w:val="auto"/>
              </w:rPr>
            </w:pPr>
            <w:r>
              <w:rPr>
                <w:rFonts w:ascii="Times New Roman" w:cs="Times New Roman" w:eastAsia="Times New Roman" w:hAnsi="Times New Roman"/>
                <w:sz w:val="17"/>
                <w:szCs w:val="17"/>
                <w:color w:val="auto"/>
              </w:rPr>
              <w:t>Agricultural</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9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gridSpan w:val="3"/>
          </w:tcPr>
          <w:p>
            <w:pPr>
              <w:ind w:left="80"/>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&amp; Letters of</w:t>
            </w:r>
          </w:p>
        </w:tc>
        <w:tc>
          <w:tcPr>
            <w:tcW w:w="1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Estate</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8"/>
              </w:rPr>
              <w:t>Real Estate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Agricultural</w:t>
            </w:r>
          </w:p>
        </w:tc>
        <w:tc>
          <w:tcPr>
            <w:tcW w:w="140" w:type="dxa"/>
            <w:vAlign w:val="bottom"/>
            <w:tcBorders>
              <w:right w:val="single" w:sz="8" w:color="auto"/>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Real Estate</w:t>
            </w: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and Industrial</w:t>
            </w:r>
          </w:p>
        </w:tc>
        <w:tc>
          <w:tcPr>
            <w:tcW w:w="9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Pr>
          <w:p>
            <w:pPr>
              <w:spacing w:after="0"/>
              <w:rPr>
                <w:sz w:val="19"/>
                <w:szCs w:val="19"/>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Credit</w:t>
            </w:r>
          </w:p>
        </w:tc>
        <w:tc>
          <w:tcPr>
            <w:tcW w:w="12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Unallocated</w:t>
            </w:r>
          </w:p>
        </w:tc>
        <w:tc>
          <w:tcPr>
            <w:tcW w:w="14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51"/>
        </w:trPr>
        <w:tc>
          <w:tcPr>
            <w:tcW w:w="176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ALLOWANCE FOR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9,130</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2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Charge Offs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(6 )</w:t>
            </w:r>
          </w:p>
        </w:tc>
        <w:tc>
          <w:tcPr>
            <w:tcW w:w="2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(328 )</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(334 )</w:t>
            </w:r>
          </w:p>
        </w:tc>
        <w:tc>
          <w:tcPr>
            <w:tcW w:w="0" w:type="dxa"/>
            <w:vAlign w:val="bottom"/>
          </w:tcPr>
          <w:p>
            <w:pPr>
              <w:spacing w:after="0"/>
              <w:rPr>
                <w:sz w:val="1"/>
                <w:szCs w:val="1"/>
                <w:color w:val="auto"/>
              </w:rPr>
            </w:pPr>
          </w:p>
        </w:tc>
      </w:tr>
      <w:tr>
        <w:trPr>
          <w:trHeight w:val="204"/>
        </w:trPr>
        <w:tc>
          <w:tcPr>
            <w:tcW w:w="1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Recoveries</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(Credit)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(684 )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FF0FC"/>
          </w:tcPr>
          <w:p>
            <w:pPr>
              <w:ind w:left="180"/>
              <w:spacing w:after="0" w:line="163" w:lineRule="exact"/>
              <w:rPr>
                <w:sz w:val="20"/>
                <w:szCs w:val="20"/>
                <w:color w:val="auto"/>
              </w:rPr>
            </w:pPr>
            <w:r>
              <w:rPr>
                <w:rFonts w:ascii="Times New Roman" w:cs="Times New Roman" w:eastAsia="Times New Roman" w:hAnsi="Times New Roman"/>
                <w:sz w:val="17"/>
                <w:szCs w:val="17"/>
                <w:color w:val="auto"/>
              </w:rPr>
              <w:t>Other Non-interest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7"/>
                <w:szCs w:val="17"/>
                <w:color w:val="auto"/>
              </w:rPr>
              <w:t>expense related to</w:t>
            </w:r>
          </w:p>
        </w:tc>
        <w:tc>
          <w:tcPr>
            <w:tcW w:w="14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Borders>
              <w:right w:val="single" w:sz="8" w:color="auto"/>
            </w:tcBorders>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2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40" w:type="dxa"/>
            <w:vAlign w:val="bottom"/>
            <w:tcBorders>
              <w:right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11,551</w:t>
            </w:r>
          </w:p>
        </w:tc>
        <w:tc>
          <w:tcPr>
            <w:tcW w:w="14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5,670</w:t>
            </w: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4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20" w:type="dxa"/>
            <w:vAlign w:val="bottom"/>
            <w:tcBorders>
              <w:right w:val="single" w:sz="8" w:color="auto"/>
            </w:tcBorders>
          </w:tcPr>
          <w:p>
            <w:pPr>
              <w:spacing w:after="0"/>
              <w:rPr>
                <w:sz w:val="17"/>
                <w:szCs w:val="17"/>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right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6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400" w:type="dxa"/>
            <w:vAlign w:val="bottom"/>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76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2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40" w:type="dxa"/>
            <w:vAlign w:val="bottom"/>
            <w:tcBorders>
              <w:right w:val="single" w:sz="8" w:color="auto"/>
            </w:tcBorders>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40" w:type="dxa"/>
            <w:vAlign w:val="bottom"/>
            <w:tcBorders>
              <w:right w:val="single" w:sz="8" w:color="auto"/>
            </w:tcBorders>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11,051</w:t>
            </w:r>
          </w:p>
        </w:tc>
        <w:tc>
          <w:tcPr>
            <w:tcW w:w="140" w:type="dxa"/>
            <w:vAlign w:val="bottom"/>
            <w:tcBorders>
              <w:right w:val="single" w:sz="8" w:color="auto"/>
            </w:tcBorders>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40" w:type="dxa"/>
            <w:vAlign w:val="bottom"/>
            <w:tcBorders>
              <w:right w:val="single" w:sz="8" w:color="auto"/>
            </w:tcBorders>
          </w:tcPr>
          <w:p>
            <w:pPr>
              <w:spacing w:after="0"/>
              <w:rPr>
                <w:sz w:val="15"/>
                <w:szCs w:val="15"/>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4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20" w:type="dxa"/>
            <w:vAlign w:val="bottom"/>
            <w:tcBorders>
              <w:right w:val="single" w:sz="8" w:color="auto"/>
            </w:tcBorders>
          </w:tcPr>
          <w:p>
            <w:pPr>
              <w:spacing w:after="0"/>
              <w:rPr>
                <w:sz w:val="15"/>
                <w:szCs w:val="15"/>
                <w:color w:val="auto"/>
              </w:rPr>
            </w:pPr>
          </w:p>
        </w:tc>
        <w:tc>
          <w:tcPr>
            <w:tcW w:w="4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18,672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6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FF0FC"/>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760" w:type="dxa"/>
            <w:vAlign w:val="bottom"/>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416,044</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204,787</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128,818</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1,061,904</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71,063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2,142,616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76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140" w:type="dxa"/>
            <w:vAlign w:val="bottom"/>
            <w:tcBorders>
              <w:right w:val="single" w:sz="8" w:color="auto"/>
            </w:tcBorders>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40" w:type="dxa"/>
            <w:vAlign w:val="bottom"/>
            <w:tcBorders>
              <w:right w:val="single" w:sz="8" w:color="auto"/>
            </w:tcBorders>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40" w:type="dxa"/>
            <w:vAlign w:val="bottom"/>
            <w:tcBorders>
              <w:right w:val="single" w:sz="8" w:color="auto"/>
            </w:tcBorders>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40" w:type="dxa"/>
            <w:vAlign w:val="bottom"/>
            <w:tcBorders>
              <w:right w:val="single" w:sz="8" w:color="auto"/>
            </w:tcBorders>
          </w:tcPr>
          <w:p>
            <w:pPr>
              <w:spacing w:after="0"/>
              <w:rPr>
                <w:sz w:val="15"/>
                <w:szCs w:val="15"/>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4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10,753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6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414,951</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202,003</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127,484</w:t>
            </w:r>
          </w:p>
        </w:tc>
        <w:tc>
          <w:tcPr>
            <w:tcW w:w="140" w:type="dxa"/>
            <w:vAlign w:val="bottom"/>
            <w:tcBorders>
              <w:right w:val="single" w:sz="8" w:color="auto"/>
            </w:tcBorders>
            <w:shd w:val="clear" w:color="auto" w:fill="CFF0FC"/>
          </w:tcPr>
          <w:p>
            <w:pPr>
              <w:spacing w:after="0"/>
              <w:rPr>
                <w:sz w:val="15"/>
                <w:szCs w:val="15"/>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1,057,699</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257,948</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71,046</w:t>
            </w: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400" w:type="dxa"/>
            <w:vAlign w:val="bottom"/>
            <w:vMerge w:val="restart"/>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2,131,131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6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76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2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tcBorders>
              <w:right w:val="single" w:sz="8" w:color="auto"/>
            </w:tcBorders>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right w:val="single" w:sz="8" w:color="auto"/>
            </w:tcBorders>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Borders>
              <w:right w:val="single" w:sz="8" w:color="auto"/>
            </w:tcBorders>
          </w:tcPr>
          <w:p>
            <w:pPr>
              <w:spacing w:after="0"/>
              <w:rPr>
                <w:sz w:val="15"/>
                <w:szCs w:val="15"/>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4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-3309620</wp:posOffset>
            </wp:positionV>
            <wp:extent cx="730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-3309620</wp:posOffset>
            </wp:positionV>
            <wp:extent cx="730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-3309620</wp:posOffset>
            </wp:positionV>
            <wp:extent cx="730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-3309620</wp:posOffset>
            </wp:positionV>
            <wp:extent cx="730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-3309620</wp:posOffset>
            </wp:positionV>
            <wp:extent cx="730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-3309620</wp:posOffset>
            </wp:positionV>
            <wp:extent cx="647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-3309620</wp:posOffset>
            </wp:positionV>
            <wp:extent cx="647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-3309620</wp:posOffset>
            </wp:positionV>
            <wp:extent cx="647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-3309620</wp:posOffset>
            </wp:positionV>
            <wp:extent cx="73025" cy="162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-2814955</wp:posOffset>
            </wp:positionV>
            <wp:extent cx="730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-2798445</wp:posOffset>
            </wp:positionV>
            <wp:extent cx="730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-2814955</wp:posOffset>
            </wp:positionV>
            <wp:extent cx="730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-2798445</wp:posOffset>
            </wp:positionV>
            <wp:extent cx="730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-2814955</wp:posOffset>
            </wp:positionV>
            <wp:extent cx="730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-2798445</wp:posOffset>
            </wp:positionV>
            <wp:extent cx="730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-2814955</wp:posOffset>
            </wp:positionV>
            <wp:extent cx="730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-2798445</wp:posOffset>
            </wp:positionV>
            <wp:extent cx="730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-2814955</wp:posOffset>
            </wp:positionV>
            <wp:extent cx="730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-2798445</wp:posOffset>
            </wp:positionV>
            <wp:extent cx="730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-2814955</wp:posOffset>
            </wp:positionV>
            <wp:extent cx="730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-2798445</wp:posOffset>
            </wp:positionV>
            <wp:extent cx="730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-2814955</wp:posOffset>
            </wp:positionV>
            <wp:extent cx="647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-2798445</wp:posOffset>
            </wp:positionV>
            <wp:extent cx="647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-2814955</wp:posOffset>
            </wp:positionV>
            <wp:extent cx="647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-2798445</wp:posOffset>
            </wp:positionV>
            <wp:extent cx="647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-2814955</wp:posOffset>
            </wp:positionV>
            <wp:extent cx="647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-2798445</wp:posOffset>
            </wp:positionV>
            <wp:extent cx="647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-1986915</wp:posOffset>
            </wp:positionV>
            <wp:extent cx="730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-1971040</wp:posOffset>
            </wp:positionV>
            <wp:extent cx="730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-1986915</wp:posOffset>
            </wp:positionV>
            <wp:extent cx="730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-1971040</wp:posOffset>
            </wp:positionV>
            <wp:extent cx="730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-1986915</wp:posOffset>
            </wp:positionV>
            <wp:extent cx="730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-1971040</wp:posOffset>
            </wp:positionV>
            <wp:extent cx="730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-1986915</wp:posOffset>
            </wp:positionV>
            <wp:extent cx="730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-1971040</wp:posOffset>
            </wp:positionV>
            <wp:extent cx="730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-1986915</wp:posOffset>
            </wp:positionV>
            <wp:extent cx="730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-1971040</wp:posOffset>
            </wp:positionV>
            <wp:extent cx="730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-1986915</wp:posOffset>
            </wp:positionV>
            <wp:extent cx="730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-1971040</wp:posOffset>
            </wp:positionV>
            <wp:extent cx="730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-1986915</wp:posOffset>
            </wp:positionV>
            <wp:extent cx="647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-1971040</wp:posOffset>
            </wp:positionV>
            <wp:extent cx="647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-1986915</wp:posOffset>
            </wp:positionV>
            <wp:extent cx="647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-1971040</wp:posOffset>
            </wp:positionV>
            <wp:extent cx="647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-1986915</wp:posOffset>
            </wp:positionV>
            <wp:extent cx="64770" cy="2679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4770" cy="26797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-1589405</wp:posOffset>
            </wp:positionV>
            <wp:extent cx="730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-1573530</wp:posOffset>
            </wp:positionV>
            <wp:extent cx="730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-1589405</wp:posOffset>
            </wp:positionV>
            <wp:extent cx="730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-1573530</wp:posOffset>
            </wp:positionV>
            <wp:extent cx="730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-1589405</wp:posOffset>
            </wp:positionV>
            <wp:extent cx="730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-1573530</wp:posOffset>
            </wp:positionV>
            <wp:extent cx="730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-1589405</wp:posOffset>
            </wp:positionV>
            <wp:extent cx="730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-1573530</wp:posOffset>
            </wp:positionV>
            <wp:extent cx="730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-1589405</wp:posOffset>
            </wp:positionV>
            <wp:extent cx="730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-1573530</wp:posOffset>
            </wp:positionV>
            <wp:extent cx="730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-1589405</wp:posOffset>
            </wp:positionV>
            <wp:extent cx="730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-1573530</wp:posOffset>
            </wp:positionV>
            <wp:extent cx="730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-1589405</wp:posOffset>
            </wp:positionV>
            <wp:extent cx="647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-1573530</wp:posOffset>
            </wp:positionV>
            <wp:extent cx="647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-1589405</wp:posOffset>
            </wp:positionV>
            <wp:extent cx="647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-1573530</wp:posOffset>
            </wp:positionV>
            <wp:extent cx="647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-1589405</wp:posOffset>
            </wp:positionV>
            <wp:extent cx="647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-1573530</wp:posOffset>
            </wp:positionV>
            <wp:extent cx="647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-875665</wp:posOffset>
            </wp:positionV>
            <wp:extent cx="730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-859155</wp:posOffset>
            </wp:positionV>
            <wp:extent cx="730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-875665</wp:posOffset>
            </wp:positionV>
            <wp:extent cx="730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-859155</wp:posOffset>
            </wp:positionV>
            <wp:extent cx="730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-875665</wp:posOffset>
            </wp:positionV>
            <wp:extent cx="730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-859155</wp:posOffset>
            </wp:positionV>
            <wp:extent cx="730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-875665</wp:posOffset>
            </wp:positionV>
            <wp:extent cx="730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-859155</wp:posOffset>
            </wp:positionV>
            <wp:extent cx="730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-875665</wp:posOffset>
            </wp:positionV>
            <wp:extent cx="730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-859155</wp:posOffset>
            </wp:positionV>
            <wp:extent cx="730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-875665</wp:posOffset>
            </wp:positionV>
            <wp:extent cx="730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-859155</wp:posOffset>
            </wp:positionV>
            <wp:extent cx="730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-875665</wp:posOffset>
            </wp:positionV>
            <wp:extent cx="647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-859155</wp:posOffset>
            </wp:positionV>
            <wp:extent cx="647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-875665</wp:posOffset>
            </wp:positionV>
            <wp:extent cx="647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-859155</wp:posOffset>
            </wp:positionV>
            <wp:extent cx="647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-875665</wp:posOffset>
            </wp:positionV>
            <wp:extent cx="647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-859155</wp:posOffset>
            </wp:positionV>
            <wp:extent cx="647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8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7"/>
                <w:szCs w:val="17"/>
                <w:color w:val="auto"/>
                <w:w w:val="99"/>
              </w:rPr>
              <w:t>Unfunded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rPr>
              <w:t>Loan</w:t>
            </w:r>
          </w:p>
        </w:tc>
        <w:tc>
          <w:tcPr>
            <w:tcW w:w="12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w w:val="97"/>
              </w:rPr>
              <w:t>Commitment</w:t>
            </w:r>
          </w:p>
        </w:tc>
        <w:tc>
          <w:tcPr>
            <w:tcW w:w="12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00" w:type="dxa"/>
            <w:vAlign w:val="bottom"/>
          </w:tcPr>
          <w:p>
            <w:pPr>
              <w:spacing w:after="0"/>
              <w:rPr>
                <w:sz w:val="15"/>
                <w:szCs w:val="15"/>
                <w:color w:val="auto"/>
              </w:rPr>
            </w:pPr>
          </w:p>
        </w:tc>
        <w:tc>
          <w:tcPr>
            <w:tcW w:w="960" w:type="dxa"/>
            <w:vAlign w:val="bottom"/>
            <w:tcBorders>
              <w:right w:val="single" w:sz="8" w:color="auto"/>
            </w:tcBorders>
            <w:gridSpan w:val="3"/>
          </w:tcPr>
          <w:p>
            <w:pPr>
              <w:ind w:left="60"/>
              <w:spacing w:after="0" w:line="179" w:lineRule="exact"/>
              <w:rPr>
                <w:sz w:val="20"/>
                <w:szCs w:val="20"/>
                <w:color w:val="auto"/>
              </w:rPr>
            </w:pPr>
            <w:r>
              <w:rPr>
                <w:rFonts w:ascii="Times New Roman" w:cs="Times New Roman" w:eastAsia="Times New Roman" w:hAnsi="Times New Roman"/>
                <w:sz w:val="17"/>
                <w:szCs w:val="17"/>
                <w:color w:val="auto"/>
              </w:rPr>
              <w:t>Consumer</w:t>
            </w:r>
          </w:p>
        </w:tc>
        <w:tc>
          <w:tcPr>
            <w:tcW w:w="1140" w:type="dxa"/>
            <w:vAlign w:val="bottom"/>
            <w:tcBorders>
              <w:right w:val="single" w:sz="8" w:color="auto"/>
            </w:tcBorders>
            <w:gridSpan w:val="3"/>
          </w:tcPr>
          <w:p>
            <w:pPr>
              <w:jc w:val="right"/>
              <w:ind w:right="220"/>
              <w:spacing w:after="0" w:line="179" w:lineRule="exact"/>
              <w:rPr>
                <w:sz w:val="20"/>
                <w:szCs w:val="20"/>
                <w:color w:val="auto"/>
              </w:rPr>
            </w:pPr>
            <w:r>
              <w:rPr>
                <w:rFonts w:ascii="Times New Roman" w:cs="Times New Roman" w:eastAsia="Times New Roman" w:hAnsi="Times New Roman"/>
                <w:sz w:val="17"/>
                <w:szCs w:val="17"/>
                <w:color w:val="auto"/>
              </w:rPr>
              <w:t>Agricultural</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9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gridSpan w:val="3"/>
          </w:tcPr>
          <w:p>
            <w:pPr>
              <w:ind w:left="80"/>
              <w:spacing w:after="0" w:line="179" w:lineRule="exact"/>
              <w:rPr>
                <w:sz w:val="20"/>
                <w:szCs w:val="20"/>
                <w:color w:val="auto"/>
              </w:rPr>
            </w:pPr>
            <w:r>
              <w:rPr>
                <w:rFonts w:ascii="Times New Roman" w:cs="Times New Roman" w:eastAsia="Times New Roman" w:hAnsi="Times New Roman"/>
                <w:sz w:val="17"/>
                <w:szCs w:val="17"/>
                <w:color w:val="auto"/>
              </w:rPr>
              <w:t>Commercial</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2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&amp; Letters of</w:t>
            </w:r>
          </w:p>
        </w:tc>
        <w:tc>
          <w:tcPr>
            <w:tcW w:w="12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9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Real Estate</w:t>
            </w:r>
          </w:p>
        </w:tc>
        <w:tc>
          <w:tcPr>
            <w:tcW w:w="12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8"/>
              </w:rPr>
              <w:t>Real Estate</w:t>
            </w:r>
          </w:p>
        </w:tc>
        <w:tc>
          <w:tcPr>
            <w:tcW w:w="112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Agricultural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Real Estate</w:t>
            </w:r>
          </w:p>
        </w:tc>
        <w:tc>
          <w:tcPr>
            <w:tcW w:w="14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and Industrial</w:t>
            </w:r>
          </w:p>
        </w:tc>
        <w:tc>
          <w:tcPr>
            <w:tcW w:w="9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Pr>
          <w:p>
            <w:pPr>
              <w:spacing w:after="0"/>
              <w:rPr>
                <w:sz w:val="19"/>
                <w:szCs w:val="19"/>
                <w:color w:val="auto"/>
              </w:rPr>
            </w:pPr>
          </w:p>
        </w:tc>
        <w:tc>
          <w:tcPr>
            <w:tcW w:w="88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Credit</w:t>
            </w:r>
          </w:p>
        </w:tc>
        <w:tc>
          <w:tcPr>
            <w:tcW w:w="120" w:type="dxa"/>
            <w:vAlign w:val="bottom"/>
            <w:tcBorders>
              <w:right w:val="single" w:sz="8" w:color="auto"/>
            </w:tcBorders>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Unallocated</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51"/>
        </w:trPr>
        <w:tc>
          <w:tcPr>
            <w:tcW w:w="170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b w:val="1"/>
                <w:bCs w:val="1"/>
                <w:color w:val="auto"/>
              </w:rPr>
              <w:t>Nine Months Ended</w:t>
            </w: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2021</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70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b w:val="1"/>
                <w:bCs w:val="1"/>
                <w:color w:val="auto"/>
              </w:rPr>
              <w:t>ALLOWANCE FOR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7,415</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3,346</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Charge Offs</w:t>
            </w:r>
          </w:p>
        </w:tc>
        <w:tc>
          <w:tcPr>
            <w:tcW w:w="18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(143 )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(814 )</w:t>
            </w:r>
          </w:p>
        </w:tc>
        <w:tc>
          <w:tcPr>
            <w:tcW w:w="22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(195 )</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(1,154 )</w:t>
            </w:r>
          </w:p>
        </w:tc>
        <w:tc>
          <w:tcPr>
            <w:tcW w:w="0" w:type="dxa"/>
            <w:vAlign w:val="bottom"/>
          </w:tcPr>
          <w:p>
            <w:pPr>
              <w:spacing w:after="0"/>
              <w:rPr>
                <w:sz w:val="1"/>
                <w:szCs w:val="1"/>
                <w:color w:val="auto"/>
              </w:rPr>
            </w:pPr>
          </w:p>
        </w:tc>
      </w:tr>
      <w:tr>
        <w:trPr>
          <w:trHeight w:val="204"/>
        </w:trPr>
        <w:tc>
          <w:tcPr>
            <w:tcW w:w="1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Recoveries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(Credit)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(32 )</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FF0FC"/>
          </w:tcPr>
          <w:p>
            <w:pPr>
              <w:ind w:left="180"/>
              <w:spacing w:after="0" w:line="163" w:lineRule="exact"/>
              <w:rPr>
                <w:sz w:val="20"/>
                <w:szCs w:val="20"/>
                <w:color w:val="auto"/>
              </w:rPr>
            </w:pPr>
            <w:r>
              <w:rPr>
                <w:rFonts w:ascii="Times New Roman" w:cs="Times New Roman" w:eastAsia="Times New Roman" w:hAnsi="Times New Roman"/>
                <w:sz w:val="17"/>
                <w:szCs w:val="17"/>
                <w:color w:val="auto"/>
              </w:rPr>
              <w:t>Other Non-interest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tcBorders>
              <w:right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FF0FC"/>
          </w:tcPr>
          <w:p>
            <w:pPr>
              <w:ind w:left="180"/>
              <w:spacing w:after="0" w:line="179" w:lineRule="exact"/>
              <w:rPr>
                <w:sz w:val="20"/>
                <w:szCs w:val="20"/>
                <w:color w:val="auto"/>
              </w:rPr>
            </w:pPr>
            <w:r>
              <w:rPr>
                <w:rFonts w:ascii="Times New Roman" w:cs="Times New Roman" w:eastAsia="Times New Roman" w:hAnsi="Times New Roman"/>
                <w:sz w:val="17"/>
                <w:szCs w:val="17"/>
                <w:color w:val="auto"/>
              </w:rPr>
              <w:t>expense related to</w:t>
            </w:r>
          </w:p>
        </w:tc>
        <w:tc>
          <w:tcPr>
            <w:tcW w:w="1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tcBorders>
              <w:right w:val="single" w:sz="8" w:color="auto"/>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4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8,365</w:t>
            </w:r>
          </w:p>
        </w:tc>
        <w:tc>
          <w:tcPr>
            <w:tcW w:w="14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w:t>
            </w:r>
          </w:p>
        </w:tc>
        <w:tc>
          <w:tcPr>
            <w:tcW w:w="14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right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2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20" w:type="dxa"/>
            <w:vAlign w:val="bottom"/>
            <w:tcBorders>
              <w:right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0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40" w:type="dxa"/>
            <w:vAlign w:val="bottom"/>
            <w:tcBorders>
              <w:right w:val="single" w:sz="8" w:color="auto"/>
            </w:tcBorders>
            <w:shd w:val="clear" w:color="auto" w:fill="CFF0FC"/>
          </w:tcPr>
          <w:p>
            <w:pPr>
              <w:spacing w:after="0"/>
              <w:rPr>
                <w:sz w:val="15"/>
                <w:szCs w:val="15"/>
                <w:color w:val="auto"/>
              </w:rPr>
            </w:pPr>
          </w:p>
        </w:tc>
        <w:tc>
          <w:tcPr>
            <w:tcW w:w="2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360" w:type="dxa"/>
            <w:vAlign w:val="bottom"/>
            <w:vMerge w:val="restart"/>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CFF0FC"/>
            </w:tcBorders>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36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70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0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40" w:type="dxa"/>
            <w:vAlign w:val="bottom"/>
            <w:tcBorders>
              <w:right w:val="single" w:sz="8" w:color="auto"/>
            </w:tcBorders>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40" w:type="dxa"/>
            <w:vAlign w:val="bottom"/>
            <w:tcBorders>
              <w:right w:val="single" w:sz="8" w:color="auto"/>
            </w:tcBorders>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7,655</w:t>
            </w:r>
          </w:p>
        </w:tc>
        <w:tc>
          <w:tcPr>
            <w:tcW w:w="140" w:type="dxa"/>
            <w:vAlign w:val="bottom"/>
            <w:tcBorders>
              <w:right w:val="single" w:sz="8" w:color="auto"/>
            </w:tcBorders>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140" w:type="dxa"/>
            <w:vAlign w:val="bottom"/>
            <w:tcBorders>
              <w:right w:val="single" w:sz="8" w:color="auto"/>
            </w:tcBorders>
          </w:tcPr>
          <w:p>
            <w:pPr>
              <w:spacing w:after="0"/>
              <w:rPr>
                <w:sz w:val="15"/>
                <w:szCs w:val="15"/>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20" w:type="dxa"/>
            <w:vAlign w:val="bottom"/>
            <w:tcBorders>
              <w:right w:val="single" w:sz="8" w:color="auto"/>
            </w:tcBorders>
          </w:tcPr>
          <w:p>
            <w:pPr>
              <w:spacing w:after="0"/>
              <w:rPr>
                <w:sz w:val="15"/>
                <w:szCs w:val="15"/>
                <w:color w:val="auto"/>
              </w:rPr>
            </w:pP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0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FF0FC"/>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360" w:type="dxa"/>
            <w:vAlign w:val="bottom"/>
            <w:vMerge w:val="restart"/>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36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700" w:type="dxa"/>
            <w:vAlign w:val="bottom"/>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FINANCING</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202,370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179,051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105,722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727,418</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225,382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55,619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1,495,562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70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0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individually evaluated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6,051</w:t>
            </w:r>
          </w:p>
        </w:tc>
        <w:tc>
          <w:tcPr>
            <w:tcW w:w="140" w:type="dxa"/>
            <w:vAlign w:val="bottom"/>
            <w:tcBorders>
              <w:right w:val="single" w:sz="8" w:color="auto"/>
            </w:tcBorders>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right w:val="single" w:sz="8" w:color="auto"/>
            </w:tcBorders>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140" w:type="dxa"/>
            <w:vAlign w:val="bottom"/>
            <w:tcBorders>
              <w:right w:val="single" w:sz="8" w:color="auto"/>
            </w:tcBorders>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140" w:type="dxa"/>
            <w:vAlign w:val="bottom"/>
            <w:tcBorders>
              <w:right w:val="single" w:sz="8" w:color="auto"/>
            </w:tcBorders>
          </w:tcPr>
          <w:p>
            <w:pPr>
              <w:spacing w:after="0"/>
              <w:rPr>
                <w:sz w:val="15"/>
                <w:szCs w:val="15"/>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70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0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collectively evaluated</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201,595</w:t>
            </w: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173,000</w:t>
            </w:r>
          </w:p>
        </w:tc>
        <w:tc>
          <w:tcPr>
            <w:tcW w:w="140" w:type="dxa"/>
            <w:vAlign w:val="bottom"/>
            <w:tcBorders>
              <w:right w:val="single" w:sz="8" w:color="auto"/>
            </w:tcBorders>
            <w:shd w:val="clear" w:color="auto" w:fill="CFF0FC"/>
          </w:tcPr>
          <w:p>
            <w:pPr>
              <w:spacing w:after="0"/>
              <w:rPr>
                <w:sz w:val="15"/>
                <w:szCs w:val="15"/>
                <w:color w:val="auto"/>
              </w:rPr>
            </w:pPr>
          </w:p>
        </w:tc>
        <w:tc>
          <w:tcPr>
            <w:tcW w:w="260" w:type="dxa"/>
            <w:vAlign w:val="bottom"/>
            <w:vMerge w:val="restart"/>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105,475</w:t>
            </w:r>
          </w:p>
        </w:tc>
        <w:tc>
          <w:tcPr>
            <w:tcW w:w="140" w:type="dxa"/>
            <w:vAlign w:val="bottom"/>
            <w:tcBorders>
              <w:right w:val="single" w:sz="8" w:color="auto"/>
            </w:tcBorders>
            <w:shd w:val="clear" w:color="auto" w:fill="CFF0FC"/>
          </w:tcPr>
          <w:p>
            <w:pPr>
              <w:spacing w:after="0"/>
              <w:rPr>
                <w:sz w:val="15"/>
                <w:szCs w:val="15"/>
                <w:color w:val="auto"/>
              </w:rPr>
            </w:pPr>
          </w:p>
        </w:tc>
        <w:tc>
          <w:tcPr>
            <w:tcW w:w="2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723,577</w:t>
            </w:r>
          </w:p>
        </w:tc>
        <w:tc>
          <w:tcPr>
            <w:tcW w:w="140" w:type="dxa"/>
            <w:vAlign w:val="bottom"/>
            <w:tcBorders>
              <w:right w:val="single" w:sz="8" w:color="auto"/>
            </w:tcBorders>
            <w:shd w:val="clear" w:color="auto" w:fill="CFF0FC"/>
          </w:tcPr>
          <w:p>
            <w:pPr>
              <w:spacing w:after="0"/>
              <w:rPr>
                <w:sz w:val="15"/>
                <w:szCs w:val="15"/>
                <w:color w:val="auto"/>
              </w:rPr>
            </w:pPr>
          </w:p>
        </w:tc>
        <w:tc>
          <w:tcPr>
            <w:tcW w:w="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223,803</w:t>
            </w:r>
          </w:p>
        </w:tc>
        <w:tc>
          <w:tcPr>
            <w:tcW w:w="140" w:type="dxa"/>
            <w:vAlign w:val="bottom"/>
            <w:tcBorders>
              <w:right w:val="single" w:sz="8" w:color="auto"/>
            </w:tcBorders>
            <w:shd w:val="clear" w:color="auto" w:fill="CFF0FC"/>
          </w:tcPr>
          <w:p>
            <w:pPr>
              <w:spacing w:after="0"/>
              <w:rPr>
                <w:sz w:val="15"/>
                <w:szCs w:val="15"/>
                <w:color w:val="auto"/>
              </w:rPr>
            </w:pPr>
          </w:p>
        </w:tc>
        <w:tc>
          <w:tcPr>
            <w:tcW w:w="2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55,604</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360" w:type="dxa"/>
            <w:vAlign w:val="bottom"/>
            <w:vMerge w:val="restart"/>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1,483,054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CFF0FC"/>
            </w:tcBorders>
            <w:shd w:val="clear" w:color="auto" w:fill="CFF0FC"/>
          </w:tcPr>
          <w:p>
            <w:pPr>
              <w:ind w:left="140"/>
              <w:spacing w:after="0" w:line="183" w:lineRule="exact"/>
              <w:rPr>
                <w:sz w:val="20"/>
                <w:szCs w:val="20"/>
                <w:color w:val="auto"/>
              </w:rPr>
            </w:pPr>
            <w:r>
              <w:rPr>
                <w:rFonts w:ascii="Times New Roman" w:cs="Times New Roman" w:eastAsia="Times New Roman" w:hAnsi="Times New Roman"/>
                <w:sz w:val="17"/>
                <w:szCs w:val="17"/>
                <w:color w:val="auto"/>
              </w:rPr>
              <w:t>for impairment</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360" w:type="dxa"/>
            <w:vAlign w:val="bottom"/>
            <w:tcBorders>
              <w:bottom w:val="single" w:sz="8" w:color="auto"/>
            </w:tcBorders>
            <w:vMerge w:val="continue"/>
            <w:shd w:val="clear" w:color="auto" w:fill="CFF0FC"/>
          </w:tcPr>
          <w:p>
            <w:pPr>
              <w:spacing w:after="0"/>
              <w:rPr>
                <w:sz w:val="19"/>
                <w:szCs w:val="19"/>
                <w:color w:val="auto"/>
              </w:rPr>
            </w:pPr>
          </w:p>
        </w:tc>
        <w:tc>
          <w:tcPr>
            <w:tcW w:w="5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70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Ending balance: loans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70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acquired with</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00" w:type="dxa"/>
            <w:vAlign w:val="bottom"/>
          </w:tcPr>
          <w:p>
            <w:pPr>
              <w:ind w:left="140"/>
              <w:spacing w:after="0" w:line="179" w:lineRule="exact"/>
              <w:rPr>
                <w:sz w:val="20"/>
                <w:szCs w:val="20"/>
                <w:color w:val="auto"/>
              </w:rPr>
            </w:pPr>
            <w:r>
              <w:rPr>
                <w:rFonts w:ascii="Times New Roman" w:cs="Times New Roman" w:eastAsia="Times New Roman" w:hAnsi="Times New Roman"/>
                <w:sz w:val="17"/>
                <w:szCs w:val="17"/>
                <w:color w:val="auto"/>
              </w:rPr>
              <w:t>deteriorated credit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Borders>
              <w:right w:val="single" w:sz="8" w:color="auto"/>
            </w:tcBorders>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auto"/>
            </w:tcBorders>
          </w:tcPr>
          <w:p>
            <w:pPr>
              <w:spacing w:after="0"/>
              <w:rPr>
                <w:sz w:val="15"/>
                <w:szCs w:val="15"/>
                <w:color w:val="auto"/>
              </w:rPr>
            </w:pPr>
          </w:p>
        </w:tc>
        <w:tc>
          <w:tcPr>
            <w:tcW w:w="2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40" w:type="dxa"/>
            <w:vAlign w:val="bottom"/>
            <w:tcBorders>
              <w:right w:val="single" w:sz="8" w:color="auto"/>
            </w:tcBorders>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40" w:type="dxa"/>
            <w:vAlign w:val="bottom"/>
            <w:tcBorders>
              <w:right w:val="single" w:sz="8" w:color="auto"/>
            </w:tcBorders>
          </w:tcPr>
          <w:p>
            <w:pPr>
              <w:spacing w:after="0"/>
              <w:rPr>
                <w:sz w:val="15"/>
                <w:szCs w:val="15"/>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quality</w:t>
            </w:r>
          </w:p>
        </w:tc>
        <w:tc>
          <w:tcPr>
            <w:tcW w:w="1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2321560</wp:posOffset>
            </wp:positionH>
            <wp:positionV relativeFrom="paragraph">
              <wp:posOffset>-3447415</wp:posOffset>
            </wp:positionV>
            <wp:extent cx="730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-3447415</wp:posOffset>
            </wp:positionV>
            <wp:extent cx="730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-3447415</wp:posOffset>
            </wp:positionV>
            <wp:extent cx="730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-3447415</wp:posOffset>
            </wp:positionV>
            <wp:extent cx="730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-3447415</wp:posOffset>
            </wp:positionV>
            <wp:extent cx="730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-3447415</wp:posOffset>
            </wp:positionV>
            <wp:extent cx="647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-3447415</wp:posOffset>
            </wp:positionV>
            <wp:extent cx="647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-3447415</wp:posOffset>
            </wp:positionV>
            <wp:extent cx="647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-3447415</wp:posOffset>
            </wp:positionV>
            <wp:extent cx="73025" cy="1625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-2952750</wp:posOffset>
            </wp:positionV>
            <wp:extent cx="730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-2936240</wp:posOffset>
            </wp:positionV>
            <wp:extent cx="730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-2952750</wp:posOffset>
            </wp:positionV>
            <wp:extent cx="730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-2936240</wp:posOffset>
            </wp:positionV>
            <wp:extent cx="730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-2952750</wp:posOffset>
            </wp:positionV>
            <wp:extent cx="730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-2936240</wp:posOffset>
            </wp:positionV>
            <wp:extent cx="730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-2952750</wp:posOffset>
            </wp:positionV>
            <wp:extent cx="7302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-2936240</wp:posOffset>
            </wp:positionV>
            <wp:extent cx="730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-2952750</wp:posOffset>
            </wp:positionV>
            <wp:extent cx="730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-2936240</wp:posOffset>
            </wp:positionV>
            <wp:extent cx="730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-2952750</wp:posOffset>
            </wp:positionV>
            <wp:extent cx="730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-2936240</wp:posOffset>
            </wp:positionV>
            <wp:extent cx="730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-2952750</wp:posOffset>
            </wp:positionV>
            <wp:extent cx="647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-2936240</wp:posOffset>
            </wp:positionV>
            <wp:extent cx="647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-2952750</wp:posOffset>
            </wp:positionV>
            <wp:extent cx="647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-2936240</wp:posOffset>
            </wp:positionV>
            <wp:extent cx="647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-2952750</wp:posOffset>
            </wp:positionV>
            <wp:extent cx="647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-2936240</wp:posOffset>
            </wp:positionV>
            <wp:extent cx="647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-2125345</wp:posOffset>
            </wp:positionV>
            <wp:extent cx="730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-2108835</wp:posOffset>
            </wp:positionV>
            <wp:extent cx="730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-2125345</wp:posOffset>
            </wp:positionV>
            <wp:extent cx="730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-2108835</wp:posOffset>
            </wp:positionV>
            <wp:extent cx="730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-2125345</wp:posOffset>
            </wp:positionV>
            <wp:extent cx="730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-2108835</wp:posOffset>
            </wp:positionV>
            <wp:extent cx="730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-2125345</wp:posOffset>
            </wp:positionV>
            <wp:extent cx="730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-2108835</wp:posOffset>
            </wp:positionV>
            <wp:extent cx="730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-2125345</wp:posOffset>
            </wp:positionV>
            <wp:extent cx="730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-2108835</wp:posOffset>
            </wp:positionV>
            <wp:extent cx="730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-2125345</wp:posOffset>
            </wp:positionV>
            <wp:extent cx="730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-2108835</wp:posOffset>
            </wp:positionV>
            <wp:extent cx="730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-2125345</wp:posOffset>
            </wp:positionV>
            <wp:extent cx="647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-2108835</wp:posOffset>
            </wp:positionV>
            <wp:extent cx="647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-2125345</wp:posOffset>
            </wp:positionV>
            <wp:extent cx="647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-2108835</wp:posOffset>
            </wp:positionV>
            <wp:extent cx="647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-2125345</wp:posOffset>
            </wp:positionV>
            <wp:extent cx="64770" cy="26797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4770" cy="26797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-1727200</wp:posOffset>
            </wp:positionV>
            <wp:extent cx="730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-1711325</wp:posOffset>
            </wp:positionV>
            <wp:extent cx="730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-1727200</wp:posOffset>
            </wp:positionV>
            <wp:extent cx="730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-1711325</wp:posOffset>
            </wp:positionV>
            <wp:extent cx="730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-1727200</wp:posOffset>
            </wp:positionV>
            <wp:extent cx="730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-1711325</wp:posOffset>
            </wp:positionV>
            <wp:extent cx="730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-1727200</wp:posOffset>
            </wp:positionV>
            <wp:extent cx="730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-1711325</wp:posOffset>
            </wp:positionV>
            <wp:extent cx="730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-1727200</wp:posOffset>
            </wp:positionV>
            <wp:extent cx="730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-1711325</wp:posOffset>
            </wp:positionV>
            <wp:extent cx="730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-1727200</wp:posOffset>
            </wp:positionV>
            <wp:extent cx="730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-1711325</wp:posOffset>
            </wp:positionV>
            <wp:extent cx="730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-1727200</wp:posOffset>
            </wp:positionV>
            <wp:extent cx="647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-1711325</wp:posOffset>
            </wp:positionV>
            <wp:extent cx="647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-1727200</wp:posOffset>
            </wp:positionV>
            <wp:extent cx="647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-1711325</wp:posOffset>
            </wp:positionV>
            <wp:extent cx="647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-1727200</wp:posOffset>
            </wp:positionV>
            <wp:extent cx="647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-1711325</wp:posOffset>
            </wp:positionV>
            <wp:extent cx="647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-1013460</wp:posOffset>
            </wp:positionV>
            <wp:extent cx="730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-997585</wp:posOffset>
            </wp:positionV>
            <wp:extent cx="730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-1013460</wp:posOffset>
            </wp:positionV>
            <wp:extent cx="730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-997585</wp:posOffset>
            </wp:positionV>
            <wp:extent cx="730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-1013460</wp:posOffset>
            </wp:positionV>
            <wp:extent cx="730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-997585</wp:posOffset>
            </wp:positionV>
            <wp:extent cx="730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-1013460</wp:posOffset>
            </wp:positionV>
            <wp:extent cx="730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-997585</wp:posOffset>
            </wp:positionV>
            <wp:extent cx="730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-1013460</wp:posOffset>
            </wp:positionV>
            <wp:extent cx="730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-997585</wp:posOffset>
            </wp:positionV>
            <wp:extent cx="730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-1013460</wp:posOffset>
            </wp:positionV>
            <wp:extent cx="730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-997585</wp:posOffset>
            </wp:positionV>
            <wp:extent cx="730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-1013460</wp:posOffset>
            </wp:positionV>
            <wp:extent cx="647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-997585</wp:posOffset>
            </wp:positionV>
            <wp:extent cx="6477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-1013460</wp:posOffset>
            </wp:positionV>
            <wp:extent cx="647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-997585</wp:posOffset>
            </wp:positionV>
            <wp:extent cx="647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-1013460</wp:posOffset>
            </wp:positionV>
            <wp:extent cx="647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-997585</wp:posOffset>
            </wp:positionV>
            <wp:extent cx="647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5 EARNINGS PER SHARE</w:t>
      </w:r>
    </w:p>
    <w:p>
      <w:pPr>
        <w:spacing w:after="0" w:line="188" w:lineRule="exact"/>
        <w:rPr>
          <w:sz w:val="20"/>
          <w:szCs w:val="20"/>
          <w:color w:val="auto"/>
        </w:rPr>
      </w:pPr>
    </w:p>
    <w:p>
      <w:pPr>
        <w:jc w:val="both"/>
        <w:ind w:left="820"/>
        <w:spacing w:after="0" w:line="245" w:lineRule="auto"/>
        <w:rPr>
          <w:sz w:val="20"/>
          <w:szCs w:val="20"/>
          <w:color w:val="auto"/>
        </w:rPr>
      </w:pPr>
      <w:r>
        <w:rPr>
          <w:rFonts w:ascii="Times New Roman" w:cs="Times New Roman" w:eastAsia="Times New Roman" w:hAnsi="Times New Roman"/>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33" w:lineRule="exact"/>
        <w:rPr>
          <w:sz w:val="20"/>
          <w:szCs w:val="20"/>
          <w:color w:val="auto"/>
        </w:rPr>
      </w:pPr>
    </w:p>
    <w:p>
      <w:pPr>
        <w:jc w:val="both"/>
        <w:ind w:left="820"/>
        <w:spacing w:after="0" w:line="244" w:lineRule="auto"/>
        <w:rPr>
          <w:sz w:val="20"/>
          <w:szCs w:val="20"/>
          <w:color w:val="auto"/>
        </w:rPr>
      </w:pPr>
      <w:r>
        <w:rPr>
          <w:rFonts w:ascii="Times New Roman" w:cs="Times New Roman" w:eastAsia="Times New Roman" w:hAnsi="Times New Roman"/>
          <w:sz w:val="17"/>
          <w:szCs w:val="17"/>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On June 3, 2022, twelve Directors each received $10,013 which equated to 240 shares. The use of stock for Directors’ retainer, does not have an effect on diluted earnings per share as it is immediately vested.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7"/>
                <w:szCs w:val="17"/>
                <w:color w:val="auto"/>
              </w:rPr>
              <w:t>(in thousands of dollars)</w:t>
            </w:r>
          </w:p>
        </w:tc>
        <w:tc>
          <w:tcPr>
            <w:tcW w:w="120" w:type="dxa"/>
            <w:vAlign w:val="bottom"/>
          </w:tcPr>
          <w:p>
            <w:pPr>
              <w:spacing w:after="0"/>
              <w:rPr>
                <w:sz w:val="17"/>
                <w:szCs w:val="17"/>
                <w:color w:val="auto"/>
              </w:rPr>
            </w:pPr>
          </w:p>
        </w:tc>
        <w:tc>
          <w:tcPr>
            <w:tcW w:w="282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color w:val="auto"/>
              </w:rPr>
              <w:t>(in thousands of dollars)</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6"/>
          </w:tcPr>
          <w:p>
            <w:pPr>
              <w:jc w:val="right"/>
              <w:ind w:right="1100"/>
              <w:spacing w:after="0"/>
              <w:rPr>
                <w:sz w:val="20"/>
                <w:szCs w:val="20"/>
                <w:color w:val="auto"/>
              </w:rPr>
            </w:pPr>
            <w:r>
              <w:rPr>
                <w:rFonts w:ascii="Times New Roman" w:cs="Times New Roman" w:eastAsia="Times New Roman" w:hAnsi="Times New Roman"/>
                <w:sz w:val="17"/>
                <w:szCs w:val="17"/>
                <w:color w:val="auto"/>
              </w:rPr>
              <w:t>Three Months Ended</w:t>
            </w:r>
          </w:p>
        </w:tc>
        <w:tc>
          <w:tcPr>
            <w:tcW w:w="120" w:type="dxa"/>
            <w:vAlign w:val="bottom"/>
          </w:tcPr>
          <w:p>
            <w:pPr>
              <w:spacing w:after="0"/>
              <w:rPr>
                <w:sz w:val="17"/>
                <w:szCs w:val="17"/>
                <w:color w:val="auto"/>
              </w:rPr>
            </w:pPr>
          </w:p>
        </w:tc>
        <w:tc>
          <w:tcPr>
            <w:tcW w:w="2820" w:type="dxa"/>
            <w:vAlign w:val="bottom"/>
            <w:gridSpan w:val="6"/>
          </w:tcPr>
          <w:p>
            <w:pPr>
              <w:jc w:val="right"/>
              <w:ind w:right="840"/>
              <w:spacing w:after="0"/>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179"/>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30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580"/>
              <w:spacing w:after="0" w:line="179" w:lineRule="exact"/>
              <w:rPr>
                <w:sz w:val="20"/>
                <w:szCs w:val="20"/>
                <w:color w:val="auto"/>
              </w:rPr>
            </w:pPr>
            <w:r>
              <w:rPr>
                <w:rFonts w:ascii="Times New Roman" w:cs="Times New Roman" w:eastAsia="Times New Roman" w:hAnsi="Times New Roman"/>
                <w:sz w:val="17"/>
                <w:szCs w:val="17"/>
                <w:color w:val="auto"/>
              </w:rPr>
              <w:t>September 30,</w:t>
            </w:r>
          </w:p>
        </w:tc>
        <w:tc>
          <w:tcPr>
            <w:tcW w:w="120" w:type="dxa"/>
            <w:vAlign w:val="bottom"/>
          </w:tcPr>
          <w:p>
            <w:pPr>
              <w:spacing w:after="0"/>
              <w:rPr>
                <w:sz w:val="15"/>
                <w:szCs w:val="15"/>
                <w:color w:val="auto"/>
              </w:rPr>
            </w:pPr>
          </w:p>
        </w:tc>
        <w:tc>
          <w:tcPr>
            <w:tcW w:w="1300" w:type="dxa"/>
            <w:vAlign w:val="bottom"/>
            <w:gridSpan w:val="2"/>
          </w:tcPr>
          <w:p>
            <w:pPr>
              <w:jc w:val="right"/>
              <w:ind w:right="30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80"/>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40" w:type="dxa"/>
            <w:vAlign w:val="bottom"/>
            <w:shd w:val="clear" w:color="auto" w:fill="CFF0FC"/>
          </w:tcPr>
          <w:p>
            <w:pPr>
              <w:ind w:left="176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8,954</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5,920</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25,327</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Less: distributed earnings allocated to participating</w:t>
            </w:r>
          </w:p>
        </w:tc>
        <w:tc>
          <w:tcPr>
            <w:tcW w:w="12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(26 )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(20 )</w:t>
            </w:r>
          </w:p>
        </w:tc>
        <w:tc>
          <w:tcPr>
            <w:tcW w:w="12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(67 )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132"/>
        </w:trPr>
        <w:tc>
          <w:tcPr>
            <w:tcW w:w="504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securities</w:t>
            </w:r>
          </w:p>
        </w:tc>
        <w:tc>
          <w:tcPr>
            <w:tcW w:w="12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0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Less: undistributed earnings allocated to participating</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auto"/>
              </w:rPr>
              <w:t>(31 )</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(148 )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(77 )</w:t>
            </w:r>
          </w:p>
        </w:tc>
        <w:tc>
          <w:tcPr>
            <w:tcW w:w="0" w:type="dxa"/>
            <w:vAlign w:val="bottom"/>
          </w:tcPr>
          <w:p>
            <w:pPr>
              <w:spacing w:after="0"/>
              <w:rPr>
                <w:sz w:val="1"/>
                <w:szCs w:val="1"/>
                <w:color w:val="auto"/>
              </w:rPr>
            </w:pPr>
          </w:p>
        </w:tc>
      </w:tr>
      <w:tr>
        <w:trPr>
          <w:trHeight w:val="120"/>
        </w:trPr>
        <w:tc>
          <w:tcPr>
            <w:tcW w:w="5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securities</w:t>
            </w: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504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earnings available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8,886</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5,869</w:t>
            </w:r>
          </w:p>
        </w:tc>
        <w:tc>
          <w:tcPr>
            <w:tcW w:w="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25,112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Weighted average common shares outstanding including</w:t>
            </w:r>
          </w:p>
        </w:tc>
        <w:tc>
          <w:tcPr>
            <w:tcW w:w="12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13,083,145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11,209,732</w:t>
            </w: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13,071,859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11,199,309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04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participating securities</w:t>
            </w:r>
          </w:p>
        </w:tc>
        <w:tc>
          <w:tcPr>
            <w:tcW w:w="12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vMerge w:val="continue"/>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0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average unvested restricted shares</w:t>
            </w: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(99,838 )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(96,197 )</w:t>
            </w: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(111,209 )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(89,075 )</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12,983,307</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11,113,535</w:t>
            </w:r>
          </w:p>
        </w:tc>
        <w:tc>
          <w:tcPr>
            <w:tcW w:w="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12,960,650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11,110,234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Basic and diluted earnings per share</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0.68</w:t>
            </w:r>
          </w:p>
        </w:tc>
        <w:tc>
          <w:tcPr>
            <w:tcW w:w="120" w:type="dxa"/>
            <w:vAlign w:val="bottom"/>
          </w:tcPr>
          <w:p>
            <w:pPr>
              <w:spacing w:after="0"/>
              <w:rPr>
                <w:sz w:val="15"/>
                <w:szCs w:val="15"/>
                <w:color w:val="auto"/>
              </w:rPr>
            </w:pPr>
          </w:p>
        </w:tc>
        <w:tc>
          <w:tcPr>
            <w:tcW w:w="2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0.53</w:t>
            </w:r>
          </w:p>
        </w:tc>
        <w:tc>
          <w:tcPr>
            <w:tcW w:w="38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15"/>
                <w:szCs w:val="15"/>
                <w:color w:val="auto"/>
              </w:rPr>
            </w:pPr>
          </w:p>
        </w:tc>
        <w:tc>
          <w:tcPr>
            <w:tcW w:w="2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-1483995</wp:posOffset>
            </wp:positionV>
            <wp:extent cx="3115310" cy="1543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115310" cy="15430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-818515</wp:posOffset>
            </wp:positionV>
            <wp:extent cx="3115310" cy="1784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115310" cy="17843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6 FAIR VALUE OF FINANCIAL INSTRUMENTS</w:t>
      </w:r>
    </w:p>
    <w:p>
      <w:pPr>
        <w:spacing w:after="0" w:line="175"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hanging="89"/>
        <w:spacing w:after="0"/>
        <w:tabs>
          <w:tab w:leader="none" w:pos="4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3"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43815</wp:posOffset>
            </wp:positionV>
            <wp:extent cx="7165340" cy="419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The estimated fair values, and related carrying or notional amounts, for on and off-balance sheet financial instruments as of September 30, 2022 and December 31, 2021 are reflected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7"/>
                <w:szCs w:val="17"/>
                <w:color w:val="auto"/>
                <w:w w:val="99"/>
              </w:rPr>
              <w:t>September 30, 2022</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5"/>
              <w:spacing w:after="0" w:line="181" w:lineRule="exact"/>
              <w:rPr>
                <w:sz w:val="20"/>
                <w:szCs w:val="20"/>
                <w:color w:val="auto"/>
              </w:rPr>
            </w:pPr>
            <w:r>
              <w:rPr>
                <w:rFonts w:ascii="Times New Roman" w:cs="Times New Roman" w:eastAsia="Times New Roman" w:hAnsi="Times New Roman"/>
                <w:sz w:val="17"/>
                <w:szCs w:val="17"/>
                <w:color w:val="auto"/>
                <w:w w:val="99"/>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color w:val="auto"/>
              </w:rPr>
              <w:t>Fair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3"/>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Level 1</w:t>
            </w:r>
          </w:p>
        </w:tc>
        <w:tc>
          <w:tcPr>
            <w:tcW w:w="160" w:type="dxa"/>
            <w:vAlign w:val="bottom"/>
          </w:tcPr>
          <w:p>
            <w:pPr>
              <w:spacing w:after="0"/>
              <w:rPr>
                <w:sz w:val="19"/>
                <w:szCs w:val="19"/>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Level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19"/>
                <w:szCs w:val="19"/>
                <w:color w:val="auto"/>
              </w:rPr>
            </w:pPr>
          </w:p>
        </w:tc>
      </w:tr>
      <w:tr>
        <w:trPr>
          <w:trHeight w:val="19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70,670</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70,670</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Interest-bearing time deposits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5,187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Securities - available-for-sale</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296,957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securities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8,227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8,227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8,227</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 net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2,122,626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2,080,950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2,080,950</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receivable</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9,856</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1,313,263</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1,313,263</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1,313,263</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506,928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506,928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506,928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Time deposits</w:t>
            </w: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462,845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449,985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449,985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Deposits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2,283,036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2,270,176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506,928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1,763,248</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2"/>
        </w:trPr>
        <w:tc>
          <w:tcPr>
            <w:tcW w:w="526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Federal funds purchased and securities sold under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 to repurchase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55,802</w:t>
            </w:r>
          </w:p>
        </w:tc>
        <w:tc>
          <w:tcPr>
            <w:tcW w:w="100" w:type="dxa"/>
            <w:vAlign w:val="bottom"/>
          </w:tcPr>
          <w:p>
            <w:pPr>
              <w:spacing w:after="0"/>
              <w:rPr>
                <w:sz w:val="19"/>
                <w:szCs w:val="19"/>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Federal Home Loan Bank advances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102,147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103,588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103,588</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Subordinated notes, net of unamortized issuance costs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34,557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22"/>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payable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19"/>
                <w:szCs w:val="19"/>
                <w:color w:val="auto"/>
              </w:rPr>
            </w:pPr>
          </w:p>
        </w:tc>
      </w:tr>
      <w:tr>
        <w:trPr>
          <w:trHeight w:val="570"/>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7"/>
                <w:szCs w:val="17"/>
                <w:color w:val="auto"/>
              </w:rPr>
              <w:t>December 31, 2021</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5"/>
              <w:spacing w:after="0" w:line="181" w:lineRule="exact"/>
              <w:rPr>
                <w:sz w:val="20"/>
                <w:szCs w:val="20"/>
                <w:color w:val="auto"/>
              </w:rPr>
            </w:pPr>
            <w:r>
              <w:rPr>
                <w:rFonts w:ascii="Times New Roman" w:cs="Times New Roman" w:eastAsia="Times New Roman" w:hAnsi="Times New Roman"/>
                <w:sz w:val="17"/>
                <w:szCs w:val="17"/>
                <w:color w:val="auto"/>
                <w:w w:val="99"/>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color w:val="auto"/>
              </w:rPr>
              <w:t>Fair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3"/>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Level 1</w:t>
            </w:r>
          </w:p>
        </w:tc>
        <w:tc>
          <w:tcPr>
            <w:tcW w:w="160" w:type="dxa"/>
            <w:vAlign w:val="bottom"/>
          </w:tcPr>
          <w:p>
            <w:pPr>
              <w:spacing w:after="0"/>
              <w:rPr>
                <w:sz w:val="19"/>
                <w:szCs w:val="19"/>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Level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19"/>
                <w:szCs w:val="19"/>
                <w:color w:val="auto"/>
              </w:rPr>
            </w:pPr>
          </w:p>
        </w:tc>
      </w:tr>
      <w:tr>
        <w:trPr>
          <w:trHeight w:val="19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1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180,823</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180,823</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Interest-bearing time deposits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10,913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10,933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Securities - available-for-sale</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4,773</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securities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7,844</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 net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1,841,177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1,864,386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1,864,386</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receivable</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1,248,294</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1,248,044</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1,248,044</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473,689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473,689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Time deposits</w:t>
            </w: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471,479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475,810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475,810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5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Deposits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2,193,462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2,197,543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473,689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1,723,854</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62"/>
        </w:trPr>
        <w:tc>
          <w:tcPr>
            <w:tcW w:w="5260" w:type="dxa"/>
            <w:vAlign w:val="bottom"/>
          </w:tcPr>
          <w:p>
            <w:pPr>
              <w:ind w:left="180"/>
              <w:spacing w:after="0" w:line="163" w:lineRule="exact"/>
              <w:rPr>
                <w:sz w:val="20"/>
                <w:szCs w:val="20"/>
                <w:color w:val="auto"/>
              </w:rPr>
            </w:pPr>
            <w:r>
              <w:rPr>
                <w:rFonts w:ascii="Times New Roman" w:cs="Times New Roman" w:eastAsia="Times New Roman" w:hAnsi="Times New Roman"/>
                <w:sz w:val="17"/>
                <w:szCs w:val="17"/>
                <w:color w:val="auto"/>
              </w:rPr>
              <w:t>Federal funds purchased and securities sold under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 to repurchase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100" w:type="dxa"/>
            <w:vAlign w:val="bottom"/>
          </w:tcPr>
          <w:p>
            <w:pPr>
              <w:spacing w:after="0"/>
              <w:rPr>
                <w:sz w:val="19"/>
                <w:szCs w:val="19"/>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Federal Home Loan Bank advances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24,065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24,305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24,305</w:t>
            </w:r>
          </w:p>
        </w:tc>
        <w:tc>
          <w:tcPr>
            <w:tcW w:w="100" w:type="dxa"/>
            <w:vAlign w:val="bottom"/>
            <w:shd w:val="clear" w:color="auto" w:fill="CFF0FC"/>
          </w:tcPr>
          <w:p>
            <w:pPr>
              <w:spacing w:after="0"/>
              <w:rPr>
                <w:sz w:val="17"/>
                <w:szCs w:val="17"/>
                <w:color w:val="auto"/>
              </w:rPr>
            </w:pPr>
          </w:p>
        </w:tc>
      </w:tr>
      <w:tr>
        <w:trPr>
          <w:trHeight w:val="204"/>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4"/>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Subordinated notes, net of unamortized issuance costs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34,471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22"/>
        </w:trPr>
        <w:tc>
          <w:tcPr>
            <w:tcW w:w="5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payable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tcPr>
          <w:p>
            <w:pPr>
              <w:spacing w:after="0"/>
              <w:rPr>
                <w:sz w:val="19"/>
                <w:szCs w:val="19"/>
                <w:color w:val="auto"/>
              </w:rPr>
            </w:pPr>
          </w:p>
        </w:tc>
      </w:tr>
      <w:tr>
        <w:trPr>
          <w:trHeight w:val="495"/>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9"/>
        </w:trPr>
        <w:tc>
          <w:tcPr>
            <w:tcW w:w="52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-4916170</wp:posOffset>
            </wp:positionV>
            <wp:extent cx="73025" cy="13779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-4916170</wp:posOffset>
            </wp:positionV>
            <wp:extent cx="73025" cy="1377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-4916170</wp:posOffset>
            </wp:positionV>
            <wp:extent cx="64770" cy="1377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-4916170</wp:posOffset>
            </wp:positionV>
            <wp:extent cx="64770" cy="1377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-4916170</wp:posOffset>
            </wp:positionV>
            <wp:extent cx="64770" cy="1377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-1410970</wp:posOffset>
            </wp:positionV>
            <wp:extent cx="73025" cy="1377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-1410970</wp:posOffset>
            </wp:positionV>
            <wp:extent cx="73025" cy="13779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-1410970</wp:posOffset>
            </wp:positionV>
            <wp:extent cx="64770" cy="13779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-1410970</wp:posOffset>
            </wp:positionV>
            <wp:extent cx="64770" cy="1377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-1410970</wp:posOffset>
            </wp:positionV>
            <wp:extent cx="64770" cy="1377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Fair Value Measurements:</w:t>
      </w:r>
    </w:p>
    <w:p>
      <w:pPr>
        <w:spacing w:after="0" w:line="162"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In general, fair values determined by Level 1 inputs use quoted prices in active markets for identical assets or liabilities in active markets that the Company has the ability to access.</w:t>
      </w:r>
    </w:p>
    <w:p>
      <w:pPr>
        <w:spacing w:after="0" w:line="101"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Available-for-sale securities, when quoted prices are available in an active market, securities are valued using the quoted price and are classified as Level 1.</w:t>
      </w:r>
    </w:p>
    <w:p>
      <w:pPr>
        <w:spacing w:after="0" w:line="101"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27"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0"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1"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21"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The following summarizes financial assets measured at fair value on a recurring basis as of September 30, 2022 and December 31, 2021, segregated by level or the valuation inputs within the fair value hierarchy utilized to measure fair value:</w:t>
      </w:r>
    </w:p>
    <w:p>
      <w:pPr>
        <w:spacing w:after="0" w:line="1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Assets and Liabilities Measured at Fair Value on a Recurring Basis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tcPr>
          <w:p>
            <w:pPr>
              <w:spacing w:after="0"/>
              <w:rPr>
                <w:sz w:val="13"/>
                <w:szCs w:val="13"/>
                <w:color w:val="auto"/>
              </w:rPr>
            </w:pPr>
          </w:p>
        </w:tc>
        <w:tc>
          <w:tcPr>
            <w:tcW w:w="3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jc w:val="center"/>
              <w:ind w:right="215"/>
              <w:spacing w:after="0" w:line="179" w:lineRule="exact"/>
              <w:rPr>
                <w:sz w:val="20"/>
                <w:szCs w:val="20"/>
                <w:color w:val="auto"/>
              </w:rPr>
            </w:pPr>
            <w:r>
              <w:rPr>
                <w:rFonts w:ascii="Times New Roman" w:cs="Times New Roman" w:eastAsia="Times New Roman" w:hAnsi="Times New Roman"/>
                <w:sz w:val="17"/>
                <w:szCs w:val="17"/>
                <w:color w:val="auto"/>
                <w:w w:val="90"/>
              </w:rPr>
              <w:t>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rPr>
              <w:t>Active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rPr>
              <w:t>Markets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Significant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w w:val="99"/>
              </w:rPr>
              <w:t>Significant</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rPr>
              <w:t>for Identical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Observable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w w:val="99"/>
              </w:rPr>
              <w:t>Unobservable</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w w:val="98"/>
              </w:rPr>
              <w:t>Assets (Level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w w:val="98"/>
              </w:rPr>
              <w:t>Inputs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w w:val="98"/>
              </w:rPr>
              <w:t>Inputs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1120" w:type="dxa"/>
            <w:vAlign w:val="bottom"/>
          </w:tcPr>
          <w:p>
            <w:pPr>
              <w:spacing w:after="0"/>
              <w:rPr>
                <w:sz w:val="19"/>
                <w:szCs w:val="19"/>
                <w:color w:val="auto"/>
              </w:rPr>
            </w:pP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September 30, 2022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ind w:right="235"/>
              <w:spacing w:after="0"/>
              <w:rPr>
                <w:sz w:val="20"/>
                <w:szCs w:val="20"/>
                <w:color w:val="auto"/>
              </w:rPr>
            </w:pPr>
            <w:r>
              <w:rPr>
                <w:rFonts w:ascii="Times New Roman" w:cs="Times New Roman" w:eastAsia="Times New Roman" w:hAnsi="Times New Roman"/>
                <w:sz w:val="17"/>
                <w:szCs w:val="17"/>
                <w:color w:val="auto"/>
                <w:w w:val="98"/>
              </w:rPr>
              <w:t>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(Level 2)</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color w:val="auto"/>
                <w:w w:val="98"/>
              </w:rPr>
              <w:t>(Level 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Assets - (Securities Available-for-Sale)</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95,162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138,020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90,264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State and local governments</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68,673</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Securities Available-for-Sale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95,162</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296,957</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537"/>
        </w:trPr>
        <w:tc>
          <w:tcPr>
            <w:tcW w:w="1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55"/>
              <w:spacing w:after="0"/>
              <w:rPr>
                <w:sz w:val="20"/>
                <w:szCs w:val="20"/>
                <w:color w:val="auto"/>
              </w:rPr>
            </w:pPr>
            <w:r>
              <w:rPr>
                <w:rFonts w:ascii="Times New Roman" w:cs="Times New Roman" w:eastAsia="Times New Roman" w:hAnsi="Times New Roman"/>
                <w:sz w:val="17"/>
                <w:szCs w:val="17"/>
                <w:color w:val="auto"/>
              </w:rPr>
              <w:t>Quoted Prices in</w:t>
            </w:r>
          </w:p>
        </w:tc>
        <w:tc>
          <w:tcPr>
            <w:tcW w:w="180" w:type="dxa"/>
            <w:vAlign w:val="bottom"/>
          </w:tcPr>
          <w:p>
            <w:pPr>
              <w:spacing w:after="0"/>
              <w:rPr>
                <w:sz w:val="24"/>
                <w:szCs w:val="24"/>
                <w:color w:val="auto"/>
              </w:rPr>
            </w:pPr>
          </w:p>
        </w:tc>
        <w:tc>
          <w:tcPr>
            <w:tcW w:w="166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color w:val="auto"/>
              </w:rPr>
              <w:t>Significant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55"/>
              <w:spacing w:after="0"/>
              <w:rPr>
                <w:sz w:val="20"/>
                <w:szCs w:val="20"/>
                <w:color w:val="auto"/>
              </w:rPr>
            </w:pPr>
            <w:r>
              <w:rPr>
                <w:rFonts w:ascii="Times New Roman" w:cs="Times New Roman" w:eastAsia="Times New Roman" w:hAnsi="Times New Roman"/>
                <w:sz w:val="17"/>
                <w:szCs w:val="17"/>
                <w:color w:val="auto"/>
              </w:rPr>
              <w:t>Significant</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55"/>
              <w:spacing w:after="0" w:line="179" w:lineRule="exact"/>
              <w:rPr>
                <w:sz w:val="20"/>
                <w:szCs w:val="20"/>
                <w:color w:val="auto"/>
              </w:rPr>
            </w:pPr>
            <w:r>
              <w:rPr>
                <w:rFonts w:ascii="Times New Roman" w:cs="Times New Roman" w:eastAsia="Times New Roman" w:hAnsi="Times New Roman"/>
                <w:sz w:val="17"/>
                <w:szCs w:val="17"/>
                <w:color w:val="auto"/>
              </w:rPr>
              <w:t>Active Markets</w:t>
            </w:r>
          </w:p>
        </w:tc>
        <w:tc>
          <w:tcPr>
            <w:tcW w:w="180" w:type="dxa"/>
            <w:vAlign w:val="bottom"/>
          </w:tcPr>
          <w:p>
            <w:pPr>
              <w:spacing w:after="0"/>
              <w:rPr>
                <w:sz w:val="15"/>
                <w:szCs w:val="15"/>
                <w:color w:val="auto"/>
              </w:rPr>
            </w:pPr>
          </w:p>
        </w:tc>
        <w:tc>
          <w:tcPr>
            <w:tcW w:w="1660" w:type="dxa"/>
            <w:vAlign w:val="bottom"/>
            <w:gridSpan w:val="5"/>
          </w:tcPr>
          <w:p>
            <w:pPr>
              <w:jc w:val="center"/>
              <w:ind w:right="180"/>
              <w:spacing w:after="0" w:line="179" w:lineRule="exact"/>
              <w:rPr>
                <w:sz w:val="20"/>
                <w:szCs w:val="20"/>
                <w:color w:val="auto"/>
              </w:rPr>
            </w:pPr>
            <w:r>
              <w:rPr>
                <w:rFonts w:ascii="Times New Roman" w:cs="Times New Roman" w:eastAsia="Times New Roman" w:hAnsi="Times New Roman"/>
                <w:sz w:val="17"/>
                <w:szCs w:val="17"/>
                <w:color w:val="auto"/>
                <w:w w:val="98"/>
              </w:rPr>
              <w:t>Observable</w:t>
            </w:r>
          </w:p>
        </w:tc>
        <w:tc>
          <w:tcPr>
            <w:tcW w:w="120" w:type="dxa"/>
            <w:vAlign w:val="bottom"/>
          </w:tcPr>
          <w:p>
            <w:pPr>
              <w:spacing w:after="0"/>
              <w:rPr>
                <w:sz w:val="15"/>
                <w:szCs w:val="15"/>
                <w:color w:val="auto"/>
              </w:rPr>
            </w:pPr>
          </w:p>
        </w:tc>
        <w:tc>
          <w:tcPr>
            <w:tcW w:w="1440" w:type="dxa"/>
            <w:vAlign w:val="bottom"/>
            <w:gridSpan w:val="3"/>
          </w:tcPr>
          <w:p>
            <w:pPr>
              <w:jc w:val="center"/>
              <w:ind w:right="35"/>
              <w:spacing w:after="0" w:line="179" w:lineRule="exact"/>
              <w:rPr>
                <w:sz w:val="20"/>
                <w:szCs w:val="20"/>
                <w:color w:val="auto"/>
              </w:rPr>
            </w:pPr>
            <w:r>
              <w:rPr>
                <w:rFonts w:ascii="Times New Roman" w:cs="Times New Roman" w:eastAsia="Times New Roman" w:hAnsi="Times New Roman"/>
                <w:sz w:val="17"/>
                <w:szCs w:val="17"/>
                <w:color w:val="auto"/>
              </w:rPr>
              <w:t>Unobservable</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75"/>
              <w:spacing w:after="0" w:line="179" w:lineRule="exact"/>
              <w:rPr>
                <w:sz w:val="20"/>
                <w:szCs w:val="20"/>
                <w:color w:val="auto"/>
              </w:rPr>
            </w:pPr>
            <w:r>
              <w:rPr>
                <w:rFonts w:ascii="Times New Roman" w:cs="Times New Roman" w:eastAsia="Times New Roman" w:hAnsi="Times New Roman"/>
                <w:sz w:val="17"/>
                <w:szCs w:val="17"/>
                <w:color w:val="auto"/>
              </w:rPr>
              <w:t>for Identical</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4"/>
          </w:tcPr>
          <w:p>
            <w:pPr>
              <w:jc w:val="center"/>
              <w:ind w:right="700"/>
              <w:spacing w:after="0" w:line="179" w:lineRule="exact"/>
              <w:rPr>
                <w:sz w:val="20"/>
                <w:szCs w:val="20"/>
                <w:color w:val="auto"/>
              </w:rPr>
            </w:pPr>
            <w:r>
              <w:rPr>
                <w:rFonts w:ascii="Times New Roman" w:cs="Times New Roman" w:eastAsia="Times New Roman" w:hAnsi="Times New Roman"/>
                <w:sz w:val="17"/>
                <w:szCs w:val="17"/>
                <w:color w:val="auto"/>
              </w:rPr>
              <w:t>Inputs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75"/>
              <w:spacing w:after="0" w:line="179" w:lineRule="exact"/>
              <w:rPr>
                <w:sz w:val="20"/>
                <w:szCs w:val="20"/>
                <w:color w:val="auto"/>
              </w:rPr>
            </w:pPr>
            <w:r>
              <w:rPr>
                <w:rFonts w:ascii="Times New Roman" w:cs="Times New Roman" w:eastAsia="Times New Roman" w:hAnsi="Times New Roman"/>
                <w:sz w:val="17"/>
                <w:szCs w:val="17"/>
                <w:color w:val="auto"/>
              </w:rPr>
              <w:t>Inputs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112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center"/>
              <w:ind w:right="75"/>
              <w:spacing w:after="0"/>
              <w:rPr>
                <w:sz w:val="20"/>
                <w:szCs w:val="20"/>
                <w:color w:val="auto"/>
              </w:rPr>
            </w:pPr>
            <w:r>
              <w:rPr>
                <w:rFonts w:ascii="Times New Roman" w:cs="Times New Roman" w:eastAsia="Times New Roman" w:hAnsi="Times New Roman"/>
                <w:sz w:val="17"/>
                <w:szCs w:val="17"/>
                <w:color w:val="auto"/>
              </w:rPr>
              <w:t>Assets (Level 1)</w:t>
            </w:r>
          </w:p>
        </w:tc>
        <w:tc>
          <w:tcPr>
            <w:tcW w:w="180" w:type="dxa"/>
            <w:vAlign w:val="bottom"/>
          </w:tcPr>
          <w:p>
            <w:pPr>
              <w:spacing w:after="0"/>
              <w:rPr>
                <w:sz w:val="19"/>
                <w:szCs w:val="19"/>
                <w:color w:val="auto"/>
              </w:rPr>
            </w:pPr>
          </w:p>
        </w:tc>
        <w:tc>
          <w:tcPr>
            <w:tcW w:w="166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375"/>
              <w:spacing w:after="0"/>
              <w:rPr>
                <w:sz w:val="20"/>
                <w:szCs w:val="20"/>
                <w:color w:val="auto"/>
              </w:rPr>
            </w:pPr>
            <w:r>
              <w:rPr>
                <w:rFonts w:ascii="Times New Roman" w:cs="Times New Roman" w:eastAsia="Times New Roman" w:hAnsi="Times New Roman"/>
                <w:sz w:val="17"/>
                <w:szCs w:val="17"/>
                <w:color w:val="auto"/>
              </w:rPr>
              <w:t>(Level 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3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Assets - (Securities Available-for-Sale)</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89,177</w:t>
            </w:r>
          </w:p>
        </w:tc>
        <w:tc>
          <w:tcPr>
            <w:tcW w:w="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156,886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State and local governments</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61,168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4,773</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Securities Available-for-Sale</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89,177</w:t>
            </w:r>
          </w:p>
        </w:tc>
        <w:tc>
          <w:tcPr>
            <w:tcW w:w="700" w:type="dxa"/>
            <w:vAlign w:val="bottom"/>
            <w:gridSpan w:val="2"/>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335,981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69"/>
        </w:trPr>
        <w:tc>
          <w:tcPr>
            <w:tcW w:w="1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1"/>
        </w:trPr>
        <w:tc>
          <w:tcPr>
            <w:tcW w:w="11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4666615</wp:posOffset>
            </wp:positionH>
            <wp:positionV relativeFrom="paragraph">
              <wp:posOffset>-2205990</wp:posOffset>
            </wp:positionV>
            <wp:extent cx="56515" cy="1625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-2205990</wp:posOffset>
            </wp:positionV>
            <wp:extent cx="56515" cy="1625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-2205990</wp:posOffset>
            </wp:positionV>
            <wp:extent cx="56515" cy="1625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-664845</wp:posOffset>
            </wp:positionV>
            <wp:extent cx="56515" cy="1625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-664845</wp:posOffset>
            </wp:positionV>
            <wp:extent cx="56515" cy="1625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-664845</wp:posOffset>
            </wp:positionV>
            <wp:extent cx="56515" cy="1625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following tables represent the changes in the Level 3 fair-value category of which unobservable inputs are relied upon as of the three and nine month periods ended September 30, 2022 and September 30, 2021. During the three month period ended March 31, 2022, there was one security transferred from Level 3 to Level 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80" w:type="dxa"/>
            <w:vAlign w:val="bottom"/>
            <w:tcBorders>
              <w:bottom w:val="single" w:sz="8" w:color="auto"/>
            </w:tcBorders>
            <w:gridSpan w:val="13"/>
          </w:tcPr>
          <w:p>
            <w:pPr>
              <w:jc w:val="center"/>
              <w:ind w:left="315"/>
              <w:spacing w:after="0"/>
              <w:rPr>
                <w:sz w:val="20"/>
                <w:szCs w:val="20"/>
                <w:color w:val="auto"/>
              </w:rPr>
            </w:pPr>
            <w:r>
              <w:rPr>
                <w:rFonts w:ascii="Times New Roman" w:cs="Times New Roman" w:eastAsia="Times New Roman" w:hAnsi="Times New Roman"/>
                <w:sz w:val="17"/>
                <w:szCs w:val="17"/>
                <w:color w:val="auto"/>
                <w:w w:val="99"/>
              </w:rPr>
              <w:t>Fair Value Measurements Using Significant</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0"/>
          </w:tcPr>
          <w:p>
            <w:pPr>
              <w:jc w:val="center"/>
              <w:ind w:right="315"/>
              <w:spacing w:after="0"/>
              <w:rPr>
                <w:sz w:val="20"/>
                <w:szCs w:val="20"/>
                <w:color w:val="auto"/>
              </w:rPr>
            </w:pPr>
            <w:r>
              <w:rPr>
                <w:rFonts w:ascii="Times New Roman" w:cs="Times New Roman" w:eastAsia="Times New Roman" w:hAnsi="Times New Roman"/>
                <w:sz w:val="17"/>
                <w:szCs w:val="17"/>
                <w:color w:val="auto"/>
              </w:rPr>
              <w:t>Unobservable Inputs (Level 3)</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5"/>
        </w:trPr>
        <w:tc>
          <w:tcPr>
            <w:tcW w:w="1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gridSpan w:val="5"/>
          </w:tcPr>
          <w:p>
            <w:pPr>
              <w:jc w:val="center"/>
              <w:ind w:right="24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240" w:type="dxa"/>
            <w:vAlign w:val="bottom"/>
            <w:gridSpan w:val="6"/>
          </w:tcPr>
          <w:p>
            <w:pPr>
              <w:jc w:val="center"/>
              <w:ind w:right="10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40" w:type="dxa"/>
            <w:vAlign w:val="bottom"/>
          </w:tcPr>
          <w:p>
            <w:pPr>
              <w:spacing w:after="0"/>
              <w:rPr>
                <w:sz w:val="13"/>
                <w:szCs w:val="13"/>
                <w:color w:val="auto"/>
              </w:rPr>
            </w:pPr>
          </w:p>
        </w:tc>
        <w:tc>
          <w:tcPr>
            <w:tcW w:w="120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5"/>
          </w:tcPr>
          <w:p>
            <w:pPr>
              <w:jc w:val="center"/>
              <w:ind w:right="22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00" w:type="dxa"/>
            <w:vAlign w:val="bottom"/>
          </w:tcPr>
          <w:p>
            <w:pPr>
              <w:spacing w:after="0"/>
              <w:rPr>
                <w:sz w:val="15"/>
                <w:szCs w:val="15"/>
                <w:color w:val="auto"/>
              </w:rPr>
            </w:pPr>
          </w:p>
        </w:tc>
        <w:tc>
          <w:tcPr>
            <w:tcW w:w="1140" w:type="dxa"/>
            <w:vAlign w:val="bottom"/>
            <w:gridSpan w:val="5"/>
          </w:tcPr>
          <w:p>
            <w:pPr>
              <w:jc w:val="center"/>
              <w:ind w:right="18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40" w:type="dxa"/>
            <w:vAlign w:val="bottom"/>
          </w:tcPr>
          <w:p>
            <w:pPr>
              <w:spacing w:after="0"/>
              <w:rPr>
                <w:sz w:val="15"/>
                <w:szCs w:val="15"/>
                <w:color w:val="auto"/>
              </w:rPr>
            </w:pPr>
          </w:p>
        </w:tc>
        <w:tc>
          <w:tcPr>
            <w:tcW w:w="1280" w:type="dxa"/>
            <w:vAlign w:val="bottom"/>
            <w:gridSpan w:val="3"/>
          </w:tcPr>
          <w:p>
            <w:pPr>
              <w:jc w:val="right"/>
              <w:ind w:right="22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120" w:type="dxa"/>
            <w:vAlign w:val="bottom"/>
          </w:tcPr>
          <w:p>
            <w:pPr>
              <w:spacing w:after="0"/>
              <w:rPr>
                <w:sz w:val="15"/>
                <w:szCs w:val="15"/>
                <w:color w:val="auto"/>
              </w:rPr>
            </w:pPr>
          </w:p>
        </w:tc>
      </w:tr>
      <w:tr>
        <w:trPr>
          <w:trHeight w:val="221"/>
        </w:trPr>
        <w:tc>
          <w:tcPr>
            <w:tcW w:w="11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2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Tax-Exempt</w:t>
            </w:r>
          </w:p>
        </w:tc>
        <w:tc>
          <w:tcPr>
            <w:tcW w:w="100" w:type="dxa"/>
            <w:vAlign w:val="bottom"/>
          </w:tcPr>
          <w:p>
            <w:pPr>
              <w:spacing w:after="0"/>
              <w:rPr>
                <w:sz w:val="19"/>
                <w:szCs w:val="19"/>
                <w:color w:val="auto"/>
              </w:rPr>
            </w:pPr>
          </w:p>
        </w:tc>
        <w:tc>
          <w:tcPr>
            <w:tcW w:w="80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4"/>
              </w:rPr>
              <w:t>Taxable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July 1, 2022</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2,089</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3,414</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Market Value</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(29 )</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(48 )</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&amp; Maturities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Reclassification &amp; Adjustments</w:t>
            </w: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4"/>
        </w:trPr>
        <w:tc>
          <w:tcPr>
            <w:tcW w:w="1120" w:type="dxa"/>
            <w:vAlign w:val="bottom"/>
          </w:tcPr>
          <w:p>
            <w:pPr>
              <w:spacing w:after="0"/>
              <w:rPr>
                <w:sz w:val="21"/>
                <w:szCs w:val="21"/>
                <w:color w:val="auto"/>
              </w:rPr>
            </w:pP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2,070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3,366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374"/>
        </w:trPr>
        <w:tc>
          <w:tcPr>
            <w:tcW w:w="1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14"/>
          </w:tcPr>
          <w:p>
            <w:pPr>
              <w:jc w:val="center"/>
              <w:ind w:left="175"/>
              <w:spacing w:after="0"/>
              <w:rPr>
                <w:sz w:val="20"/>
                <w:szCs w:val="20"/>
                <w:color w:val="auto"/>
              </w:rPr>
            </w:pPr>
            <w:r>
              <w:rPr>
                <w:rFonts w:ascii="Times New Roman" w:cs="Times New Roman" w:eastAsia="Times New Roman" w:hAnsi="Times New Roman"/>
                <w:sz w:val="17"/>
                <w:szCs w:val="17"/>
                <w:color w:val="auto"/>
                <w:w w:val="99"/>
              </w:rPr>
              <w:t>Fair Value Measurements Using Significant</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11"/>
          </w:tcPr>
          <w:p>
            <w:pPr>
              <w:jc w:val="center"/>
              <w:ind w:left="215"/>
              <w:spacing w:after="0"/>
              <w:rPr>
                <w:sz w:val="20"/>
                <w:szCs w:val="20"/>
                <w:color w:val="auto"/>
              </w:rPr>
            </w:pPr>
            <w:r>
              <w:rPr>
                <w:rFonts w:ascii="Times New Roman" w:cs="Times New Roman" w:eastAsia="Times New Roman" w:hAnsi="Times New Roman"/>
                <w:sz w:val="17"/>
                <w:szCs w:val="17"/>
                <w:color w:val="auto"/>
                <w:w w:val="99"/>
              </w:rPr>
              <w:t>Unobservable Inputs (Level 3)</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55"/>
        </w:trPr>
        <w:tc>
          <w:tcPr>
            <w:tcW w:w="1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38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00" w:type="dxa"/>
            <w:vAlign w:val="bottom"/>
          </w:tcPr>
          <w:p>
            <w:pPr>
              <w:spacing w:after="0"/>
              <w:rPr>
                <w:sz w:val="13"/>
                <w:szCs w:val="13"/>
                <w:color w:val="auto"/>
              </w:rPr>
            </w:pPr>
          </w:p>
        </w:tc>
        <w:tc>
          <w:tcPr>
            <w:tcW w:w="1520" w:type="dxa"/>
            <w:vAlign w:val="bottom"/>
            <w:gridSpan w:val="5"/>
          </w:tcPr>
          <w:p>
            <w:pPr>
              <w:jc w:val="center"/>
              <w:ind w:right="18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ind w:right="155"/>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9"/>
        </w:trPr>
        <w:tc>
          <w:tcPr>
            <w:tcW w:w="11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3"/>
          </w:tcPr>
          <w:p>
            <w:pPr>
              <w:jc w:val="center"/>
              <w:ind w:right="36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00" w:type="dxa"/>
            <w:vAlign w:val="bottom"/>
          </w:tcPr>
          <w:p>
            <w:pPr>
              <w:spacing w:after="0"/>
              <w:rPr>
                <w:sz w:val="15"/>
                <w:szCs w:val="15"/>
                <w:color w:val="auto"/>
              </w:rPr>
            </w:pPr>
          </w:p>
        </w:tc>
        <w:tc>
          <w:tcPr>
            <w:tcW w:w="1520" w:type="dxa"/>
            <w:vAlign w:val="bottom"/>
            <w:gridSpan w:val="5"/>
          </w:tcPr>
          <w:p>
            <w:pPr>
              <w:jc w:val="center"/>
              <w:ind w:right="20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center"/>
              <w:ind w:right="34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120" w:type="dxa"/>
            <w:vAlign w:val="bottom"/>
          </w:tcPr>
          <w:p>
            <w:pPr>
              <w:spacing w:after="0"/>
              <w:rPr>
                <w:sz w:val="15"/>
                <w:szCs w:val="15"/>
                <w:color w:val="auto"/>
              </w:rPr>
            </w:pPr>
          </w:p>
        </w:tc>
      </w:tr>
      <w:tr>
        <w:trPr>
          <w:trHeight w:val="221"/>
        </w:trPr>
        <w:tc>
          <w:tcPr>
            <w:tcW w:w="11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8"/>
              </w:rPr>
              <w:t>Tax-Exempt</w:t>
            </w:r>
          </w:p>
        </w:tc>
        <w:tc>
          <w:tcPr>
            <w:tcW w:w="100" w:type="dxa"/>
            <w:vAlign w:val="bottom"/>
          </w:tcPr>
          <w:p>
            <w:pPr>
              <w:spacing w:after="0"/>
              <w:rPr>
                <w:sz w:val="19"/>
                <w:szCs w:val="19"/>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color w:val="auto"/>
                <w:w w:val="98"/>
              </w:rPr>
              <w:t>Taxable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Total</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July 1, 2021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3,948</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Market Value</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(26 )</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&amp; Maturities</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(155 )</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Reclassification &amp; Adjustments</w:t>
            </w: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4"/>
        </w:trPr>
        <w:tc>
          <w:tcPr>
            <w:tcW w:w="1120" w:type="dxa"/>
            <w:vAlign w:val="bottom"/>
          </w:tcPr>
          <w:p>
            <w:pPr>
              <w:spacing w:after="0"/>
              <w:rPr>
                <w:sz w:val="21"/>
                <w:szCs w:val="21"/>
                <w:color w:val="auto"/>
              </w:rPr>
            </w:pPr>
          </w:p>
        </w:tc>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3,767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74"/>
        </w:trPr>
        <w:tc>
          <w:tcPr>
            <w:tcW w:w="1120" w:type="dxa"/>
            <w:vAlign w:val="bottom"/>
          </w:tcPr>
          <w:p>
            <w:pPr>
              <w:spacing w:after="0"/>
              <w:rPr>
                <w:sz w:val="24"/>
                <w:szCs w:val="24"/>
                <w:color w:val="auto"/>
              </w:rPr>
            </w:pPr>
          </w:p>
        </w:tc>
        <w:tc>
          <w:tcPr>
            <w:tcW w:w="39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43</w:t>
            </w: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81"/>
        </w:trPr>
        <w:tc>
          <w:tcPr>
            <w:tcW w:w="11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-3285490</wp:posOffset>
            </wp:positionV>
            <wp:extent cx="64770" cy="13779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-3285490</wp:posOffset>
            </wp:positionV>
            <wp:extent cx="56515" cy="13779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-3285490</wp:posOffset>
            </wp:positionV>
            <wp:extent cx="56515" cy="13779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-3017520</wp:posOffset>
            </wp:positionV>
            <wp:extent cx="647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-3001010</wp:posOffset>
            </wp:positionV>
            <wp:extent cx="6477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-3017520</wp:posOffset>
            </wp:positionV>
            <wp:extent cx="5651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-3001010</wp:posOffset>
            </wp:positionV>
            <wp:extent cx="5651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-3017520</wp:posOffset>
            </wp:positionV>
            <wp:extent cx="565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-3001010</wp:posOffset>
            </wp:positionV>
            <wp:extent cx="565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-924560</wp:posOffset>
            </wp:positionV>
            <wp:extent cx="56515" cy="1377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-924560</wp:posOffset>
            </wp:positionV>
            <wp:extent cx="56515" cy="13779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-924560</wp:posOffset>
            </wp:positionV>
            <wp:extent cx="56515" cy="13779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-656590</wp:posOffset>
            </wp:positionV>
            <wp:extent cx="5651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-640080</wp:posOffset>
            </wp:positionV>
            <wp:extent cx="565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-656590</wp:posOffset>
            </wp:positionV>
            <wp:extent cx="5651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-640080</wp:posOffset>
            </wp:positionV>
            <wp:extent cx="5651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-656590</wp:posOffset>
            </wp:positionV>
            <wp:extent cx="565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-640080</wp:posOffset>
            </wp:positionV>
            <wp:extent cx="5651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03" w:lineRule="exact"/>
        <w:rPr>
          <w:sz w:val="20"/>
          <w:szCs w:val="20"/>
          <w:color w:val="auto"/>
        </w:rPr>
      </w:pPr>
    </w:p>
    <w:tbl>
      <w:tblPr>
        <w:tblLayout w:type="fixed"/>
        <w:tblInd w:w="1120" w:type="dxa"/>
        <w:tblCellMar>
          <w:top w:w="0" w:type="dxa"/>
          <w:left w:w="0" w:type="dxa"/>
          <w:bottom w:w="0" w:type="dxa"/>
          <w:right w:w="0" w:type="dxa"/>
        </w:tblCellMar>
      </w:tblPr>
      <w:tr>
        <w:trPr>
          <w:trHeight w:val="221"/>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80" w:type="dxa"/>
            <w:vAlign w:val="bottom"/>
            <w:tcBorders>
              <w:bottom w:val="single" w:sz="8" w:color="auto"/>
            </w:tcBorders>
            <w:gridSpan w:val="13"/>
          </w:tcPr>
          <w:p>
            <w:pPr>
              <w:jc w:val="center"/>
              <w:ind w:left="315"/>
              <w:spacing w:after="0"/>
              <w:rPr>
                <w:sz w:val="20"/>
                <w:szCs w:val="20"/>
                <w:color w:val="auto"/>
              </w:rPr>
            </w:pPr>
            <w:r>
              <w:rPr>
                <w:rFonts w:ascii="Times New Roman" w:cs="Times New Roman" w:eastAsia="Times New Roman" w:hAnsi="Times New Roman"/>
                <w:sz w:val="17"/>
                <w:szCs w:val="17"/>
                <w:color w:val="auto"/>
                <w:w w:val="99"/>
              </w:rPr>
              <w:t>Fair Value Measurements Using Significant</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0"/>
          </w:tcPr>
          <w:p>
            <w:pPr>
              <w:jc w:val="center"/>
              <w:ind w:right="315"/>
              <w:spacing w:after="0"/>
              <w:rPr>
                <w:sz w:val="20"/>
                <w:szCs w:val="20"/>
                <w:color w:val="auto"/>
              </w:rPr>
            </w:pPr>
            <w:r>
              <w:rPr>
                <w:rFonts w:ascii="Times New Roman" w:cs="Times New Roman" w:eastAsia="Times New Roman" w:hAnsi="Times New Roman"/>
                <w:sz w:val="17"/>
                <w:szCs w:val="17"/>
                <w:color w:val="auto"/>
              </w:rPr>
              <w:t>Unobservable Inputs (Level 3)</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gridSpan w:val="5"/>
          </w:tcPr>
          <w:p>
            <w:pPr>
              <w:jc w:val="center"/>
              <w:ind w:right="155"/>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260" w:type="dxa"/>
            <w:vAlign w:val="bottom"/>
            <w:gridSpan w:val="6"/>
          </w:tcPr>
          <w:p>
            <w:pPr>
              <w:jc w:val="center"/>
              <w:ind w:right="12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20" w:type="dxa"/>
            <w:vAlign w:val="bottom"/>
          </w:tcPr>
          <w:p>
            <w:pPr>
              <w:spacing w:after="0"/>
              <w:rPr>
                <w:sz w:val="13"/>
                <w:szCs w:val="13"/>
                <w:color w:val="auto"/>
              </w:rPr>
            </w:pPr>
          </w:p>
        </w:tc>
        <w:tc>
          <w:tcPr>
            <w:tcW w:w="120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80" w:type="dxa"/>
            <w:vAlign w:val="bottom"/>
          </w:tcPr>
          <w:p>
            <w:pPr>
              <w:spacing w:after="0"/>
              <w:rPr>
                <w:sz w:val="13"/>
                <w:szCs w:val="13"/>
                <w:color w:val="auto"/>
              </w:rPr>
            </w:pPr>
          </w:p>
        </w:tc>
      </w:tr>
      <w:tr>
        <w:trPr>
          <w:trHeight w:val="179"/>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gridSpan w:val="5"/>
          </w:tcPr>
          <w:p>
            <w:pPr>
              <w:jc w:val="center"/>
              <w:ind w:right="135"/>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00" w:type="dxa"/>
            <w:vAlign w:val="bottom"/>
          </w:tcPr>
          <w:p>
            <w:pPr>
              <w:spacing w:after="0"/>
              <w:rPr>
                <w:sz w:val="15"/>
                <w:szCs w:val="15"/>
                <w:color w:val="auto"/>
              </w:rPr>
            </w:pPr>
          </w:p>
        </w:tc>
        <w:tc>
          <w:tcPr>
            <w:tcW w:w="94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right"/>
              <w:ind w:right="220"/>
              <w:spacing w:after="0" w:line="179" w:lineRule="exact"/>
              <w:rPr>
                <w:sz w:val="20"/>
                <w:szCs w:val="20"/>
                <w:color w:val="auto"/>
              </w:rPr>
            </w:pPr>
            <w:r>
              <w:rPr>
                <w:rFonts w:ascii="Times New Roman" w:cs="Times New Roman" w:eastAsia="Times New Roman" w:hAnsi="Times New Roman"/>
                <w:sz w:val="17"/>
                <w:szCs w:val="17"/>
                <w:color w:val="auto"/>
              </w:rPr>
              <w:t>Governments</w:t>
            </w:r>
          </w:p>
        </w:tc>
      </w:tr>
      <w:tr>
        <w:trPr>
          <w:trHeight w:val="221"/>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gridSpan w:val="5"/>
          </w:tcPr>
          <w:p>
            <w:pPr>
              <w:jc w:val="center"/>
              <w:ind w:right="135"/>
              <w:spacing w:after="0"/>
              <w:rPr>
                <w:sz w:val="20"/>
                <w:szCs w:val="20"/>
                <w:color w:val="auto"/>
              </w:rPr>
            </w:pPr>
            <w:r>
              <w:rPr>
                <w:rFonts w:ascii="Times New Roman" w:cs="Times New Roman" w:eastAsia="Times New Roman" w:hAnsi="Times New Roman"/>
                <w:sz w:val="17"/>
                <w:szCs w:val="17"/>
                <w:color w:val="auto"/>
                <w:w w:val="98"/>
              </w:rPr>
              <w:t>Tax-Exempt</w:t>
            </w:r>
          </w:p>
        </w:tc>
        <w:tc>
          <w:tcPr>
            <w:tcW w:w="10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4"/>
              </w:rPr>
              <w:t>Taxable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January 1, 2022</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2,307</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4,773</w:t>
            </w: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Market Value</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shd w:val="clear" w:color="auto" w:fill="CFF0FC"/>
          </w:tcPr>
          <w:p>
            <w:pPr>
              <w:spacing w:after="0"/>
              <w:rPr>
                <w:sz w:val="17"/>
                <w:szCs w:val="17"/>
                <w:color w:val="auto"/>
              </w:rPr>
            </w:pPr>
          </w:p>
        </w:tc>
        <w:tc>
          <w:tcPr>
            <w:tcW w:w="11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(181 )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(258 )</w:t>
            </w: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&amp; Maturities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(160 )</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(160 )</w:t>
            </w: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Reclassification &amp; Adjustments</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(989 )</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(989 )</w:t>
            </w:r>
          </w:p>
        </w:tc>
      </w:tr>
      <w:tr>
        <w:trPr>
          <w:trHeight w:val="197"/>
        </w:trPr>
        <w:tc>
          <w:tcPr>
            <w:tcW w:w="38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244"/>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2,070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3,366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74"/>
        </w:trPr>
        <w:tc>
          <w:tcPr>
            <w:tcW w:w="3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14"/>
          </w:tcPr>
          <w:p>
            <w:pPr>
              <w:jc w:val="center"/>
              <w:ind w:left="155"/>
              <w:spacing w:after="0"/>
              <w:rPr>
                <w:sz w:val="20"/>
                <w:szCs w:val="20"/>
                <w:color w:val="auto"/>
              </w:rPr>
            </w:pPr>
            <w:r>
              <w:rPr>
                <w:rFonts w:ascii="Times New Roman" w:cs="Times New Roman" w:eastAsia="Times New Roman" w:hAnsi="Times New Roman"/>
                <w:sz w:val="17"/>
                <w:szCs w:val="17"/>
                <w:color w:val="auto"/>
                <w:w w:val="99"/>
              </w:rPr>
              <w:t>Fair Value Measurements Using Significant</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11"/>
          </w:tcPr>
          <w:p>
            <w:pPr>
              <w:jc w:val="center"/>
              <w:ind w:left="115"/>
              <w:spacing w:after="0"/>
              <w:rPr>
                <w:sz w:val="20"/>
                <w:szCs w:val="20"/>
                <w:color w:val="auto"/>
              </w:rPr>
            </w:pPr>
            <w:r>
              <w:rPr>
                <w:rFonts w:ascii="Times New Roman" w:cs="Times New Roman" w:eastAsia="Times New Roman" w:hAnsi="Times New Roman"/>
                <w:sz w:val="17"/>
                <w:szCs w:val="17"/>
                <w:color w:val="auto"/>
                <w:w w:val="99"/>
              </w:rPr>
              <w:t>Unobservable Inputs (Level 3)</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3"/>
          </w:tcPr>
          <w:p>
            <w:pPr>
              <w:jc w:val="center"/>
              <w:ind w:right="40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00" w:type="dxa"/>
            <w:vAlign w:val="bottom"/>
          </w:tcPr>
          <w:p>
            <w:pPr>
              <w:spacing w:after="0"/>
              <w:rPr>
                <w:sz w:val="13"/>
                <w:szCs w:val="13"/>
                <w:color w:val="auto"/>
              </w:rPr>
            </w:pPr>
          </w:p>
        </w:tc>
        <w:tc>
          <w:tcPr>
            <w:tcW w:w="1660" w:type="dxa"/>
            <w:vAlign w:val="bottom"/>
            <w:gridSpan w:val="6"/>
          </w:tcPr>
          <w:p>
            <w:pPr>
              <w:jc w:val="center"/>
              <w:ind w:right="320"/>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75"/>
              <w:spacing w:after="0" w:line="155" w:lineRule="exact"/>
              <w:rPr>
                <w:sz w:val="20"/>
                <w:szCs w:val="20"/>
                <w:color w:val="auto"/>
              </w:rPr>
            </w:pPr>
            <w:r>
              <w:rPr>
                <w:rFonts w:ascii="Times New Roman" w:cs="Times New Roman" w:eastAsia="Times New Roman" w:hAnsi="Times New Roman"/>
                <w:sz w:val="17"/>
                <w:szCs w:val="17"/>
                <w:color w:val="auto"/>
              </w:rPr>
              <w:t>State and Local</w:t>
            </w:r>
          </w:p>
        </w:tc>
        <w:tc>
          <w:tcPr>
            <w:tcW w:w="80" w:type="dxa"/>
            <w:vAlign w:val="bottom"/>
          </w:tcPr>
          <w:p>
            <w:pPr>
              <w:spacing w:after="0"/>
              <w:rPr>
                <w:sz w:val="13"/>
                <w:szCs w:val="13"/>
                <w:color w:val="auto"/>
              </w:rPr>
            </w:pPr>
          </w:p>
        </w:tc>
      </w:tr>
      <w:tr>
        <w:trPr>
          <w:trHeight w:val="179"/>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center"/>
              <w:ind w:right="38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00" w:type="dxa"/>
            <w:vAlign w:val="bottom"/>
          </w:tcPr>
          <w:p>
            <w:pPr>
              <w:spacing w:after="0"/>
              <w:rPr>
                <w:sz w:val="15"/>
                <w:szCs w:val="15"/>
                <w:color w:val="auto"/>
              </w:rPr>
            </w:pPr>
          </w:p>
        </w:tc>
        <w:tc>
          <w:tcPr>
            <w:tcW w:w="1660" w:type="dxa"/>
            <w:vAlign w:val="bottom"/>
            <w:gridSpan w:val="6"/>
          </w:tcPr>
          <w:p>
            <w:pPr>
              <w:jc w:val="center"/>
              <w:ind w:right="300"/>
              <w:spacing w:after="0" w:line="179" w:lineRule="exact"/>
              <w:rPr>
                <w:sz w:val="20"/>
                <w:szCs w:val="20"/>
                <w:color w:val="auto"/>
              </w:rPr>
            </w:pPr>
            <w:r>
              <w:rPr>
                <w:rFonts w:ascii="Times New Roman" w:cs="Times New Roman" w:eastAsia="Times New Roman" w:hAnsi="Times New Roman"/>
                <w:sz w:val="17"/>
                <w:szCs w:val="17"/>
                <w:color w:val="auto"/>
              </w:rPr>
              <w:t>Governments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center"/>
              <w:ind w:right="320"/>
              <w:spacing w:after="0" w:line="179" w:lineRule="exact"/>
              <w:rPr>
                <w:sz w:val="20"/>
                <w:szCs w:val="20"/>
                <w:color w:val="auto"/>
              </w:rPr>
            </w:pPr>
            <w:r>
              <w:rPr>
                <w:rFonts w:ascii="Times New Roman" w:cs="Times New Roman" w:eastAsia="Times New Roman" w:hAnsi="Times New Roman"/>
                <w:sz w:val="17"/>
                <w:szCs w:val="17"/>
                <w:color w:val="auto"/>
              </w:rPr>
              <w:t>Governments</w:t>
            </w:r>
          </w:p>
        </w:tc>
      </w:tr>
      <w:tr>
        <w:trPr>
          <w:trHeight w:val="221"/>
        </w:trPr>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color w:val="auto"/>
                <w:w w:val="98"/>
              </w:rPr>
              <w:t>Tax-Exempt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5"/>
          </w:tcPr>
          <w:p>
            <w:pPr>
              <w:jc w:val="center"/>
              <w:ind w:right="720"/>
              <w:spacing w:after="0"/>
              <w:rPr>
                <w:sz w:val="20"/>
                <w:szCs w:val="20"/>
                <w:color w:val="auto"/>
              </w:rPr>
            </w:pPr>
            <w:r>
              <w:rPr>
                <w:rFonts w:ascii="Times New Roman" w:cs="Times New Roman" w:eastAsia="Times New Roman" w:hAnsi="Times New Roman"/>
                <w:sz w:val="17"/>
                <w:szCs w:val="17"/>
                <w:color w:val="auto"/>
                <w:w w:val="98"/>
              </w:rPr>
              <w:t>Taxable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January 1, 2021</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1,562</w:t>
            </w: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Market Value</w:t>
            </w:r>
          </w:p>
        </w:tc>
        <w:tc>
          <w:tcPr>
            <w:tcW w:w="18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(41 )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(58 )</w:t>
            </w: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w:t>
            </w: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2,418</w:t>
            </w:r>
          </w:p>
        </w:tc>
        <w:tc>
          <w:tcPr>
            <w:tcW w:w="80" w:type="dxa"/>
            <w:vAlign w:val="bottom"/>
            <w:shd w:val="clear" w:color="auto" w:fill="CFF0FC"/>
          </w:tcPr>
          <w:p>
            <w:pPr>
              <w:spacing w:after="0"/>
              <w:rPr>
                <w:sz w:val="17"/>
                <w:szCs w:val="17"/>
                <w:color w:val="auto"/>
              </w:rPr>
            </w:pP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04"/>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&amp; Maturities</w:t>
            </w:r>
          </w:p>
        </w:tc>
        <w:tc>
          <w:tcPr>
            <w:tcW w:w="18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(155 )</w:t>
            </w:r>
          </w:p>
        </w:tc>
      </w:tr>
      <w:tr>
        <w:trPr>
          <w:trHeight w:val="204"/>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Reclassification &amp; Adjustments</w:t>
            </w: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3,767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-2652395</wp:posOffset>
            </wp:positionV>
            <wp:extent cx="64770" cy="1377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-2652395</wp:posOffset>
            </wp:positionV>
            <wp:extent cx="56515" cy="1377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-2652395</wp:posOffset>
            </wp:positionV>
            <wp:extent cx="56515" cy="1377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-2384425</wp:posOffset>
            </wp:positionV>
            <wp:extent cx="647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-2368550</wp:posOffset>
            </wp:positionV>
            <wp:extent cx="6477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-2384425</wp:posOffset>
            </wp:positionV>
            <wp:extent cx="5651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-2368550</wp:posOffset>
            </wp:positionV>
            <wp:extent cx="5651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-2384425</wp:posOffset>
            </wp:positionV>
            <wp:extent cx="5651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-2368550</wp:posOffset>
            </wp:positionV>
            <wp:extent cx="5651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-291465</wp:posOffset>
            </wp:positionV>
            <wp:extent cx="56515" cy="13779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-291465</wp:posOffset>
            </wp:positionV>
            <wp:extent cx="56515" cy="13779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-291465</wp:posOffset>
            </wp:positionV>
            <wp:extent cx="56515" cy="1377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-23495</wp:posOffset>
            </wp:positionV>
            <wp:extent cx="5651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-7620</wp:posOffset>
            </wp:positionV>
            <wp:extent cx="565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-23495</wp:posOffset>
            </wp:positionV>
            <wp:extent cx="5651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-7620</wp:posOffset>
            </wp:positionV>
            <wp:extent cx="5651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-23495</wp:posOffset>
            </wp:positionV>
            <wp:extent cx="5651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-7620</wp:posOffset>
            </wp:positionV>
            <wp:extent cx="565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55" w:lineRule="exact"/>
        <w:rPr>
          <w:sz w:val="20"/>
          <w:szCs w:val="20"/>
          <w:color w:val="auto"/>
        </w:rPr>
      </w:pPr>
    </w:p>
    <w:p>
      <w:pPr>
        <w:jc w:val="both"/>
        <w:ind w:left="760"/>
        <w:spacing w:after="0" w:line="283" w:lineRule="auto"/>
        <w:rPr>
          <w:sz w:val="20"/>
          <w:szCs w:val="20"/>
          <w:color w:val="auto"/>
        </w:rPr>
      </w:pPr>
      <w:r>
        <w:rPr>
          <w:rFonts w:ascii="Times New Roman" w:cs="Times New Roman" w:eastAsia="Times New Roman" w:hAnsi="Times New Roman"/>
          <w:sz w:val="17"/>
          <w:szCs w:val="17"/>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01"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The Company also has assets that, under certain conditions, are subject to measurement at fair value on a non-recurring basis. At September 30, 2022 and December 31, 2021,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44"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At September 30, 2022 and December 31, 2021, fair value of collateral dependent impaired loans categorized as Level 3 was $2.5 million and $8.5 million, respectively. The specific allocation for impaired loans was $2.4 million and $2.2 million as of September 30, 2022 and December 31, 2021, respectively, which are accounted for in the allowance for loan losses (see Note 4).</w:t>
      </w:r>
    </w:p>
    <w:p>
      <w:pPr>
        <w:spacing w:after="0" w:line="159"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During 2021, impairment was recognized on mortgage servicing rights based upon the independent third party’s quarterly valuations. A valuation allowance was established by strata to quantify the likely impairment of the value of the mortgage servicing rights to the Company. If the carrying amount of an individual strata exceeds the fair value, impairment was recorded on that strata so the servicing asset was carried at fair value. Impairment was $1 thousand at September 30, 2022 and $414 thousand at December 31, 2021.</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7165340" cy="419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69"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presents quantitative information about unobservable inputs used in recurring and nonrecurring Level 3 fair value measurements: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Range</w:t>
            </w:r>
          </w:p>
        </w:tc>
      </w:tr>
      <w:tr>
        <w:trPr>
          <w:trHeight w:val="181"/>
        </w:trPr>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115"/>
              <w:spacing w:after="0" w:line="181" w:lineRule="exact"/>
              <w:rPr>
                <w:sz w:val="20"/>
                <w:szCs w:val="20"/>
                <w:color w:val="auto"/>
              </w:rPr>
            </w:pPr>
            <w:r>
              <w:rPr>
                <w:rFonts w:ascii="Times New Roman" w:cs="Times New Roman" w:eastAsia="Times New Roman" w:hAnsi="Times New Roman"/>
                <w:sz w:val="17"/>
                <w:szCs w:val="17"/>
                <w:color w:val="auto"/>
                <w:w w:val="99"/>
              </w:rPr>
              <w:t>Fair Value at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7"/>
              </w:rPr>
              <w:t>(Weighted</w:t>
            </w:r>
          </w:p>
        </w:tc>
      </w:tr>
      <w:tr>
        <w:trPr>
          <w:trHeight w:val="221"/>
        </w:trPr>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w w:val="99"/>
              </w:rPr>
              <w:t>September 30, 2022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Valuation Technique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7"/>
                <w:szCs w:val="17"/>
                <w:color w:val="auto"/>
              </w:rPr>
              <w:t>Unobservable Inputs</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Average)</w:t>
            </w:r>
          </w:p>
        </w:tc>
      </w:tr>
      <w:tr>
        <w:trPr>
          <w:trHeight w:val="155"/>
        </w:trPr>
        <w:tc>
          <w:tcPr>
            <w:tcW w:w="2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40" w:type="dxa"/>
            <w:vAlign w:val="bottom"/>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color w:val="auto"/>
              </w:rPr>
              <w:t>Credit strength of underlying project or</w:t>
            </w: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center"/>
              <w:spacing w:after="0" w:line="155" w:lineRule="exact"/>
              <w:rPr>
                <w:sz w:val="20"/>
                <w:szCs w:val="20"/>
                <w:color w:val="auto"/>
              </w:rPr>
            </w:pPr>
            <w:r>
              <w:rPr>
                <w:rFonts w:ascii="Times New Roman" w:cs="Times New Roman" w:eastAsia="Times New Roman" w:hAnsi="Times New Roman"/>
                <w:sz w:val="17"/>
                <w:szCs w:val="17"/>
                <w:color w:val="auto"/>
              </w:rPr>
              <w:t>2.13-4.59%</w:t>
            </w:r>
          </w:p>
        </w:tc>
      </w:tr>
      <w:tr>
        <w:trPr>
          <w:trHeight w:val="22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State and local government</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Discounted Cash Flow</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entity / Discount rate</w:t>
            </w:r>
          </w:p>
        </w:tc>
        <w:tc>
          <w:tcPr>
            <w:tcW w:w="1040" w:type="dxa"/>
            <w:vAlign w:val="bottom"/>
            <w:gridSpan w:val="2"/>
            <w:shd w:val="clear" w:color="auto" w:fill="CFF0FC"/>
          </w:tcPr>
          <w:p>
            <w:pPr>
              <w:jc w:val="center"/>
              <w:ind w:left="35"/>
              <w:spacing w:after="0"/>
              <w:rPr>
                <w:sz w:val="20"/>
                <w:szCs w:val="20"/>
                <w:color w:val="auto"/>
              </w:rPr>
            </w:pPr>
            <w:r>
              <w:rPr>
                <w:rFonts w:ascii="Times New Roman" w:cs="Times New Roman" w:eastAsia="Times New Roman" w:hAnsi="Times New Roman"/>
                <w:sz w:val="17"/>
                <w:szCs w:val="17"/>
                <w:color w:val="auto"/>
              </w:rPr>
              <w:t>(3.96%)</w:t>
            </w:r>
          </w:p>
        </w:tc>
      </w:tr>
      <w:tr>
        <w:trPr>
          <w:trHeight w:val="204"/>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162"/>
        </w:trPr>
        <w:tc>
          <w:tcPr>
            <w:tcW w:w="2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center"/>
              <w:ind w:left="35"/>
              <w:spacing w:after="0" w:line="163" w:lineRule="exact"/>
              <w:rPr>
                <w:sz w:val="20"/>
                <w:szCs w:val="20"/>
                <w:color w:val="auto"/>
              </w:rPr>
            </w:pPr>
            <w:r>
              <w:rPr>
                <w:rFonts w:ascii="Times New Roman" w:cs="Times New Roman" w:eastAsia="Times New Roman" w:hAnsi="Times New Roman"/>
                <w:sz w:val="17"/>
                <w:szCs w:val="17"/>
                <w:color w:val="auto"/>
              </w:rPr>
              <w:t>20.00-</w:t>
            </w:r>
          </w:p>
        </w:tc>
      </w:tr>
      <w:tr>
        <w:trPr>
          <w:trHeight w:val="179"/>
        </w:trPr>
        <w:tc>
          <w:tcPr>
            <w:tcW w:w="2460" w:type="dxa"/>
            <w:vAlign w:val="bottom"/>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Collateral dependent</w:t>
            </w:r>
          </w:p>
        </w:tc>
        <w:tc>
          <w:tcPr>
            <w:tcW w:w="20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line="179" w:lineRule="exact"/>
              <w:rPr>
                <w:sz w:val="20"/>
                <w:szCs w:val="20"/>
                <w:color w:val="auto"/>
              </w:rPr>
            </w:pPr>
            <w:r>
              <w:rPr>
                <w:rFonts w:ascii="Times New Roman" w:cs="Times New Roman" w:eastAsia="Times New Roman" w:hAnsi="Times New Roman"/>
                <w:sz w:val="17"/>
                <w:szCs w:val="17"/>
                <w:color w:val="auto"/>
              </w:rPr>
              <w:t>Collateral based</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40" w:type="dxa"/>
            <w:vAlign w:val="bottom"/>
            <w:gridSpan w:val="2"/>
            <w:shd w:val="clear" w:color="auto" w:fill="CFF0FC"/>
          </w:tcPr>
          <w:p>
            <w:pPr>
              <w:ind w:left="20"/>
              <w:spacing w:after="0" w:line="179" w:lineRule="exact"/>
              <w:rPr>
                <w:sz w:val="20"/>
                <w:szCs w:val="20"/>
                <w:color w:val="auto"/>
              </w:rPr>
            </w:pPr>
            <w:r>
              <w:rPr>
                <w:rFonts w:ascii="Times New Roman" w:cs="Times New Roman" w:eastAsia="Times New Roman" w:hAnsi="Times New Roman"/>
                <w:sz w:val="17"/>
                <w:szCs w:val="17"/>
                <w:color w:val="auto"/>
              </w:rPr>
              <w:t>Discount to reflect current market</w:t>
            </w:r>
          </w:p>
        </w:tc>
        <w:tc>
          <w:tcPr>
            <w:tcW w:w="1040" w:type="dxa"/>
            <w:vAlign w:val="bottom"/>
            <w:gridSpan w:val="2"/>
            <w:shd w:val="clear" w:color="auto" w:fill="CFF0FC"/>
          </w:tcPr>
          <w:p>
            <w:pPr>
              <w:jc w:val="center"/>
              <w:spacing w:after="0" w:line="179" w:lineRule="exact"/>
              <w:rPr>
                <w:sz w:val="20"/>
                <w:szCs w:val="20"/>
                <w:color w:val="auto"/>
              </w:rPr>
            </w:pPr>
            <w:r>
              <w:rPr>
                <w:rFonts w:ascii="Times New Roman" w:cs="Times New Roman" w:eastAsia="Times New Roman" w:hAnsi="Times New Roman"/>
                <w:sz w:val="17"/>
                <w:szCs w:val="17"/>
                <w:color w:val="auto"/>
                <w:w w:val="99"/>
              </w:rPr>
              <w:t>23.87%</w:t>
            </w:r>
          </w:p>
        </w:tc>
      </w:tr>
      <w:tr>
        <w:trPr>
          <w:trHeight w:val="221"/>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impaired loans</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measurements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conditions and ultimate collectability</w:t>
            </w:r>
          </w:p>
        </w:tc>
        <w:tc>
          <w:tcPr>
            <w:tcW w:w="1040" w:type="dxa"/>
            <w:vAlign w:val="bottom"/>
            <w:gridSpan w:val="2"/>
            <w:shd w:val="clear" w:color="auto" w:fill="CFF0FC"/>
          </w:tcPr>
          <w:p>
            <w:pPr>
              <w:jc w:val="center"/>
              <w:ind w:left="35"/>
              <w:spacing w:after="0"/>
              <w:rPr>
                <w:sz w:val="20"/>
                <w:szCs w:val="20"/>
                <w:color w:val="auto"/>
              </w:rPr>
            </w:pPr>
            <w:r>
              <w:rPr>
                <w:rFonts w:ascii="Times New Roman" w:cs="Times New Roman" w:eastAsia="Times New Roman" w:hAnsi="Times New Roman"/>
                <w:sz w:val="17"/>
                <w:szCs w:val="17"/>
                <w:color w:val="auto"/>
              </w:rPr>
              <w:t>(23.80%)</w:t>
            </w:r>
          </w:p>
        </w:tc>
      </w:tr>
      <w:tr>
        <w:trPr>
          <w:trHeight w:val="204"/>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162"/>
        </w:trPr>
        <w:tc>
          <w:tcPr>
            <w:tcW w:w="2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40" w:type="dxa"/>
            <w:vAlign w:val="bottom"/>
            <w:gridSpan w:val="2"/>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Constant prepayment rate and probability of</w:t>
            </w:r>
          </w:p>
        </w:tc>
        <w:tc>
          <w:tcPr>
            <w:tcW w:w="1040" w:type="dxa"/>
            <w:vAlign w:val="bottom"/>
            <w:gridSpan w:val="2"/>
            <w:shd w:val="clear" w:color="auto" w:fill="CFF0FC"/>
          </w:tcPr>
          <w:p>
            <w:pPr>
              <w:jc w:val="center"/>
              <w:spacing w:after="0" w:line="163" w:lineRule="exact"/>
              <w:rPr>
                <w:sz w:val="20"/>
                <w:szCs w:val="20"/>
                <w:color w:val="auto"/>
              </w:rPr>
            </w:pPr>
            <w:r>
              <w:rPr>
                <w:rFonts w:ascii="Times New Roman" w:cs="Times New Roman" w:eastAsia="Times New Roman" w:hAnsi="Times New Roman"/>
                <w:sz w:val="17"/>
                <w:szCs w:val="17"/>
                <w:color w:val="auto"/>
              </w:rPr>
              <w:t>0.09-1.85%</w:t>
            </w:r>
          </w:p>
        </w:tc>
      </w:tr>
      <w:tr>
        <w:trPr>
          <w:trHeight w:val="22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Discounted Cash Flow</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default / Discount rate</w:t>
            </w:r>
          </w:p>
        </w:tc>
        <w:tc>
          <w:tcPr>
            <w:tcW w:w="1040" w:type="dxa"/>
            <w:vAlign w:val="bottom"/>
            <w:gridSpan w:val="2"/>
            <w:shd w:val="clear" w:color="auto" w:fill="CFF0FC"/>
          </w:tcPr>
          <w:p>
            <w:pPr>
              <w:jc w:val="center"/>
              <w:ind w:left="35"/>
              <w:spacing w:after="0"/>
              <w:rPr>
                <w:sz w:val="20"/>
                <w:szCs w:val="20"/>
                <w:color w:val="auto"/>
              </w:rPr>
            </w:pPr>
            <w:r>
              <w:rPr>
                <w:rFonts w:ascii="Times New Roman" w:cs="Times New Roman" w:eastAsia="Times New Roman" w:hAnsi="Times New Roman"/>
                <w:sz w:val="17"/>
                <w:szCs w:val="17"/>
                <w:color w:val="auto"/>
              </w:rPr>
              <w:t>(1.81%)</w:t>
            </w:r>
          </w:p>
        </w:tc>
      </w:tr>
      <w:tr>
        <w:trPr>
          <w:trHeight w:val="204"/>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2"/>
        </w:trPr>
        <w:tc>
          <w:tcPr>
            <w:tcW w:w="246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Other real estate owned -</w:t>
            </w:r>
          </w:p>
        </w:tc>
        <w:tc>
          <w:tcPr>
            <w:tcW w:w="2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40" w:type="dxa"/>
            <w:vAlign w:val="bottom"/>
            <w:gridSpan w:val="2"/>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Discount to reflect current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center"/>
              <w:spacing w:after="0" w:line="163" w:lineRule="exact"/>
              <w:rPr>
                <w:sz w:val="20"/>
                <w:szCs w:val="20"/>
                <w:color w:val="auto"/>
              </w:rPr>
            </w:pPr>
            <w:r>
              <w:rPr>
                <w:rFonts w:ascii="Times New Roman" w:cs="Times New Roman" w:eastAsia="Times New Roman" w:hAnsi="Times New Roman"/>
                <w:sz w:val="17"/>
                <w:szCs w:val="17"/>
                <w:color w:val="auto"/>
              </w:rPr>
              <w:t>— %</w:t>
            </w:r>
          </w:p>
        </w:tc>
      </w:tr>
      <w:tr>
        <w:trPr>
          <w:trHeight w:val="221"/>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Appraisals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market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7"/>
              </w:rPr>
              <w:t>( — %)</w:t>
            </w:r>
          </w:p>
        </w:tc>
      </w:tr>
      <w:tr>
        <w:trPr>
          <w:trHeight w:val="805"/>
        </w:trPr>
        <w:tc>
          <w:tcPr>
            <w:tcW w:w="2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rPr>
              <w:t>Range</w:t>
            </w:r>
          </w:p>
        </w:tc>
      </w:tr>
      <w:tr>
        <w:trPr>
          <w:trHeight w:val="181"/>
        </w:trPr>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95"/>
              <w:spacing w:after="0" w:line="181" w:lineRule="exact"/>
              <w:rPr>
                <w:sz w:val="20"/>
                <w:szCs w:val="20"/>
                <w:color w:val="auto"/>
              </w:rPr>
            </w:pPr>
            <w:r>
              <w:rPr>
                <w:rFonts w:ascii="Times New Roman" w:cs="Times New Roman" w:eastAsia="Times New Roman" w:hAnsi="Times New Roman"/>
                <w:sz w:val="17"/>
                <w:szCs w:val="17"/>
                <w:color w:val="auto"/>
                <w:w w:val="96"/>
              </w:rPr>
              <w:t>Fair Value at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5"/>
              <w:spacing w:after="0" w:line="181" w:lineRule="exact"/>
              <w:rPr>
                <w:sz w:val="20"/>
                <w:szCs w:val="20"/>
                <w:color w:val="auto"/>
              </w:rPr>
            </w:pPr>
            <w:r>
              <w:rPr>
                <w:rFonts w:ascii="Times New Roman" w:cs="Times New Roman" w:eastAsia="Times New Roman" w:hAnsi="Times New Roman"/>
                <w:sz w:val="17"/>
                <w:szCs w:val="17"/>
                <w:color w:val="auto"/>
              </w:rPr>
              <w:t>(Weighted</w:t>
            </w:r>
          </w:p>
        </w:tc>
      </w:tr>
      <w:tr>
        <w:trPr>
          <w:trHeight w:val="221"/>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December 31, 2021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Valuation Technique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Unobservable Inputs</w:t>
            </w:r>
          </w:p>
        </w:tc>
        <w:tc>
          <w:tcPr>
            <w:tcW w:w="120" w:type="dxa"/>
            <w:vAlign w:val="bottom"/>
          </w:tcPr>
          <w:p>
            <w:pPr>
              <w:spacing w:after="0"/>
              <w:rPr>
                <w:sz w:val="19"/>
                <w:szCs w:val="19"/>
                <w:color w:val="auto"/>
              </w:rPr>
            </w:pPr>
          </w:p>
        </w:tc>
        <w:tc>
          <w:tcPr>
            <w:tcW w:w="9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Average)</w:t>
            </w:r>
          </w:p>
        </w:tc>
      </w:tr>
      <w:tr>
        <w:trPr>
          <w:trHeight w:val="155"/>
        </w:trPr>
        <w:tc>
          <w:tcPr>
            <w:tcW w:w="24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76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94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340" w:type="dxa"/>
            <w:vAlign w:val="bottom"/>
            <w:tcBorders>
              <w:top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color w:val="auto"/>
              </w:rPr>
              <w:t>Credit strength of underlying project or</w:t>
            </w:r>
          </w:p>
        </w:tc>
        <w:tc>
          <w:tcPr>
            <w:tcW w:w="100" w:type="dxa"/>
            <w:vAlign w:val="bottom"/>
            <w:shd w:val="clear" w:color="auto" w:fill="CFF0FC"/>
          </w:tcPr>
          <w:p>
            <w:pPr>
              <w:spacing w:after="0"/>
              <w:rPr>
                <w:sz w:val="13"/>
                <w:szCs w:val="13"/>
                <w:color w:val="auto"/>
              </w:rPr>
            </w:pPr>
          </w:p>
        </w:tc>
        <w:tc>
          <w:tcPr>
            <w:tcW w:w="1040" w:type="dxa"/>
            <w:vAlign w:val="bottom"/>
            <w:tcBorders>
              <w:top w:val="single" w:sz="8" w:color="auto"/>
            </w:tcBorders>
            <w:gridSpan w:val="2"/>
            <w:shd w:val="clear" w:color="auto" w:fill="CFF0FC"/>
          </w:tcPr>
          <w:p>
            <w:pPr>
              <w:jc w:val="center"/>
              <w:spacing w:after="0" w:line="155" w:lineRule="exact"/>
              <w:rPr>
                <w:sz w:val="20"/>
                <w:szCs w:val="20"/>
                <w:color w:val="auto"/>
              </w:rPr>
            </w:pPr>
            <w:r>
              <w:rPr>
                <w:rFonts w:ascii="Times New Roman" w:cs="Times New Roman" w:eastAsia="Times New Roman" w:hAnsi="Times New Roman"/>
                <w:sz w:val="17"/>
                <w:szCs w:val="17"/>
                <w:color w:val="auto"/>
              </w:rPr>
              <w:t>0.21-1.77%</w:t>
            </w:r>
          </w:p>
        </w:tc>
      </w:tr>
      <w:tr>
        <w:trPr>
          <w:trHeight w:val="22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State and local government</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Discounted Cash Flow</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entity / Discount rate</w:t>
            </w:r>
          </w:p>
        </w:tc>
        <w:tc>
          <w:tcPr>
            <w:tcW w:w="10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(1.33%)</w:t>
            </w:r>
          </w:p>
        </w:tc>
      </w:tr>
      <w:tr>
        <w:trPr>
          <w:trHeight w:val="204"/>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162"/>
        </w:trPr>
        <w:tc>
          <w:tcPr>
            <w:tcW w:w="246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Collateral dependent</w:t>
            </w:r>
          </w:p>
        </w:tc>
        <w:tc>
          <w:tcPr>
            <w:tcW w:w="2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94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Collateral based</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40" w:type="dxa"/>
            <w:vAlign w:val="bottom"/>
            <w:gridSpan w:val="2"/>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Discount to reflect current market</w:t>
            </w:r>
          </w:p>
        </w:tc>
        <w:tc>
          <w:tcPr>
            <w:tcW w:w="1040" w:type="dxa"/>
            <w:vAlign w:val="bottom"/>
            <w:gridSpan w:val="2"/>
            <w:shd w:val="clear" w:color="auto" w:fill="CFF0FC"/>
          </w:tcPr>
          <w:p>
            <w:pPr>
              <w:jc w:val="center"/>
              <w:spacing w:after="0" w:line="163" w:lineRule="exact"/>
              <w:rPr>
                <w:sz w:val="20"/>
                <w:szCs w:val="20"/>
                <w:color w:val="auto"/>
              </w:rPr>
            </w:pPr>
            <w:r>
              <w:rPr>
                <w:rFonts w:ascii="Times New Roman" w:cs="Times New Roman" w:eastAsia="Times New Roman" w:hAnsi="Times New Roman"/>
                <w:sz w:val="17"/>
                <w:szCs w:val="17"/>
                <w:color w:val="auto"/>
                <w:w w:val="99"/>
              </w:rPr>
              <w:t>20.00-53.95%</w:t>
            </w:r>
          </w:p>
        </w:tc>
      </w:tr>
      <w:tr>
        <w:trPr>
          <w:trHeight w:val="221"/>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impaired loans</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measurements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conditions and ultimate collectability</w:t>
            </w:r>
          </w:p>
        </w:tc>
        <w:tc>
          <w:tcPr>
            <w:tcW w:w="10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(34.78%)</w:t>
            </w:r>
          </w:p>
        </w:tc>
      </w:tr>
      <w:tr>
        <w:trPr>
          <w:trHeight w:val="204"/>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162"/>
        </w:trPr>
        <w:tc>
          <w:tcPr>
            <w:tcW w:w="2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40" w:type="dxa"/>
            <w:vAlign w:val="bottom"/>
            <w:gridSpan w:val="2"/>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Constant prepayment rate and probability of</w:t>
            </w:r>
          </w:p>
        </w:tc>
        <w:tc>
          <w:tcPr>
            <w:tcW w:w="1040" w:type="dxa"/>
            <w:vAlign w:val="bottom"/>
            <w:gridSpan w:val="2"/>
            <w:shd w:val="clear" w:color="auto" w:fill="CFF0FC"/>
          </w:tcPr>
          <w:p>
            <w:pPr>
              <w:jc w:val="center"/>
              <w:spacing w:after="0" w:line="163" w:lineRule="exact"/>
              <w:rPr>
                <w:sz w:val="20"/>
                <w:szCs w:val="20"/>
                <w:color w:val="auto"/>
              </w:rPr>
            </w:pPr>
            <w:r>
              <w:rPr>
                <w:rFonts w:ascii="Times New Roman" w:cs="Times New Roman" w:eastAsia="Times New Roman" w:hAnsi="Times New Roman"/>
                <w:sz w:val="17"/>
                <w:szCs w:val="17"/>
                <w:color w:val="auto"/>
              </w:rPr>
              <w:t>1.94-27.70%</w:t>
            </w:r>
          </w:p>
        </w:tc>
      </w:tr>
      <w:tr>
        <w:trPr>
          <w:trHeight w:val="22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Discounted Cash Flow</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default / Discount rate</w:t>
            </w:r>
          </w:p>
        </w:tc>
        <w:tc>
          <w:tcPr>
            <w:tcW w:w="10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(18.44%)</w:t>
            </w:r>
          </w:p>
        </w:tc>
      </w:tr>
      <w:tr>
        <w:trPr>
          <w:trHeight w:val="204"/>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162"/>
        </w:trPr>
        <w:tc>
          <w:tcPr>
            <w:tcW w:w="246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Other real estate owned -</w:t>
            </w:r>
          </w:p>
        </w:tc>
        <w:tc>
          <w:tcPr>
            <w:tcW w:w="2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40" w:type="dxa"/>
            <w:vAlign w:val="bottom"/>
            <w:gridSpan w:val="2"/>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Discount to reflect current</w:t>
            </w:r>
          </w:p>
        </w:tc>
        <w:tc>
          <w:tcPr>
            <w:tcW w:w="1040" w:type="dxa"/>
            <w:vAlign w:val="bottom"/>
            <w:gridSpan w:val="2"/>
            <w:shd w:val="clear" w:color="auto" w:fill="CFF0FC"/>
          </w:tcPr>
          <w:p>
            <w:pPr>
              <w:jc w:val="center"/>
              <w:spacing w:after="0" w:line="163" w:lineRule="exact"/>
              <w:rPr>
                <w:sz w:val="20"/>
                <w:szCs w:val="20"/>
                <w:color w:val="auto"/>
              </w:rPr>
            </w:pPr>
            <w:r>
              <w:rPr>
                <w:rFonts w:ascii="Times New Roman" w:cs="Times New Roman" w:eastAsia="Times New Roman" w:hAnsi="Times New Roman"/>
                <w:sz w:val="17"/>
                <w:szCs w:val="17"/>
                <w:color w:val="auto"/>
                <w:w w:val="99"/>
              </w:rPr>
              <w:t>32.72%</w:t>
            </w:r>
          </w:p>
        </w:tc>
      </w:tr>
      <w:tr>
        <w:trPr>
          <w:trHeight w:val="221"/>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Appraisals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market</w:t>
            </w:r>
          </w:p>
        </w:tc>
        <w:tc>
          <w:tcPr>
            <w:tcW w:w="10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(32.72%)</w:t>
            </w:r>
          </w:p>
        </w:tc>
      </w:tr>
      <w:tr>
        <w:trPr>
          <w:trHeight w:val="499"/>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3"/>
              </w:rPr>
              <w:t>45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1"/>
        </w:trPr>
        <w:tc>
          <w:tcPr>
            <w:tcW w:w="2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200" w:lineRule="exact"/>
        <w:rPr>
          <w:sz w:val="20"/>
          <w:szCs w:val="20"/>
          <w:color w:val="auto"/>
        </w:rPr>
      </w:pP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presents assets measured at fair value on a nonrecurring basis at September 30, 2022 and December 31, 2021:</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00" w:type="dxa"/>
            <w:vAlign w:val="bottom"/>
            <w:tcBorders>
              <w:bottom w:val="single" w:sz="8" w:color="auto"/>
            </w:tcBorders>
            <w:gridSpan w:val="16"/>
          </w:tcPr>
          <w:p>
            <w:pPr>
              <w:jc w:val="center"/>
              <w:ind w:left="335"/>
              <w:spacing w:after="0"/>
              <w:rPr>
                <w:sz w:val="20"/>
                <w:szCs w:val="20"/>
                <w:color w:val="auto"/>
              </w:rPr>
            </w:pPr>
            <w:r>
              <w:rPr>
                <w:rFonts w:ascii="Times New Roman" w:cs="Times New Roman" w:eastAsia="Times New Roman" w:hAnsi="Times New Roman"/>
                <w:sz w:val="17"/>
                <w:szCs w:val="17"/>
                <w:color w:val="auto"/>
              </w:rPr>
              <w:t>Assets Measured at Fair Value on a Nonrecurring Basis at September 30, 2022</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vMerge w:val="restart"/>
          </w:tcPr>
          <w:p>
            <w:pPr>
              <w:jc w:val="center"/>
              <w:ind w:left="215"/>
              <w:spacing w:after="0"/>
              <w:rPr>
                <w:sz w:val="20"/>
                <w:szCs w:val="20"/>
                <w:color w:val="auto"/>
              </w:rPr>
            </w:pPr>
            <w:r>
              <w:rPr>
                <w:rFonts w:ascii="Times New Roman" w:cs="Times New Roman" w:eastAsia="Times New Roman" w:hAnsi="Times New Roman"/>
                <w:sz w:val="17"/>
                <w:szCs w:val="17"/>
                <w:color w:val="auto"/>
              </w:rPr>
              <w:t>Quoted Prices</w:t>
            </w:r>
          </w:p>
        </w:tc>
        <w:tc>
          <w:tcPr>
            <w:tcW w:w="2100" w:type="dxa"/>
            <w:vAlign w:val="bottom"/>
            <w:gridSpan w:val="5"/>
          </w:tcPr>
          <w:p>
            <w:pPr>
              <w:jc w:val="center"/>
              <w:ind w:right="93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center"/>
              <w:ind w:left="195"/>
              <w:spacing w:after="0" w:line="179"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ind w:right="95"/>
              <w:spacing w:after="0" w:line="179" w:lineRule="exact"/>
              <w:rPr>
                <w:sz w:val="20"/>
                <w:szCs w:val="20"/>
                <w:color w:val="auto"/>
              </w:rPr>
            </w:pPr>
            <w:r>
              <w:rPr>
                <w:rFonts w:ascii="Times New Roman" w:cs="Times New Roman" w:eastAsia="Times New Roman" w:hAnsi="Times New Roman"/>
                <w:sz w:val="17"/>
                <w:szCs w:val="17"/>
                <w:color w:val="auto"/>
              </w:rPr>
              <w:t>Markets for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left="175"/>
              <w:spacing w:after="0" w:line="179" w:lineRule="exact"/>
              <w:rPr>
                <w:sz w:val="20"/>
                <w:szCs w:val="20"/>
                <w:color w:val="auto"/>
              </w:rPr>
            </w:pPr>
            <w:r>
              <w:rPr>
                <w:rFonts w:ascii="Times New Roman" w:cs="Times New Roman" w:eastAsia="Times New Roman" w:hAnsi="Times New Roman"/>
                <w:sz w:val="17"/>
                <w:szCs w:val="17"/>
                <w:color w:val="auto"/>
              </w:rPr>
              <w:t>Significant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left="335"/>
              <w:spacing w:after="0" w:line="179" w:lineRule="exact"/>
              <w:rPr>
                <w:sz w:val="20"/>
                <w:szCs w:val="20"/>
                <w:color w:val="auto"/>
              </w:rPr>
            </w:pPr>
            <w:r>
              <w:rPr>
                <w:rFonts w:ascii="Times New Roman" w:cs="Times New Roman" w:eastAsia="Times New Roman" w:hAnsi="Times New Roman"/>
                <w:sz w:val="17"/>
                <w:szCs w:val="17"/>
                <w:color w:val="auto"/>
                <w:w w:val="99"/>
              </w:rPr>
              <w:t>Significant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right"/>
              <w:ind w:right="380"/>
              <w:spacing w:after="0" w:line="179" w:lineRule="exact"/>
              <w:rPr>
                <w:sz w:val="20"/>
                <w:szCs w:val="20"/>
                <w:color w:val="auto"/>
              </w:rPr>
            </w:pPr>
            <w:r>
              <w:rPr>
                <w:rFonts w:ascii="Times New Roman" w:cs="Times New Roman" w:eastAsia="Times New Roman" w:hAnsi="Times New Roman"/>
                <w:sz w:val="17"/>
                <w:szCs w:val="17"/>
                <w:color w:val="auto"/>
              </w:rPr>
              <w:t>Balance at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center"/>
              <w:ind w:left="215"/>
              <w:spacing w:after="0" w:line="179"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left="175"/>
              <w:spacing w:after="0" w:line="179" w:lineRule="exact"/>
              <w:rPr>
                <w:sz w:val="20"/>
                <w:szCs w:val="20"/>
                <w:color w:val="auto"/>
              </w:rPr>
            </w:pPr>
            <w:r>
              <w:rPr>
                <w:rFonts w:ascii="Times New Roman" w:cs="Times New Roman" w:eastAsia="Times New Roman" w:hAnsi="Times New Roman"/>
                <w:sz w:val="17"/>
                <w:szCs w:val="17"/>
                <w:color w:val="auto"/>
                <w:w w:val="99"/>
              </w:rPr>
              <w:t>Observable Inputs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7"/>
                <w:szCs w:val="17"/>
                <w:color w:val="auto"/>
              </w:rPr>
              <w:t>Unobservable Inputs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September 30, 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tcPr>
          <w:p>
            <w:pPr>
              <w:jc w:val="center"/>
              <w:ind w:left="215"/>
              <w:spacing w:after="0"/>
              <w:rPr>
                <w:sz w:val="20"/>
                <w:szCs w:val="20"/>
                <w:color w:val="auto"/>
              </w:rPr>
            </w:pPr>
            <w:r>
              <w:rPr>
                <w:rFonts w:ascii="Times New Roman" w:cs="Times New Roman" w:eastAsia="Times New Roman" w:hAnsi="Times New Roman"/>
                <w:sz w:val="17"/>
                <w:szCs w:val="17"/>
                <w:color w:val="auto"/>
              </w:rPr>
              <w:t>Assets (Level 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auto"/>
            </w:tcBorders>
          </w:tcPr>
          <w:p>
            <w:pPr>
              <w:jc w:val="center"/>
              <w:ind w:left="175"/>
              <w:spacing w:after="0"/>
              <w:rPr>
                <w:sz w:val="20"/>
                <w:szCs w:val="20"/>
                <w:color w:val="auto"/>
              </w:rPr>
            </w:pPr>
            <w:r>
              <w:rPr>
                <w:rFonts w:ascii="Times New Roman" w:cs="Times New Roman" w:eastAsia="Times New Roman" w:hAnsi="Times New Roman"/>
                <w:sz w:val="17"/>
                <w:szCs w:val="17"/>
                <w:color w:val="auto"/>
              </w:rPr>
              <w:t>(Level 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7"/>
                <w:szCs w:val="17"/>
                <w:color w:val="auto"/>
                <w:w w:val="98"/>
              </w:rPr>
              <w:t>(Level 3)</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color w:val="auto"/>
              </w:rPr>
              <w:t>Collateral dependent</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impaired loans</w:t>
            </w:r>
          </w:p>
        </w:tc>
        <w:tc>
          <w:tcPr>
            <w:tcW w:w="1120" w:type="dxa"/>
            <w:vAlign w:val="bottom"/>
            <w:gridSpan w:val="2"/>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2,482</w:t>
            </w:r>
          </w:p>
        </w:tc>
        <w:tc>
          <w:tcPr>
            <w:tcW w:w="1640" w:type="dxa"/>
            <w:vAlign w:val="bottom"/>
            <w:gridSpan w:val="3"/>
            <w:shd w:val="clear" w:color="auto" w:fill="CFF0FC"/>
          </w:tcPr>
          <w:p>
            <w:pPr>
              <w:jc w:val="right"/>
              <w:ind w:right="12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3"/>
            <w:shd w:val="clear" w:color="auto" w:fill="CFF0FC"/>
          </w:tcPr>
          <w:p>
            <w:pPr>
              <w:jc w:val="right"/>
              <w:ind w:right="139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FF0FC"/>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2,482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Other real estate</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owned - residential</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16"/>
          </w:tcPr>
          <w:p>
            <w:pPr>
              <w:jc w:val="center"/>
              <w:ind w:left="215"/>
              <w:spacing w:after="0"/>
              <w:rPr>
                <w:sz w:val="20"/>
                <w:szCs w:val="20"/>
                <w:color w:val="auto"/>
              </w:rPr>
            </w:pPr>
            <w:r>
              <w:rPr>
                <w:rFonts w:ascii="Times New Roman" w:cs="Times New Roman" w:eastAsia="Times New Roman" w:hAnsi="Times New Roman"/>
                <w:sz w:val="17"/>
                <w:szCs w:val="17"/>
                <w:color w:val="auto"/>
                <w:w w:val="99"/>
              </w:rPr>
              <w:t>Assets Measured at Fair Value on a Nonrecurring Basis at December 31, 2021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6"/>
          </w:tcPr>
          <w:p>
            <w:pPr>
              <w:jc w:val="center"/>
              <w:ind w:left="195"/>
              <w:spacing w:after="0" w:line="181" w:lineRule="exact"/>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Quoted Prices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in Active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ind w:right="215"/>
              <w:spacing w:after="0" w:line="179" w:lineRule="exact"/>
              <w:rPr>
                <w:sz w:val="20"/>
                <w:szCs w:val="20"/>
                <w:color w:val="auto"/>
              </w:rPr>
            </w:pPr>
            <w:r>
              <w:rPr>
                <w:rFonts w:ascii="Times New Roman" w:cs="Times New Roman" w:eastAsia="Times New Roman" w:hAnsi="Times New Roman"/>
                <w:sz w:val="17"/>
                <w:szCs w:val="17"/>
                <w:color w:val="auto"/>
              </w:rPr>
              <w:t>Markets for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w w:val="99"/>
              </w:rPr>
              <w:t>Significant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left="155"/>
              <w:spacing w:after="0" w:line="179" w:lineRule="exact"/>
              <w:rPr>
                <w:sz w:val="20"/>
                <w:szCs w:val="20"/>
                <w:color w:val="auto"/>
              </w:rPr>
            </w:pPr>
            <w:r>
              <w:rPr>
                <w:rFonts w:ascii="Times New Roman" w:cs="Times New Roman" w:eastAsia="Times New Roman" w:hAnsi="Times New Roman"/>
                <w:sz w:val="17"/>
                <w:szCs w:val="17"/>
                <w:color w:val="auto"/>
              </w:rPr>
              <w:t>Significant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left="195"/>
              <w:spacing w:after="0" w:line="179" w:lineRule="exact"/>
              <w:rPr>
                <w:sz w:val="20"/>
                <w:szCs w:val="20"/>
                <w:color w:val="auto"/>
              </w:rPr>
            </w:pPr>
            <w:r>
              <w:rPr>
                <w:rFonts w:ascii="Times New Roman" w:cs="Times New Roman" w:eastAsia="Times New Roman" w:hAnsi="Times New Roman"/>
                <w:sz w:val="17"/>
                <w:szCs w:val="17"/>
                <w:color w:val="auto"/>
              </w:rPr>
              <w:t>Balance at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w w:val="99"/>
              </w:rPr>
              <w:t>Observable Inputs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95"/>
              <w:spacing w:after="0" w:line="179" w:lineRule="exact"/>
              <w:rPr>
                <w:sz w:val="20"/>
                <w:szCs w:val="20"/>
                <w:color w:val="auto"/>
              </w:rPr>
            </w:pPr>
            <w:r>
              <w:rPr>
                <w:rFonts w:ascii="Times New Roman" w:cs="Times New Roman" w:eastAsia="Times New Roman" w:hAnsi="Times New Roman"/>
                <w:sz w:val="17"/>
                <w:szCs w:val="17"/>
                <w:color w:val="auto"/>
                <w:w w:val="99"/>
              </w:rPr>
              <w:t>Unobservable Inputs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rPr>
                <w:sz w:val="19"/>
                <w:szCs w:val="19"/>
                <w:color w:val="auto"/>
              </w:rPr>
            </w:pPr>
          </w:p>
        </w:tc>
        <w:tc>
          <w:tcPr>
            <w:tcW w:w="160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December 31, 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Assets (Level 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(Level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auto"/>
              </w:rPr>
              <w:t>(Level 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7"/>
                <w:szCs w:val="17"/>
                <w:color w:val="auto"/>
              </w:rPr>
              <w:t>Collateral dependent</w:t>
            </w: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impaired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8,527</w:t>
            </w:r>
          </w:p>
        </w:tc>
        <w:tc>
          <w:tcPr>
            <w:tcW w:w="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13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8,527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3,157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3,157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Other real estate</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owned - residential</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right="3000" w:hanging="1229"/>
        <w:spacing w:after="0" w:line="628" w:lineRule="auto"/>
        <w:tabs>
          <w:tab w:leader="none" w:pos="441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-147955</wp:posOffset>
            </wp:positionV>
            <wp:extent cx="7165340" cy="419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680"/>
          </w:cols>
          <w:pgMar w:left="320" w:top="123" w:right="8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7 FEDERAL FUNDS PURCHASED AND SECURITIES SOLD UNDER AGREEMENTS TO REPURCHASE</w:t>
      </w:r>
    </w:p>
    <w:p>
      <w:pPr>
        <w:spacing w:after="0" w:line="201"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The Company had $20.4 million in federal funds purchased as of September 30, 2022 and no federal funds purchased as of December 31, 2021. During the same time periods, the Company had $35.4 million and $29.3 million in securities sold under agreement to repurchase.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7"/>
                <w:szCs w:val="17"/>
                <w:color w:val="auto"/>
                <w:w w:val="99"/>
              </w:rPr>
              <w:t>September 30, 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gridSpan w:val="20"/>
          </w:tcPr>
          <w:p>
            <w:pPr>
              <w:jc w:val="center"/>
              <w:ind w:left="555"/>
              <w:spacing w:after="0"/>
              <w:rPr>
                <w:sz w:val="20"/>
                <w:szCs w:val="20"/>
                <w:color w:val="auto"/>
              </w:rPr>
            </w:pPr>
            <w:r>
              <w:rPr>
                <w:rFonts w:ascii="Times New Roman" w:cs="Times New Roman" w:eastAsia="Times New Roman" w:hAnsi="Times New Roman"/>
                <w:sz w:val="17"/>
                <w:szCs w:val="17"/>
                <w:color w:val="auto"/>
              </w:rPr>
              <w:t>Remaining Contractual Maturity of the Agreements (In Thousands)</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Overnight &amp;</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30-90 days</w:t>
            </w:r>
          </w:p>
        </w:tc>
        <w:tc>
          <w:tcPr>
            <w:tcW w:w="100" w:type="dxa"/>
            <w:vAlign w:val="bottom"/>
          </w:tcPr>
          <w:p>
            <w:pPr>
              <w:spacing w:after="0"/>
              <w:rPr>
                <w:sz w:val="24"/>
                <w:szCs w:val="24"/>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color w:val="auto"/>
                <w:w w:val="99"/>
              </w:rPr>
              <w:t>Greater Than</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9"/>
              </w:rPr>
              <w:t>Continuous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8"/>
              </w:rPr>
              <w:t>Up to 30 days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90 days</w:t>
            </w:r>
          </w:p>
        </w:tc>
        <w:tc>
          <w:tcPr>
            <w:tcW w:w="280" w:type="dxa"/>
            <w:vAlign w:val="bottom"/>
          </w:tcPr>
          <w:p>
            <w:pPr>
              <w:spacing w:after="0"/>
              <w:rPr>
                <w:sz w:val="19"/>
                <w:szCs w:val="19"/>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Federal funds purchased</w:t>
            </w: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20,356</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agreements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US Treasury &amp; agency securities</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29,018</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21,715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5,069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left="555"/>
              <w:spacing w:after="0"/>
              <w:rPr>
                <w:sz w:val="20"/>
                <w:szCs w:val="20"/>
                <w:color w:val="auto"/>
              </w:rPr>
            </w:pPr>
            <w:r>
              <w:rPr>
                <w:rFonts w:ascii="Times New Roman" w:cs="Times New Roman" w:eastAsia="Times New Roman" w:hAnsi="Times New Roman"/>
                <w:sz w:val="17"/>
                <w:szCs w:val="17"/>
                <w:color w:val="auto"/>
                <w:w w:val="98"/>
              </w:rPr>
              <w:t>December 31, 2021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gridSpan w:val="20"/>
          </w:tcPr>
          <w:p>
            <w:pPr>
              <w:jc w:val="center"/>
              <w:ind w:left="235"/>
              <w:spacing w:after="0"/>
              <w:rPr>
                <w:sz w:val="20"/>
                <w:szCs w:val="20"/>
                <w:color w:val="auto"/>
              </w:rPr>
            </w:pPr>
            <w:r>
              <w:rPr>
                <w:rFonts w:ascii="Times New Roman" w:cs="Times New Roman" w:eastAsia="Times New Roman" w:hAnsi="Times New Roman"/>
                <w:sz w:val="17"/>
                <w:szCs w:val="17"/>
                <w:color w:val="auto"/>
              </w:rPr>
              <w:t>Remaining Contractual Maturity of the Agreements (In Thousands)</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1400" w:type="dxa"/>
            <w:vAlign w:val="bottom"/>
            <w:gridSpan w:val="4"/>
          </w:tcPr>
          <w:p>
            <w:pPr>
              <w:jc w:val="right"/>
              <w:ind w:right="380"/>
              <w:spacing w:after="0"/>
              <w:rPr>
                <w:sz w:val="20"/>
                <w:szCs w:val="20"/>
                <w:color w:val="auto"/>
              </w:rPr>
            </w:pPr>
            <w:r>
              <w:rPr>
                <w:rFonts w:ascii="Times New Roman" w:cs="Times New Roman" w:eastAsia="Times New Roman" w:hAnsi="Times New Roman"/>
                <w:sz w:val="17"/>
                <w:szCs w:val="17"/>
                <w:color w:val="auto"/>
              </w:rPr>
              <w:t>Overnight &amp;</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Greater Than</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1400" w:type="dxa"/>
            <w:vAlign w:val="bottom"/>
            <w:gridSpan w:val="4"/>
          </w:tcPr>
          <w:p>
            <w:pPr>
              <w:jc w:val="right"/>
              <w:ind w:right="400"/>
              <w:spacing w:after="0"/>
              <w:rPr>
                <w:sz w:val="20"/>
                <w:szCs w:val="20"/>
                <w:color w:val="auto"/>
              </w:rPr>
            </w:pPr>
            <w:r>
              <w:rPr>
                <w:rFonts w:ascii="Times New Roman" w:cs="Times New Roman" w:eastAsia="Times New Roman" w:hAnsi="Times New Roman"/>
                <w:sz w:val="17"/>
                <w:szCs w:val="17"/>
                <w:color w:val="auto"/>
              </w:rPr>
              <w:t>Continuous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ind w:right="135"/>
              <w:spacing w:after="0"/>
              <w:rPr>
                <w:sz w:val="20"/>
                <w:szCs w:val="20"/>
                <w:color w:val="auto"/>
              </w:rPr>
            </w:pPr>
            <w:r>
              <w:rPr>
                <w:rFonts w:ascii="Times New Roman" w:cs="Times New Roman" w:eastAsia="Times New Roman" w:hAnsi="Times New Roman"/>
                <w:sz w:val="17"/>
                <w:szCs w:val="17"/>
                <w:color w:val="auto"/>
              </w:rPr>
              <w:t>Up to 30 days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30-90 days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90 days</w:t>
            </w:r>
          </w:p>
        </w:tc>
        <w:tc>
          <w:tcPr>
            <w:tcW w:w="280" w:type="dxa"/>
            <w:vAlign w:val="bottom"/>
          </w:tcPr>
          <w:p>
            <w:pPr>
              <w:spacing w:after="0"/>
              <w:rPr>
                <w:sz w:val="19"/>
                <w:szCs w:val="19"/>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Federal funds purchased</w:t>
            </w:r>
          </w:p>
        </w:tc>
        <w:tc>
          <w:tcPr>
            <w:tcW w:w="30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agreements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US Treasury &amp; agency securities</w:t>
            </w: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24,306</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2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24,306</w:t>
            </w:r>
          </w:p>
        </w:tc>
        <w:tc>
          <w:tcPr>
            <w:tcW w:w="200" w:type="dxa"/>
            <w:vAlign w:val="bottom"/>
          </w:tcPr>
          <w:p>
            <w:pPr>
              <w:spacing w:after="0"/>
              <w:rPr>
                <w:sz w:val="17"/>
                <w:szCs w:val="17"/>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-1621790</wp:posOffset>
            </wp:positionV>
            <wp:extent cx="73025" cy="16256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-1621790</wp:posOffset>
            </wp:positionV>
            <wp:extent cx="73025" cy="16256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-1621790</wp:posOffset>
            </wp:positionV>
            <wp:extent cx="73025" cy="16256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-1621790</wp:posOffset>
            </wp:positionV>
            <wp:extent cx="64770" cy="16256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-1621790</wp:posOffset>
            </wp:positionV>
            <wp:extent cx="64770" cy="16256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-161925</wp:posOffset>
            </wp:positionV>
            <wp:extent cx="73025" cy="1625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-161925</wp:posOffset>
            </wp:positionV>
            <wp:extent cx="73025" cy="1625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-161925</wp:posOffset>
            </wp:positionV>
            <wp:extent cx="73025" cy="1625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-161925</wp:posOffset>
            </wp:positionV>
            <wp:extent cx="64770" cy="1625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4770" cy="16256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-161925</wp:posOffset>
            </wp:positionV>
            <wp:extent cx="64770" cy="1625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4770" cy="16256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8 SUBORDINATED NOTES</w:t>
      </w:r>
    </w:p>
    <w:p>
      <w:pPr>
        <w:spacing w:after="0" w:line="201"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intended to use the net proceeds from the Offering for general corporate purposes, including financing acquisitions and organic growth.</w:t>
      </w:r>
    </w:p>
    <w:p>
      <w:pPr>
        <w:spacing w:after="0" w:line="140"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Interest on the Notes will accrue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gridSpan w:val="6"/>
          </w:tcPr>
          <w:p>
            <w:pPr>
              <w:ind w:left="600"/>
              <w:spacing w:after="0"/>
              <w:rPr>
                <w:sz w:val="20"/>
                <w:szCs w:val="20"/>
                <w:color w:val="auto"/>
              </w:rPr>
            </w:pPr>
            <w:r>
              <w:rPr>
                <w:rFonts w:ascii="Times New Roman" w:cs="Times New Roman" w:eastAsia="Times New Roman" w:hAnsi="Times New Roman"/>
                <w:sz w:val="17"/>
                <w:szCs w:val="17"/>
                <w:color w:val="auto"/>
              </w:rPr>
              <w:t>September 30, 2022</w:t>
            </w:r>
          </w:p>
        </w:tc>
        <w:tc>
          <w:tcPr>
            <w:tcW w:w="286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color w:val="auto"/>
              </w:rPr>
              <w:t>December 31, 2021</w:t>
            </w:r>
          </w:p>
        </w:tc>
      </w:tr>
      <w:tr>
        <w:trPr>
          <w:trHeight w:val="179"/>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4"/>
          </w:tcPr>
          <w:p>
            <w:pPr>
              <w:jc w:val="center"/>
              <w:ind w:right="375"/>
              <w:spacing w:after="0" w:line="179" w:lineRule="exact"/>
              <w:rPr>
                <w:sz w:val="20"/>
                <w:szCs w:val="20"/>
                <w:color w:val="auto"/>
              </w:rPr>
            </w:pPr>
            <w:r>
              <w:rPr>
                <w:rFonts w:ascii="Times New Roman" w:cs="Times New Roman" w:eastAsia="Times New Roman" w:hAnsi="Times New Roman"/>
                <w:sz w:val="17"/>
                <w:szCs w:val="17"/>
                <w:color w:val="auto"/>
                <w:w w:val="99"/>
              </w:rPr>
              <w:t>Unamortized Note</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3"/>
          </w:tcPr>
          <w:p>
            <w:pPr>
              <w:jc w:val="center"/>
              <w:ind w:right="40"/>
              <w:spacing w:after="0" w:line="179" w:lineRule="exact"/>
              <w:rPr>
                <w:sz w:val="20"/>
                <w:szCs w:val="20"/>
                <w:color w:val="auto"/>
              </w:rPr>
            </w:pPr>
            <w:r>
              <w:rPr>
                <w:rFonts w:ascii="Times New Roman" w:cs="Times New Roman" w:eastAsia="Times New Roman" w:hAnsi="Times New Roman"/>
                <w:sz w:val="17"/>
                <w:szCs w:val="17"/>
                <w:color w:val="auto"/>
                <w:w w:val="99"/>
              </w:rPr>
              <w:t>Unamortized Note</w:t>
            </w:r>
          </w:p>
        </w:tc>
      </w:tr>
      <w:tr>
        <w:trPr>
          <w:trHeight w:val="221"/>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Principal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center"/>
              <w:ind w:right="515"/>
              <w:spacing w:after="0"/>
              <w:rPr>
                <w:sz w:val="20"/>
                <w:szCs w:val="20"/>
                <w:color w:val="auto"/>
              </w:rPr>
            </w:pPr>
            <w:r>
              <w:rPr>
                <w:rFonts w:ascii="Times New Roman" w:cs="Times New Roman" w:eastAsia="Times New Roman" w:hAnsi="Times New Roman"/>
                <w:sz w:val="17"/>
                <w:szCs w:val="17"/>
                <w:color w:val="auto"/>
              </w:rPr>
              <w:t>Issuance Costs</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Issuance Costs</w:t>
            </w:r>
          </w:p>
        </w:tc>
      </w:tr>
      <w:tr>
        <w:trPr>
          <w:trHeight w:val="197"/>
        </w:trPr>
        <w:tc>
          <w:tcPr>
            <w:tcW w:w="2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Subordinated Notes</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w w:val="98"/>
              </w:rPr>
              <w:t>35,000</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3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9 SUBSEQUENT EVENT</w:t>
      </w:r>
    </w:p>
    <w:p>
      <w:pPr>
        <w:spacing w:after="0" w:line="201"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On June 14, 2022, Farmers &amp; Merchants Bancorp, Inc., an Ohio corporation (“F&amp;M”) entered into an Agreement and Plan of Merger (the “Merger Agreement”) with Peoples-Sidney Financial Corporation, a Delaware corporation (“PPSF”), which provides for the merger of PPSF with and into F&amp;M (the “Merger”) and the merger of PPSF’s wholly-owned banking subsidiary, Peoples Federal Savings and Loan Association (“Peoples Bank”), with and into F&amp;M’s wholly-owned banking subsidiary, The Farmers &amp; Merchants State Bank (“F&amp;M Bank”). All of the outstanding shares of PPSF’s common stock will be converted into</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7165340" cy="419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right to receive the cash or stock consideration as described in, and subject to, the terms and conditions of the Merger Agreement.</w:t>
      </w:r>
    </w:p>
    <w:p>
      <w:pPr>
        <w:spacing w:after="0" w:line="175"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Based on the closing price of F&amp;M’s common stock on June 14, 2022, of $34.28 per share, the transaction value for the shares of common stock and cash to be paid is approximately $27 million.</w:t>
      </w:r>
    </w:p>
    <w:p>
      <w:pPr>
        <w:spacing w:after="0" w:line="127"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The transaction is expected to be a tax-free stock exchange for PPSF’s shareholders who will be receiving F&amp;M’s common stock pursuant to the Merger. Subject to PPSF’s shareholders’ approval of the Merger, regulatory approvals and other customary closing conditions, the parties anticipate completing the Merger in the third or fourth quarter of 2022. A copy of the Merger Agreement is filed as Exhibit 2.1 and incorporated herein by reference.</w:t>
      </w:r>
    </w:p>
    <w:p>
      <w:pPr>
        <w:spacing w:after="0" w:line="121"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The Boards of Directors of each of F&amp;M and PPSF have approved the Merger Agreement. The members of the Board of Directors of PPSF have entered into a Voting Agreement pursuant to which each of them has agreed to vote their shares of PPSF common stock in favor of the Merger. A copy of the form of Voting Agreement is attached to the Merger Agreement as Exhibit B.</w:t>
      </w:r>
    </w:p>
    <w:p>
      <w:pPr>
        <w:spacing w:after="0" w:line="121"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upon the completion of the Merger, PPSF shareholders will have the opportunity to elect to receive either 0.6597 shares of FMAO stock or $24.00 per share in cash for each PPSF share owned, subject to a requirement under the Merger Agreement that the minimum number of PPSF Shares exchanged for F&amp;M Shares in the Merger shall be no less than 758,566. Fractional shares of F&amp;M common stock will not be issued in respect of fractional interests arising from the Merger but will be paid in cash pursuant to the Merger Agreement.</w:t>
      </w:r>
    </w:p>
    <w:p>
      <w:pPr>
        <w:spacing w:after="0" w:line="140"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During the year, the Company incurred third party acquisition related costs of $357.1 thousand which are included in the Company's consolidated statement of income for the three and nine months ended September 30, 2022. These expenses are comprised primarily of professional fees and to a lesser extent, SEC filing fees and other costs.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closing of the merger was October 1, 2022, with system conversion slated for December 3-5th.</w:t>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NOTE 10 RECENT ACCOUNTING PRONOUNCEMENTS</w:t>
      </w:r>
    </w:p>
    <w:p>
      <w:pPr>
        <w:spacing w:after="0" w:line="201"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34"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ASU is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128"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Company began working with a third-party service provider to review methodology options starting in June 2019. At the end of first quarter 2022, the Company evaluated and refined its methodology and produced a parallel report for the calculation of the ALLL under the ASU guidance. Management continues to refine the methodology as necessary as the Company works towards ASU implementation and adoption. The Company will adopt ASU 2016-13 on January 1, 2023.</w:t>
      </w:r>
    </w:p>
    <w:p>
      <w:pPr>
        <w:spacing w:after="0" w:line="140"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In March 2022, the FASB issued ASU 2022-02 "Financial Instruments - Credit Losses (Topic 326): Troubled Debt Restructurings and Vintage Disclosures." This ASU eliminates the accounting guidance on troubled debt restructurings for creditors in ASC 310-40 and requires entities to evaluate all receivable modifications under ASC 310-20 to determine whether a modification made to a borrower results in a new loan or a continuation of the existing loan. The amended guidance adds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7165340" cy="419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175"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enhanced disclosures for creditors with respect to loan refinancings and restructurings for borrowers experiencing financial difficulty. The amended guidance also requires disclosure of current period gross charge-offs by year of origination within the vintage disclosures required by ASC 326. The amended guidance is effective for the Company on January 1, 2023, with early adoption permitted. The Company will adopt ASU 2022-02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right="3560" w:hanging="1229"/>
        <w:spacing w:after="0" w:line="644" w:lineRule="auto"/>
        <w:tabs>
          <w:tab w:leader="none" w:pos="441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-165100</wp:posOffset>
            </wp:positionV>
            <wp:extent cx="7165340" cy="419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9"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The Company continues to increase its loan production at an extremely strong pace, surpassing the previous quarters’ growth. Year over year, the growth has been 44.1% (excluding PPP balances) of which organic growth accounted for 21.3% (excluding PPP and acquisitions). In terms of dollars, the largest increase was in commercial real estate, $334.8 million year over year. In terms of percentages, 105.5% or $202.5 million, was the largest increase and was in consumer real estate. The increase in consumer real estate has been driven by acquisition balances of $193.0 million. With the organic loan growth has also come the need to fund the Allowance for Loan Losses. This expense has also increased and is $800 thousand higher than the same period last year and totaling nearly $3.8 million so far year-to-date in 2022.</w:t>
      </w:r>
    </w:p>
    <w:p>
      <w:pPr>
        <w:spacing w:after="0" w:line="149"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F&amp;M Commercial Banking Division entered 2022 Q3 with a strong loan pipeline and demand was still active throughout F&amp;M’s footprint. Client results from 2021 and YTD performance were good, however in Q3 client concerns remained about availability of workforce, interruptions and delays in the supply chain and energy prices. Rising interest rates have not slowed commercial activity dramatically in Q3. Credit quality of the portfolio remains good. Past dues and delinquencies remained low at the end of Q3. Q3 fee income remained solid and kept pace with Q1 and Q2 of 2022.</w:t>
      </w:r>
    </w:p>
    <w:p>
      <w:pPr>
        <w:spacing w:after="0" w:line="128"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F&amp;M Agricultural Banking Division also experienced double digit growth as comparing September 30, 2022, to September 30, 2021. The growing conditions throughout our market area have been favorable with average to above average yields anticipated. Commodity prices have remained high and at profitable levels. The overall outlook for grain, livestock and Agri-businesses is optimistic for 2022 as our Ag base appears positioned to make positive financial strides. Land values have continued to remain strong. Focus will begin to shift to 2023 and the direction of commodity prices and input cost. The agriculture portfolio remains healthy and concerns are manageable. Harvesting is well under way for fall 2022.</w:t>
      </w:r>
    </w:p>
    <w:p>
      <w:pPr>
        <w:spacing w:after="0" w:line="128"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Where F&amp;M has seen a slow-down in production is in the 1-4 Family Consumer Real Estate Division. Refinances have slowed significantly with the increase in rates. Growth remains in new purchase and in home equity origination. This impact correlates to the lower gain on sale of assets, nearly $1.0 million lower than last year as of the same time period year-to-date September 30th.</w:t>
      </w:r>
    </w:p>
    <w:p>
      <w:pPr>
        <w:spacing w:after="0" w:line="134"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17"/>
          <w:szCs w:val="17"/>
          <w:color w:val="auto"/>
        </w:rPr>
        <w:t>The increased loan growth has positively impacted the net interest earnings. Net interest income was $719 thousand higher than last quarter and $14.8 million higher year over year. Funding of the loan growth has also resulted in increased borrowings. Increased rates have driven both deposit rates and borrowing rates significantly higher. Net Interest Margin decreased 5 basis points in comparing the quarters ended September 30, 2022, to September 30, 2021, while the year-to-date margin reported a 1 basis point improvement when comparing 2022 to 2021. The largest areas impacted by the increased rates is in the public fund offerings, higher net worth individuals and borrowing opportunities. The increases are beginning to show in the consumer deposits as the Bank offers special promotions in both celebration of the 125th Anniversary and to raise additional deposits to fund loan growth. The Company remains comfortable with its ability to raise funds as the Bank’s loan to deposit ratio remains within target at approximately 93%. Further discussion of the balance sheet composition movements and the impact on the earnings can be viewed in the Material Results of Operations section that follows.</w:t>
      </w:r>
    </w:p>
    <w:p>
      <w:pPr>
        <w:spacing w:after="0" w:line="148"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Overall, net income increased 60.2% for the first three quarters of 2022 as compared to the same time period 2021. Return on Assets improved to 1.25% as compared to 1.01% and Return on Equity improved to 11.72% compared to 8.40% for the same time periods. As might be expected with the previous improvements, year to date earnings per share are $1.94 compared to $1.41. The Company did incur acquisition expenses in the third quarter 2022 though the amount was lower than that of the total acquisition expenses incurred as of September 30, 2021.</w:t>
      </w:r>
    </w:p>
    <w:p>
      <w:pPr>
        <w:spacing w:after="0" w:line="128"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The Company plans to follow its strategic growth plans, so on June 14th, Farmers &amp; Merchants Bancorp, Inc., entered into an Agreement and Plan of Merger with Peoples-Sidney Financial Corporation, a Delaware corporation (“PPSF”), which provides for the merger of PPSF with and into F&amp;M and the merger of PPSF’s wholly-owned banking subsidiary, Peoples Federal Savings and Loan Association (“Peoples Bank”), with and into F&amp;M’s wholly-owned banking subsidiary, The Farmers &amp; Merchants State Bank (“F&amp;M Bank”). All the outstanding shares of PPSF’s common stock will be converted into the right to receive the cash or stock consideration as described in, and subject to, the terms and conditions of the Merger Agreement. The closing of the merger was October 1, 2022, with system conversion slated for December 3-5th. Refer to Note 9 Subsequent Event for additional detail on the merger.</w:t>
      </w:r>
    </w:p>
    <w:p>
      <w:pPr>
        <w:spacing w:after="0" w:line="149"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As mentioned previously in our comments regarding our commercial customers, F&amp;M too is experiencing pressure for staffing – both in the cost of recruiting new talent and in retaining existing. Salary expenses were $113 thousand higher in third quarter 2022 than in second quarter 2022 and year over year in total year-to-date September 30th were $2.0 million higher for 2022 as compared with 2021. Even with that, the operating efficiency ratio remains in the low 50%’s as it has for all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160020</wp:posOffset>
            </wp:positionV>
            <wp:extent cx="7165340" cy="419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0" w:name="page51"/>
    <w:bookmarkEnd w:id="50"/>
    <w:p>
      <w:pPr>
        <w:jc w:val="both"/>
        <w:spacing w:after="0" w:line="251" w:lineRule="auto"/>
        <w:rPr>
          <w:sz w:val="20"/>
          <w:szCs w:val="20"/>
          <w:color w:val="auto"/>
        </w:rPr>
      </w:pPr>
      <w:r>
        <w:rPr>
          <w:rFonts w:ascii="Times New Roman" w:cs="Times New Roman" w:eastAsia="Times New Roman" w:hAnsi="Times New Roman"/>
          <w:sz w:val="17"/>
          <w:szCs w:val="17"/>
          <w:color w:val="auto"/>
        </w:rPr>
        <w:t>2022 remains a year of celebration both in terms of record earnings, strong performance and in our 125th year of strengthening relationships with our customers, employees, shareholders and our communities in support of our mission to “help people live their best lives.” The Company celebrated the latter by ringing the NASDAQ closing bell which commemorated those 125 years and 5 years since F&amp;M had rung the bell and listed on NASDAQ.</w:t>
      </w:r>
    </w:p>
    <w:p>
      <w:pPr>
        <w:spacing w:after="0" w:line="1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 remains well capitalized as it operates in a volatile rate environment and the size and footprint of its operations continues to grow. We continue to work towards our long-term objectives while we report and recognize many of the one-time costs incurred along the way. Asset quality remains strong with past due loans over 30 days below 40 basis points. Our historical prudent approach to lending remains the foundation of our operations. We continue to embrace the opportunities presented and remain diligent to accomplishing our mission. We look forward to sharing the basis of our strategic plan for the coming years in the next quarter.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ACTIVITIES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Farmers &amp; Merchants Bancorp, Inc. (the “Company”) is a financial holding company incorporated under the laws of Ohio in 1985. Our subsidiaries are The Farmers &amp; Merchants State Bank (the “Bank”), a local independent community bank that has been primarily serving Northwest Ohio and Northeast Indiana since 1897, and Farmers &amp; Merchants Risk Management, Inc., a captive insurance company formed in December 2014 and located in Nevada. We report our financial condition and net income on a consolidated basis and we have only one segment.</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executive offices are located at 307 North Defiance Street, Archbold, Ohio 43502, and our telephone number is (419) 446-2501. The Bank operates thirty full-service banking offices throughout Northwest Ohio and Northeast Indiana and a drive-up facility in Archbold. The Bank also operates four Loan Production Offices (LPOs), two in Ohio and one in Indiana and Michigan.</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primarily located in Northwest Ohio and Northeast Indiana, a substantial amount of the loan portfolio is comprised of loans made to customers in the farming industry for such items as farm 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w:t>
      </w:r>
    </w:p>
    <w:p>
      <w:pPr>
        <w:spacing w:after="0" w:line="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Federal Savings Bank in the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quarter of 2021, the Bank saw an increase in fixed rate, long-term mortgage loans to our portfolio from that banking service area.</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7165340" cy="419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494" w:right="339" w:bottom="1440" w:gutter="0" w:footer="0" w:header="0"/>
        </w:sectPr>
      </w:pPr>
    </w:p>
    <w:bookmarkStart w:id="51" w:name="page52"/>
    <w:bookmarkEnd w:id="51"/>
    <w:p>
      <w:pPr>
        <w:jc w:val="both"/>
        <w:spacing w:after="0" w:line="251" w:lineRule="auto"/>
        <w:rPr>
          <w:sz w:val="20"/>
          <w:szCs w:val="20"/>
          <w:color w:val="auto"/>
        </w:rPr>
      </w:pPr>
      <w:r>
        <w:rPr>
          <w:rFonts w:ascii="Times New Roman" w:cs="Times New Roman" w:eastAsia="Times New Roman" w:hAnsi="Times New Roman"/>
          <w:sz w:val="17"/>
          <w:szCs w:val="17"/>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Consumer Loans:</w:t>
      </w:r>
    </w:p>
    <w:p>
      <w:pPr>
        <w:spacing w:after="0" w:line="10" w:lineRule="exact"/>
        <w:rPr>
          <w:sz w:val="20"/>
          <w:szCs w:val="20"/>
          <w:color w:val="auto"/>
        </w:rPr>
      </w:pPr>
    </w:p>
    <w:p>
      <w:pPr>
        <w:ind w:left="640" w:hanging="273"/>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loan to value (LTV) for cars, SUVs, and trucks is 110% depending on whether direct or indirect.</w:t>
      </w:r>
    </w:p>
    <w:p>
      <w:pPr>
        <w:ind w:left="640" w:hanging="273"/>
        <w:spacing w:after="0" w:line="219"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above 100% are generally the result of sales tax.</w:t>
      </w:r>
    </w:p>
    <w:p>
      <w:pPr>
        <w:ind w:left="640" w:hanging="273"/>
        <w:spacing w:after="0" w:line="235"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Boats, campers, motorcycles, RV's and Motor Coaches range from 80%-90% based on age of vehicle.</w:t>
      </w:r>
    </w:p>
    <w:p>
      <w:pPr>
        <w:ind w:left="640" w:hanging="273"/>
        <w:spacing w:after="0" w:line="235"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1st or 2nd mortgages on 1-4 family homes maximum range from 80-85%.</w:t>
      </w:r>
    </w:p>
    <w:p>
      <w:pPr>
        <w:ind w:left="640" w:hanging="273"/>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Raw land LTV maximum ranges from 65%-75% depending on whether or not the property has been improved.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Commercial/Agriculture:</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14" w:lineRule="exact"/>
        <w:rPr>
          <w:sz w:val="20"/>
          <w:szCs w:val="20"/>
          <w:color w:val="auto"/>
        </w:rPr>
      </w:pPr>
    </w:p>
    <w:p>
      <w:pPr>
        <w:ind w:left="1020" w:hanging="279"/>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80% LTV less retainages and greater than 90 days.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Inventory:</w:t>
      </w:r>
    </w:p>
    <w:p>
      <w:pPr>
        <w:spacing w:after="0" w:line="10" w:lineRule="exact"/>
        <w:rPr>
          <w:sz w:val="20"/>
          <w:szCs w:val="20"/>
          <w:color w:val="auto"/>
        </w:rPr>
      </w:pPr>
    </w:p>
    <w:p>
      <w:pPr>
        <w:ind w:left="1020" w:hanging="279"/>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Agriculture:</w:t>
      </w:r>
    </w:p>
    <w:p>
      <w:pPr>
        <w:ind w:left="1780" w:hanging="383"/>
        <w:spacing w:after="0" w:line="219" w:lineRule="auto"/>
        <w:tabs>
          <w:tab w:leader="none" w:pos="17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Livestock and grain up to 80% LTV, crops (insured) up to 75% and Warehouse Receipts up to 87%.</w:t>
      </w:r>
    </w:p>
    <w:p>
      <w:pPr>
        <w:ind w:left="1020" w:hanging="279"/>
        <w:spacing w:after="0" w:line="235"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w:t>
      </w:r>
    </w:p>
    <w:p>
      <w:pPr>
        <w:ind w:left="1780" w:hanging="383"/>
        <w:spacing w:after="0" w:line="219" w:lineRule="auto"/>
        <w:tabs>
          <w:tab w:leader="none" w:pos="17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LTV of 50% on raw and finished goods.</w:t>
      </w:r>
    </w:p>
    <w:p>
      <w:pPr>
        <w:ind w:left="1020" w:hanging="279"/>
        <w:spacing w:after="0" w:line="235"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Floor plan:</w:t>
      </w:r>
    </w:p>
    <w:p>
      <w:pPr>
        <w:ind w:left="1780" w:hanging="383"/>
        <w:spacing w:after="0" w:line="235" w:lineRule="auto"/>
        <w:tabs>
          <w:tab w:leader="none" w:pos="17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New/used vehicles to 100% of wholesale.</w:t>
      </w:r>
    </w:p>
    <w:p>
      <w:pPr>
        <w:ind w:left="1780" w:hanging="383"/>
        <w:spacing w:after="0"/>
        <w:tabs>
          <w:tab w:leader="none" w:pos="17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New/Used recreational vehicles and manufactured homes to 80% of wholesale.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Equipment:</w:t>
      </w:r>
    </w:p>
    <w:p>
      <w:pPr>
        <w:spacing w:after="0" w:line="10" w:lineRule="exact"/>
        <w:rPr>
          <w:sz w:val="20"/>
          <w:szCs w:val="20"/>
          <w:color w:val="auto"/>
        </w:rPr>
      </w:pPr>
    </w:p>
    <w:p>
      <w:pPr>
        <w:ind w:left="1020" w:hanging="279"/>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not to exceed (NTE) 80% of invoice, used NTE 50% of listed book or 75% of appraised value.</w:t>
      </w:r>
    </w:p>
    <w:p>
      <w:pPr>
        <w:ind w:left="1020" w:hanging="279"/>
        <w:spacing w:after="0" w:line="219"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Restaurant equipment up to 35% of market value.</w:t>
      </w:r>
    </w:p>
    <w:p>
      <w:pPr>
        <w:ind w:left="1020" w:hanging="279"/>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Heavy trucks, titled trailers NTE 75% LTV and aircraft up to 75% of appraised value.</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Real Estate:</w:t>
      </w:r>
    </w:p>
    <w:p>
      <w:pPr>
        <w:ind w:left="1020" w:hanging="279"/>
        <w:spacing w:after="0" w:line="237"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LTVs range from 70%-80% depending on type.</w:t>
      </w:r>
    </w:p>
    <w:p>
      <w:pPr>
        <w:ind w:left="1020" w:hanging="279"/>
        <w:spacing w:after="0"/>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Maximum LTV on non-traditional loan up to 85%.</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Bank’s primary market includes communities located in the Ohio counties of Champaign, Defiance, Fulton, Hancock, Henry, Lucas,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 September 30, 2022, we had 392 full time equivalent employees. The employees are not represented by a collective bargaining unit. We provide our employees with a comprehensive benefit program, some of which is contributory. We consider our employee relations to be good.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REGULATORY DEVELOPMENTS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60325</wp:posOffset>
            </wp:positionV>
            <wp:extent cx="7165340" cy="419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404" w:right="339" w:bottom="1440" w:gutter="0" w:footer="0" w:header="0"/>
        </w:sectPr>
      </w:pPr>
    </w:p>
    <w:bookmarkStart w:id="52" w:name="page53"/>
    <w:bookmarkEnd w:id="52"/>
    <w:p>
      <w:pPr>
        <w:jc w:val="both"/>
        <w:ind w:left="8"/>
        <w:spacing w:after="0" w:line="241" w:lineRule="auto"/>
        <w:rPr>
          <w:sz w:val="20"/>
          <w:szCs w:val="20"/>
          <w:color w:val="auto"/>
        </w:rPr>
      </w:pPr>
      <w:r>
        <w:rPr>
          <w:rFonts w:ascii="Times New Roman" w:cs="Times New Roman" w:eastAsia="Times New Roman" w:hAnsi="Times New Roman"/>
          <w:sz w:val="17"/>
          <w:szCs w:val="17"/>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CARES Act. The CARES Act, among other matters, resulted in expansion of SBA Lending Programs; provided for a financial election to suspend GAAP principles and regulatory determinations for COVID-19 related loan modifications that would otherwise be deemed Troubled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50"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7"/>
          <w:szCs w:val="17"/>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33" w:lineRule="exact"/>
        <w:rPr>
          <w:sz w:val="20"/>
          <w:szCs w:val="20"/>
          <w:color w:val="auto"/>
        </w:rPr>
      </w:pPr>
    </w:p>
    <w:p>
      <w:pPr>
        <w:jc w:val="both"/>
        <w:ind w:left="8"/>
        <w:spacing w:after="0" w:line="242" w:lineRule="auto"/>
        <w:rPr>
          <w:sz w:val="20"/>
          <w:szCs w:val="20"/>
          <w:color w:val="auto"/>
        </w:rPr>
      </w:pPr>
      <w:r>
        <w:rPr>
          <w:rFonts w:ascii="Times New Roman" w:cs="Times New Roman" w:eastAsia="Times New Roman" w:hAnsi="Times New Roman"/>
          <w:sz w:val="17"/>
          <w:szCs w:val="17"/>
          <w:color w:val="auto"/>
        </w:rPr>
        <w:t>FFCRA requirements to provide paid leave to employees ended on December 31, 2020. Due to the extended duration of the COVID-19 pandemic, employers subject to FFCRA could voluntarily extend the paid leave option until March 31, 2021. If the employer has elected to voluntarily apply the FFCRA extension, employees eligible for leave in 2020 and did not use the leave may take the leave in 2021. Under the American Rescue Plan of 2021 enacted in March 2021, for those employers who voluntarily extend the paid leave option, paid leave was reset starting April 1, 2021. If employees previously exhausted their paid leave under FFCRA, they may be entitled to an additional 10 days/80 hours for use. 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are eligible to apply for PPP: 1) 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w:t>
      </w:r>
    </w:p>
    <w:p>
      <w:pPr>
        <w:spacing w:after="0" w:line="8" w:lineRule="exact"/>
        <w:rPr>
          <w:sz w:val="20"/>
          <w:szCs w:val="20"/>
          <w:color w:val="auto"/>
        </w:rPr>
      </w:pPr>
    </w:p>
    <w:p>
      <w:pPr>
        <w:jc w:val="both"/>
        <w:ind w:left="8" w:hanging="8"/>
        <w:spacing w:after="0" w:line="241" w:lineRule="auto"/>
        <w:tabs>
          <w:tab w:leader="none" w:pos="34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expanded coverage for expenditures in addition to covered payroll and specific 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The Coronavirus Response and Relief Supplemental Appropriations Act, passed by Congress in December 2020, extended certain provisions of the</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CARES Act and affected the Company into 2021. Key banking provisions under this legislation include the following:</w:t>
      </w:r>
    </w:p>
    <w:p>
      <w:pPr>
        <w:spacing w:after="0" w:line="80"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68580</wp:posOffset>
            </wp:positionV>
            <wp:extent cx="7165340" cy="419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8"/>
          </w:cols>
          <w:pgMar w:left="1072" w:top="494" w:right="339" w:bottom="1440" w:gutter="0" w:footer="0" w:header="0"/>
        </w:sectPr>
      </w:pPr>
    </w:p>
    <w:bookmarkStart w:id="53" w:name="page54"/>
    <w:bookmarkEnd w:id="53"/>
    <w:p>
      <w:pPr>
        <w:ind w:left="740" w:hanging="373"/>
        <w:spacing w:after="0" w:line="267"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an additional $284.6 billion in Paycheck Protection Program (PPP) funding for loans to small businesses, including for borrowers who have previously received a PPP loan.</w:t>
      </w:r>
    </w:p>
    <w:p>
      <w:pPr>
        <w:spacing w:after="0" w:line="127" w:lineRule="exact"/>
        <w:rPr>
          <w:rFonts w:ascii="Times New Roman" w:cs="Times New Roman" w:eastAsia="Times New Roman" w:hAnsi="Times New Roman"/>
          <w:sz w:val="17"/>
          <w:szCs w:val="17"/>
          <w:color w:val="auto"/>
        </w:rPr>
      </w:pPr>
    </w:p>
    <w:p>
      <w:pPr>
        <w:ind w:left="740" w:hanging="373"/>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one-page simplified forgiveness process for PPP loans under $150,000.</w:t>
      </w:r>
    </w:p>
    <w:p>
      <w:pPr>
        <w:spacing w:after="0" w:line="162" w:lineRule="exact"/>
        <w:rPr>
          <w:rFonts w:ascii="Times New Roman" w:cs="Times New Roman" w:eastAsia="Times New Roman" w:hAnsi="Times New Roman"/>
          <w:sz w:val="17"/>
          <w:szCs w:val="17"/>
          <w:color w:val="auto"/>
        </w:rPr>
      </w:pPr>
    </w:p>
    <w:p>
      <w:pPr>
        <w:ind w:left="740" w:hanging="373"/>
        <w:spacing w:after="0" w:line="283"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Clarification to various CARES Act provisions, the tax treatment of PPP expenses, lender responsibilities for agent fees, and lender “hold harmless” protections under the PPP and other laws.</w:t>
      </w:r>
    </w:p>
    <w:p>
      <w:pPr>
        <w:spacing w:after="0" w:line="101" w:lineRule="exact"/>
        <w:rPr>
          <w:rFonts w:ascii="Times New Roman" w:cs="Times New Roman" w:eastAsia="Times New Roman" w:hAnsi="Times New Roman"/>
          <w:sz w:val="17"/>
          <w:szCs w:val="17"/>
          <w:color w:val="auto"/>
        </w:rPr>
      </w:pPr>
    </w:p>
    <w:p>
      <w:pPr>
        <w:jc w:val="both"/>
        <w:ind w:left="740" w:hanging="373"/>
        <w:spacing w:after="0" w:line="259"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spacing w:after="0" w:line="120" w:lineRule="exact"/>
        <w:rPr>
          <w:rFonts w:ascii="Times New Roman" w:cs="Times New Roman" w:eastAsia="Times New Roman" w:hAnsi="Times New Roman"/>
          <w:sz w:val="17"/>
          <w:szCs w:val="17"/>
          <w:color w:val="auto"/>
        </w:rPr>
      </w:pPr>
    </w:p>
    <w:p>
      <w:pPr>
        <w:ind w:left="740" w:hanging="373"/>
        <w:spacing w:after="0" w:line="283"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further optional delay in Current Expected Credit Loss (CECL) accounting until January 1, 2022 which was further delayed until January 1, 2023.</w:t>
      </w:r>
    </w:p>
    <w:p>
      <w:pPr>
        <w:spacing w:after="0" w:line="101" w:lineRule="exact"/>
        <w:rPr>
          <w:rFonts w:ascii="Times New Roman" w:cs="Times New Roman" w:eastAsia="Times New Roman" w:hAnsi="Times New Roman"/>
          <w:sz w:val="17"/>
          <w:szCs w:val="17"/>
          <w:color w:val="auto"/>
        </w:rPr>
      </w:pPr>
    </w:p>
    <w:p>
      <w:pPr>
        <w:ind w:left="740" w:hanging="373"/>
        <w:spacing w:after="0" w:line="283"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round of Economic Impact Payments (EIPs) for consumers, with aggressive distribution timelines and new exemptions from garnishments.</w:t>
      </w:r>
    </w:p>
    <w:p>
      <w:pPr>
        <w:spacing w:after="0" w:line="101" w:lineRule="exact"/>
        <w:rPr>
          <w:rFonts w:ascii="Times New Roman" w:cs="Times New Roman" w:eastAsia="Times New Roman" w:hAnsi="Times New Roman"/>
          <w:sz w:val="17"/>
          <w:szCs w:val="17"/>
          <w:color w:val="auto"/>
        </w:rPr>
      </w:pPr>
    </w:p>
    <w:p>
      <w:pPr>
        <w:ind w:left="740" w:hanging="373"/>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added support for Community Development Financial Institutions (CDFIs) and Minority Depository Institutions (MDIs).</w:t>
      </w:r>
    </w:p>
    <w:p>
      <w:pPr>
        <w:spacing w:after="0" w:line="175" w:lineRule="exact"/>
        <w:rPr>
          <w:rFonts w:ascii="Times New Roman" w:cs="Times New Roman" w:eastAsia="Times New Roman" w:hAnsi="Times New Roman"/>
          <w:sz w:val="17"/>
          <w:szCs w:val="17"/>
          <w:color w:val="auto"/>
        </w:rPr>
      </w:pPr>
    </w:p>
    <w:p>
      <w:pPr>
        <w:ind w:left="740" w:hanging="373"/>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Funding for agricultural support programs and for renter assistance programs.</w:t>
      </w:r>
    </w:p>
    <w:p>
      <w:pPr>
        <w:spacing w:after="0" w:line="175" w:lineRule="exact"/>
        <w:rPr>
          <w:rFonts w:ascii="Times New Roman" w:cs="Times New Roman" w:eastAsia="Times New Roman" w:hAnsi="Times New Roman"/>
          <w:sz w:val="17"/>
          <w:szCs w:val="17"/>
          <w:color w:val="auto"/>
        </w:rPr>
      </w:pPr>
    </w:p>
    <w:p>
      <w:pPr>
        <w:ind w:left="740" w:hanging="373"/>
        <w:spacing w:after="0" w:line="267"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existing Federal Reserve emergency lending authority under the CARES Act, while preserving the Fed’s general 13(3) emergency authority existing prior to that Act.</w:t>
      </w:r>
    </w:p>
    <w:p>
      <w:pPr>
        <w:spacing w:after="0" w:line="200" w:lineRule="exact"/>
        <w:rPr>
          <w:sz w:val="20"/>
          <w:szCs w:val="20"/>
          <w:color w:val="auto"/>
        </w:rPr>
      </w:pPr>
    </w:p>
    <w:p>
      <w:pPr>
        <w:spacing w:after="0" w:line="2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The Company now complies with the revised price-based new General QM Loan definition and its requirements. Since the Company sells fixed rate consumer mortgage loans to the Federal Home Loan Mortgage Corporation, it must remain attentive to their current loan underwriting requirements.</w:t>
      </w:r>
    </w:p>
    <w:p>
      <w:pPr>
        <w:spacing w:after="0" w:line="1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w:t>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60325</wp:posOffset>
            </wp:positionV>
            <wp:extent cx="7165340" cy="419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494" w:right="339" w:bottom="1440" w:gutter="0" w:footer="0" w:header="0"/>
        </w:sectPr>
      </w:pPr>
    </w:p>
    <w:bookmarkStart w:id="54" w:name="page55"/>
    <w:bookmarkEnd w:id="54"/>
    <w:p>
      <w:pPr>
        <w:jc w:val="both"/>
        <w:spacing w:after="0" w:line="251" w:lineRule="auto"/>
        <w:rPr>
          <w:sz w:val="20"/>
          <w:szCs w:val="20"/>
          <w:color w:val="auto"/>
        </w:rPr>
      </w:pPr>
      <w:r>
        <w:rPr>
          <w:rFonts w:ascii="Times New Roman" w:cs="Times New Roman" w:eastAsia="Times New Roman" w:hAnsi="Times New Roman"/>
          <w:sz w:val="17"/>
          <w:szCs w:val="17"/>
          <w:color w:val="auto"/>
        </w:rPr>
        <w:t>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net income from operations of foreclosed real estate held for sale is reported either in noninterest income or noninterest expense depending upon whether the property is in a gain or loss position overall. At September 30, 2022 there were no OREO property holdings. OREO totaled $159 thousand and $167 thousand as of December 31, 2021 and September 30, 2021 respectively.</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Bank’s mortgage servicing rights relating to loans serviced for others represent an asset. This asset is initially capitalized and included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reviews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w:t>
      </w:r>
    </w:p>
    <w:p>
      <w:pPr>
        <w:spacing w:after="0" w:line="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7165340" cy="419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494" w:right="339" w:bottom="1440" w:gutter="0" w:footer="0" w:header="0"/>
        </w:sectPr>
      </w:pPr>
    </w:p>
    <w:bookmarkStart w:id="55" w:name="page56"/>
    <w:bookmarkEnd w:id="55"/>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MATERIAL CHANGES IN FINANCIAL CONDITION, LIQUIDITY AND CAPITAL RESOURCES</w:t>
      </w:r>
    </w:p>
    <w:p>
      <w:pPr>
        <w:spacing w:after="0" w:line="179"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The Company plans to continue in its growth mode in 2022 led by loan growth from within our newer markets. The Bank is focused on funding the loan growth with the least expensive source of deposits, sale of securities or borrowings. While securities are generally considered as a source of cash, in the current environment, it is unlikely that they would be sold for such funding needs.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p>
    <w:p>
      <w:pPr>
        <w:spacing w:after="0" w:line="144"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Liquidity in terms of cash and cash equivalents ended $110.2 million lower as of September 30, 2022 than it was at yearend December 31, 2021. Prior year’s excess liquidity along with an increase in deposits of $89.6 million and an increase of Federal Home Loan Bank advances of $78.1 million helped to fund the $281.4 million increase in net loans since year end 2021. All loan portfolios with the exception of the other portfolio increased compared to December 31, 2021 with the largest increase in the commercial real estate portfolio.</w:t>
      </w:r>
    </w:p>
    <w:p>
      <w:pPr>
        <w:spacing w:after="0" w:line="128"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17"/>
          <w:szCs w:val="17"/>
          <w:color w:val="auto"/>
        </w:rPr>
        <w:t>In comparing to the same prior year period, the September 30, 2022 (net of deferred fees and cost) loan balances of $2.1 billion accounted for $647.1 million or 43.3% increase when compared to 2021’s $1.5 billion. The year over year improvement was made up of a combined increase in commercial and industrial related loans of 40.1%. Individual growth was comprised of 46.0% in commercial real estate loans and 18.0% in non-real estate commercial loans. PPP loans of approximately $7.4 thousand and $9.8 million are included in the non-real estate commercial portfolio as of September 30, 2022 and September 30, 2021, respectively. Consumer real estate loans increased by 105.6% and consumer loans by 27.8%. Agricultural related loans increased 17.1% year over year. Individual growth was comprised of 14.4% in agricultural real estate and 21.8% in non-real estate agricultural loans. Other loans decreased by 1.4%. The Company credits the growth not only to the OFSI and PFSB acquisitions but also to the strong team of lenders focused on providing customers valuable localized services and thereby increasing our market share.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chart below shows the breakdown of the loan portfolio category as of September 30, for the last three years, net of deferred fees and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4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September 30, 2022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color w:val="auto"/>
              </w:rPr>
              <w:t>September 30, 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September 30, 2020</w:t>
            </w:r>
          </w:p>
        </w:tc>
        <w:tc>
          <w:tcPr>
            <w:tcW w:w="100" w:type="dxa"/>
            <w:vAlign w:val="bottom"/>
          </w:tcPr>
          <w:p>
            <w:pPr>
              <w:spacing w:after="0"/>
              <w:rPr>
                <w:sz w:val="15"/>
                <w:szCs w:val="15"/>
                <w:color w:val="auto"/>
              </w:rPr>
            </w:pPr>
          </w:p>
        </w:tc>
      </w:tr>
      <w:tr>
        <w:trPr>
          <w:trHeight w:val="221"/>
        </w:trPr>
        <w:tc>
          <w:tcPr>
            <w:tcW w:w="4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w w:val="96"/>
              </w:rPr>
              <w:t>Amount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r>
      <w:tr>
        <w:trPr>
          <w:trHeight w:val="19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19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416,044</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175,595</w:t>
            </w:r>
          </w:p>
        </w:tc>
        <w:tc>
          <w:tcPr>
            <w:tcW w:w="100" w:type="dxa"/>
            <w:vAlign w:val="bottom"/>
            <w:shd w:val="clear" w:color="auto" w:fill="CFF0FC"/>
          </w:tcPr>
          <w:p>
            <w:pPr>
              <w:spacing w:after="0"/>
              <w:rPr>
                <w:sz w:val="17"/>
                <w:szCs w:val="17"/>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192,577</w:t>
            </w:r>
          </w:p>
        </w:tc>
        <w:tc>
          <w:tcPr>
            <w:tcW w:w="100" w:type="dxa"/>
            <w:vAlign w:val="bottom"/>
          </w:tcPr>
          <w:p>
            <w:pPr>
              <w:spacing w:after="0"/>
              <w:rPr>
                <w:sz w:val="17"/>
                <w:szCs w:val="17"/>
                <w:color w:val="auto"/>
              </w:rPr>
            </w:pPr>
          </w:p>
        </w:tc>
      </w:tr>
      <w:tr>
        <w:trPr>
          <w:trHeight w:val="204"/>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128,818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105,722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103,476</w:t>
            </w:r>
          </w:p>
        </w:tc>
        <w:tc>
          <w:tcPr>
            <w:tcW w:w="100" w:type="dxa"/>
            <w:vAlign w:val="bottom"/>
            <w:shd w:val="clear" w:color="auto" w:fill="CFF0FC"/>
          </w:tcPr>
          <w:p>
            <w:pPr>
              <w:spacing w:after="0"/>
              <w:rPr>
                <w:sz w:val="17"/>
                <w:szCs w:val="17"/>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1,061,904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593,936</w:t>
            </w:r>
          </w:p>
        </w:tc>
        <w:tc>
          <w:tcPr>
            <w:tcW w:w="100" w:type="dxa"/>
            <w:vAlign w:val="bottom"/>
          </w:tcPr>
          <w:p>
            <w:pPr>
              <w:spacing w:after="0"/>
              <w:rPr>
                <w:sz w:val="17"/>
                <w:szCs w:val="17"/>
                <w:color w:val="auto"/>
              </w:rPr>
            </w:pPr>
          </w:p>
        </w:tc>
      </w:tr>
      <w:tr>
        <w:trPr>
          <w:trHeight w:val="204"/>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229,338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194,286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235,793</w:t>
            </w:r>
          </w:p>
        </w:tc>
        <w:tc>
          <w:tcPr>
            <w:tcW w:w="100" w:type="dxa"/>
            <w:vAlign w:val="bottom"/>
            <w:shd w:val="clear" w:color="auto" w:fill="CFF0FC"/>
          </w:tcPr>
          <w:p>
            <w:pPr>
              <w:spacing w:after="0"/>
              <w:rPr>
                <w:sz w:val="17"/>
                <w:szCs w:val="17"/>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53,455</w:t>
            </w:r>
          </w:p>
        </w:tc>
        <w:tc>
          <w:tcPr>
            <w:tcW w:w="100" w:type="dxa"/>
            <w:vAlign w:val="bottom"/>
          </w:tcPr>
          <w:p>
            <w:pPr>
              <w:spacing w:after="0"/>
              <w:rPr>
                <w:sz w:val="17"/>
                <w:szCs w:val="17"/>
                <w:color w:val="auto"/>
              </w:rPr>
            </w:pPr>
          </w:p>
        </w:tc>
      </w:tr>
      <w:tr>
        <w:trPr>
          <w:trHeight w:val="204"/>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9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30,662</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31,096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7"/>
        </w:trPr>
        <w:tc>
          <w:tcPr>
            <w:tcW w:w="4300" w:type="dxa"/>
            <w:vAlign w:val="bottom"/>
          </w:tcPr>
          <w:p>
            <w:pPr>
              <w:spacing w:after="0"/>
              <w:rPr>
                <w:sz w:val="17"/>
                <w:szCs w:val="17"/>
                <w:color w:val="auto"/>
              </w:rPr>
            </w:pPr>
          </w:p>
        </w:tc>
        <w:tc>
          <w:tcPr>
            <w:tcW w:w="224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Loans, net of deferred fees and costs</w:t>
            </w:r>
          </w:p>
        </w:tc>
        <w:tc>
          <w:tcPr>
            <w:tcW w:w="22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2,142,616</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1,495,562</w:t>
            </w:r>
          </w:p>
        </w:tc>
        <w:tc>
          <w:tcPr>
            <w:tcW w:w="520" w:type="dxa"/>
            <w:vAlign w:val="bottom"/>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1,363,862</w:t>
            </w:r>
          </w:p>
        </w:tc>
        <w:tc>
          <w:tcPr>
            <w:tcW w:w="100" w:type="dxa"/>
            <w:vAlign w:val="bottom"/>
            <w:shd w:val="clear" w:color="auto" w:fill="CFF0FC"/>
          </w:tcPr>
          <w:p>
            <w:pPr>
              <w:spacing w:after="0"/>
              <w:rPr>
                <w:sz w:val="21"/>
                <w:szCs w:val="21"/>
                <w:color w:val="auto"/>
              </w:rPr>
            </w:pPr>
          </w:p>
        </w:tc>
      </w:tr>
      <w:tr>
        <w:trPr>
          <w:trHeight w:val="478"/>
        </w:trPr>
        <w:tc>
          <w:tcPr>
            <w:tcW w:w="430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475"/>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94"/>
        </w:trPr>
        <w:tc>
          <w:tcPr>
            <w:tcW w:w="43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-680720</wp:posOffset>
            </wp:positionV>
            <wp:extent cx="73025" cy="1377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-680720</wp:posOffset>
            </wp:positionV>
            <wp:extent cx="64770" cy="1377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-680720</wp:posOffset>
            </wp:positionV>
            <wp:extent cx="64770" cy="1377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-413385</wp:posOffset>
            </wp:positionV>
            <wp:extent cx="7302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-396875</wp:posOffset>
            </wp:positionV>
            <wp:extent cx="730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-413385</wp:posOffset>
            </wp:positionV>
            <wp:extent cx="6477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-396875</wp:posOffset>
            </wp:positionV>
            <wp:extent cx="647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-413385</wp:posOffset>
            </wp:positionV>
            <wp:extent cx="647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-396875</wp:posOffset>
            </wp:positionV>
            <wp:extent cx="647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56" w:name="page57"/>
    <w:bookmarkEnd w:id="56"/>
    <w:p>
      <w:pPr>
        <w:ind w:left="760"/>
        <w:spacing w:after="0"/>
        <w:rPr>
          <w:sz w:val="20"/>
          <w:szCs w:val="20"/>
          <w:color w:val="auto"/>
        </w:rPr>
      </w:pPr>
      <w:r>
        <w:rPr>
          <w:rFonts w:ascii="Times New Roman" w:cs="Times New Roman" w:eastAsia="Times New Roman" w:hAnsi="Times New Roman"/>
          <w:sz w:val="17"/>
          <w:szCs w:val="17"/>
          <w:color w:val="auto"/>
        </w:rPr>
        <w:t>The following is a contractual maturity schedule by major category of loans excluding fair value adjustments as of September 30,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6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right="15"/>
              <w:spacing w:after="0" w:line="181" w:lineRule="exact"/>
              <w:rPr>
                <w:sz w:val="20"/>
                <w:szCs w:val="20"/>
                <w:color w:val="auto"/>
              </w:rPr>
            </w:pPr>
            <w:r>
              <w:rPr>
                <w:rFonts w:ascii="Times New Roman" w:cs="Times New Roman" w:eastAsia="Times New Roman" w:hAnsi="Times New Roman"/>
                <w:sz w:val="17"/>
                <w:szCs w:val="17"/>
                <w:color w:val="auto"/>
                <w:w w:val="99"/>
              </w:rPr>
              <w:t>After One</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Within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Year Within</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After</w:t>
            </w:r>
          </w:p>
        </w:tc>
        <w:tc>
          <w:tcPr>
            <w:tcW w:w="100" w:type="dxa"/>
            <w:vAlign w:val="bottom"/>
          </w:tcPr>
          <w:p>
            <w:pPr>
              <w:spacing w:after="0"/>
              <w:rPr>
                <w:sz w:val="17"/>
                <w:szCs w:val="17"/>
                <w:color w:val="auto"/>
              </w:rPr>
            </w:pPr>
          </w:p>
        </w:tc>
      </w:tr>
      <w:tr>
        <w:trPr>
          <w:trHeight w:val="221"/>
        </w:trPr>
        <w:tc>
          <w:tcPr>
            <w:tcW w:w="6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One Year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w w:val="97"/>
              </w:rPr>
              <w:t>Five Years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Five Years</w:t>
            </w:r>
          </w:p>
        </w:tc>
        <w:tc>
          <w:tcPr>
            <w:tcW w:w="100" w:type="dxa"/>
            <w:vAlign w:val="bottom"/>
          </w:tcPr>
          <w:p>
            <w:pPr>
              <w:spacing w:after="0"/>
              <w:rPr>
                <w:sz w:val="19"/>
                <w:szCs w:val="19"/>
                <w:color w:val="auto"/>
              </w:rPr>
            </w:pPr>
          </w:p>
        </w:tc>
      </w:tr>
      <w:tr>
        <w:trPr>
          <w:trHeight w:val="19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8,071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30,228</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381,388</w:t>
            </w:r>
          </w:p>
        </w:tc>
        <w:tc>
          <w:tcPr>
            <w:tcW w:w="100" w:type="dxa"/>
            <w:vAlign w:val="bottom"/>
            <w:shd w:val="clear" w:color="auto" w:fill="CFF0FC"/>
          </w:tcPr>
          <w:p>
            <w:pPr>
              <w:spacing w:after="0"/>
              <w:rPr>
                <w:sz w:val="17"/>
                <w:szCs w:val="17"/>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197,709</w:t>
            </w:r>
          </w:p>
        </w:tc>
        <w:tc>
          <w:tcPr>
            <w:tcW w:w="100" w:type="dxa"/>
            <w:vAlign w:val="bottom"/>
          </w:tcPr>
          <w:p>
            <w:pPr>
              <w:spacing w:after="0"/>
              <w:rPr>
                <w:sz w:val="17"/>
                <w:szCs w:val="17"/>
                <w:color w:val="auto"/>
              </w:rPr>
            </w:pPr>
          </w:p>
        </w:tc>
      </w:tr>
      <w:tr>
        <w:trPr>
          <w:trHeight w:val="20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67,112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36,458</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25,071</w:t>
            </w:r>
          </w:p>
        </w:tc>
        <w:tc>
          <w:tcPr>
            <w:tcW w:w="100" w:type="dxa"/>
            <w:vAlign w:val="bottom"/>
            <w:shd w:val="clear" w:color="auto" w:fill="CFF0FC"/>
          </w:tcPr>
          <w:p>
            <w:pPr>
              <w:spacing w:after="0"/>
              <w:rPr>
                <w:sz w:val="17"/>
                <w:szCs w:val="17"/>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308,746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730,563</w:t>
            </w:r>
          </w:p>
        </w:tc>
        <w:tc>
          <w:tcPr>
            <w:tcW w:w="100" w:type="dxa"/>
            <w:vAlign w:val="bottom"/>
          </w:tcPr>
          <w:p>
            <w:pPr>
              <w:spacing w:after="0"/>
              <w:rPr>
                <w:sz w:val="17"/>
                <w:szCs w:val="17"/>
                <w:color w:val="auto"/>
              </w:rPr>
            </w:pPr>
          </w:p>
        </w:tc>
      </w:tr>
      <w:tr>
        <w:trPr>
          <w:trHeight w:val="20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82,172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100,392</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47,344</w:t>
            </w:r>
          </w:p>
        </w:tc>
        <w:tc>
          <w:tcPr>
            <w:tcW w:w="100" w:type="dxa"/>
            <w:vAlign w:val="bottom"/>
            <w:shd w:val="clear" w:color="auto" w:fill="CFF0FC"/>
          </w:tcPr>
          <w:p>
            <w:pPr>
              <w:spacing w:after="0"/>
              <w:rPr>
                <w:sz w:val="17"/>
                <w:szCs w:val="17"/>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26,737</w:t>
            </w:r>
          </w:p>
        </w:tc>
        <w:tc>
          <w:tcPr>
            <w:tcW w:w="100" w:type="dxa"/>
            <w:vAlign w:val="bottom"/>
          </w:tcPr>
          <w:p>
            <w:pPr>
              <w:spacing w:after="0"/>
              <w:rPr>
                <w:sz w:val="17"/>
                <w:szCs w:val="17"/>
                <w:color w:val="auto"/>
              </w:rPr>
            </w:pPr>
          </w:p>
        </w:tc>
      </w:tr>
      <w:tr>
        <w:trPr>
          <w:trHeight w:val="204"/>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29,124</w:t>
            </w:r>
          </w:p>
        </w:tc>
        <w:tc>
          <w:tcPr>
            <w:tcW w:w="10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17"/>
          <w:szCs w:val="17"/>
          <w:color w:val="auto"/>
        </w:rPr>
        <w:t>While the security portfolio has been utilized to fund loan growth in previous periods, additional sources have been cultivated during 2020, 2021, and 2022. The security portfolio decreased $34.4 million in the first nine months of 2022 from year end 2021 due to an increase of gross unrealized losses of $40.8 million. The security portfolio decreased $31.2 million from September 2021 due to an increase of gross unrealized losses of $44.4 million. The amount of pledged investment securities increased by $22.0 million as compared to year end and $55.9 million as compared to September 30, 2021. Liquidity is improved with the additional option of selling unpledged investment securities if needed to fund loan growth or other initiatives. As of September 30, 2022, pledged investment securities totaled $133.0 million. However, in the current environment, it is unlikely that they would be sold for fundings needs. The current portfolio is in a net unrealized loss position of $47.8 million.</w:t>
      </w:r>
    </w:p>
    <w:p>
      <w:pPr>
        <w:spacing w:after="0" w:line="149"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For the Bank, an additional $29.0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41"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p>
    <w:p>
      <w:pPr>
        <w:spacing w:after="0" w:line="140"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7"/>
          <w:szCs w:val="17"/>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was due quarterly and accrued at a rate 2.50% per annum with reporting and capital covenants included. The structure of the acquisition required all accounting of the transaction to be recorded at the Bank level as Perpetual did not have a holding company. Therefore, the Company advanced funds from the Bank to the Company to facilitate payoff of the term note. The term note and the line of credit balance were paid off in the second quarter of 2022. The line of credit remains open for future liquidity needs.</w:t>
      </w:r>
    </w:p>
    <w:p>
      <w:pPr>
        <w:spacing w:after="0" w:line="137"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With the exception of FHLB stocks, carried at cost, which is shown as other securities, all of the Company’s security portfolio is categorized as “available-for-sale” and as such is recorded at fair value.</w:t>
      </w:r>
    </w:p>
    <w:p>
      <w:pPr>
        <w:spacing w:after="0" w:line="127"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Management feels confident that liquidity needs for future growth can be met through additional maturities from the security portfolio, increased deposits and additional borrowings. For short term needs, the Bank has $73 million and $69 million of unsecured borrowing capacity through its correspondent banks as of September 30, 2022 and September 30, 2021 respectively. The Bank also had access to $130.4 million and $94.2 million through a Cash Management Advance with the Federal Home Loan Bank as of September 30, 2022 and September 30, 2021, respectively.</w:t>
      </w:r>
    </w:p>
    <w:p>
      <w:pPr>
        <w:spacing w:after="0" w:line="128"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Overall total assets increased 5.5% since year end 2021 and grew 25.5% since September 30, 2021. The largest growth in both periods was in the loan portfolios. Goodwill also increased significantly compared to September 30, 2021. Refer to Note 2 for information on assets acquired from OFSI and PFSB.</w:t>
      </w:r>
    </w:p>
    <w:p>
      <w:pPr>
        <w:spacing w:after="0" w:line="134"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Federal Home Loan Bank advances accounted for the largest growth within liabilities, up 324.5% or $78.1 million since year end and 471.7% or $84.3 million over September 30, 2021 balances. Deposits also experienced growth, up 4.1% or $89.6 million since year end 2021 and 22.3% or $416.8 million over September 30, 2021. Refer to Note 2 for information on liabilities acquired from OFSI and PFSB. The growth of deposits correlated to a "flight to safety" scenario as the stock market continues to experience some volatility. Core deposits continue to drive the increase which provide the opportunity to generate additional</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7" w:name="page58"/>
    <w:bookmarkEnd w:id="57"/>
    <w:p>
      <w:pPr>
        <w:jc w:val="both"/>
        <w:spacing w:after="0" w:line="267" w:lineRule="auto"/>
        <w:rPr>
          <w:sz w:val="20"/>
          <w:szCs w:val="20"/>
          <w:color w:val="auto"/>
        </w:rPr>
      </w:pPr>
      <w:r>
        <w:rPr>
          <w:rFonts w:ascii="Times New Roman" w:cs="Times New Roman" w:eastAsia="Times New Roman" w:hAnsi="Times New Roman"/>
          <w:sz w:val="17"/>
          <w:szCs w:val="17"/>
          <w:color w:val="auto"/>
        </w:rPr>
        <w:t>noninterest income. This growth aided the Company’s liquidity position and helped to fund the loan growth for the periods along with usage of Federal Home Loan Bank advances and federal funds purchased.</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Shareholders’ equity decreased by $16.6 million as of the third quarter of 2022 compared to year end 2021. Earnings exceeded dividend declarations during the nine months ended September 30, 2022. Accumulated other comprehensive loss increased in unrealized loss position by $34.6 million from December 2021 to an unrealized loss of $37.7 million on September 30, 2022. The increase in unrealized loss position has no impact on regulatory tangible book price. The available-for-sale security portfolio is used as a protection to falling rates. If there is an unrealized loss in our security portfolio due to rising interest rates, it bodes well for our adjustable rate loan portfolio and new loan production to price up. Dividends declared increased over the previous quarter by $0.0075 per share to $0.21 per share from $0.2025 per share. Compared to September 30, 2021, shareholders’ equity increased 10.1% or $25.8 million mostly attributable to the issuance of stock in the Perpetual acquisition as discussed in Note 2. Profits were higher year to date September 2022 than year to date September 2021 by $9.5 million.</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Basel III regulatory capital requirements include a capital conservation buffer of 2.5%. As of September 30, 2022, the Company and the Bank are both positioned well above the current requirement.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Holding Company has sufficient liquidity to maintain its dividend policy without relying on the upstreaming of dividends from the Bank.</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Bank continues to be well-capitalized at September 30, 2022 in accordance with Federal regulatory capital requirements as the capital ratios below show:</w:t>
      </w:r>
    </w:p>
    <w:p>
      <w:pPr>
        <w:spacing w:after="0" w:line="153" w:lineRule="exact"/>
        <w:rPr>
          <w:sz w:val="20"/>
          <w:szCs w:val="20"/>
          <w:color w:val="auto"/>
        </w:rPr>
      </w:pPr>
    </w:p>
    <w:tbl>
      <w:tblPr>
        <w:tblLayout w:type="fixed"/>
        <w:tblInd w:w="1500" w:type="dxa"/>
        <w:tblCellMar>
          <w:top w:w="0" w:type="dxa"/>
          <w:left w:w="0" w:type="dxa"/>
          <w:bottom w:w="0" w:type="dxa"/>
          <w:right w:w="0" w:type="dxa"/>
        </w:tblCellMar>
      </w:tblPr>
      <w:tr>
        <w:trPr>
          <w:trHeight w:val="221"/>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Tier I Leverage Ratio</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9.16 %</w:t>
            </w: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Risk Based Capital Tier I</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11.25 %</w:t>
            </w: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Total Risk Based Capital</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12.24 %</w:t>
            </w: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Equity/Total Assets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10.44 %</w:t>
            </w: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Capital Conservation Buffer</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-648335</wp:posOffset>
            </wp:positionV>
            <wp:extent cx="4283710" cy="1295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283710" cy="12954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-388620</wp:posOffset>
            </wp:positionV>
            <wp:extent cx="4283710" cy="1295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283710" cy="12954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-128905</wp:posOffset>
            </wp:positionV>
            <wp:extent cx="4283710" cy="1295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283710" cy="12954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CHANGES IN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Comparison of Results of Interest Earnings and Expenses for three month periods ended September 30, 2022 and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Income</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When comparing third quarter 2022 to third quarter 2021, average loan balances with the acquisitions of OFSI and PFSB grew $591.5 million with average quarterly PPP loans decreasing $22.6 million. This represented a 39.7% increase in a one-year time period. Interest income on loan balances experienced an increase of $5.7 million as compared to the quarter ended September 30, 2021. This increase was primarily the result of the significant growth in the average quarterly loan balances, 22.0% of which was directly attributable to the Company’s recent acquisitions and 21.3% of which was due to organic loan growth within the Bank’s broader markets. Net fee income for the PPP loans was recognized on a straight line basis over 24 months for the first draw and 60 months for the second draw and was accelerated upon payoff. PPP loan balances at the end of September 2022 were $7 thousand compared to $9.8 million at the end of September 2021. PPP loan income for the quarter included no interest income nor net fee income compared to $56.7 thousand of loan interest income and $2.5 million of net fee income for 2021.</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available-for-sale securities portfolio increased in average balances by $32.1 million when comparing to the same quarter in 2021 while the income increased $263 thousand over third quarter. Federal funds sold and interest-bearing deposits decreased in average balances by $129.1 million as compared to the same quarter in 2021 with increased income of $109 thousand for the current quarter. The decreased balances have been used to fund loan growth. Refer to Note 2 Business Combination and Asset Purchase for information on assets acquired from OFSI and PFSB.</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overall total average balance of the Bank’s earning assets increased by $494.4 million and interest income for the quarter comparisons was higher for third quarter 2022 by 28.5% or $5.7 million as compared to third quarter 2021. Increases in the prime lending rate between periods has contributed to an increase in rate yield.</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Annualized yield, for the quarter ended September 30, 2022, was 4.00% as compared to 3.85% for the quarter ended September 30, 2021.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60325</wp:posOffset>
            </wp:positionV>
            <wp:extent cx="7165340" cy="419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49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tcPr>
          <w:p>
            <w:pPr>
              <w:jc w:val="right"/>
              <w:ind w:right="695"/>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auto"/>
              </w:rPr>
              <w:t>Annualized Yield/Rate</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gridSpan w:val="7"/>
          </w:tcPr>
          <w:p>
            <w:pPr>
              <w:jc w:val="right"/>
              <w:ind w:right="75"/>
              <w:spacing w:after="0"/>
              <w:rPr>
                <w:sz w:val="20"/>
                <w:szCs w:val="20"/>
                <w:color w:val="auto"/>
              </w:rPr>
            </w:pPr>
            <w:r>
              <w:rPr>
                <w:rFonts w:ascii="Times New Roman" w:cs="Times New Roman" w:eastAsia="Times New Roman" w:hAnsi="Times New Roman"/>
                <w:sz w:val="17"/>
                <w:szCs w:val="17"/>
                <w:color w:val="auto"/>
              </w:rPr>
              <w:t>Quarter to Date Ended September 30, 2022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Average Balance</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17"/>
                <w:szCs w:val="17"/>
                <w:color w:val="auto"/>
              </w:rPr>
            </w:pPr>
          </w:p>
        </w:tc>
        <w:tc>
          <w:tcPr>
            <w:tcW w:w="1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Interest/Dividends</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September 30, 2022</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September 30, 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2,082,486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11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24,119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8"/>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4"/>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Taxable investment securities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422,250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1.35 %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0" w:type="dxa"/>
            <w:vAlign w:val="bottom"/>
          </w:tcPr>
          <w:p>
            <w:pPr>
              <w:spacing w:after="0"/>
              <w:rPr>
                <w:sz w:val="1"/>
                <w:szCs w:val="1"/>
                <w:color w:val="auto"/>
              </w:rPr>
            </w:pPr>
          </w:p>
        </w:tc>
      </w:tr>
      <w:tr>
        <w:trPr>
          <w:trHeight w:val="204"/>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Tax-exempt investment securities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1.79 %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0" w:type="dxa"/>
            <w:vAlign w:val="bottom"/>
          </w:tcPr>
          <w:p>
            <w:pPr>
              <w:spacing w:after="0"/>
              <w:rPr>
                <w:sz w:val="1"/>
                <w:szCs w:val="1"/>
                <w:color w:val="auto"/>
              </w:rPr>
            </w:pPr>
          </w:p>
        </w:tc>
      </w:tr>
      <w:tr>
        <w:trPr>
          <w:trHeight w:val="204"/>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Fed funds sold &amp; other</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58,266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1.46 %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0.22 %</w:t>
            </w:r>
          </w:p>
        </w:tc>
        <w:tc>
          <w:tcPr>
            <w:tcW w:w="0" w:type="dxa"/>
            <w:vAlign w:val="bottom"/>
          </w:tcPr>
          <w:p>
            <w:pPr>
              <w:spacing w:after="0"/>
              <w:rPr>
                <w:sz w:val="1"/>
                <w:szCs w:val="1"/>
                <w:color w:val="auto"/>
              </w:rPr>
            </w:pPr>
          </w:p>
        </w:tc>
      </w:tr>
      <w:tr>
        <w:trPr>
          <w:trHeight w:val="197"/>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Interest Earning Assets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2,588,171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11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25,847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4.00 %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3.85 %</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80" w:type="dxa"/>
            <w:vAlign w:val="bottom"/>
            <w:gridSpan w:val="18"/>
          </w:tcPr>
          <w:p>
            <w:pPr>
              <w:jc w:val="right"/>
              <w:ind w:right="240"/>
              <w:spacing w:after="0"/>
              <w:rPr>
                <w:sz w:val="20"/>
                <w:szCs w:val="20"/>
                <w:color w:val="auto"/>
              </w:rPr>
            </w:pPr>
            <w:r>
              <w:rPr>
                <w:rFonts w:ascii="Times New Roman" w:cs="Times New Roman" w:eastAsia="Times New Roman" w:hAnsi="Times New Roman"/>
                <w:sz w:val="17"/>
                <w:szCs w:val="17"/>
                <w:color w:val="auto"/>
                <w:w w:val="99"/>
              </w:rPr>
              <w:t>Change in Interest Income Quarter to Date September 30, 2022 Compared to September 30, 2021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7"/>
                <w:szCs w:val="17"/>
                <w:color w:val="auto"/>
                <w:w w:val="98"/>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tcPr>
          <w:p>
            <w:pPr>
              <w:jc w:val="right"/>
              <w:ind w:right="295"/>
              <w:spacing w:after="0" w:line="155" w:lineRule="exact"/>
              <w:rPr>
                <w:sz w:val="20"/>
                <w:szCs w:val="20"/>
                <w:color w:val="auto"/>
              </w:rPr>
            </w:pPr>
            <w:r>
              <w:rPr>
                <w:rFonts w:ascii="Times New Roman" w:cs="Times New Roman" w:eastAsia="Times New Roman" w:hAnsi="Times New Roman"/>
                <w:sz w:val="17"/>
                <w:szCs w:val="17"/>
                <w:color w:val="auto"/>
              </w:rPr>
              <w:t>Change Due</w:t>
            </w:r>
          </w:p>
        </w:tc>
        <w:tc>
          <w:tcPr>
            <w:tcW w:w="160" w:type="dxa"/>
            <w:vAlign w:val="bottom"/>
          </w:tcPr>
          <w:p>
            <w:pPr>
              <w:spacing w:after="0"/>
              <w:rPr>
                <w:sz w:val="13"/>
                <w:szCs w:val="13"/>
                <w:color w:val="auto"/>
              </w:rPr>
            </w:pPr>
          </w:p>
        </w:tc>
        <w:tc>
          <w:tcPr>
            <w:tcW w:w="1440" w:type="dxa"/>
            <w:vAlign w:val="bottom"/>
            <w:gridSpan w:val="6"/>
          </w:tcPr>
          <w:p>
            <w:pPr>
              <w:jc w:val="right"/>
              <w:ind w:right="275"/>
              <w:spacing w:after="0" w:line="155" w:lineRule="exact"/>
              <w:rPr>
                <w:sz w:val="20"/>
                <w:szCs w:val="20"/>
                <w:color w:val="auto"/>
              </w:rPr>
            </w:pPr>
            <w:r>
              <w:rPr>
                <w:rFonts w:ascii="Times New Roman" w:cs="Times New Roman" w:eastAsia="Times New Roman" w:hAnsi="Times New Roman"/>
                <w:sz w:val="17"/>
                <w:szCs w:val="17"/>
                <w:color w:val="auto"/>
              </w:rPr>
              <w:t>Change Due</w:t>
            </w:r>
          </w:p>
        </w:tc>
        <w:tc>
          <w:tcPr>
            <w:tcW w:w="1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Total Change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4"/>
          </w:tcPr>
          <w:p>
            <w:pPr>
              <w:jc w:val="right"/>
              <w:ind w:right="355"/>
              <w:spacing w:after="0"/>
              <w:rPr>
                <w:sz w:val="20"/>
                <w:szCs w:val="20"/>
                <w:color w:val="auto"/>
              </w:rPr>
            </w:pPr>
            <w:r>
              <w:rPr>
                <w:rFonts w:ascii="Times New Roman" w:cs="Times New Roman" w:eastAsia="Times New Roman" w:hAnsi="Times New Roman"/>
                <w:sz w:val="17"/>
                <w:szCs w:val="17"/>
                <w:color w:val="auto"/>
              </w:rPr>
              <w:t>to Volume</w:t>
            </w:r>
          </w:p>
        </w:tc>
        <w:tc>
          <w:tcPr>
            <w:tcW w:w="160" w:type="dxa"/>
            <w:vAlign w:val="bottom"/>
          </w:tcPr>
          <w:p>
            <w:pPr>
              <w:spacing w:after="0"/>
              <w:rPr>
                <w:sz w:val="19"/>
                <w:szCs w:val="19"/>
                <w:color w:val="auto"/>
              </w:rPr>
            </w:pPr>
          </w:p>
        </w:tc>
        <w:tc>
          <w:tcPr>
            <w:tcW w:w="2620" w:type="dxa"/>
            <w:vAlign w:val="bottom"/>
            <w:gridSpan w:val="8"/>
          </w:tcPr>
          <w:p>
            <w:pPr>
              <w:jc w:val="right"/>
              <w:ind w:right="1615"/>
              <w:spacing w:after="0"/>
              <w:rPr>
                <w:sz w:val="20"/>
                <w:szCs w:val="20"/>
                <w:color w:val="auto"/>
              </w:rPr>
            </w:pPr>
            <w:r>
              <w:rPr>
                <w:rFonts w:ascii="Times New Roman" w:cs="Times New Roman" w:eastAsia="Times New Roman" w:hAnsi="Times New Roman"/>
                <w:sz w:val="17"/>
                <w:szCs w:val="17"/>
                <w:color w:val="auto"/>
              </w:rPr>
              <w:t>to Rate</w:t>
            </w:r>
          </w:p>
        </w:tc>
        <w:tc>
          <w:tcPr>
            <w:tcW w:w="0" w:type="dxa"/>
            <w:vAlign w:val="bottom"/>
          </w:tcPr>
          <w:p>
            <w:pPr>
              <w:spacing w:after="0"/>
              <w:rPr>
                <w:sz w:val="1"/>
                <w:szCs w:val="1"/>
                <w:color w:val="auto"/>
              </w:rPr>
            </w:pPr>
          </w:p>
        </w:tc>
      </w:tr>
      <w:tr>
        <w:trPr>
          <w:trHeight w:val="197"/>
        </w:trPr>
        <w:tc>
          <w:tcPr>
            <w:tcW w:w="1120" w:type="dxa"/>
            <w:vAlign w:val="bottom"/>
          </w:tcPr>
          <w:p>
            <w:pPr>
              <w:spacing w:after="0"/>
              <w:rPr>
                <w:sz w:val="17"/>
                <w:szCs w:val="17"/>
                <w:color w:val="auto"/>
              </w:rPr>
            </w:pPr>
          </w:p>
        </w:tc>
        <w:tc>
          <w:tcPr>
            <w:tcW w:w="2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200" w:type="dxa"/>
            <w:vAlign w:val="bottom"/>
            <w:shd w:val="clear" w:color="auto" w:fill="CFF0FC"/>
          </w:tcPr>
          <w:p>
            <w:pPr>
              <w:spacing w:after="0"/>
              <w:rPr>
                <w:sz w:val="17"/>
                <w:szCs w:val="17"/>
                <w:color w:val="auto"/>
              </w:rPr>
            </w:pPr>
          </w:p>
        </w:tc>
        <w:tc>
          <w:tcPr>
            <w:tcW w:w="1700" w:type="dxa"/>
            <w:vAlign w:val="bottom"/>
            <w:gridSpan w:val="3"/>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5,353</w:t>
            </w: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7,446</w:t>
            </w:r>
          </w:p>
        </w:tc>
        <w:tc>
          <w:tcPr>
            <w:tcW w:w="800" w:type="dxa"/>
            <w:vAlign w:val="bottom"/>
            <w:tcBorders>
              <w:top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(2,093 )</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Taxable investment securities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177</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Tax-exempt investment securities</w:t>
            </w: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Fed funds sold &amp; other</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181</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Interest Earning Assets</w:t>
            </w:r>
          </w:p>
        </w:tc>
        <w:tc>
          <w:tcPr>
            <w:tcW w:w="2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gridSpan w:val="3"/>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5,725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4"/>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7,489</w:t>
            </w: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6"/>
              </w:rPr>
              <w:t>(1,764 )</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-2125345</wp:posOffset>
            </wp:positionV>
            <wp:extent cx="7139940" cy="1295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-1865630</wp:posOffset>
            </wp:positionV>
            <wp:extent cx="7139940" cy="1295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-1597660</wp:posOffset>
            </wp:positionV>
            <wp:extent cx="7139940" cy="154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9940" cy="15430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-23495</wp:posOffset>
            </wp:positionV>
            <wp:extent cx="10541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-7620</wp:posOffset>
            </wp:positionV>
            <wp:extent cx="10541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-23495</wp:posOffset>
            </wp:positionV>
            <wp:extent cx="10541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05410" cy="8255"/>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-7620</wp:posOffset>
            </wp:positionV>
            <wp:extent cx="10541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0541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66" w:lineRule="exact"/>
        <w:rPr>
          <w:sz w:val="20"/>
          <w:szCs w:val="20"/>
          <w:color w:val="auto"/>
        </w:rPr>
      </w:pPr>
    </w:p>
    <w:p>
      <w:pPr>
        <w:jc w:val="both"/>
        <w:ind w:left="760" w:right="60"/>
        <w:spacing w:after="0" w:line="245" w:lineRule="auto"/>
        <w:rPr>
          <w:sz w:val="20"/>
          <w:szCs w:val="20"/>
          <w:color w:val="auto"/>
        </w:rPr>
      </w:pPr>
      <w:r>
        <w:rPr>
          <w:rFonts w:ascii="Times New Roman" w:cs="Times New Roman" w:eastAsia="Times New Roman" w:hAnsi="Times New Roman"/>
          <w:sz w:val="17"/>
          <w:szCs w:val="17"/>
          <w:color w:val="auto"/>
        </w:rPr>
        <w:t>Offsetting the higher interest income for the quarter was an increase in interest expense in 2022 of $1.6 million or 95.2% compared to third quarter 2021. Since 2021, average interest-bearing deposit balances have increased $317.9 million or 22.2% and the Company recognized $945 thousand more in interest expense for the most recent quarter. March 2022 saw the first rate change since 2020 with an increase of 25 basis points which was followed by an increase of 50 basis points and three increases of 75 basis points in June, July and September. Deposit rates have been adjusted with Interest expense on FHLB borrowings and other borrowings increased $311 thousand in the third quarter 2022 over the same time frame in 2021 due to borrowings taken on from the Perpetual acquisition and new FHLB borrowings of $80 million in 2022 used to fund loan growth. Interest expense on fed funds purchased and securities sold under agreement to repurchase increased $251 thousand compared to third quarter 2021. Interest expense on subordinated notes was $85 thousand higher for the most recent quarter. Refer to Note 8 for additional information on subordinated notes. Liabilities assumed from OFSI and PFSB can be seen in Note 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gridSpan w:val="5"/>
            <w:vMerge w:val="restart"/>
          </w:tcPr>
          <w:p>
            <w:pPr>
              <w:jc w:val="right"/>
              <w:ind w:right="975"/>
              <w:spacing w:after="0"/>
              <w:rPr>
                <w:sz w:val="20"/>
                <w:szCs w:val="20"/>
                <w:color w:val="auto"/>
              </w:rPr>
            </w:pPr>
            <w:r>
              <w:rPr>
                <w:rFonts w:ascii="Times New Roman" w:cs="Times New Roman" w:eastAsia="Times New Roman" w:hAnsi="Times New Roman"/>
                <w:sz w:val="17"/>
                <w:szCs w:val="17"/>
                <w:color w:val="auto"/>
              </w:rPr>
              <w:t>Annualized Yield/Rate</w:t>
            </w:r>
          </w:p>
        </w:tc>
        <w:tc>
          <w:tcPr>
            <w:tcW w:w="0" w:type="dxa"/>
            <w:vAlign w:val="bottom"/>
          </w:tcPr>
          <w:p>
            <w:pPr>
              <w:spacing w:after="0"/>
              <w:rPr>
                <w:sz w:val="1"/>
                <w:szCs w:val="1"/>
                <w:color w:val="auto"/>
              </w:rPr>
            </w:pPr>
          </w:p>
        </w:tc>
      </w:tr>
      <w:tr>
        <w:trPr>
          <w:trHeight w:val="19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00" w:type="dxa"/>
            <w:vAlign w:val="bottom"/>
          </w:tcPr>
          <w:p>
            <w:pPr>
              <w:spacing w:after="0"/>
              <w:rPr>
                <w:sz w:val="17"/>
                <w:szCs w:val="17"/>
                <w:color w:val="auto"/>
              </w:rPr>
            </w:pP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Quarter to Date Ended September 30, 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Average Balance</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Interest</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September 30, 2022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September 30, 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Savings deposits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1,328,344</w:t>
            </w:r>
          </w:p>
        </w:tc>
        <w:tc>
          <w:tcPr>
            <w:tcW w:w="100" w:type="dxa"/>
            <w:vAlign w:val="bottom"/>
          </w:tcPr>
          <w:p>
            <w:pPr>
              <w:spacing w:after="0"/>
              <w:rPr>
                <w:sz w:val="17"/>
                <w:szCs w:val="17"/>
                <w:color w:val="auto"/>
              </w:rPr>
            </w:pPr>
          </w:p>
        </w:tc>
        <w:tc>
          <w:tcPr>
            <w:tcW w:w="1580" w:type="dxa"/>
            <w:vAlign w:val="bottom"/>
            <w:gridSpan w:val="2"/>
          </w:tcPr>
          <w:p>
            <w:pPr>
              <w:jc w:val="right"/>
              <w:ind w:right="123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2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time deposits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0.55 %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borrowed money</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2.63 %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1.95 %</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 funds purchased &amp; securities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sold under agreement to repurchase</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2.63 %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notes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3.29 %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Bearing Liabilities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1,910,393</w:t>
            </w:r>
          </w:p>
        </w:tc>
        <w:tc>
          <w:tcPr>
            <w:tcW w:w="260" w:type="dxa"/>
            <w:vAlign w:val="bottom"/>
            <w:gridSpan w:val="2"/>
          </w:tcPr>
          <w:p>
            <w:pPr>
              <w:spacing w:after="0"/>
              <w:rPr>
                <w:sz w:val="17"/>
                <w:szCs w:val="17"/>
                <w:color w:val="auto"/>
              </w:rPr>
            </w:pPr>
          </w:p>
        </w:tc>
        <w:tc>
          <w:tcPr>
            <w:tcW w:w="1420" w:type="dxa"/>
            <w:vAlign w:val="bottom"/>
          </w:tcPr>
          <w:p>
            <w:pPr>
              <w:jc w:val="right"/>
              <w:ind w:right="123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0.68 %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0.45 %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-940435</wp:posOffset>
            </wp:positionV>
            <wp:extent cx="7139940" cy="1295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-680720</wp:posOffset>
            </wp:positionV>
            <wp:extent cx="7139940" cy="1295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-421005</wp:posOffset>
            </wp:positionV>
            <wp:extent cx="7139940" cy="1295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-153670</wp:posOffset>
            </wp:positionV>
            <wp:extent cx="7139940" cy="1543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9940" cy="154305"/>
                    </a:xfrm>
                    <a:prstGeom prst="rect">
                      <a:avLst/>
                    </a:prstGeom>
                    <a:noFill/>
                  </pic:spPr>
                </pic:pic>
              </a:graphicData>
            </a:graphic>
          </wp:anchor>
        </w:drawing>
      </w:r>
    </w:p>
    <w:p>
      <w:pPr>
        <w:spacing w:after="0" w:line="16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u w:val="single" w:color="auto"/>
          <w:color w:val="auto"/>
        </w:rPr>
        <w:t>Change in Interest Expense Quarter to Date September 30, 2022 Compared to September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55"/>
        </w:trPr>
        <w:tc>
          <w:tcPr>
            <w:tcW w:w="11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gridSpan w:val="2"/>
          </w:tcPr>
          <w:p>
            <w:pPr>
              <w:jc w:val="right"/>
              <w:ind w:right="115"/>
              <w:spacing w:after="0" w:line="155" w:lineRule="exact"/>
              <w:rPr>
                <w:sz w:val="20"/>
                <w:szCs w:val="20"/>
                <w:color w:val="auto"/>
              </w:rPr>
            </w:pPr>
            <w:r>
              <w:rPr>
                <w:rFonts w:ascii="Times New Roman" w:cs="Times New Roman" w:eastAsia="Times New Roman" w:hAnsi="Times New Roman"/>
                <w:sz w:val="17"/>
                <w:szCs w:val="17"/>
                <w:color w:val="auto"/>
              </w:rPr>
              <w:t>Change Due</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7"/>
                <w:szCs w:val="17"/>
                <w:color w:val="auto"/>
                <w:w w:val="99"/>
              </w:rPr>
              <w:t>Change Due</w:t>
            </w:r>
          </w:p>
        </w:tc>
        <w:tc>
          <w:tcPr>
            <w:tcW w:w="1120" w:type="dxa"/>
            <w:vAlign w:val="bottom"/>
          </w:tcPr>
          <w:p>
            <w:pPr>
              <w:spacing w:after="0"/>
              <w:rPr>
                <w:sz w:val="13"/>
                <w:szCs w:val="13"/>
                <w:color w:val="auto"/>
              </w:rPr>
            </w:pPr>
          </w:p>
        </w:tc>
      </w:tr>
      <w:tr>
        <w:trPr>
          <w:trHeight w:val="221"/>
        </w:trPr>
        <w:tc>
          <w:tcPr>
            <w:tcW w:w="11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176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Total Change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6"/>
              </w:rPr>
              <w:t>to Volume</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to Rate</w:t>
            </w:r>
          </w:p>
        </w:tc>
        <w:tc>
          <w:tcPr>
            <w:tcW w:w="1120" w:type="dxa"/>
            <w:vAlign w:val="bottom"/>
          </w:tcPr>
          <w:p>
            <w:pPr>
              <w:spacing w:after="0"/>
              <w:rPr>
                <w:sz w:val="19"/>
                <w:szCs w:val="19"/>
                <w:color w:val="auto"/>
              </w:rPr>
            </w:pPr>
          </w:p>
        </w:tc>
      </w:tr>
      <w:tr>
        <w:trPr>
          <w:trHeight w:val="197"/>
        </w:trPr>
        <w:tc>
          <w:tcPr>
            <w:tcW w:w="1120" w:type="dxa"/>
            <w:vAlign w:val="bottom"/>
          </w:tcPr>
          <w:p>
            <w:pPr>
              <w:spacing w:after="0"/>
              <w:rPr>
                <w:sz w:val="17"/>
                <w:szCs w:val="17"/>
                <w:color w:val="auto"/>
              </w:rPr>
            </w:pPr>
          </w:p>
        </w:tc>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Savings deposits</w:t>
            </w:r>
          </w:p>
        </w:tc>
        <w:tc>
          <w:tcPr>
            <w:tcW w:w="17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1,026</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956</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time deposits</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(527 )</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borrowed money</w:t>
            </w:r>
          </w:p>
        </w:tc>
        <w:tc>
          <w:tcPr>
            <w:tcW w:w="1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104</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 funds purchased &amp; securities</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sold under agreement to repurchase</w:t>
            </w:r>
          </w:p>
        </w:tc>
        <w:tc>
          <w:tcPr>
            <w:tcW w:w="1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1120" w:type="dxa"/>
            <w:vAlign w:val="bottom"/>
          </w:tcPr>
          <w:p>
            <w:pPr>
              <w:spacing w:after="0"/>
              <w:rPr>
                <w:sz w:val="17"/>
                <w:szCs w:val="17"/>
                <w:color w:val="auto"/>
              </w:rPr>
            </w:pPr>
          </w:p>
        </w:tc>
      </w:tr>
      <w:tr>
        <w:trPr>
          <w:trHeight w:val="204"/>
        </w:trPr>
        <w:tc>
          <w:tcPr>
            <w:tcW w:w="112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notes</w:t>
            </w:r>
          </w:p>
        </w:tc>
        <w:tc>
          <w:tcPr>
            <w:tcW w:w="17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120" w:type="dxa"/>
            <w:vAlign w:val="bottom"/>
          </w:tcPr>
          <w:p>
            <w:pPr>
              <w:spacing w:after="0"/>
              <w:rPr>
                <w:sz w:val="17"/>
                <w:szCs w:val="17"/>
                <w:color w:val="auto"/>
              </w:rPr>
            </w:pPr>
          </w:p>
        </w:tc>
      </w:tr>
      <w:tr>
        <w:trPr>
          <w:trHeight w:val="237"/>
        </w:trPr>
        <w:tc>
          <w:tcPr>
            <w:tcW w:w="1120" w:type="dxa"/>
            <w:vAlign w:val="bottom"/>
          </w:tcPr>
          <w:p>
            <w:pPr>
              <w:spacing w:after="0"/>
              <w:rPr>
                <w:sz w:val="20"/>
                <w:szCs w:val="20"/>
                <w:color w:val="auto"/>
              </w:rPr>
            </w:pPr>
          </w:p>
        </w:tc>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Interest Bearing Liabilities</w:t>
            </w:r>
          </w:p>
        </w:tc>
        <w:tc>
          <w:tcPr>
            <w:tcW w:w="17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1,592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592</w:t>
            </w:r>
          </w:p>
        </w:tc>
        <w:tc>
          <w:tcPr>
            <w:tcW w:w="1120" w:type="dxa"/>
            <w:vAlign w:val="bottom"/>
          </w:tcPr>
          <w:p>
            <w:pPr>
              <w:spacing w:after="0"/>
              <w:rPr>
                <w:sz w:val="20"/>
                <w:szCs w:val="20"/>
                <w:color w:val="auto"/>
              </w:rPr>
            </w:pPr>
          </w:p>
        </w:tc>
      </w:tr>
      <w:tr>
        <w:trPr>
          <w:trHeight w:val="490"/>
        </w:trPr>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6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rPr>
              <w:t>59</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4"/>
        </w:trPr>
        <w:tc>
          <w:tcPr>
            <w:tcW w:w="112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-421005</wp:posOffset>
            </wp:positionV>
            <wp:extent cx="812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-405130</wp:posOffset>
            </wp:positionV>
            <wp:extent cx="812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-421005</wp:posOffset>
            </wp:positionV>
            <wp:extent cx="812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-405130</wp:posOffset>
            </wp:positionV>
            <wp:extent cx="8128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315" w:right="279" w:bottom="1440" w:gutter="0" w:footer="0" w:header="0"/>
        </w:sectPr>
      </w:pPr>
    </w:p>
    <w:bookmarkStart w:id="59" w:name="page60"/>
    <w:bookmarkEnd w:id="59"/>
    <w:p>
      <w:pPr>
        <w:jc w:val="both"/>
        <w:spacing w:after="0" w:line="251" w:lineRule="auto"/>
        <w:rPr>
          <w:sz w:val="20"/>
          <w:szCs w:val="20"/>
          <w:color w:val="auto"/>
        </w:rPr>
      </w:pPr>
      <w:r>
        <w:rPr>
          <w:rFonts w:ascii="Times New Roman" w:cs="Times New Roman" w:eastAsia="Times New Roman" w:hAnsi="Times New Roman"/>
          <w:sz w:val="17"/>
          <w:szCs w:val="17"/>
          <w:color w:val="auto"/>
        </w:rPr>
        <w:t>Overall, net interest spread for the third quarter 2022 was 8 basis points lower than last year. As the following chart indicates, the improvement in yields on interest earning assets did not offset the increased cost of funds when comparing to the same period a year ago. Competition for deposits is intense with most competitors offering special rates for specific terms.</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980" w:type="dxa"/>
            <w:vAlign w:val="bottom"/>
          </w:tcPr>
          <w:p>
            <w:pPr>
              <w:spacing w:after="0"/>
              <w:rPr>
                <w:sz w:val="17"/>
                <w:szCs w:val="17"/>
                <w:color w:val="auto"/>
              </w:rPr>
            </w:pPr>
          </w:p>
        </w:tc>
        <w:tc>
          <w:tcPr>
            <w:tcW w:w="138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September 30,</w:t>
            </w:r>
          </w:p>
        </w:tc>
        <w:tc>
          <w:tcPr>
            <w:tcW w:w="136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September 30,</w:t>
            </w:r>
          </w:p>
        </w:tc>
        <w:tc>
          <w:tcPr>
            <w:tcW w:w="134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Interest/Dividend income/yield</w:t>
            </w:r>
          </w:p>
        </w:tc>
        <w:tc>
          <w:tcPr>
            <w:tcW w:w="12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2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2020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60" w:type="dxa"/>
            <w:vAlign w:val="bottom"/>
            <w:vMerge w:val="continue"/>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60" w:type="dxa"/>
            <w:vAlign w:val="bottom"/>
            <w:vMerge w:val="continue"/>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Expense/cost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0.68 %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0.45 %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0.74 %</w:t>
            </w:r>
          </w:p>
        </w:tc>
        <w:tc>
          <w:tcPr>
            <w:tcW w:w="0" w:type="dxa"/>
            <w:vAlign w:val="bottom"/>
          </w:tcPr>
          <w:p>
            <w:pPr>
              <w:spacing w:after="0"/>
              <w:rPr>
                <w:sz w:val="1"/>
                <w:szCs w:val="1"/>
                <w:color w:val="auto"/>
              </w:rPr>
            </w:pPr>
          </w:p>
        </w:tc>
      </w:tr>
      <w:tr>
        <w:trPr>
          <w:trHeight w:val="197"/>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Spread</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Interest Margin</w:t>
            </w: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vMerge w:val="continue"/>
          </w:tcPr>
          <w:p>
            <w:pPr>
              <w:spacing w:after="0"/>
              <w:rPr>
                <w:sz w:val="15"/>
                <w:szCs w:val="15"/>
                <w:color w:val="auto"/>
              </w:rPr>
            </w:pPr>
          </w:p>
        </w:tc>
        <w:tc>
          <w:tcPr>
            <w:tcW w:w="13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3.49 </w:t>
            </w:r>
            <w:r>
              <w:rPr>
                <w:rFonts w:ascii="Times New Roman" w:cs="Times New Roman" w:eastAsia="Times New Roman" w:hAnsi="Times New Roman"/>
                <w:sz w:val="17"/>
                <w:szCs w:val="17"/>
                <w:color w:val="auto"/>
                <w:highlight w:val="white"/>
              </w:rPr>
              <w:t>%</w:t>
            </w:r>
          </w:p>
        </w:tc>
        <w:tc>
          <w:tcPr>
            <w:tcW w:w="13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3.53 </w:t>
            </w:r>
            <w:r>
              <w:rPr>
                <w:rFonts w:ascii="Times New Roman" w:cs="Times New Roman" w:eastAsia="Times New Roman" w:hAnsi="Times New Roman"/>
                <w:sz w:val="17"/>
                <w:szCs w:val="17"/>
                <w:color w:val="auto"/>
                <w:highlight w:val="white"/>
              </w:rPr>
              <w:t>%</w:t>
            </w:r>
          </w:p>
        </w:tc>
        <w:tc>
          <w:tcPr>
            <w:tcW w:w="13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3.51 </w:t>
            </w:r>
            <w:r>
              <w:rPr>
                <w:rFonts w:ascii="Times New Roman" w:cs="Times New Roman" w:eastAsia="Times New Roman" w:hAnsi="Times New Roman"/>
                <w:sz w:val="17"/>
                <w:szCs w:val="17"/>
                <w:color w:val="auto"/>
                <w:highlight w:val="white"/>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-575310</wp:posOffset>
            </wp:positionV>
            <wp:extent cx="5711825" cy="1295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711825" cy="129540"/>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-307975</wp:posOffset>
            </wp:positionV>
            <wp:extent cx="5711825" cy="1543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711825" cy="15430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Interest Income</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Net interest income increased $4.1 million for the third quarter 2022 over the same time frame in 2021 with the increase in interest income of $5.7 million offset by the higher interest expense of $1.6 million as previously mentioned. As the new loans added in 2021 and 2022 generate more income, management expects the benefits of the Company’s strategy of repositioning the balance sheet to continue to increase net interest income. In terms of net interest margin, the Bank recognizes competition for deposits is increasing and higher interest rates are putting pressure on the margin which may lead to a tightening.</w:t>
      </w:r>
    </w:p>
    <w:p>
      <w:pPr>
        <w:spacing w:after="0" w:line="140" w:lineRule="exact"/>
        <w:rPr>
          <w:sz w:val="20"/>
          <w:szCs w:val="20"/>
          <w:color w:val="auto"/>
        </w:rPr>
      </w:pPr>
    </w:p>
    <w:p>
      <w:pPr>
        <w:ind w:right="2480"/>
        <w:spacing w:after="0" w:line="449"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Comparison of Noninterest Results of Operations for three month periods ended September 30, 2022 and 2021 </w:t>
      </w:r>
      <w:r>
        <w:rPr>
          <w:rFonts w:ascii="Times New Roman" w:cs="Times New Roman" w:eastAsia="Times New Roman" w:hAnsi="Times New Roman"/>
          <w:sz w:val="17"/>
          <w:szCs w:val="17"/>
          <w:b w:val="1"/>
          <w:bCs w:val="1"/>
          <w:color w:val="auto"/>
        </w:rPr>
        <w:t>Provision Expense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Allowance for Loan and Lease Losses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 accounted for the largest component of charge-offs and recoveries for third quarter of 2022 and 2021. The commercial real estate portfolio is currently creating a large impact on the ALLL due to the loan growth.</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Total provision for loan losses was $978 thousand higher for the third quarter 2022 as compared to the same quarter 2021. There is still some lingering uncertainty regarding COVID-19; therefore, it is prudent to incorporate the impact of COVID-19 in the evaluation of the adequacy of ALLL. The restaurant and hospitality sectors have been hit especially hard. Risk in the Consumer and 1-4 Family Portfolio has also increased. Management continues to monitor asset quality, making adjustments to the provision as necessary. The impact of higher interest rates and inflation are taken into consideration when reviewing qualitative factors. Loan charge-offs were $20 thousand higher in third quarter 2022 than the same quarter 2021. Recoveries were $3 thousand lower in third quarter 2022 as compared to third quarter 2021. Combined net charge-offs were $23 thousand higher in third quarter 2022 than the same time period 2021.</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Past due loans, which include no deferrals related to COVID-19, increased $3.7 million at September 30, 2022 as compared to September 30, 2021. The largest changes were attributed to the increase of past due balances in the agricultural portfolio, agricultural real estate portfolio and consumer real estate portfolio.</w:t>
      </w:r>
    </w:p>
    <w:p>
      <w:pPr>
        <w:spacing w:after="0" w:line="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60325</wp:posOffset>
            </wp:positionV>
            <wp:extent cx="7165340" cy="419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519" w:right="339" w:bottom="1440" w:gutter="0" w:footer="0" w:header="0"/>
        </w:sectPr>
      </w:pPr>
    </w:p>
    <w:bookmarkStart w:id="60" w:name="page61"/>
    <w:bookmarkEnd w:id="60"/>
    <w:p>
      <w:pPr>
        <w:jc w:val="both"/>
        <w:ind w:left="760" w:right="60"/>
        <w:spacing w:after="0" w:line="251" w:lineRule="auto"/>
        <w:rPr>
          <w:sz w:val="20"/>
          <w:szCs w:val="20"/>
          <w:color w:val="auto"/>
        </w:rPr>
      </w:pPr>
      <w:r>
        <w:rPr>
          <w:rFonts w:ascii="Times New Roman" w:cs="Times New Roman" w:eastAsia="Times New Roman" w:hAnsi="Times New Roman"/>
          <w:sz w:val="17"/>
          <w:szCs w:val="17"/>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2022,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3"/>
          </w:tcPr>
          <w:p>
            <w:pPr>
              <w:jc w:val="right"/>
              <w:ind w:right="520"/>
              <w:spacing w:after="0" w:line="155" w:lineRule="exact"/>
              <w:rPr>
                <w:sz w:val="20"/>
                <w:szCs w:val="20"/>
                <w:color w:val="auto"/>
              </w:rPr>
            </w:pPr>
            <w:r>
              <w:rPr>
                <w:rFonts w:ascii="Times New Roman" w:cs="Times New Roman" w:eastAsia="Times New Roman" w:hAnsi="Times New Roman"/>
                <w:sz w:val="17"/>
                <w:szCs w:val="17"/>
                <w:color w:val="auto"/>
              </w:rPr>
              <w:t>Three Months Ended</w:t>
            </w:r>
          </w:p>
        </w:tc>
        <w:tc>
          <w:tcPr>
            <w:tcW w:w="180" w:type="dxa"/>
            <w:vAlign w:val="bottom"/>
          </w:tcPr>
          <w:p>
            <w:pPr>
              <w:spacing w:after="0"/>
              <w:rPr>
                <w:sz w:val="13"/>
                <w:szCs w:val="13"/>
                <w:color w:val="auto"/>
              </w:rPr>
            </w:pPr>
          </w:p>
        </w:tc>
        <w:tc>
          <w:tcPr>
            <w:tcW w:w="202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7"/>
                <w:szCs w:val="17"/>
                <w:color w:val="auto"/>
              </w:rPr>
              <w:t>Three Months Ended</w:t>
            </w:r>
          </w:p>
        </w:tc>
        <w:tc>
          <w:tcPr>
            <w:tcW w:w="180" w:type="dxa"/>
            <w:vAlign w:val="bottom"/>
          </w:tcPr>
          <w:p>
            <w:pPr>
              <w:spacing w:after="0"/>
              <w:rPr>
                <w:sz w:val="13"/>
                <w:szCs w:val="13"/>
                <w:color w:val="auto"/>
              </w:rPr>
            </w:pPr>
          </w:p>
        </w:tc>
        <w:tc>
          <w:tcPr>
            <w:tcW w:w="1760" w:type="dxa"/>
            <w:vAlign w:val="bottom"/>
          </w:tcPr>
          <w:p>
            <w:pPr>
              <w:jc w:val="right"/>
              <w:ind w:right="155"/>
              <w:spacing w:after="0" w:line="155" w:lineRule="exact"/>
              <w:rPr>
                <w:sz w:val="20"/>
                <w:szCs w:val="20"/>
                <w:color w:val="auto"/>
              </w:rPr>
            </w:pPr>
            <w:r>
              <w:rPr>
                <w:rFonts w:ascii="Times New Roman" w:cs="Times New Roman" w:eastAsia="Times New Roman" w:hAnsi="Times New Roman"/>
                <w:sz w:val="17"/>
                <w:szCs w:val="17"/>
                <w:color w:val="auto"/>
              </w:rPr>
              <w:t>Three Months Ended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color w:val="auto"/>
              </w:rPr>
              <w:t>September 30, 2022</w:t>
            </w:r>
          </w:p>
        </w:tc>
        <w:tc>
          <w:tcPr>
            <w:tcW w:w="180" w:type="dxa"/>
            <w:vAlign w:val="bottom"/>
          </w:tcPr>
          <w:p>
            <w:pPr>
              <w:spacing w:after="0"/>
              <w:rPr>
                <w:sz w:val="19"/>
                <w:szCs w:val="19"/>
                <w:color w:val="auto"/>
              </w:rPr>
            </w:pPr>
          </w:p>
        </w:tc>
        <w:tc>
          <w:tcPr>
            <w:tcW w:w="202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September 30, 2021</w:t>
            </w:r>
          </w:p>
        </w:tc>
        <w:tc>
          <w:tcPr>
            <w:tcW w:w="180" w:type="dxa"/>
            <w:vAlign w:val="bottom"/>
          </w:tcPr>
          <w:p>
            <w:pPr>
              <w:spacing w:after="0"/>
              <w:rPr>
                <w:sz w:val="19"/>
                <w:szCs w:val="19"/>
                <w:color w:val="auto"/>
              </w:rPr>
            </w:pPr>
          </w:p>
        </w:tc>
        <w:tc>
          <w:tcPr>
            <w:tcW w:w="192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September 30, 2020</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2,142,616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1,495,562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1,363,862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Daily average of outstanding loans</w:t>
            </w: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2,082,486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1,490,988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1,359,156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Nonaccrual loans</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5,470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6,248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7,870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Nonperforming loans*</w:t>
            </w: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5,470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6,248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7,870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Loan Losses - July 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 Charged off:</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Consumer Real Estate</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Agriculture Real Estate</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Agricultural</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Consumer</w:t>
            </w:r>
          </w:p>
        </w:tc>
        <w:tc>
          <w:tcPr>
            <w:tcW w:w="16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 Recoveries:</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Consumer Real Estate</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Agriculture Real Estate</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Agricultural</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Consumer</w:t>
            </w:r>
          </w:p>
        </w:tc>
        <w:tc>
          <w:tcPr>
            <w:tcW w:w="16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Charge Offs (Recoveries):</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Consumer Real Estate</w:t>
            </w:r>
          </w:p>
        </w:tc>
        <w:tc>
          <w:tcPr>
            <w:tcW w:w="16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Agriculture Real Estate</w:t>
            </w: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Agricultural</w:t>
            </w:r>
          </w:p>
        </w:tc>
        <w:tc>
          <w:tcPr>
            <w:tcW w:w="16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Consumer</w:t>
            </w:r>
          </w:p>
        </w:tc>
        <w:tc>
          <w:tcPr>
            <w:tcW w:w="16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Provision for loan loss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Acquisition provision for loan loss</w:t>
            </w:r>
          </w:p>
        </w:tc>
        <w:tc>
          <w:tcPr>
            <w:tcW w:w="16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Loan &amp; Lease Losses - September 30,</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Allowance for Unfunded Loan Commitments</w:t>
            </w:r>
          </w:p>
        </w:tc>
        <w:tc>
          <w:tcPr>
            <w:tcW w:w="160" w:type="dxa"/>
            <w:vAlign w:val="bottom"/>
            <w:shd w:val="clear" w:color="auto" w:fill="CFF0FC"/>
          </w:tcPr>
          <w:p>
            <w:pPr>
              <w:spacing w:after="0"/>
              <w:rPr>
                <w:sz w:val="14"/>
                <w:szCs w:val="14"/>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&amp; Letters of Credit - September 30,</w:t>
            </w:r>
          </w:p>
        </w:tc>
        <w:tc>
          <w:tcPr>
            <w:tcW w:w="1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Allowance for Credit Losses - September 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Ratio of Net Charge-offs to Average Outstanding Loans</w:t>
            </w: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0.00</w:t>
            </w:r>
          </w:p>
        </w:tc>
        <w:tc>
          <w:tcPr>
            <w:tcW w:w="26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0.00</w:t>
            </w:r>
          </w:p>
        </w:tc>
        <w:tc>
          <w:tcPr>
            <w:tcW w:w="26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0.00</w:t>
            </w:r>
          </w:p>
        </w:tc>
        <w:tc>
          <w:tcPr>
            <w:tcW w:w="1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Ratio of Nonaccrual Loans to Loans</w:t>
            </w:r>
          </w:p>
        </w:tc>
        <w:tc>
          <w:tcPr>
            <w:tcW w:w="160" w:type="dxa"/>
            <w:vAlign w:val="bottom"/>
          </w:tcPr>
          <w:p>
            <w:pPr>
              <w:spacing w:after="0"/>
              <w:rPr>
                <w:sz w:val="15"/>
                <w:szCs w:val="15"/>
                <w:color w:val="auto"/>
              </w:rPr>
            </w:pPr>
          </w:p>
        </w:tc>
        <w:tc>
          <w:tcPr>
            <w:tcW w:w="2040" w:type="dxa"/>
            <w:vAlign w:val="bottom"/>
            <w:gridSpan w:val="3"/>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 xml:space="preserve">0.26 </w:t>
            </w:r>
            <w:r>
              <w:rPr>
                <w:rFonts w:ascii="Times New Roman" w:cs="Times New Roman" w:eastAsia="Times New Roman" w:hAnsi="Times New Roman"/>
                <w:sz w:val="17"/>
                <w:szCs w:val="17"/>
                <w:color w:val="auto"/>
                <w:highlight w:val="white"/>
              </w:rPr>
              <w:t>%</w:t>
            </w:r>
          </w:p>
        </w:tc>
        <w:tc>
          <w:tcPr>
            <w:tcW w:w="180" w:type="dxa"/>
            <w:vAlign w:val="bottom"/>
          </w:tcPr>
          <w:p>
            <w:pPr>
              <w:spacing w:after="0"/>
              <w:rPr>
                <w:sz w:val="15"/>
                <w:szCs w:val="15"/>
                <w:color w:val="auto"/>
              </w:rPr>
            </w:pPr>
          </w:p>
        </w:tc>
        <w:tc>
          <w:tcPr>
            <w:tcW w:w="2020" w:type="dxa"/>
            <w:vAlign w:val="bottom"/>
            <w:gridSpan w:val="3"/>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 xml:space="preserve">0.42 </w:t>
            </w:r>
            <w:r>
              <w:rPr>
                <w:rFonts w:ascii="Times New Roman" w:cs="Times New Roman" w:eastAsia="Times New Roman" w:hAnsi="Times New Roman"/>
                <w:sz w:val="17"/>
                <w:szCs w:val="17"/>
                <w:color w:val="auto"/>
                <w:highlight w:val="white"/>
              </w:rPr>
              <w:t>%</w:t>
            </w:r>
          </w:p>
        </w:tc>
        <w:tc>
          <w:tcPr>
            <w:tcW w:w="180" w:type="dxa"/>
            <w:vAlign w:val="bottom"/>
          </w:tcPr>
          <w:p>
            <w:pPr>
              <w:spacing w:after="0"/>
              <w:rPr>
                <w:sz w:val="15"/>
                <w:szCs w:val="15"/>
                <w:color w:val="auto"/>
              </w:rPr>
            </w:pPr>
          </w:p>
        </w:tc>
        <w:tc>
          <w:tcPr>
            <w:tcW w:w="19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0.58 </w:t>
            </w:r>
            <w:r>
              <w:rPr>
                <w:rFonts w:ascii="Times New Roman" w:cs="Times New Roman" w:eastAsia="Times New Roman" w:hAnsi="Times New Roman"/>
                <w:sz w:val="17"/>
                <w:szCs w:val="17"/>
                <w:color w:val="auto"/>
                <w:highlight w:val="white"/>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Ratio of the Allowance for Loan &amp; Lease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0.93 %</w:t>
            </w:r>
          </w:p>
        </w:tc>
        <w:tc>
          <w:tcPr>
            <w:tcW w:w="180" w:type="dxa"/>
            <w:vAlign w:val="bottom"/>
          </w:tcPr>
          <w:p>
            <w:pPr>
              <w:spacing w:after="0"/>
              <w:rPr>
                <w:sz w:val="12"/>
                <w:szCs w:val="12"/>
                <w:color w:val="auto"/>
              </w:rPr>
            </w:pP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1.05 %</w:t>
            </w:r>
          </w:p>
        </w:tc>
        <w:tc>
          <w:tcPr>
            <w:tcW w:w="180" w:type="dxa"/>
            <w:vAlign w:val="bottom"/>
          </w:tcPr>
          <w:p>
            <w:pPr>
              <w:spacing w:after="0"/>
              <w:rPr>
                <w:sz w:val="12"/>
                <w:szCs w:val="12"/>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0.87 %</w:t>
            </w:r>
          </w:p>
        </w:tc>
        <w:tc>
          <w:tcPr>
            <w:tcW w:w="0" w:type="dxa"/>
            <w:vAlign w:val="bottom"/>
          </w:tcPr>
          <w:p>
            <w:pPr>
              <w:spacing w:after="0"/>
              <w:rPr>
                <w:sz w:val="1"/>
                <w:szCs w:val="1"/>
                <w:color w:val="auto"/>
              </w:rPr>
            </w:pPr>
          </w:p>
        </w:tc>
      </w:tr>
      <w:tr>
        <w:trPr>
          <w:trHeight w:val="183"/>
        </w:trPr>
        <w:tc>
          <w:tcPr>
            <w:tcW w:w="480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to Loans</w:t>
            </w:r>
          </w:p>
        </w:tc>
        <w:tc>
          <w:tcPr>
            <w:tcW w:w="1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Ratio of the Allowance for Loan &amp; Lease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365.44 %</w:t>
            </w:r>
          </w:p>
        </w:tc>
        <w:tc>
          <w:tcPr>
            <w:tcW w:w="180" w:type="dxa"/>
            <w:vAlign w:val="bottom"/>
          </w:tcPr>
          <w:p>
            <w:pPr>
              <w:spacing w:after="0"/>
              <w:rPr>
                <w:sz w:val="12"/>
                <w:szCs w:val="12"/>
                <w:color w:val="auto"/>
              </w:rPr>
            </w:pP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251.26 %</w:t>
            </w:r>
          </w:p>
        </w:tc>
        <w:tc>
          <w:tcPr>
            <w:tcW w:w="180" w:type="dxa"/>
            <w:vAlign w:val="bottom"/>
          </w:tcPr>
          <w:p>
            <w:pPr>
              <w:spacing w:after="0"/>
              <w:rPr>
                <w:sz w:val="12"/>
                <w:szCs w:val="12"/>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151.01 %</w:t>
            </w:r>
          </w:p>
        </w:tc>
        <w:tc>
          <w:tcPr>
            <w:tcW w:w="0" w:type="dxa"/>
            <w:vAlign w:val="bottom"/>
          </w:tcPr>
          <w:p>
            <w:pPr>
              <w:spacing w:after="0"/>
              <w:rPr>
                <w:sz w:val="1"/>
                <w:szCs w:val="1"/>
                <w:color w:val="auto"/>
              </w:rPr>
            </w:pPr>
          </w:p>
        </w:tc>
      </w:tr>
      <w:tr>
        <w:trPr>
          <w:trHeight w:val="183"/>
        </w:trPr>
        <w:tc>
          <w:tcPr>
            <w:tcW w:w="480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Nonaccrual Loans</w:t>
            </w:r>
          </w:p>
        </w:tc>
        <w:tc>
          <w:tcPr>
            <w:tcW w:w="1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Ratio of the Allowance for Loan &amp; Lease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365.44 %</w:t>
            </w:r>
          </w:p>
        </w:tc>
        <w:tc>
          <w:tcPr>
            <w:tcW w:w="180" w:type="dxa"/>
            <w:vAlign w:val="bottom"/>
          </w:tcPr>
          <w:p>
            <w:pPr>
              <w:spacing w:after="0"/>
              <w:rPr>
                <w:sz w:val="12"/>
                <w:szCs w:val="12"/>
                <w:color w:val="auto"/>
              </w:rPr>
            </w:pP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251.26 %</w:t>
            </w:r>
          </w:p>
        </w:tc>
        <w:tc>
          <w:tcPr>
            <w:tcW w:w="180" w:type="dxa"/>
            <w:vAlign w:val="bottom"/>
          </w:tcPr>
          <w:p>
            <w:pPr>
              <w:spacing w:after="0"/>
              <w:rPr>
                <w:sz w:val="12"/>
                <w:szCs w:val="12"/>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151.01 %</w:t>
            </w:r>
          </w:p>
        </w:tc>
        <w:tc>
          <w:tcPr>
            <w:tcW w:w="0" w:type="dxa"/>
            <w:vAlign w:val="bottom"/>
          </w:tcPr>
          <w:p>
            <w:pPr>
              <w:spacing w:after="0"/>
              <w:rPr>
                <w:sz w:val="1"/>
                <w:szCs w:val="1"/>
                <w:color w:val="auto"/>
              </w:rPr>
            </w:pPr>
          </w:p>
        </w:tc>
      </w:tr>
      <w:tr>
        <w:trPr>
          <w:trHeight w:val="183"/>
        </w:trPr>
        <w:tc>
          <w:tcPr>
            <w:tcW w:w="480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Nonperforming Loans*</w:t>
            </w:r>
          </w:p>
        </w:tc>
        <w:tc>
          <w:tcPr>
            <w:tcW w:w="1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-5735320</wp:posOffset>
            </wp:positionV>
            <wp:extent cx="2863850" cy="1784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63850" cy="17843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-5427345</wp:posOffset>
            </wp:positionV>
            <wp:extent cx="2863850" cy="1784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863850" cy="17843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-4080510</wp:posOffset>
            </wp:positionV>
            <wp:extent cx="73025" cy="1460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-4080510</wp:posOffset>
            </wp:positionV>
            <wp:extent cx="73025" cy="1460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-4080510</wp:posOffset>
            </wp:positionV>
            <wp:extent cx="64770" cy="146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4770" cy="14605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-3025775</wp:posOffset>
            </wp:positionV>
            <wp:extent cx="73025" cy="146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-3025775</wp:posOffset>
            </wp:positionV>
            <wp:extent cx="73025" cy="1460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-3025775</wp:posOffset>
            </wp:positionV>
            <wp:extent cx="64770" cy="1460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4770" cy="14605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-1971040</wp:posOffset>
            </wp:positionV>
            <wp:extent cx="73025" cy="26797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3025" cy="26797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-1971040</wp:posOffset>
            </wp:positionV>
            <wp:extent cx="73025" cy="26797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3025" cy="26797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-1971040</wp:posOffset>
            </wp:positionV>
            <wp:extent cx="64770" cy="26797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4770" cy="26797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-1573530</wp:posOffset>
            </wp:positionV>
            <wp:extent cx="73025" cy="13779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-1573530</wp:posOffset>
            </wp:positionV>
            <wp:extent cx="73025" cy="13779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-1573530</wp:posOffset>
            </wp:positionV>
            <wp:extent cx="64770" cy="13779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-1200150</wp:posOffset>
            </wp:positionV>
            <wp:extent cx="7139940" cy="3162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9940" cy="3162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-729615</wp:posOffset>
            </wp:positionV>
            <wp:extent cx="7139940" cy="7302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9940" cy="730250"/>
                    </a:xfrm>
                    <a:prstGeom prst="rect">
                      <a:avLst/>
                    </a:prstGeom>
                    <a:noFill/>
                  </pic:spPr>
                </pic:pic>
              </a:graphicData>
            </a:graphic>
          </wp:anchor>
        </w:drawing>
      </w:r>
    </w:p>
    <w:p>
      <w:pPr>
        <w:spacing w:after="0" w:line="155" w:lineRule="exact"/>
        <w:rPr>
          <w:sz w:val="20"/>
          <w:szCs w:val="20"/>
          <w:color w:val="auto"/>
        </w:rPr>
      </w:pPr>
    </w:p>
    <w:p>
      <w:pPr>
        <w:ind w:left="5540" w:right="2820" w:hanging="4788"/>
        <w:spacing w:after="0" w:line="644" w:lineRule="auto"/>
        <w:tabs>
          <w:tab w:leader="none" w:pos="88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loans are defined as all loans on nonaccrual, plus any loans 90 days past due not on nonaccrual.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-165100</wp:posOffset>
            </wp:positionV>
            <wp:extent cx="7165340" cy="4191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00"/>
          </w:cols>
          <w:pgMar w:left="320" w:top="494" w:right="279" w:bottom="1440" w:gutter="0" w:footer="0" w:header="0"/>
        </w:sectPr>
      </w:pPr>
    </w:p>
    <w:bookmarkStart w:id="61" w:name="page62"/>
    <w:bookmarkEnd w:id="61"/>
    <w:p>
      <w:pPr>
        <w:jc w:val="both"/>
        <w:spacing w:after="0" w:line="243" w:lineRule="auto"/>
        <w:rPr>
          <w:sz w:val="20"/>
          <w:szCs w:val="20"/>
          <w:color w:val="auto"/>
        </w:rPr>
      </w:pPr>
      <w:r>
        <w:rPr>
          <w:rFonts w:ascii="Times New Roman" w:cs="Times New Roman" w:eastAsia="Times New Roman" w:hAnsi="Times New Roman"/>
          <w:sz w:val="17"/>
          <w:szCs w:val="17"/>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Loans classified as nonaccrual were lower as of September 30, 2022 at $5.5 million as compared to $6.2 million as of September 30, 2021. The agricultural real estate portfolio decreased $2.4 million and the commercial and industrial portfolio decreased $485 thousand as compared to September 30, 2021. These decreases offset the increases in the other portfolios.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25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7165340" cy="419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494" w:right="33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17"/>
          <w:szCs w:val="17"/>
          <w:color w:val="auto"/>
        </w:rPr>
        <w:t>The following table presents the balances for allowance for loan losses by loan type at September 30, 2022 and September 30, 2021.</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(In Thousands)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rPr>
              <w:t>(In Thousands)</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195"/>
              <w:spacing w:after="0" w:line="179" w:lineRule="exact"/>
              <w:rPr>
                <w:sz w:val="20"/>
                <w:szCs w:val="20"/>
                <w:color w:val="auto"/>
              </w:rPr>
            </w:pPr>
            <w:r>
              <w:rPr>
                <w:rFonts w:ascii="Times New Roman" w:cs="Times New Roman" w:eastAsia="Times New Roman" w:hAnsi="Times New Roman"/>
                <w:sz w:val="17"/>
                <w:szCs w:val="17"/>
                <w:color w:val="auto"/>
                <w:w w:val="99"/>
              </w:rPr>
              <w:t>September 30,</w:t>
            </w: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September 30, 2022</w:t>
            </w:r>
          </w:p>
        </w:tc>
        <w:tc>
          <w:tcPr>
            <w:tcW w:w="146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 of Loan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color w:val="auto"/>
                <w:w w:val="99"/>
              </w:rPr>
              <w:t>2021</w:t>
            </w:r>
          </w:p>
        </w:tc>
        <w:tc>
          <w:tcPr>
            <w:tcW w:w="1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 of Loan</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 Applicable To:</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Amount</w:t>
            </w:r>
          </w:p>
        </w:tc>
        <w:tc>
          <w:tcPr>
            <w:tcW w:w="16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Category</w:t>
            </w:r>
          </w:p>
        </w:tc>
        <w:tc>
          <w:tcPr>
            <w:tcW w:w="13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color w:val="auto"/>
              </w:rPr>
              <w:t>Amount</w:t>
            </w:r>
          </w:p>
        </w:tc>
        <w:tc>
          <w:tcPr>
            <w:tcW w:w="1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Category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 Real Estate</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926</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19.42 % $</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13.53 %</w:t>
            </w:r>
          </w:p>
        </w:tc>
        <w:tc>
          <w:tcPr>
            <w:tcW w:w="0" w:type="dxa"/>
            <w:vAlign w:val="bottom"/>
          </w:tcPr>
          <w:p>
            <w:pPr>
              <w:spacing w:after="0"/>
              <w:rPr>
                <w:sz w:val="1"/>
                <w:szCs w:val="1"/>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Agricultural Real Estate</w:t>
            </w:r>
          </w:p>
        </w:tc>
        <w:tc>
          <w:tcPr>
            <w:tcW w:w="14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356</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9.56 %</w:t>
            </w:r>
          </w:p>
        </w:tc>
        <w:tc>
          <w:tcPr>
            <w:tcW w:w="1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11.97 %</w:t>
            </w:r>
          </w:p>
        </w:tc>
        <w:tc>
          <w:tcPr>
            <w:tcW w:w="0" w:type="dxa"/>
            <w:vAlign w:val="bottom"/>
          </w:tcPr>
          <w:p>
            <w:pPr>
              <w:spacing w:after="0"/>
              <w:rPr>
                <w:sz w:val="1"/>
                <w:szCs w:val="1"/>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4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756</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6.01 %</w:t>
            </w:r>
          </w:p>
        </w:tc>
        <w:tc>
          <w:tcPr>
            <w:tcW w:w="1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7.07 %</w:t>
            </w:r>
          </w:p>
        </w:tc>
        <w:tc>
          <w:tcPr>
            <w:tcW w:w="0" w:type="dxa"/>
            <w:vAlign w:val="bottom"/>
          </w:tcPr>
          <w:p>
            <w:pPr>
              <w:spacing w:after="0"/>
              <w:rPr>
                <w:sz w:val="1"/>
                <w:szCs w:val="1"/>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Commercial Real Estate</w:t>
            </w:r>
          </w:p>
        </w:tc>
        <w:tc>
          <w:tcPr>
            <w:tcW w:w="14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11,551</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49.56 %</w:t>
            </w:r>
          </w:p>
        </w:tc>
        <w:tc>
          <w:tcPr>
            <w:tcW w:w="1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8,365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48.64 %</w:t>
            </w:r>
          </w:p>
        </w:tc>
        <w:tc>
          <w:tcPr>
            <w:tcW w:w="0" w:type="dxa"/>
            <w:vAlign w:val="bottom"/>
          </w:tcPr>
          <w:p>
            <w:pPr>
              <w:spacing w:after="0"/>
              <w:rPr>
                <w:sz w:val="1"/>
                <w:szCs w:val="1"/>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4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5,670</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12.13 %</w:t>
            </w:r>
          </w:p>
        </w:tc>
        <w:tc>
          <w:tcPr>
            <w:tcW w:w="1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15.07 %</w:t>
            </w:r>
          </w:p>
        </w:tc>
        <w:tc>
          <w:tcPr>
            <w:tcW w:w="0" w:type="dxa"/>
            <w:vAlign w:val="bottom"/>
          </w:tcPr>
          <w:p>
            <w:pPr>
              <w:spacing w:after="0"/>
              <w:rPr>
                <w:sz w:val="1"/>
                <w:szCs w:val="1"/>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725</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3.32 %</w:t>
            </w:r>
          </w:p>
        </w:tc>
        <w:tc>
          <w:tcPr>
            <w:tcW w:w="1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0" w:type="dxa"/>
            <w:vAlign w:val="bottom"/>
          </w:tcPr>
          <w:p>
            <w:pPr>
              <w:spacing w:after="0"/>
              <w:rPr>
                <w:sz w:val="1"/>
                <w:szCs w:val="1"/>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Unallocated</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504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0" w:type="dxa"/>
            <w:vAlign w:val="bottom"/>
          </w:tcPr>
          <w:p>
            <w:pPr>
              <w:spacing w:after="0"/>
              <w:rPr>
                <w:sz w:val="1"/>
                <w:szCs w:val="1"/>
                <w:color w:val="auto"/>
              </w:rPr>
            </w:pPr>
          </w:p>
        </w:tc>
      </w:tr>
      <w:tr>
        <w:trPr>
          <w:trHeight w:val="197"/>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Allowance for Loan &amp; Lease Losses</w:t>
            </w:r>
          </w:p>
        </w:tc>
        <w:tc>
          <w:tcPr>
            <w:tcW w:w="14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19,990</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15,698</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Off Balance Sheet Commitments</w:t>
            </w: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1,118</w:t>
            </w:r>
          </w:p>
        </w:tc>
        <w:tc>
          <w:tcPr>
            <w:tcW w:w="14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1,039</w:t>
            </w:r>
          </w:p>
        </w:tc>
        <w:tc>
          <w:tcPr>
            <w:tcW w:w="14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Total Allowance for Credit Losses</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21,108</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16,737</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-1337945</wp:posOffset>
            </wp:positionV>
            <wp:extent cx="6425565" cy="1295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425565" cy="12954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-1078230</wp:posOffset>
            </wp:positionV>
            <wp:extent cx="6425565" cy="1295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425565" cy="12954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-818515</wp:posOffset>
            </wp:positionV>
            <wp:extent cx="6425565" cy="1295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425565" cy="12954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-559435</wp:posOffset>
            </wp:positionV>
            <wp:extent cx="6425565" cy="26797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425565" cy="26797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-161925</wp:posOffset>
            </wp:positionV>
            <wp:extent cx="73025" cy="1625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30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-161925</wp:posOffset>
            </wp:positionV>
            <wp:extent cx="64770" cy="1625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4770" cy="162560"/>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Noninterest Income</w:t>
      </w:r>
    </w:p>
    <w:p>
      <w:pPr>
        <w:spacing w:after="0" w:line="166"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Noninterest income was down $342 thousand for the third quarter 2022 over the same time frame in 2021. The Company has seen a decrease in its mortgage production volume and the gain on the sale of these loans was $495 thousand lower for the third quarter 2022 over the same period in 2021. Loan originations on loans held for sale for the third quarter 2022 were $14.2 million with proceeds from sale at $16.6 million for 2022 compared to 2021’s third quarter activity of $21.7 million in originations and $26.8 million in sales. Loan originations driven by the refinance activity associated with the reduction in interest rates has slowed. The mortgages sold were both 1-4 family and agricultural real estate loans originated for sale.</w:t>
      </w:r>
    </w:p>
    <w:p>
      <w:pPr>
        <w:spacing w:after="0" w:line="144"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Combined service fees increased by $153 thousand as compared to third quarter 2021. Debit card income increased by $133 thousand and bank owned life insurance cash surrender value increased $17 thousand. Also contributing to the increase was overdraft and returned check charges which increased $342 thousand compared to third quarter 2021. Service fee income for 1-4 family and agricultural real estate loans decreased by $108 thousand while servicing rights income decreased $634 thousand.</w:t>
      </w:r>
    </w:p>
    <w:p>
      <w:pPr>
        <w:spacing w:after="0" w:line="140"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7"/>
          <w:szCs w:val="17"/>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2022 and 2021, mortgage servicing rights caused a net $31 thousand in expense and $22 thousand in income, respectively. The lower capitalized additions for 2022 are attributed to a lower loan origination level of 1-4 families. For loans of 15 years and less, the market value of the mortgage servicing rights was 0.988% in the third quarter 2022 versus 1.160% in third quarter 2021. For loans over 15 years, the value was 1.299% versus a higher 1.355% for the same periods respectively. The carrying value is below the market value of $4.6 million. A valuation allowance of $414 thousand was established during 2021. During first quarter 2022, $134 thousand of the valuation allowance was reversed. An additional $91 thousand of the valuation allowance was reversed during the second quarter of 2022. The third quarter of 2022 saw an additional $188 thousand of the valuation allowance reversed.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rPr>
              <w:t>Three Months</w:t>
            </w:r>
          </w:p>
        </w:tc>
        <w:tc>
          <w:tcPr>
            <w:tcW w:w="180" w:type="dxa"/>
            <w:vAlign w:val="bottom"/>
          </w:tcPr>
          <w:p>
            <w:pPr>
              <w:spacing w:after="0"/>
              <w:rPr>
                <w:sz w:val="17"/>
                <w:szCs w:val="17"/>
                <w:color w:val="auto"/>
              </w:rPr>
            </w:pPr>
          </w:p>
        </w:tc>
        <w:tc>
          <w:tcPr>
            <w:tcW w:w="1920" w:type="dxa"/>
            <w:vAlign w:val="bottom"/>
            <w:gridSpan w:val="5"/>
          </w:tcPr>
          <w:p>
            <w:pPr>
              <w:jc w:val="right"/>
              <w:ind w:right="640"/>
              <w:spacing w:after="0"/>
              <w:rPr>
                <w:sz w:val="20"/>
                <w:szCs w:val="20"/>
                <w:color w:val="auto"/>
              </w:rPr>
            </w:pPr>
            <w:r>
              <w:rPr>
                <w:rFonts w:ascii="Times New Roman" w:cs="Times New Roman" w:eastAsia="Times New Roman" w:hAnsi="Times New Roman"/>
                <w:sz w:val="17"/>
                <w:szCs w:val="17"/>
                <w:color w:val="auto"/>
              </w:rPr>
              <w:t>Nine Months</w:t>
            </w:r>
          </w:p>
        </w:tc>
        <w:tc>
          <w:tcPr>
            <w:tcW w:w="1680" w:type="dxa"/>
            <w:vAlign w:val="bottom"/>
          </w:tcPr>
          <w:p>
            <w:pPr>
              <w:spacing w:after="0"/>
              <w:rPr>
                <w:sz w:val="17"/>
                <w:szCs w:val="17"/>
                <w:color w:val="auto"/>
              </w:rPr>
            </w:pPr>
          </w:p>
        </w:tc>
      </w:tr>
      <w:tr>
        <w:trPr>
          <w:trHeight w:val="221"/>
        </w:trPr>
        <w:tc>
          <w:tcPr>
            <w:tcW w:w="16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9"/>
                <w:szCs w:val="19"/>
                <w:color w:val="auto"/>
              </w:rPr>
            </w:pPr>
          </w:p>
        </w:tc>
        <w:tc>
          <w:tcPr>
            <w:tcW w:w="1920" w:type="dxa"/>
            <w:vAlign w:val="bottom"/>
            <w:gridSpan w:val="5"/>
          </w:tcPr>
          <w:p>
            <w:pPr>
              <w:jc w:val="right"/>
              <w:ind w:right="580"/>
              <w:spacing w:after="0"/>
              <w:rPr>
                <w:sz w:val="20"/>
                <w:szCs w:val="20"/>
                <w:color w:val="auto"/>
              </w:rPr>
            </w:pPr>
            <w:r>
              <w:rPr>
                <w:rFonts w:ascii="Times New Roman" w:cs="Times New Roman" w:eastAsia="Times New Roman" w:hAnsi="Times New Roman"/>
                <w:sz w:val="17"/>
                <w:szCs w:val="17"/>
                <w:color w:val="auto"/>
              </w:rPr>
              <w:t>(In Thousands)</w:t>
            </w:r>
          </w:p>
        </w:tc>
        <w:tc>
          <w:tcPr>
            <w:tcW w:w="1680" w:type="dxa"/>
            <w:vAlign w:val="bottom"/>
          </w:tcPr>
          <w:p>
            <w:pPr>
              <w:spacing w:after="0"/>
              <w:rPr>
                <w:sz w:val="19"/>
                <w:szCs w:val="19"/>
                <w:color w:val="auto"/>
              </w:rPr>
            </w:pPr>
          </w:p>
        </w:tc>
      </w:tr>
      <w:tr>
        <w:trPr>
          <w:trHeight w:val="197"/>
        </w:trPr>
        <w:tc>
          <w:tcPr>
            <w:tcW w:w="16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16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Additions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1680" w:type="dxa"/>
            <w:vAlign w:val="bottom"/>
          </w:tcPr>
          <w:p>
            <w:pPr>
              <w:spacing w:after="0"/>
              <w:rPr>
                <w:sz w:val="17"/>
                <w:szCs w:val="17"/>
                <w:color w:val="auto"/>
              </w:rPr>
            </w:pP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(138 )</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(214 )</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(448 )</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(926 )</w:t>
            </w:r>
          </w:p>
        </w:tc>
        <w:tc>
          <w:tcPr>
            <w:tcW w:w="168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3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Ending Balance, September 30,</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w:t>
            </w:r>
          </w:p>
        </w:tc>
        <w:tc>
          <w:tcPr>
            <w:tcW w:w="1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3,168</w:t>
            </w: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w:t>
            </w: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8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1680" w:type="dxa"/>
            <w:vAlign w:val="bottom"/>
          </w:tcPr>
          <w:p>
            <w:pPr>
              <w:spacing w:after="0"/>
              <w:rPr>
                <w:sz w:val="17"/>
                <w:szCs w:val="17"/>
                <w:color w:val="auto"/>
              </w:rPr>
            </w:pP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(1 )</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(71 )</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(1 )</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(388 )</w:t>
            </w:r>
          </w:p>
        </w:tc>
        <w:tc>
          <w:tcPr>
            <w:tcW w:w="1680" w:type="dxa"/>
            <w:vAlign w:val="bottom"/>
          </w:tcPr>
          <w:p>
            <w:pPr>
              <w:spacing w:after="0"/>
              <w:rPr>
                <w:sz w:val="17"/>
                <w:szCs w:val="17"/>
                <w:color w:val="auto"/>
              </w:rPr>
            </w:pPr>
          </w:p>
        </w:tc>
      </w:tr>
      <w:tr>
        <w:trPr>
          <w:trHeight w:val="197"/>
        </w:trPr>
        <w:tc>
          <w:tcPr>
            <w:tcW w:w="1680" w:type="dxa"/>
            <w:vAlign w:val="bottom"/>
          </w:tcPr>
          <w:p>
            <w:pPr>
              <w:spacing w:after="0"/>
              <w:rPr>
                <w:sz w:val="17"/>
                <w:szCs w:val="17"/>
                <w:color w:val="auto"/>
              </w:rPr>
            </w:pPr>
          </w:p>
        </w:tc>
        <w:tc>
          <w:tcPr>
            <w:tcW w:w="3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Mortgage Servicing Rights net, September 30,</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1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3,583</w:t>
            </w: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8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78"/>
        </w:trPr>
        <w:tc>
          <w:tcPr>
            <w:tcW w:w="16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94"/>
        </w:trPr>
        <w:tc>
          <w:tcPr>
            <w:tcW w:w="16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-1367155</wp:posOffset>
            </wp:positionV>
            <wp:extent cx="2167255" cy="1714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167255" cy="171450"/>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-818515</wp:posOffset>
            </wp:positionV>
            <wp:extent cx="56515" cy="13779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6515" cy="1377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-818515</wp:posOffset>
            </wp:positionV>
            <wp:extent cx="48895" cy="13779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8895" cy="137795"/>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-818515</wp:posOffset>
            </wp:positionV>
            <wp:extent cx="48895" cy="13779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8895" cy="137795"/>
                    </a:xfrm>
                    <a:prstGeom prst="rect">
                      <a:avLst/>
                    </a:prstGeom>
                    <a:noFill/>
                  </pic:spPr>
                </pic:pic>
              </a:graphicData>
            </a:graphic>
          </wp:anchor>
        </w:drawing>
        <w:drawing>
          <wp:anchor simplePos="0" relativeHeight="251657728" behindDoc="1" locked="0" layoutInCell="0" allowOverlap="1">
            <wp:simplePos x="0" y="0"/>
            <wp:positionH relativeFrom="column">
              <wp:posOffset>6021705</wp:posOffset>
            </wp:positionH>
            <wp:positionV relativeFrom="paragraph">
              <wp:posOffset>-818515</wp:posOffset>
            </wp:positionV>
            <wp:extent cx="48895" cy="13779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8895" cy="13779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-551180</wp:posOffset>
            </wp:positionV>
            <wp:extent cx="56515" cy="1625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6515" cy="16256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-551180</wp:posOffset>
            </wp:positionV>
            <wp:extent cx="48895" cy="1625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8895" cy="162560"/>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-551180</wp:posOffset>
            </wp:positionV>
            <wp:extent cx="48895" cy="16256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8895" cy="162560"/>
                    </a:xfrm>
                    <a:prstGeom prst="rect">
                      <a:avLst/>
                    </a:prstGeom>
                    <a:noFill/>
                  </pic:spPr>
                </pic:pic>
              </a:graphicData>
            </a:graphic>
          </wp:anchor>
        </w:drawing>
        <w:drawing>
          <wp:anchor simplePos="0" relativeHeight="251657728" behindDoc="1" locked="0" layoutInCell="0" allowOverlap="1">
            <wp:simplePos x="0" y="0"/>
            <wp:positionH relativeFrom="column">
              <wp:posOffset>6021705</wp:posOffset>
            </wp:positionH>
            <wp:positionV relativeFrom="paragraph">
              <wp:posOffset>-551180</wp:posOffset>
            </wp:positionV>
            <wp:extent cx="48895" cy="1625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8895" cy="16256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7"/>
          <w:szCs w:val="17"/>
          <w:b w:val="1"/>
          <w:bCs w:val="1"/>
          <w:color w:val="auto"/>
        </w:rPr>
        <w:t>Noninterest Expense</w:t>
      </w:r>
    </w:p>
    <w:p>
      <w:pPr>
        <w:spacing w:after="0" w:line="179" w:lineRule="exact"/>
        <w:rPr>
          <w:sz w:val="20"/>
          <w:szCs w:val="20"/>
          <w:color w:val="auto"/>
        </w:rPr>
      </w:pPr>
    </w:p>
    <w:p>
      <w:pPr>
        <w:jc w:val="both"/>
        <w:ind w:left="760" w:right="60"/>
        <w:spacing w:after="0" w:line="248" w:lineRule="auto"/>
        <w:rPr>
          <w:sz w:val="20"/>
          <w:szCs w:val="20"/>
          <w:color w:val="auto"/>
        </w:rPr>
      </w:pPr>
      <w:r>
        <w:rPr>
          <w:rFonts w:ascii="Times New Roman" w:cs="Times New Roman" w:eastAsia="Times New Roman" w:hAnsi="Times New Roman"/>
          <w:sz w:val="17"/>
          <w:szCs w:val="17"/>
          <w:color w:val="auto"/>
        </w:rPr>
        <w:t>For the third quarter 2022, noninterest expenses were $850 thousand lower than for the same quarter in 2021. Salaries, wages, and employee benefits (includes normal merit increases, restricted stock expense, incentive payout and all employee benefits) decreased $192 thousand in total. This was comprised of increased salaries of $37 thousand partially offset by decreased benefits of $229 thousand. Advertising and public relations expense increased $128 thousand due in part to the promotion of the 125th anniversary of the Bank. Data processing expenses decreased $767 thousand due to acquisition related data processing expense of $939 thousand in 2021 that was not repeated in 2022. Ohio Financial Institution Tax decreased $117 thousand over third quarter 2021.</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79" w:lineRule="exact"/>
        <w:rPr>
          <w:sz w:val="20"/>
          <w:szCs w:val="20"/>
          <w:color w:val="auto"/>
        </w:rPr>
      </w:pPr>
    </w:p>
    <w:p>
      <w:pPr>
        <w:jc w:val="both"/>
        <w:ind w:left="760" w:right="60"/>
        <w:spacing w:after="0" w:line="267" w:lineRule="auto"/>
        <w:rPr>
          <w:sz w:val="20"/>
          <w:szCs w:val="20"/>
          <w:color w:val="auto"/>
        </w:rPr>
      </w:pPr>
      <w:r>
        <w:rPr>
          <w:rFonts w:ascii="Times New Roman" w:cs="Times New Roman" w:eastAsia="Times New Roman" w:hAnsi="Times New Roman"/>
          <w:sz w:val="17"/>
          <w:szCs w:val="17"/>
          <w:color w:val="auto"/>
        </w:rPr>
        <w:t>Income tax expense was $629 thousand higher for the third quarter 2022 compared to the same quarter in 2021. Effective tax rates were 20.10% and 21.53% for third quarter 2022 and 2021 respectively.</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Net Income</w:t>
      </w:r>
    </w:p>
    <w:p>
      <w:pPr>
        <w:spacing w:after="0" w:line="166" w:lineRule="exact"/>
        <w:rPr>
          <w:sz w:val="20"/>
          <w:szCs w:val="20"/>
          <w:color w:val="auto"/>
        </w:rPr>
      </w:pPr>
    </w:p>
    <w:p>
      <w:pPr>
        <w:jc w:val="both"/>
        <w:ind w:left="760" w:right="60"/>
        <w:spacing w:after="0" w:line="251" w:lineRule="auto"/>
        <w:rPr>
          <w:sz w:val="20"/>
          <w:szCs w:val="20"/>
          <w:color w:val="auto"/>
        </w:rPr>
      </w:pPr>
      <w:r>
        <w:rPr>
          <w:rFonts w:ascii="Times New Roman" w:cs="Times New Roman" w:eastAsia="Times New Roman" w:hAnsi="Times New Roman"/>
          <w:sz w:val="17"/>
          <w:szCs w:val="17"/>
          <w:color w:val="auto"/>
        </w:rPr>
        <w:t>Results overall, net income in the third quarter of 2022 was up $3.0 million as compared to the same quarter last year. Although third quarter 2022 included an increase of $978 thousand of loan loss provision as compared to third quarter 2021, net interest income after provision for loan losses increased $3.2 million during the same period of comparison. The Company has done an exceptional job of growing loans while keeping past dues low. The Company remains strong, stable, and well capitalized and has the capacity to continue to cover the increased costs of expansion.</w:t>
      </w:r>
    </w:p>
    <w:p>
      <w:pPr>
        <w:spacing w:after="0" w:line="136" w:lineRule="exact"/>
        <w:rPr>
          <w:sz w:val="20"/>
          <w:szCs w:val="20"/>
          <w:color w:val="auto"/>
        </w:rPr>
      </w:pPr>
    </w:p>
    <w:p>
      <w:pPr>
        <w:ind w:left="760" w:right="2000"/>
        <w:spacing w:after="0" w:line="449"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Comparison of Results of Interest Earnings and Expenses for nine month periods ended September 30, 2022 and 2021 </w:t>
      </w:r>
      <w:r>
        <w:rPr>
          <w:rFonts w:ascii="Times New Roman" w:cs="Times New Roman" w:eastAsia="Times New Roman" w:hAnsi="Times New Roman"/>
          <w:sz w:val="17"/>
          <w:szCs w:val="17"/>
          <w:b w:val="1"/>
          <w:bCs w:val="1"/>
          <w:color w:val="auto"/>
        </w:rPr>
        <w:t>Interest Income</w:t>
      </w:r>
    </w:p>
    <w:p>
      <w:pPr>
        <w:spacing w:after="0" w:line="1" w:lineRule="exact"/>
        <w:rPr>
          <w:sz w:val="20"/>
          <w:szCs w:val="20"/>
          <w:color w:val="auto"/>
        </w:rPr>
      </w:pPr>
    </w:p>
    <w:p>
      <w:pPr>
        <w:jc w:val="both"/>
        <w:ind w:left="760" w:right="60"/>
        <w:spacing w:after="0" w:line="251" w:lineRule="auto"/>
        <w:rPr>
          <w:sz w:val="20"/>
          <w:szCs w:val="20"/>
          <w:color w:val="auto"/>
        </w:rPr>
      </w:pPr>
      <w:r>
        <w:rPr>
          <w:rFonts w:ascii="Times New Roman" w:cs="Times New Roman" w:eastAsia="Times New Roman" w:hAnsi="Times New Roman"/>
          <w:sz w:val="17"/>
          <w:szCs w:val="17"/>
          <w:color w:val="auto"/>
        </w:rPr>
        <w:t>Higher loan balances of $583.5 million created an improvement in the interest income for the first nine months of 2022 as compared to the first nine months of 2021. PPP average loan balances decreased $38.7 million year over year. Interest income in total rose 31.7% or $17.2 million with interest income from loans accounting for $16.3 million of the increase. Contributing to the overall improvement was also an increase in securities income of $756 thousand and an increase from fed funds sold and interest-bearing deposits of $159 thousand over 2021. The asset yield increased by 6 basis points to 3.76% for the first nine months of 2022 compared to the first nine months of 2021’s 3.70%.</w:t>
      </w:r>
    </w:p>
    <w:p>
      <w:pPr>
        <w:spacing w:after="0" w:line="128" w:lineRule="exact"/>
        <w:rPr>
          <w:sz w:val="20"/>
          <w:szCs w:val="20"/>
          <w:color w:val="auto"/>
        </w:rPr>
      </w:pPr>
    </w:p>
    <w:p>
      <w:pPr>
        <w:ind w:left="760" w:right="60" w:hanging="8"/>
        <w:spacing w:after="0" w:line="267" w:lineRule="auto"/>
        <w:tabs>
          <w:tab w:leader="none" w:pos="110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interest income recognized was $2.2 thousand for the first nine months of 2022 with net fee income of $77.2 thousand compared to $291.4 thousand of loan interest income and $3.9 million of net fee income for 2021. The growth factor contribution is shown in the charts which follow.</w:t>
      </w:r>
    </w:p>
    <w:p>
      <w:pPr>
        <w:spacing w:after="0" w:line="127" w:lineRule="exact"/>
        <w:rPr>
          <w:sz w:val="20"/>
          <w:szCs w:val="20"/>
          <w:color w:val="auto"/>
        </w:rPr>
      </w:pPr>
    </w:p>
    <w:p>
      <w:pPr>
        <w:ind w:left="760" w:right="60"/>
        <w:spacing w:after="0" w:line="267" w:lineRule="auto"/>
        <w:rPr>
          <w:sz w:val="20"/>
          <w:szCs w:val="20"/>
          <w:color w:val="auto"/>
        </w:rPr>
      </w:pPr>
      <w:r>
        <w:rPr>
          <w:rFonts w:ascii="Times New Roman" w:cs="Times New Roman" w:eastAsia="Times New Roman" w:hAnsi="Times New Roman"/>
          <w:sz w:val="17"/>
          <w:szCs w:val="17"/>
          <w:color w:val="auto"/>
        </w:rPr>
        <w:t>The average interest earning asset base was $579.4 million higher in the first nine months 2022 than the first nine months of 2021, an increase of approximately 29.5%. Refer to Note 2 Business Combination and Asset Purchase for information on assets acquired from OFSI and PFSB.</w:t>
      </w:r>
    </w:p>
    <w:p>
      <w:pPr>
        <w:spacing w:after="0" w:line="127" w:lineRule="exact"/>
        <w:rPr>
          <w:sz w:val="20"/>
          <w:szCs w:val="20"/>
          <w:color w:val="auto"/>
        </w:rPr>
      </w:pPr>
    </w:p>
    <w:p>
      <w:pPr>
        <w:ind w:left="760" w:right="60"/>
        <w:spacing w:after="0" w:line="267" w:lineRule="auto"/>
        <w:rPr>
          <w:sz w:val="20"/>
          <w:szCs w:val="20"/>
          <w:color w:val="auto"/>
        </w:rPr>
      </w:pPr>
      <w:r>
        <w:rPr>
          <w:rFonts w:ascii="Times New Roman" w:cs="Times New Roman" w:eastAsia="Times New Roman" w:hAnsi="Times New Roman"/>
          <w:sz w:val="17"/>
          <w:szCs w:val="17"/>
          <w:color w:val="auto"/>
        </w:rPr>
        <w:t>The yields on tax-exempt securities and the portion of the tax-exempt IDB loans included in loans have been tax adjusted based on a 21% tax rate in the charts to follow.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5"/>
          </w:tcPr>
          <w:p>
            <w:pPr>
              <w:jc w:val="right"/>
              <w:ind w:right="1415"/>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gridSpan w:val="6"/>
            <w:vMerge w:val="restart"/>
          </w:tcPr>
          <w:p>
            <w:pPr>
              <w:jc w:val="right"/>
              <w:ind w:right="1040"/>
              <w:spacing w:after="0"/>
              <w:rPr>
                <w:sz w:val="20"/>
                <w:szCs w:val="20"/>
                <w:color w:val="auto"/>
              </w:rPr>
            </w:pPr>
            <w:r>
              <w:rPr>
                <w:rFonts w:ascii="Times New Roman" w:cs="Times New Roman" w:eastAsia="Times New Roman" w:hAnsi="Times New Roman"/>
                <w:sz w:val="17"/>
                <w:szCs w:val="17"/>
                <w:color w:val="auto"/>
              </w:rPr>
              <w:t>Annualized Yield/Rate</w:t>
            </w:r>
          </w:p>
        </w:tc>
        <w:tc>
          <w:tcPr>
            <w:tcW w:w="0" w:type="dxa"/>
            <w:vAlign w:val="bottom"/>
          </w:tcPr>
          <w:p>
            <w:pPr>
              <w:spacing w:after="0"/>
              <w:rPr>
                <w:sz w:val="1"/>
                <w:szCs w:val="1"/>
                <w:color w:val="auto"/>
              </w:rPr>
            </w:pPr>
          </w:p>
        </w:tc>
      </w:tr>
      <w:tr>
        <w:trPr>
          <w:trHeight w:val="197"/>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gridSpan w:val="5"/>
          </w:tcPr>
          <w:p>
            <w:pPr>
              <w:jc w:val="right"/>
              <w:ind w:right="555"/>
              <w:spacing w:after="0"/>
              <w:rPr>
                <w:sz w:val="20"/>
                <w:szCs w:val="20"/>
                <w:color w:val="auto"/>
              </w:rPr>
            </w:pPr>
            <w:r>
              <w:rPr>
                <w:rFonts w:ascii="Times New Roman" w:cs="Times New Roman" w:eastAsia="Times New Roman" w:hAnsi="Times New Roman"/>
                <w:sz w:val="17"/>
                <w:szCs w:val="17"/>
                <w:color w:val="auto"/>
              </w:rPr>
              <w:t>Year to Date Ended September 30,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Average Balance</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Interest/Dividends</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September 30, 2022</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September 30, 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1,997,081</w:t>
            </w:r>
          </w:p>
        </w:tc>
        <w:tc>
          <w:tcPr>
            <w:tcW w:w="100" w:type="dxa"/>
            <w:vAlign w:val="bottom"/>
          </w:tcPr>
          <w:p>
            <w:pPr>
              <w:spacing w:after="0"/>
              <w:rPr>
                <w:sz w:val="17"/>
                <w:szCs w:val="17"/>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66,962</w:t>
            </w:r>
          </w:p>
        </w:tc>
        <w:tc>
          <w:tcPr>
            <w:tcW w:w="1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Taxable investment securities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198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1.28 %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Tax-exempt investment securities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98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1.77 %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2.31 %</w:t>
            </w:r>
          </w:p>
        </w:tc>
        <w:tc>
          <w:tcPr>
            <w:tcW w:w="0" w:type="dxa"/>
            <w:vAlign w:val="bottom"/>
          </w:tcPr>
          <w:p>
            <w:pPr>
              <w:spacing w:after="0"/>
              <w:rPr>
                <w:sz w:val="1"/>
                <w:szCs w:val="1"/>
                <w:color w:val="auto"/>
              </w:rPr>
            </w:pPr>
          </w:p>
        </w:tc>
      </w:tr>
      <w:tr>
        <w:trPr>
          <w:trHeight w:val="204"/>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 funds sold &amp; other</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98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0.52 %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0.19 %</w:t>
            </w: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Earning Assets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2,545,679</w:t>
            </w:r>
          </w:p>
        </w:tc>
        <w:tc>
          <w:tcPr>
            <w:tcW w:w="240" w:type="dxa"/>
            <w:vAlign w:val="bottom"/>
            <w:gridSpan w:val="2"/>
          </w:tcPr>
          <w:p>
            <w:pPr>
              <w:spacing w:after="0"/>
              <w:rPr>
                <w:sz w:val="17"/>
                <w:szCs w:val="17"/>
                <w:color w:val="auto"/>
              </w:rPr>
            </w:pPr>
          </w:p>
        </w:tc>
        <w:tc>
          <w:tcPr>
            <w:tcW w:w="26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71,657</w:t>
            </w:r>
          </w:p>
        </w:tc>
        <w:tc>
          <w:tcPr>
            <w:tcW w:w="198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3.76 %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3.70 %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-1078230</wp:posOffset>
            </wp:positionV>
            <wp:extent cx="7139940" cy="1295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-818515</wp:posOffset>
            </wp:positionV>
            <wp:extent cx="7139940" cy="1295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-551180</wp:posOffset>
            </wp:positionV>
            <wp:extent cx="7139940" cy="154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9940" cy="15430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311"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7"/>
                <w:szCs w:val="17"/>
                <w:color w:val="auto"/>
              </w:rPr>
            </w:pPr>
          </w:p>
        </w:tc>
        <w:tc>
          <w:tcPr>
            <w:tcW w:w="6740" w:type="dxa"/>
            <w:vAlign w:val="bottom"/>
            <w:gridSpan w:val="10"/>
          </w:tcPr>
          <w:p>
            <w:pPr>
              <w:jc w:val="right"/>
              <w:ind w:right="60"/>
              <w:spacing w:after="0"/>
              <w:rPr>
                <w:sz w:val="20"/>
                <w:szCs w:val="20"/>
                <w:color w:val="auto"/>
              </w:rPr>
            </w:pPr>
            <w:r>
              <w:rPr>
                <w:rFonts w:ascii="Times New Roman" w:cs="Times New Roman" w:eastAsia="Times New Roman" w:hAnsi="Times New Roman"/>
                <w:sz w:val="17"/>
                <w:szCs w:val="17"/>
                <w:color w:val="auto"/>
              </w:rPr>
              <w:t>Change in Interest Income Year to Date September 30, 2022 Compared to September 30, 2021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4"/>
        </w:trPr>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7"/>
                <w:szCs w:val="17"/>
                <w:color w:val="auto"/>
                <w:w w:val="99"/>
              </w:rPr>
              <w:t>Change Due</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7"/>
                <w:szCs w:val="17"/>
                <w:color w:val="auto"/>
              </w:rPr>
              <w:t>Change Due</w:t>
            </w:r>
          </w:p>
        </w:tc>
        <w:tc>
          <w:tcPr>
            <w:tcW w:w="100" w:type="dxa"/>
            <w:vAlign w:val="bottom"/>
          </w:tcPr>
          <w:p>
            <w:pPr>
              <w:spacing w:after="0"/>
              <w:rPr>
                <w:sz w:val="13"/>
                <w:szCs w:val="13"/>
                <w:color w:val="auto"/>
              </w:rPr>
            </w:pPr>
          </w:p>
        </w:tc>
      </w:tr>
      <w:tr>
        <w:trPr>
          <w:trHeight w:val="221"/>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Total Change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w w:val="96"/>
              </w:rPr>
              <w:t>to Volume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615"/>
              <w:spacing w:after="0"/>
              <w:rPr>
                <w:sz w:val="20"/>
                <w:szCs w:val="20"/>
                <w:color w:val="auto"/>
              </w:rPr>
            </w:pPr>
            <w:r>
              <w:rPr>
                <w:rFonts w:ascii="Times New Roman" w:cs="Times New Roman" w:eastAsia="Times New Roman" w:hAnsi="Times New Roman"/>
                <w:sz w:val="17"/>
                <w:szCs w:val="17"/>
                <w:color w:val="auto"/>
              </w:rPr>
              <w:t>to Rate</w:t>
            </w:r>
          </w:p>
        </w:tc>
      </w:tr>
      <w:tr>
        <w:trPr>
          <w:trHeight w:val="197"/>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24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16,325</w:t>
            </w: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20,912</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tcBorders>
              <w:top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Taxable investment securities</w:t>
            </w: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Pr>
          <w:p>
            <w:pPr>
              <w:spacing w:after="0"/>
              <w:rPr>
                <w:sz w:val="17"/>
                <w:szCs w:val="17"/>
                <w:color w:val="auto"/>
              </w:rPr>
            </w:pPr>
          </w:p>
        </w:tc>
      </w:tr>
      <w:tr>
        <w:trPr>
          <w:trHeight w:val="204"/>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Tax-exempt investment securities</w:t>
            </w:r>
          </w:p>
        </w:tc>
        <w:tc>
          <w:tcPr>
            <w:tcW w:w="24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(82 )</w:t>
            </w:r>
          </w:p>
        </w:tc>
      </w:tr>
      <w:tr>
        <w:trPr>
          <w:trHeight w:val="204"/>
        </w:trPr>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 funds sold &amp; other</w:t>
            </w: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(98 )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7"/>
                <w:szCs w:val="17"/>
                <w:color w:val="auto"/>
              </w:rPr>
            </w:pPr>
          </w:p>
        </w:tc>
      </w:tr>
      <w:tr>
        <w:trPr>
          <w:trHeight w:val="237"/>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Interest Earning Assets</w:t>
            </w:r>
          </w:p>
        </w:tc>
        <w:tc>
          <w:tcPr>
            <w:tcW w:w="240" w:type="dxa"/>
            <w:vAlign w:val="bottom"/>
            <w:tcBorders>
              <w:bottom w:val="single" w:sz="8" w:color="CFF0FC"/>
            </w:tcBorders>
            <w:shd w:val="clear" w:color="auto" w:fill="CFF0FC"/>
          </w:tcPr>
          <w:p>
            <w:pPr>
              <w:spacing w:after="0"/>
              <w:rPr>
                <w:sz w:val="20"/>
                <w:szCs w:val="20"/>
                <w:color w:val="auto"/>
              </w:rPr>
            </w:pPr>
          </w:p>
        </w:tc>
        <w:tc>
          <w:tcPr>
            <w:tcW w:w="26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17,240</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21,430</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-23495</wp:posOffset>
            </wp:positionV>
            <wp:extent cx="7302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-7620</wp:posOffset>
            </wp:positionV>
            <wp:extent cx="7302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302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-23495</wp:posOffset>
            </wp:positionV>
            <wp:extent cx="6477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6477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-23495</wp:posOffset>
            </wp:positionV>
            <wp:extent cx="6477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-7620</wp:posOffset>
            </wp:positionV>
            <wp:extent cx="6477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4770" cy="8255"/>
                    </a:xfrm>
                    <a:prstGeom prst="rect">
                      <a:avLst/>
                    </a:prstGeom>
                    <a:noFill/>
                  </pic:spPr>
                </pic:pic>
              </a:graphicData>
            </a:graphic>
          </wp:anchor>
        </w:drawing>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79" w:lineRule="exact"/>
        <w:rPr>
          <w:sz w:val="20"/>
          <w:szCs w:val="20"/>
          <w:color w:val="auto"/>
        </w:rPr>
      </w:pPr>
    </w:p>
    <w:p>
      <w:pPr>
        <w:jc w:val="both"/>
        <w:ind w:left="760" w:right="60"/>
        <w:spacing w:after="0" w:line="267" w:lineRule="auto"/>
        <w:rPr>
          <w:sz w:val="20"/>
          <w:szCs w:val="20"/>
          <w:color w:val="auto"/>
        </w:rPr>
      </w:pPr>
      <w:r>
        <w:rPr>
          <w:rFonts w:ascii="Times New Roman" w:cs="Times New Roman" w:eastAsia="Times New Roman" w:hAnsi="Times New Roman"/>
          <w:sz w:val="17"/>
          <w:szCs w:val="17"/>
          <w:color w:val="auto"/>
        </w:rPr>
        <w:t>Interest expense was higher for the first nine months of 2022 compared to the first nine months of 2021. At $7.4 million, the first nine months of 2022 was up $2.5 million as compared to the same time period 2021 or 49.9%.</w:t>
      </w:r>
    </w:p>
    <w:p>
      <w:pPr>
        <w:spacing w:after="0" w:line="127" w:lineRule="exact"/>
        <w:rPr>
          <w:sz w:val="20"/>
          <w:szCs w:val="20"/>
          <w:color w:val="auto"/>
        </w:rPr>
      </w:pPr>
    </w:p>
    <w:p>
      <w:pPr>
        <w:jc w:val="both"/>
        <w:ind w:left="760" w:right="60"/>
        <w:spacing w:after="0" w:line="247" w:lineRule="auto"/>
        <w:rPr>
          <w:sz w:val="20"/>
          <w:szCs w:val="20"/>
          <w:color w:val="auto"/>
        </w:rPr>
      </w:pPr>
      <w:r>
        <w:rPr>
          <w:rFonts w:ascii="Times New Roman" w:cs="Times New Roman" w:eastAsia="Times New Roman" w:hAnsi="Times New Roman"/>
          <w:sz w:val="17"/>
          <w:szCs w:val="17"/>
          <w:color w:val="auto"/>
        </w:rPr>
        <w:t>The average balance of interest-bearing liabilities was higher by $475.6 million in 2022 than the first nine months of 2021. Interest bearing deposits increased $400.2 million while Fed Funds purchased and securities sold under agreement to repurchase increased by a combined $12.6 million. Other borrowed money and subordinated notes increased $36.3 million and $26.5 million, respectively as compared to a year ago. The higher balance coupled with the slight variation of the balance sheet mix, resulted in a 6 basis point increase in the cost of funds at 0.53% for the first nine months of 2022 as compared to 2021’s 0.47%. Liabilities assumed from OFSI and PFSB can be seen in Note 2.</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change chart below shows the increased cost was driven more by volume than rate.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center"/>
              <w:ind w:left="195"/>
              <w:spacing w:after="0"/>
              <w:rPr>
                <w:sz w:val="20"/>
                <w:szCs w:val="20"/>
                <w:color w:val="auto"/>
              </w:rPr>
            </w:pPr>
            <w:r>
              <w:rPr>
                <w:rFonts w:ascii="Times New Roman" w:cs="Times New Roman" w:eastAsia="Times New Roman" w:hAnsi="Times New Roman"/>
                <w:sz w:val="17"/>
                <w:szCs w:val="17"/>
                <w:color w:val="auto"/>
                <w:w w:val="98"/>
              </w:rPr>
              <w:t>(In Thousands)</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gridSpan w:val="6"/>
            <w:vMerge w:val="restart"/>
          </w:tcPr>
          <w:p>
            <w:pPr>
              <w:jc w:val="right"/>
              <w:ind w:right="1060"/>
              <w:spacing w:after="0"/>
              <w:rPr>
                <w:sz w:val="20"/>
                <w:szCs w:val="20"/>
                <w:color w:val="auto"/>
              </w:rPr>
            </w:pPr>
            <w:r>
              <w:rPr>
                <w:rFonts w:ascii="Times New Roman" w:cs="Times New Roman" w:eastAsia="Times New Roman" w:hAnsi="Times New Roman"/>
                <w:sz w:val="17"/>
                <w:szCs w:val="17"/>
                <w:color w:val="auto"/>
              </w:rPr>
              <w:t>Annualized Yield/Rate</w:t>
            </w:r>
          </w:p>
        </w:tc>
        <w:tc>
          <w:tcPr>
            <w:tcW w:w="0" w:type="dxa"/>
            <w:vAlign w:val="bottom"/>
          </w:tcPr>
          <w:p>
            <w:pPr>
              <w:spacing w:after="0"/>
              <w:rPr>
                <w:sz w:val="1"/>
                <w:szCs w:val="1"/>
                <w:color w:val="auto"/>
              </w:rPr>
            </w:pPr>
          </w:p>
        </w:tc>
      </w:tr>
      <w:tr>
        <w:trPr>
          <w:trHeight w:val="19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00" w:type="dxa"/>
            <w:vAlign w:val="bottom"/>
          </w:tcPr>
          <w:p>
            <w:pPr>
              <w:spacing w:after="0"/>
              <w:rPr>
                <w:sz w:val="17"/>
                <w:szCs w:val="17"/>
                <w:color w:val="auto"/>
              </w:rPr>
            </w:pPr>
          </w:p>
        </w:tc>
        <w:tc>
          <w:tcPr>
            <w:tcW w:w="3220" w:type="dxa"/>
            <w:vAlign w:val="bottom"/>
            <w:gridSpan w:val="4"/>
          </w:tcPr>
          <w:p>
            <w:pPr>
              <w:jc w:val="center"/>
              <w:ind w:left="195"/>
              <w:spacing w:after="0"/>
              <w:rPr>
                <w:sz w:val="20"/>
                <w:szCs w:val="20"/>
                <w:color w:val="auto"/>
              </w:rPr>
            </w:pPr>
            <w:r>
              <w:rPr>
                <w:rFonts w:ascii="Times New Roman" w:cs="Times New Roman" w:eastAsia="Times New Roman" w:hAnsi="Times New Roman"/>
                <w:sz w:val="17"/>
                <w:szCs w:val="17"/>
                <w:color w:val="auto"/>
                <w:w w:val="99"/>
              </w:rPr>
              <w:t>Year to Date Ended September 30, 2022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Average Balance</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Interest</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September 30, 2022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September 30, 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Savings deposits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1,315,793</w:t>
            </w:r>
          </w:p>
        </w:tc>
        <w:tc>
          <w:tcPr>
            <w:tcW w:w="100" w:type="dxa"/>
            <w:vAlign w:val="bottom"/>
          </w:tcPr>
          <w:p>
            <w:pPr>
              <w:spacing w:after="0"/>
              <w:rPr>
                <w:sz w:val="17"/>
                <w:szCs w:val="17"/>
                <w:color w:val="auto"/>
              </w:rPr>
            </w:pPr>
          </w:p>
        </w:tc>
        <w:tc>
          <w:tcPr>
            <w:tcW w:w="1540" w:type="dxa"/>
            <w:vAlign w:val="bottom"/>
            <w:gridSpan w:val="2"/>
          </w:tcPr>
          <w:p>
            <w:pPr>
              <w:jc w:val="right"/>
              <w:ind w:right="119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12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time deposits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439,534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0.59 %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borrowed money</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2.34 %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 funds purchased &amp; securities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sold under agreement to repurchase</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2.30 %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notes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3.23 %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Bearing Liabilities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1,886,604</w:t>
            </w:r>
          </w:p>
        </w:tc>
        <w:tc>
          <w:tcPr>
            <w:tcW w:w="260" w:type="dxa"/>
            <w:vAlign w:val="bottom"/>
            <w:gridSpan w:val="2"/>
          </w:tcPr>
          <w:p>
            <w:pPr>
              <w:spacing w:after="0"/>
              <w:rPr>
                <w:sz w:val="17"/>
                <w:szCs w:val="17"/>
                <w:color w:val="auto"/>
              </w:rPr>
            </w:pP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7,427</w:t>
            </w:r>
          </w:p>
        </w:tc>
        <w:tc>
          <w:tcPr>
            <w:tcW w:w="2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0.53 %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0.47 %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gridSpan w:val="3"/>
          </w:tcPr>
          <w:p>
            <w:pPr>
              <w:jc w:val="center"/>
              <w:ind w:right="1195"/>
              <w:spacing w:after="0"/>
              <w:rPr>
                <w:sz w:val="20"/>
                <w:szCs w:val="20"/>
                <w:color w:val="auto"/>
              </w:rPr>
            </w:pPr>
            <w:r>
              <w:rPr>
                <w:rFonts w:ascii="Times New Roman" w:cs="Times New Roman" w:eastAsia="Times New Roman" w:hAnsi="Times New Roman"/>
                <w:sz w:val="17"/>
                <w:szCs w:val="17"/>
                <w:color w:val="auto"/>
                <w:w w:val="93"/>
              </w:rPr>
              <w:t>65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-1459865</wp:posOffset>
            </wp:positionV>
            <wp:extent cx="7139940" cy="1295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-1200150</wp:posOffset>
            </wp:positionV>
            <wp:extent cx="7139940" cy="1295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-940435</wp:posOffset>
            </wp:positionV>
            <wp:extent cx="7139940" cy="1295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-672465</wp:posOffset>
            </wp:positionV>
            <wp:extent cx="7139940" cy="1543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9940" cy="15430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00"/>
          </w:cols>
          <w:pgMar w:left="320" w:top="302" w:right="279" w:bottom="1440" w:gutter="0" w:footer="0" w:header="0"/>
        </w:sectPr>
      </w:pPr>
    </w:p>
    <w:bookmarkStart w:id="65" w:name="page66"/>
    <w:bookmarkEnd w:id="65"/>
    <w:tbl>
      <w:tblPr>
        <w:tblLayout w:type="fixed"/>
        <w:tblInd w:w="360" w:type="dxa"/>
        <w:tblCellMar>
          <w:top w:w="0" w:type="dxa"/>
          <w:left w:w="0" w:type="dxa"/>
          <w:bottom w:w="0" w:type="dxa"/>
          <w:right w:w="0" w:type="dxa"/>
        </w:tblCellMar>
      </w:tblPr>
      <w:tr>
        <w:trPr>
          <w:trHeight w:val="195"/>
        </w:trPr>
        <w:tc>
          <w:tcPr>
            <w:tcW w:w="8140" w:type="dxa"/>
            <w:vAlign w:val="bottom"/>
            <w:gridSpan w:val="11"/>
          </w:tcPr>
          <w:p>
            <w:pPr>
              <w:ind w:left="1620"/>
              <w:spacing w:after="0"/>
              <w:rPr>
                <w:sz w:val="20"/>
                <w:szCs w:val="20"/>
                <w:color w:val="auto"/>
              </w:rPr>
            </w:pPr>
            <w:r>
              <w:rPr>
                <w:rFonts w:ascii="Times New Roman" w:cs="Times New Roman" w:eastAsia="Times New Roman" w:hAnsi="Times New Roman"/>
                <w:sz w:val="17"/>
                <w:szCs w:val="17"/>
                <w:color w:val="auto"/>
                <w:w w:val="99"/>
              </w:rPr>
              <w:t>Change in Interest Expense Year to Date September 30, 2022 Compared to September 30, 2021</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4"/>
        </w:trPr>
        <w:tc>
          <w:tcPr>
            <w:tcW w:w="162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1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7"/>
                <w:szCs w:val="17"/>
                <w:color w:val="auto"/>
                <w:w w:val="99"/>
              </w:rPr>
              <w:t>Change Due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55"/>
              <w:spacing w:after="0" w:line="155" w:lineRule="exact"/>
              <w:rPr>
                <w:sz w:val="20"/>
                <w:szCs w:val="20"/>
                <w:color w:val="auto"/>
              </w:rPr>
            </w:pPr>
            <w:r>
              <w:rPr>
                <w:rFonts w:ascii="Times New Roman" w:cs="Times New Roman" w:eastAsia="Times New Roman" w:hAnsi="Times New Roman"/>
                <w:sz w:val="17"/>
                <w:szCs w:val="17"/>
                <w:color w:val="auto"/>
              </w:rPr>
              <w:t>Change Due</w:t>
            </w:r>
          </w:p>
        </w:tc>
        <w:tc>
          <w:tcPr>
            <w:tcW w:w="80" w:type="dxa"/>
            <w:vAlign w:val="bottom"/>
          </w:tcPr>
          <w:p>
            <w:pPr>
              <w:spacing w:after="0"/>
              <w:rPr>
                <w:sz w:val="13"/>
                <w:szCs w:val="13"/>
                <w:color w:val="auto"/>
              </w:rPr>
            </w:pPr>
          </w:p>
        </w:tc>
      </w:tr>
      <w:tr>
        <w:trPr>
          <w:trHeight w:val="22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Total Change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6"/>
              </w:rPr>
              <w:t>to Volume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4"/>
              </w:rPr>
              <w:t>to Rate</w:t>
            </w:r>
          </w:p>
        </w:tc>
      </w:tr>
      <w:tr>
        <w:trPr>
          <w:trHeight w:val="197"/>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Savings deposits</w:t>
            </w:r>
          </w:p>
        </w:tc>
        <w:tc>
          <w:tcPr>
            <w:tcW w:w="40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shd w:val="clear" w:color="auto" w:fill="CFF0FC"/>
          </w:tcPr>
          <w:p>
            <w:pPr>
              <w:spacing w:after="0"/>
              <w:rPr>
                <w:sz w:val="17"/>
                <w:szCs w:val="17"/>
                <w:color w:val="auto"/>
              </w:rPr>
            </w:pPr>
          </w:p>
        </w:tc>
        <w:tc>
          <w:tcPr>
            <w:tcW w:w="420" w:type="dxa"/>
            <w:vAlign w:val="bottom"/>
            <w:tcBorders>
              <w:top w:val="single" w:sz="8" w:color="auto"/>
            </w:tcBorders>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80" w:type="dxa"/>
            <w:vAlign w:val="bottom"/>
            <w:shd w:val="clear" w:color="auto" w:fill="CFF0FC"/>
          </w:tcPr>
          <w:p>
            <w:pPr>
              <w:spacing w:after="0"/>
              <w:rPr>
                <w:sz w:val="17"/>
                <w:szCs w:val="17"/>
                <w:color w:val="auto"/>
              </w:rPr>
            </w:pPr>
          </w:p>
        </w:tc>
      </w:tr>
      <w:tr>
        <w:trPr>
          <w:trHeight w:val="20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time deposits</w:t>
            </w:r>
          </w:p>
        </w:tc>
        <w:tc>
          <w:tcPr>
            <w:tcW w:w="4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(1,827 )</w:t>
            </w:r>
          </w:p>
        </w:tc>
      </w:tr>
      <w:tr>
        <w:trPr>
          <w:trHeight w:val="204"/>
        </w:trPr>
        <w:tc>
          <w:tcPr>
            <w:tcW w:w="5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borrowed money</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(335 )</w:t>
            </w:r>
          </w:p>
        </w:tc>
      </w:tr>
      <w:tr>
        <w:trPr>
          <w:trHeight w:val="20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Fed funds purchased &amp; securities</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sold under agreement to repurchase</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FF0FC"/>
          </w:tcPr>
          <w:p>
            <w:pPr>
              <w:spacing w:after="0"/>
              <w:rPr>
                <w:sz w:val="17"/>
                <w:szCs w:val="17"/>
                <w:color w:val="auto"/>
              </w:rPr>
            </w:pPr>
          </w:p>
        </w:tc>
      </w:tr>
      <w:tr>
        <w:trPr>
          <w:trHeight w:val="20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Subordinated notes</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37"/>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Interest Bearing Liabilities</w:t>
            </w:r>
          </w:p>
        </w:tc>
        <w:tc>
          <w:tcPr>
            <w:tcW w:w="4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-1212850</wp:posOffset>
            </wp:positionV>
            <wp:extent cx="1688465" cy="2851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688465" cy="28511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-23495</wp:posOffset>
            </wp:positionV>
            <wp:extent cx="5651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-7620</wp:posOffset>
            </wp:positionV>
            <wp:extent cx="5651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-23495</wp:posOffset>
            </wp:positionV>
            <wp:extent cx="5651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-7620</wp:posOffset>
            </wp:positionV>
            <wp:extent cx="5651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-23495</wp:posOffset>
            </wp:positionV>
            <wp:extent cx="5651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6515" cy="8255"/>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-7620</wp:posOffset>
            </wp:positionV>
            <wp:extent cx="5651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6515" cy="8255"/>
                    </a:xfrm>
                    <a:prstGeom prst="rect">
                      <a:avLst/>
                    </a:prstGeom>
                    <a:noFill/>
                  </pic:spPr>
                </pic:pic>
              </a:graphicData>
            </a:graphic>
          </wp:anchor>
        </w:drawing>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Overall, net interest spread figures for the first nine months of 2022 were unchanged from 2021 and down 12 basis points from 2020. Net interest margin for the first nine months of 2022 was higher than the same period of 2021 but lower than 2020. As the chart below illustrates, a slightly higher overall yield on interest earning assets was offset by the increased cost of funds resulting in total net interest margin up 1 basis point since the first nine months of 2021 and under the first nine months of 2020 by 24 basis points.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21"/>
        </w:trPr>
        <w:tc>
          <w:tcPr>
            <w:tcW w:w="4320" w:type="dxa"/>
            <w:vAlign w:val="bottom"/>
          </w:tcPr>
          <w:p>
            <w:pPr>
              <w:spacing w:after="0"/>
              <w:rPr>
                <w:sz w:val="19"/>
                <w:szCs w:val="19"/>
                <w:color w:val="auto"/>
              </w:rPr>
            </w:pPr>
          </w:p>
        </w:tc>
        <w:tc>
          <w:tcPr>
            <w:tcW w:w="162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99"/>
              </w:rPr>
              <w:t>September 30, 2022</w:t>
            </w:r>
          </w:p>
        </w:tc>
        <w:tc>
          <w:tcPr>
            <w:tcW w:w="15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w w:val="99"/>
              </w:rPr>
              <w:t>September 30, 2021</w:t>
            </w:r>
          </w:p>
        </w:tc>
        <w:tc>
          <w:tcPr>
            <w:tcW w:w="15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w w:val="99"/>
              </w:rPr>
              <w:t>September 30, 2020</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Interest/Dividend income/yield</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Expense/cost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0.53 %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0.47 %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0.95 %</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Spread</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Interest Margin</w:t>
            </w: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vMerge w:val="continue"/>
          </w:tcPr>
          <w:p>
            <w:pPr>
              <w:spacing w:after="0"/>
              <w:rPr>
                <w:sz w:val="15"/>
                <w:szCs w:val="15"/>
                <w:color w:val="auto"/>
              </w:rPr>
            </w:pPr>
          </w:p>
        </w:tc>
        <w:tc>
          <w:tcPr>
            <w:tcW w:w="16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3.37 </w:t>
            </w:r>
            <w:r>
              <w:rPr>
                <w:rFonts w:ascii="Times New Roman" w:cs="Times New Roman" w:eastAsia="Times New Roman" w:hAnsi="Times New Roman"/>
                <w:sz w:val="17"/>
                <w:szCs w:val="17"/>
                <w:color w:val="auto"/>
                <w:highlight w:val="white"/>
              </w:rPr>
              <w:t>%</w:t>
            </w:r>
          </w:p>
        </w:tc>
        <w:tc>
          <w:tcPr>
            <w:tcW w:w="15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3.36 </w:t>
            </w:r>
            <w:r>
              <w:rPr>
                <w:rFonts w:ascii="Times New Roman" w:cs="Times New Roman" w:eastAsia="Times New Roman" w:hAnsi="Times New Roman"/>
                <w:sz w:val="17"/>
                <w:szCs w:val="17"/>
                <w:color w:val="auto"/>
                <w:highlight w:val="white"/>
              </w:rPr>
              <w:t>%</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3.61 </w:t>
            </w:r>
            <w:r>
              <w:rPr>
                <w:rFonts w:ascii="Times New Roman" w:cs="Times New Roman" w:eastAsia="Times New Roman" w:hAnsi="Times New Roman"/>
                <w:sz w:val="17"/>
                <w:szCs w:val="17"/>
                <w:color w:val="auto"/>
                <w:highlight w:val="white"/>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-575310</wp:posOffset>
            </wp:positionV>
            <wp:extent cx="5711825" cy="1295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711825" cy="129540"/>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-307975</wp:posOffset>
            </wp:positionV>
            <wp:extent cx="5711825" cy="15430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711825" cy="15430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Interest Income</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Net interest income was up $14.8 million in the first nine months of 2022 over the same time frame in 2021 due to the higher interest income offset by the increase in interest expense as previously mentioned. As the new loans added in 2021 and 2022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124" w:lineRule="exact"/>
        <w:rPr>
          <w:sz w:val="20"/>
          <w:szCs w:val="20"/>
          <w:color w:val="auto"/>
        </w:rPr>
      </w:pPr>
    </w:p>
    <w:p>
      <w:pPr>
        <w:ind w:right="1860"/>
        <w:spacing w:after="0" w:line="457"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Comparison of Results of Noninterest Results of Operations for nine month period ended September 30, 2022 and 2021 </w:t>
      </w:r>
      <w:r>
        <w:rPr>
          <w:rFonts w:ascii="Times New Roman" w:cs="Times New Roman" w:eastAsia="Times New Roman" w:hAnsi="Times New Roman"/>
          <w:sz w:val="17"/>
          <w:szCs w:val="17"/>
          <w:b w:val="1"/>
          <w:bCs w:val="1"/>
          <w:color w:val="auto"/>
        </w:rPr>
        <w:t>Provision Expense</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Total provision for loan losses was $845 thousand higher for the first nine months 2022 than for the first nine months 2021 attributable primarily to growth in the loan portfolio. There is still some lingering uncertainty regarding COVID-19;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remains unknown. Increases to the Bank’s ALLL for the first nine months of 2022, centered around current customers and businesses that are particularly vulnerable and qualitative factors were adjusted accordingly. Management continues to monitor asset quality, making adjustments to the provision as necessary. Loan charge-offs were $820 thousand lower in the first nine months of 2022 compared to the same period 2021. Recoveries were $57 thousand higher in the first nine months of 2022 as compared to first nine months of 2021. Combined net charge-offs were $877 thousand lower in the nine months ended September 2022 as compared to the same time period 2021. Management continues to evaluate the potential financial implications resulting from COVID-19 and adjusts ALLL qualitative factors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780" w:right="3560" w:hanging="1229"/>
        <w:spacing w:after="0" w:line="879" w:lineRule="auto"/>
        <w:tabs>
          <w:tab w:leader="none" w:pos="365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Remainder of this page intentionally left blank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-278130</wp:posOffset>
            </wp:positionV>
            <wp:extent cx="7165340" cy="4191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302" w:right="339" w:bottom="1440" w:gutter="0" w:footer="0" w:header="0"/>
        </w:sectPr>
      </w:pPr>
    </w:p>
    <w:bookmarkStart w:id="66" w:name="page67"/>
    <w:bookmarkEnd w:id="66"/>
    <w:p>
      <w:pPr>
        <w:jc w:val="both"/>
        <w:ind w:left="760" w:right="60"/>
        <w:spacing w:after="0" w:line="251" w:lineRule="auto"/>
        <w:rPr>
          <w:sz w:val="20"/>
          <w:szCs w:val="20"/>
          <w:color w:val="auto"/>
        </w:rPr>
      </w:pPr>
      <w:r>
        <w:rPr>
          <w:rFonts w:ascii="Times New Roman" w:cs="Times New Roman" w:eastAsia="Times New Roman" w:hAnsi="Times New Roman"/>
          <w:sz w:val="17"/>
          <w:szCs w:val="17"/>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nine months ended September 30, 2022,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3"/>
          </w:tcPr>
          <w:p>
            <w:pPr>
              <w:jc w:val="right"/>
              <w:ind w:right="540"/>
              <w:spacing w:after="0" w:line="155" w:lineRule="exact"/>
              <w:rPr>
                <w:sz w:val="20"/>
                <w:szCs w:val="20"/>
                <w:color w:val="auto"/>
              </w:rPr>
            </w:pPr>
            <w:r>
              <w:rPr>
                <w:rFonts w:ascii="Times New Roman" w:cs="Times New Roman" w:eastAsia="Times New Roman" w:hAnsi="Times New Roman"/>
                <w:sz w:val="17"/>
                <w:szCs w:val="17"/>
                <w:color w:val="auto"/>
              </w:rPr>
              <w:t>Nine Months Ended</w:t>
            </w:r>
          </w:p>
        </w:tc>
        <w:tc>
          <w:tcPr>
            <w:tcW w:w="200" w:type="dxa"/>
            <w:vAlign w:val="bottom"/>
          </w:tcPr>
          <w:p>
            <w:pPr>
              <w:spacing w:after="0"/>
              <w:rPr>
                <w:sz w:val="13"/>
                <w:szCs w:val="13"/>
                <w:color w:val="auto"/>
              </w:rPr>
            </w:pPr>
          </w:p>
        </w:tc>
        <w:tc>
          <w:tcPr>
            <w:tcW w:w="2000" w:type="dxa"/>
            <w:vAlign w:val="bottom"/>
            <w:gridSpan w:val="3"/>
          </w:tcPr>
          <w:p>
            <w:pPr>
              <w:jc w:val="right"/>
              <w:ind w:right="540"/>
              <w:spacing w:after="0" w:line="155" w:lineRule="exact"/>
              <w:rPr>
                <w:sz w:val="20"/>
                <w:szCs w:val="20"/>
                <w:color w:val="auto"/>
              </w:rPr>
            </w:pPr>
            <w:r>
              <w:rPr>
                <w:rFonts w:ascii="Times New Roman" w:cs="Times New Roman" w:eastAsia="Times New Roman" w:hAnsi="Times New Roman"/>
                <w:sz w:val="17"/>
                <w:szCs w:val="17"/>
                <w:color w:val="auto"/>
              </w:rPr>
              <w:t>Nine Months Ended</w:t>
            </w:r>
          </w:p>
        </w:tc>
        <w:tc>
          <w:tcPr>
            <w:tcW w:w="200" w:type="dxa"/>
            <w:vAlign w:val="bottom"/>
          </w:tcPr>
          <w:p>
            <w:pPr>
              <w:spacing w:after="0"/>
              <w:rPr>
                <w:sz w:val="13"/>
                <w:szCs w:val="13"/>
                <w:color w:val="auto"/>
              </w:rPr>
            </w:pPr>
          </w:p>
        </w:tc>
        <w:tc>
          <w:tcPr>
            <w:tcW w:w="174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7"/>
                <w:szCs w:val="17"/>
                <w:color w:val="auto"/>
              </w:rPr>
              <w:t>Nine Months Ended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color w:val="auto"/>
              </w:rPr>
              <w:t>September 30, 2022</w:t>
            </w:r>
          </w:p>
        </w:tc>
        <w:tc>
          <w:tcPr>
            <w:tcW w:w="200" w:type="dxa"/>
            <w:vAlign w:val="bottom"/>
          </w:tcPr>
          <w:p>
            <w:pPr>
              <w:spacing w:after="0"/>
              <w:rPr>
                <w:sz w:val="19"/>
                <w:szCs w:val="19"/>
                <w:color w:val="auto"/>
              </w:rPr>
            </w:pPr>
          </w:p>
        </w:tc>
        <w:tc>
          <w:tcPr>
            <w:tcW w:w="200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September 30, 2021</w:t>
            </w:r>
          </w:p>
        </w:tc>
        <w:tc>
          <w:tcPr>
            <w:tcW w:w="200" w:type="dxa"/>
            <w:vAlign w:val="bottom"/>
          </w:tcPr>
          <w:p>
            <w:pPr>
              <w:spacing w:after="0"/>
              <w:rPr>
                <w:sz w:val="19"/>
                <w:szCs w:val="19"/>
                <w:color w:val="auto"/>
              </w:rPr>
            </w:pPr>
          </w:p>
        </w:tc>
        <w:tc>
          <w:tcPr>
            <w:tcW w:w="19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September 30, 2020</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Loans, net of deferred fees and costs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2,142,616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1,495,562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1,363,862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Daily average of outstanding loans</w:t>
            </w: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1,997,081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1,413,625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1,305,998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Nonaccrual loans</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5,470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6,248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7,870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Nonperforming loans*</w:t>
            </w: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5,470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6,248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7,870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Loan Losses - January 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 Charged off:</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Consumer Real Estate</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Agriculture Real Estate</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Agricultural</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Commercial Real Estate</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 Recoveries:</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Consumer Real Estate</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Agriculture Real Estate</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Agricultural</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Commercial Real Estate</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Net Charge Offs (Recoveries):</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Consumer Real Estate</w:t>
            </w: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Agriculture Real Estate</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Agricultural</w:t>
            </w: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Commercial Real Estate</w:t>
            </w:r>
          </w:p>
        </w:tc>
        <w:tc>
          <w:tcPr>
            <w:tcW w:w="18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Provision for loan loss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7"/>
                <w:szCs w:val="17"/>
                <w:color w:val="auto"/>
              </w:rPr>
              <w:t>Acquisition provision for loan loss</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Loan &amp; Lease Losses - September 30,</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7"/>
                <w:szCs w:val="17"/>
                <w:color w:val="auto"/>
              </w:rPr>
              <w:t>Allowance for Unfunded Loan Commitments</w:t>
            </w:r>
          </w:p>
        </w:tc>
        <w:tc>
          <w:tcPr>
            <w:tcW w:w="180" w:type="dxa"/>
            <w:vAlign w:val="bottom"/>
            <w:shd w:val="clear" w:color="auto" w:fill="CFF0FC"/>
          </w:tcPr>
          <w:p>
            <w:pPr>
              <w:spacing w:after="0"/>
              <w:rPr>
                <w:sz w:val="14"/>
                <w:szCs w:val="14"/>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&amp; Letters of Credit - September 30,</w:t>
            </w: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Allowance for Credit Losses - September 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Ratio of Net Charge-offs to Average Outstanding Loans</w:t>
            </w: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0.00</w:t>
            </w:r>
          </w:p>
        </w:tc>
        <w:tc>
          <w:tcPr>
            <w:tcW w:w="26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0.07</w:t>
            </w:r>
          </w:p>
        </w:tc>
        <w:tc>
          <w:tcPr>
            <w:tcW w:w="26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0.03</w:t>
            </w:r>
          </w:p>
        </w:tc>
        <w:tc>
          <w:tcPr>
            <w:tcW w:w="1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Ratio of Nonaccrual Loans to Loans</w:t>
            </w:r>
          </w:p>
        </w:tc>
        <w:tc>
          <w:tcPr>
            <w:tcW w:w="180" w:type="dxa"/>
            <w:vAlign w:val="bottom"/>
          </w:tcPr>
          <w:p>
            <w:pPr>
              <w:spacing w:after="0"/>
              <w:rPr>
                <w:sz w:val="15"/>
                <w:szCs w:val="15"/>
                <w:color w:val="auto"/>
              </w:rPr>
            </w:pPr>
          </w:p>
        </w:tc>
        <w:tc>
          <w:tcPr>
            <w:tcW w:w="2020" w:type="dxa"/>
            <w:vAlign w:val="bottom"/>
            <w:gridSpan w:val="3"/>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 xml:space="preserve">0.26 </w:t>
            </w:r>
            <w:r>
              <w:rPr>
                <w:rFonts w:ascii="Times New Roman" w:cs="Times New Roman" w:eastAsia="Times New Roman" w:hAnsi="Times New Roman"/>
                <w:sz w:val="17"/>
                <w:szCs w:val="17"/>
                <w:color w:val="auto"/>
                <w:highlight w:val="white"/>
              </w:rPr>
              <w:t>%</w:t>
            </w:r>
          </w:p>
        </w:tc>
        <w:tc>
          <w:tcPr>
            <w:tcW w:w="200" w:type="dxa"/>
            <w:vAlign w:val="bottom"/>
          </w:tcPr>
          <w:p>
            <w:pPr>
              <w:spacing w:after="0"/>
              <w:rPr>
                <w:sz w:val="15"/>
                <w:szCs w:val="15"/>
                <w:color w:val="auto"/>
              </w:rPr>
            </w:pPr>
          </w:p>
        </w:tc>
        <w:tc>
          <w:tcPr>
            <w:tcW w:w="2000" w:type="dxa"/>
            <w:vAlign w:val="bottom"/>
            <w:gridSpan w:val="3"/>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 xml:space="preserve">0.42 </w:t>
            </w:r>
            <w:r>
              <w:rPr>
                <w:rFonts w:ascii="Times New Roman" w:cs="Times New Roman" w:eastAsia="Times New Roman" w:hAnsi="Times New Roman"/>
                <w:sz w:val="17"/>
                <w:szCs w:val="17"/>
                <w:color w:val="auto"/>
                <w:highlight w:val="white"/>
              </w:rPr>
              <w:t>%</w:t>
            </w:r>
          </w:p>
        </w:tc>
        <w:tc>
          <w:tcPr>
            <w:tcW w:w="200" w:type="dxa"/>
            <w:vAlign w:val="bottom"/>
          </w:tcPr>
          <w:p>
            <w:pPr>
              <w:spacing w:after="0"/>
              <w:rPr>
                <w:sz w:val="15"/>
                <w:szCs w:val="15"/>
                <w:color w:val="auto"/>
              </w:rPr>
            </w:pPr>
          </w:p>
        </w:tc>
        <w:tc>
          <w:tcPr>
            <w:tcW w:w="19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7"/>
                <w:szCs w:val="17"/>
                <w:color w:val="auto"/>
              </w:rPr>
              <w:t xml:space="preserve">0.58 </w:t>
            </w:r>
            <w:r>
              <w:rPr>
                <w:rFonts w:ascii="Times New Roman" w:cs="Times New Roman" w:eastAsia="Times New Roman" w:hAnsi="Times New Roman"/>
                <w:sz w:val="17"/>
                <w:szCs w:val="17"/>
                <w:color w:val="auto"/>
                <w:highlight w:val="white"/>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Ratio of the Allowance for Loan &amp; Lease Losses to Loans</w:t>
            </w: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0.93</w:t>
            </w:r>
          </w:p>
        </w:tc>
        <w:tc>
          <w:tcPr>
            <w:tcW w:w="26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1.05</w:t>
            </w:r>
          </w:p>
        </w:tc>
        <w:tc>
          <w:tcPr>
            <w:tcW w:w="260" w:type="dxa"/>
            <w:vAlign w:val="bottom"/>
            <w:gridSpan w:val="2"/>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0.87</w:t>
            </w:r>
          </w:p>
        </w:tc>
        <w:tc>
          <w:tcPr>
            <w:tcW w:w="1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Ratio of the Allowance for Loan &amp; Lease Losses to Nonaccrual</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365.44 %</w:t>
            </w:r>
          </w:p>
        </w:tc>
        <w:tc>
          <w:tcPr>
            <w:tcW w:w="200" w:type="dxa"/>
            <w:vAlign w:val="bottom"/>
          </w:tcPr>
          <w:p>
            <w:pPr>
              <w:spacing w:after="0"/>
              <w:rPr>
                <w:sz w:val="12"/>
                <w:szCs w:val="12"/>
                <w:color w:val="auto"/>
              </w:rPr>
            </w:pPr>
          </w:p>
        </w:tc>
        <w:tc>
          <w:tcPr>
            <w:tcW w:w="2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251.26 %</w:t>
            </w:r>
          </w:p>
        </w:tc>
        <w:tc>
          <w:tcPr>
            <w:tcW w:w="200" w:type="dxa"/>
            <w:vAlign w:val="bottom"/>
          </w:tcPr>
          <w:p>
            <w:pPr>
              <w:spacing w:after="0"/>
              <w:rPr>
                <w:sz w:val="12"/>
                <w:szCs w:val="12"/>
                <w:color w:val="auto"/>
              </w:rPr>
            </w:pPr>
          </w:p>
        </w:tc>
        <w:tc>
          <w:tcPr>
            <w:tcW w:w="1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151.01 %</w:t>
            </w: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Loans</w:t>
            </w:r>
          </w:p>
        </w:tc>
        <w:tc>
          <w:tcPr>
            <w:tcW w:w="18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Ratio of the Allowance for Loan &amp; Lease Losses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365.44 %</w:t>
            </w:r>
          </w:p>
        </w:tc>
        <w:tc>
          <w:tcPr>
            <w:tcW w:w="200" w:type="dxa"/>
            <w:vAlign w:val="bottom"/>
          </w:tcPr>
          <w:p>
            <w:pPr>
              <w:spacing w:after="0"/>
              <w:rPr>
                <w:sz w:val="12"/>
                <w:szCs w:val="12"/>
                <w:color w:val="auto"/>
              </w:rPr>
            </w:pPr>
          </w:p>
        </w:tc>
        <w:tc>
          <w:tcPr>
            <w:tcW w:w="2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251.26 %</w:t>
            </w:r>
          </w:p>
        </w:tc>
        <w:tc>
          <w:tcPr>
            <w:tcW w:w="200" w:type="dxa"/>
            <w:vAlign w:val="bottom"/>
          </w:tcPr>
          <w:p>
            <w:pPr>
              <w:spacing w:after="0"/>
              <w:rPr>
                <w:sz w:val="12"/>
                <w:szCs w:val="12"/>
                <w:color w:val="auto"/>
              </w:rPr>
            </w:pPr>
          </w:p>
        </w:tc>
        <w:tc>
          <w:tcPr>
            <w:tcW w:w="1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151.01 %</w:t>
            </w:r>
          </w:p>
        </w:tc>
        <w:tc>
          <w:tcPr>
            <w:tcW w:w="0" w:type="dxa"/>
            <w:vAlign w:val="bottom"/>
          </w:tcPr>
          <w:p>
            <w:pPr>
              <w:spacing w:after="0"/>
              <w:rPr>
                <w:sz w:val="1"/>
                <w:szCs w:val="1"/>
                <w:color w:val="auto"/>
              </w:rPr>
            </w:pPr>
          </w:p>
        </w:tc>
      </w:tr>
      <w:tr>
        <w:trPr>
          <w:trHeight w:val="183"/>
        </w:trPr>
        <w:tc>
          <w:tcPr>
            <w:tcW w:w="480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Nonperforming Loans*</w:t>
            </w:r>
          </w:p>
        </w:tc>
        <w:tc>
          <w:tcPr>
            <w:tcW w:w="18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-5646420</wp:posOffset>
            </wp:positionV>
            <wp:extent cx="2863850" cy="1784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863850" cy="17843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-5337810</wp:posOffset>
            </wp:positionV>
            <wp:extent cx="2863850" cy="1784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863850" cy="17843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-3990975</wp:posOffset>
            </wp:positionV>
            <wp:extent cx="73025" cy="1460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-3990975</wp:posOffset>
            </wp:positionV>
            <wp:extent cx="73025" cy="1460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-3990975</wp:posOffset>
            </wp:positionV>
            <wp:extent cx="64770" cy="1460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4770" cy="14605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-2936240</wp:posOffset>
            </wp:positionV>
            <wp:extent cx="73025" cy="1460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-2936240</wp:posOffset>
            </wp:positionV>
            <wp:extent cx="73025" cy="1460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3025" cy="14605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-2936240</wp:posOffset>
            </wp:positionV>
            <wp:extent cx="64770" cy="1460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4770" cy="14605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-1881505</wp:posOffset>
            </wp:positionV>
            <wp:extent cx="73025" cy="26797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3025" cy="26797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-1881505</wp:posOffset>
            </wp:positionV>
            <wp:extent cx="73025" cy="26797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3025" cy="267970"/>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-1881505</wp:posOffset>
            </wp:positionV>
            <wp:extent cx="64770" cy="26797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4770" cy="26797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-1483995</wp:posOffset>
            </wp:positionV>
            <wp:extent cx="73025" cy="13779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-1483995</wp:posOffset>
            </wp:positionV>
            <wp:extent cx="73025" cy="13779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3025" cy="137795"/>
                    </a:xfrm>
                    <a:prstGeom prst="rect">
                      <a:avLst/>
                    </a:prstGeom>
                    <a:noFill/>
                  </pic:spPr>
                </pic:pic>
              </a:graphicData>
            </a:graphic>
          </wp:anchor>
        </w:drawing>
        <w:drawing>
          <wp:anchor simplePos="0" relativeHeight="251657728" behindDoc="1" locked="0" layoutInCell="0" allowOverlap="1">
            <wp:simplePos x="0" y="0"/>
            <wp:positionH relativeFrom="column">
              <wp:posOffset>7076440</wp:posOffset>
            </wp:positionH>
            <wp:positionV relativeFrom="paragraph">
              <wp:posOffset>-1483995</wp:posOffset>
            </wp:positionV>
            <wp:extent cx="64770" cy="13779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4770" cy="137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-1110615</wp:posOffset>
            </wp:positionV>
            <wp:extent cx="7139940" cy="31623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39940" cy="3162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-640080</wp:posOffset>
            </wp:positionV>
            <wp:extent cx="7139940" cy="640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39940" cy="640715"/>
                    </a:xfrm>
                    <a:prstGeom prst="rect">
                      <a:avLst/>
                    </a:prstGeom>
                    <a:noFill/>
                  </pic:spPr>
                </pic:pic>
              </a:graphicData>
            </a:graphic>
          </wp:anchor>
        </w:drawing>
      </w:r>
    </w:p>
    <w:p>
      <w:pPr>
        <w:spacing w:after="0" w:line="155" w:lineRule="exact"/>
        <w:rPr>
          <w:sz w:val="20"/>
          <w:szCs w:val="20"/>
          <w:color w:val="auto"/>
        </w:rPr>
      </w:pPr>
    </w:p>
    <w:p>
      <w:pPr>
        <w:ind w:left="5540" w:right="2820" w:hanging="4788"/>
        <w:spacing w:after="0" w:line="879" w:lineRule="auto"/>
        <w:tabs>
          <w:tab w:leader="none" w:pos="8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loans are defined as all loans on nonaccrual, plus any loans 90 days past due not on nonaccrual.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-286385</wp:posOffset>
            </wp:positionV>
            <wp:extent cx="7165340" cy="4191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00"/>
          </w:cols>
          <w:pgMar w:left="320" w:top="494" w:right="2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Noninterest income for the first nine months of 2022 decreased over the first nine months of 2021 by $1.7 million. Gain on sale of loans showed a $1.6 million decrease over the first nine months of 2021. Combined service fees decreased by $231 thousand with increased debit card income of $133 thousand and bank owned life insurance cash surrender value increases of $17 thousand. Servicing rights income decreased by $634 thousand. Service charge income decreased by $6 thousand while overdraft and returned check income increased by $390 thousand. The Company did sell some of its available-for-sale securities in the first nine months of 2021 and recognized a gain of $293 thousand that was not repeated in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Through the first nine months of 2022, noninterest expenses were $459 thousand higher than in the first nine months of 2021. Third party related acquisition costs decreased $2.1 million for the first nine months of 2022 compared to the first nine months of 2021. The nine months of 2022 included an increase of $1.9 million in salaries and wages partially offset by a decrease of $538 thousand in employee benefits.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Data processing fees were $442 thousand lower than last year. This is a result of acquisition related data processing fees of $939 thousand incurred during the first nine months of 2021 that were not repeated in 2022. Acquisition related consulting fees decreased $349 thousand during the first nine months of 2022. This contributed to overall consulting fees decreasing $208 thousand during that same period. FDIC assessment expense decreased by $153 thousand due to a decreased assessment rate that has offset an increased assessment base. Legal fees decreased $238 thousand over 2021.</w:t>
      </w:r>
    </w:p>
    <w:p>
      <w:pPr>
        <w:spacing w:after="0" w:line="12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Ohio Financial Institution Tax increased $317 thousand in the first nine months of 2022 due to overall growth. General and administrative expenses increased $402 thousand over the first nine months of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Income tax expense was $2.3 million higher for the first nine months of 2022 compared to the first nine months of 2021. Effective tax rates were 19.80% and 20.20% for the first nine months of 2022 and 2021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Overall, net income through the first nine months of 2022 was up $9.5 million as compared to the first nine months of 2021. Increased interest income of $17.2 million partially offset by increased interest expense was the largest contributor to the increased net income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60325</wp:posOffset>
            </wp:positionV>
            <wp:extent cx="7165340" cy="419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31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color w:val="auto"/>
        </w:rPr>
        <w:t>FORWARD LOOKING STATEMENTS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68580</wp:posOffset>
            </wp:positionV>
            <wp:extent cx="7165340" cy="419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480"/>
          </w:cols>
          <w:pgMar w:left="1080" w:top="31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ITEM 3 QUALITATIVE AND QUANTITATIVE DISCLOSURES ABOUT MARKET RISK</w:t>
      </w:r>
    </w:p>
    <w:p>
      <w:pPr>
        <w:spacing w:after="0" w:line="201" w:lineRule="exact"/>
        <w:rPr>
          <w:sz w:val="20"/>
          <w:szCs w:val="20"/>
          <w:color w:val="auto"/>
        </w:rPr>
      </w:pPr>
    </w:p>
    <w:p>
      <w:pPr>
        <w:jc w:val="both"/>
        <w:ind w:left="760"/>
        <w:spacing w:after="0" w:line="247" w:lineRule="auto"/>
        <w:rPr>
          <w:sz w:val="20"/>
          <w:szCs w:val="20"/>
          <w:color w:val="auto"/>
        </w:rPr>
      </w:pPr>
      <w:r>
        <w:rPr>
          <w:rFonts w:ascii="Times New Roman" w:cs="Times New Roman" w:eastAsia="Times New Roman" w:hAnsi="Times New Roman"/>
          <w:sz w:val="17"/>
          <w:szCs w:val="17"/>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4"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27"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shocks presented below assume an immediate change of rate in the percentages and directions shown covering a twelve month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jc w:val="right"/>
              <w:ind w:right="1300"/>
              <w:spacing w:after="0"/>
              <w:rPr>
                <w:sz w:val="20"/>
                <w:szCs w:val="20"/>
                <w:color w:val="auto"/>
              </w:rPr>
            </w:pPr>
            <w:r>
              <w:rPr>
                <w:rFonts w:ascii="Times New Roman" w:cs="Times New Roman" w:eastAsia="Times New Roman" w:hAnsi="Times New Roman"/>
                <w:sz w:val="17"/>
                <w:szCs w:val="17"/>
                <w:color w:val="auto"/>
                <w:w w:val="97"/>
              </w:rPr>
              <w:t>Interest Rate Shock</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Interest Rate Shock</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80" w:type="dxa"/>
            <w:vAlign w:val="bottom"/>
          </w:tcPr>
          <w:p>
            <w:pPr>
              <w:spacing w:after="0"/>
              <w:rPr>
                <w:sz w:val="13"/>
                <w:szCs w:val="13"/>
                <w:color w:val="auto"/>
              </w:rPr>
            </w:pPr>
          </w:p>
        </w:tc>
        <w:tc>
          <w:tcPr>
            <w:tcW w:w="1440" w:type="dxa"/>
            <w:vAlign w:val="bottom"/>
            <w:tcBorders>
              <w:bottom w:val="single" w:sz="8" w:color="auto"/>
            </w:tcBorders>
            <w:gridSpan w:val="4"/>
          </w:tcPr>
          <w:p>
            <w:pPr>
              <w:jc w:val="right"/>
              <w:spacing w:after="0" w:line="159" w:lineRule="exact"/>
              <w:rPr>
                <w:sz w:val="20"/>
                <w:szCs w:val="20"/>
                <w:color w:val="auto"/>
              </w:rPr>
            </w:pPr>
            <w:r>
              <w:rPr>
                <w:rFonts w:ascii="Times New Roman" w:cs="Times New Roman" w:eastAsia="Times New Roman" w:hAnsi="Times New Roman"/>
                <w:sz w:val="17"/>
                <w:szCs w:val="17"/>
                <w:color w:val="auto"/>
                <w:w w:val="91"/>
              </w:rPr>
              <w:t>on Net Interest Margin</w:t>
            </w:r>
          </w:p>
        </w:tc>
        <w:tc>
          <w:tcPr>
            <w:tcW w:w="120" w:type="dxa"/>
            <w:vAlign w:val="bottom"/>
            <w:tcBorders>
              <w:bottom w:val="single" w:sz="8" w:color="auto"/>
            </w:tcBorders>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tcBorders>
              <w:bottom w:val="single" w:sz="8" w:color="auto"/>
            </w:tcBorders>
            <w:gridSpan w:val="4"/>
          </w:tcPr>
          <w:p>
            <w:pPr>
              <w:spacing w:after="0" w:line="159" w:lineRule="exact"/>
              <w:rPr>
                <w:sz w:val="20"/>
                <w:szCs w:val="20"/>
                <w:color w:val="auto"/>
              </w:rPr>
            </w:pPr>
            <w:r>
              <w:rPr>
                <w:rFonts w:ascii="Times New Roman" w:cs="Times New Roman" w:eastAsia="Times New Roman" w:hAnsi="Times New Roman"/>
                <w:sz w:val="17"/>
                <w:szCs w:val="17"/>
                <w:color w:val="auto"/>
                <w:w w:val="92"/>
              </w:rPr>
              <w:t>on Net Interest Income</w:t>
            </w:r>
          </w:p>
        </w:tc>
        <w:tc>
          <w:tcPr>
            <w:tcW w:w="120" w:type="dxa"/>
            <w:vAlign w:val="bottom"/>
            <w:tcBorders>
              <w:bottom w:val="single" w:sz="8" w:color="auto"/>
            </w:tcBorders>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Net Interest</w:t>
            </w:r>
          </w:p>
        </w:tc>
        <w:tc>
          <w:tcPr>
            <w:tcW w:w="200" w:type="dxa"/>
            <w:vAlign w:val="bottom"/>
          </w:tcPr>
          <w:p>
            <w:pPr>
              <w:spacing w:after="0"/>
              <w:rPr>
                <w:sz w:val="17"/>
                <w:szCs w:val="17"/>
                <w:color w:val="auto"/>
              </w:rPr>
            </w:pPr>
          </w:p>
        </w:tc>
        <w:tc>
          <w:tcPr>
            <w:tcW w:w="18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 Change to</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Rate</w:t>
            </w: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Rate</w:t>
            </w:r>
          </w:p>
        </w:tc>
        <w:tc>
          <w:tcPr>
            <w:tcW w:w="160" w:type="dxa"/>
            <w:vAlign w:val="bottom"/>
          </w:tcPr>
          <w:p>
            <w:pPr>
              <w:spacing w:after="0"/>
              <w:rPr>
                <w:sz w:val="17"/>
                <w:szCs w:val="17"/>
                <w:color w:val="auto"/>
              </w:rPr>
            </w:pPr>
          </w:p>
        </w:tc>
        <w:tc>
          <w:tcPr>
            <w:tcW w:w="17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Cumulative</w:t>
            </w:r>
          </w:p>
        </w:tc>
        <w:tc>
          <w:tcPr>
            <w:tcW w:w="30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 Change to</w:t>
            </w:r>
          </w:p>
        </w:tc>
        <w:tc>
          <w:tcPr>
            <w:tcW w:w="0" w:type="dxa"/>
            <w:vAlign w:val="bottom"/>
          </w:tcPr>
          <w:p>
            <w:pPr>
              <w:spacing w:after="0"/>
              <w:rPr>
                <w:sz w:val="1"/>
                <w:szCs w:val="1"/>
                <w:color w:val="auto"/>
              </w:rPr>
            </w:pPr>
          </w:p>
        </w:tc>
      </w:tr>
      <w:tr>
        <w:trPr>
          <w:trHeight w:val="221"/>
        </w:trPr>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Margin (Ratio)</w:t>
            </w: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7"/>
                <w:szCs w:val="17"/>
                <w:color w:val="auto"/>
              </w:rPr>
              <w:t>Flat Rate</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Direction</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Changes by</w:t>
            </w:r>
          </w:p>
        </w:tc>
        <w:tc>
          <w:tcPr>
            <w:tcW w:w="160" w:type="dxa"/>
            <w:vAlign w:val="bottom"/>
          </w:tcPr>
          <w:p>
            <w:pPr>
              <w:spacing w:after="0"/>
              <w:rPr>
                <w:sz w:val="19"/>
                <w:szCs w:val="19"/>
                <w:color w:val="auto"/>
              </w:rPr>
            </w:pPr>
          </w:p>
        </w:tc>
        <w:tc>
          <w:tcPr>
            <w:tcW w:w="1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7"/>
                <w:szCs w:val="17"/>
                <w:color w:val="auto"/>
              </w:rPr>
              <w:t>Total ($000)</w:t>
            </w:r>
          </w:p>
        </w:tc>
        <w:tc>
          <w:tcPr>
            <w:tcW w:w="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Flat Rate</w:t>
            </w:r>
          </w:p>
        </w:tc>
        <w:tc>
          <w:tcPr>
            <w:tcW w:w="0" w:type="dxa"/>
            <w:vAlign w:val="bottom"/>
          </w:tcPr>
          <w:p>
            <w:pPr>
              <w:spacing w:after="0"/>
              <w:rPr>
                <w:sz w:val="1"/>
                <w:szCs w:val="1"/>
                <w:color w:val="auto"/>
              </w:rPr>
            </w:pPr>
          </w:p>
        </w:tc>
      </w:tr>
      <w:tr>
        <w:trPr>
          <w:trHeight w:val="197"/>
        </w:trPr>
        <w:tc>
          <w:tcPr>
            <w:tcW w:w="1180" w:type="dxa"/>
            <w:vAlign w:val="bottom"/>
            <w:shd w:val="clear" w:color="auto" w:fill="CFF0FC"/>
          </w:tcPr>
          <w:p>
            <w:pPr>
              <w:jc w:val="center"/>
              <w:ind w:left="575"/>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6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7"/>
                <w:szCs w:val="17"/>
                <w:color w:val="auto"/>
              </w:rPr>
              <w:t>4.30%</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Rising</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3.00%</w:t>
            </w:r>
          </w:p>
        </w:tc>
        <w:tc>
          <w:tcPr>
            <w:tcW w:w="160" w:type="dxa"/>
            <w:vAlign w:val="bottom"/>
            <w:shd w:val="clear" w:color="auto" w:fill="CFF0FC"/>
          </w:tcPr>
          <w:p>
            <w:pPr>
              <w:spacing w:after="0"/>
              <w:rPr>
                <w:sz w:val="17"/>
                <w:szCs w:val="17"/>
                <w:color w:val="auto"/>
              </w:rPr>
            </w:pPr>
          </w:p>
        </w:tc>
        <w:tc>
          <w:tcPr>
            <w:tcW w:w="174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7"/>
                <w:szCs w:val="17"/>
                <w:color w:val="auto"/>
                <w:w w:val="98"/>
              </w:rPr>
              <w:t>91,456</w:t>
            </w:r>
          </w:p>
        </w:tc>
        <w:tc>
          <w:tcPr>
            <w:tcW w:w="300" w:type="dxa"/>
            <w:vAlign w:val="bottom"/>
            <w:shd w:val="clear" w:color="auto" w:fill="CFF0FC"/>
          </w:tcPr>
          <w:p>
            <w:pPr>
              <w:spacing w:after="0"/>
              <w:rPr>
                <w:sz w:val="17"/>
                <w:szCs w:val="17"/>
                <w:color w:val="auto"/>
              </w:rPr>
            </w:pPr>
          </w:p>
        </w:tc>
        <w:tc>
          <w:tcPr>
            <w:tcW w:w="18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04"/>
        </w:trPr>
        <w:tc>
          <w:tcPr>
            <w:tcW w:w="1180" w:type="dxa"/>
            <w:vAlign w:val="bottom"/>
          </w:tcPr>
          <w:p>
            <w:pPr>
              <w:jc w:val="center"/>
              <w:ind w:left="575"/>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4"/>
          </w:tcPr>
          <w:p>
            <w:pPr>
              <w:jc w:val="center"/>
              <w:ind w:left="95"/>
              <w:spacing w:after="0"/>
              <w:rPr>
                <w:sz w:val="20"/>
                <w:szCs w:val="20"/>
                <w:color w:val="auto"/>
              </w:rPr>
            </w:pPr>
            <w:r>
              <w:rPr>
                <w:rFonts w:ascii="Times New Roman" w:cs="Times New Roman" w:eastAsia="Times New Roman" w:hAnsi="Times New Roman"/>
                <w:sz w:val="17"/>
                <w:szCs w:val="17"/>
                <w:color w:val="auto"/>
              </w:rPr>
              <w:t>4.27%</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Rising</w:t>
            </w:r>
          </w:p>
        </w:tc>
        <w:tc>
          <w:tcPr>
            <w:tcW w:w="16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2.00%</w:t>
            </w:r>
          </w:p>
        </w:tc>
        <w:tc>
          <w:tcPr>
            <w:tcW w:w="1900" w:type="dxa"/>
            <w:vAlign w:val="bottom"/>
            <w:gridSpan w:val="4"/>
          </w:tcPr>
          <w:p>
            <w:pPr>
              <w:ind w:left="1420"/>
              <w:spacing w:after="0"/>
              <w:rPr>
                <w:sz w:val="20"/>
                <w:szCs w:val="20"/>
                <w:color w:val="auto"/>
              </w:rPr>
            </w:pPr>
            <w:r>
              <w:rPr>
                <w:rFonts w:ascii="Times New Roman" w:cs="Times New Roman" w:eastAsia="Times New Roman" w:hAnsi="Times New Roman"/>
                <w:sz w:val="17"/>
                <w:szCs w:val="17"/>
                <w:color w:val="auto"/>
                <w:w w:val="98"/>
              </w:rPr>
              <w:t>91,605</w:t>
            </w:r>
          </w:p>
        </w:tc>
        <w:tc>
          <w:tcPr>
            <w:tcW w:w="2160" w:type="dxa"/>
            <w:vAlign w:val="bottom"/>
            <w:gridSpan w:val="4"/>
          </w:tcPr>
          <w:p>
            <w:pPr>
              <w:jc w:val="center"/>
              <w:ind w:left="235"/>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04"/>
        </w:trPr>
        <w:tc>
          <w:tcPr>
            <w:tcW w:w="1180" w:type="dxa"/>
            <w:vAlign w:val="bottom"/>
            <w:shd w:val="clear" w:color="auto" w:fill="CFF0FC"/>
          </w:tcPr>
          <w:p>
            <w:pPr>
              <w:jc w:val="center"/>
              <w:ind w:left="575"/>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60" w:type="dxa"/>
            <w:vAlign w:val="bottom"/>
            <w:gridSpan w:val="4"/>
            <w:shd w:val="clear" w:color="auto" w:fill="CFF0FC"/>
          </w:tcPr>
          <w:p>
            <w:pPr>
              <w:jc w:val="center"/>
              <w:ind w:left="95"/>
              <w:spacing w:after="0"/>
              <w:rPr>
                <w:sz w:val="20"/>
                <w:szCs w:val="20"/>
                <w:color w:val="auto"/>
              </w:rPr>
            </w:pPr>
            <w:r>
              <w:rPr>
                <w:rFonts w:ascii="Times New Roman" w:cs="Times New Roman" w:eastAsia="Times New Roman" w:hAnsi="Times New Roman"/>
                <w:sz w:val="17"/>
                <w:szCs w:val="17"/>
                <w:color w:val="auto"/>
              </w:rPr>
              <w:t>3.76%</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Rising</w:t>
            </w:r>
          </w:p>
        </w:tc>
        <w:tc>
          <w:tcPr>
            <w:tcW w:w="16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7"/>
                <w:szCs w:val="17"/>
                <w:color w:val="auto"/>
              </w:rPr>
              <w:t>1.00%</w:t>
            </w:r>
          </w:p>
        </w:tc>
        <w:tc>
          <w:tcPr>
            <w:tcW w:w="1900" w:type="dxa"/>
            <w:vAlign w:val="bottom"/>
            <w:gridSpan w:val="4"/>
            <w:shd w:val="clear" w:color="auto" w:fill="CFF0FC"/>
          </w:tcPr>
          <w:p>
            <w:pPr>
              <w:ind w:left="1420"/>
              <w:spacing w:after="0"/>
              <w:rPr>
                <w:sz w:val="20"/>
                <w:szCs w:val="20"/>
                <w:color w:val="auto"/>
              </w:rPr>
            </w:pPr>
            <w:r>
              <w:rPr>
                <w:rFonts w:ascii="Times New Roman" w:cs="Times New Roman" w:eastAsia="Times New Roman" w:hAnsi="Times New Roman"/>
                <w:sz w:val="17"/>
                <w:szCs w:val="17"/>
                <w:color w:val="auto"/>
                <w:w w:val="98"/>
              </w:rPr>
              <w:t>91,403</w:t>
            </w:r>
          </w:p>
        </w:tc>
        <w:tc>
          <w:tcPr>
            <w:tcW w:w="2160" w:type="dxa"/>
            <w:vAlign w:val="bottom"/>
            <w:gridSpan w:val="4"/>
            <w:shd w:val="clear" w:color="auto" w:fill="CFF0FC"/>
          </w:tcPr>
          <w:p>
            <w:pPr>
              <w:jc w:val="center"/>
              <w:ind w:left="235"/>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4"/>
        </w:trPr>
        <w:tc>
          <w:tcPr>
            <w:tcW w:w="1180" w:type="dxa"/>
            <w:vAlign w:val="bottom"/>
          </w:tcPr>
          <w:p>
            <w:pPr>
              <w:jc w:val="center"/>
              <w:ind w:left="575"/>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4"/>
          </w:tcPr>
          <w:p>
            <w:pPr>
              <w:jc w:val="center"/>
              <w:ind w:left="95"/>
              <w:spacing w:after="0"/>
              <w:rPr>
                <w:sz w:val="20"/>
                <w:szCs w:val="20"/>
                <w:color w:val="auto"/>
              </w:rPr>
            </w:pPr>
            <w:r>
              <w:rPr>
                <w:rFonts w:ascii="Times New Roman" w:cs="Times New Roman" w:eastAsia="Times New Roman" w:hAnsi="Times New Roman"/>
                <w:sz w:val="17"/>
                <w:szCs w:val="17"/>
                <w:color w:val="auto"/>
              </w:rPr>
              <w:t>0.00%</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Flat</w:t>
            </w:r>
          </w:p>
        </w:tc>
        <w:tc>
          <w:tcPr>
            <w:tcW w:w="164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0.00%</w:t>
            </w:r>
          </w:p>
        </w:tc>
        <w:tc>
          <w:tcPr>
            <w:tcW w:w="1900" w:type="dxa"/>
            <w:vAlign w:val="bottom"/>
            <w:gridSpan w:val="4"/>
          </w:tcPr>
          <w:p>
            <w:pPr>
              <w:ind w:left="1420"/>
              <w:spacing w:after="0"/>
              <w:rPr>
                <w:sz w:val="20"/>
                <w:szCs w:val="20"/>
                <w:color w:val="auto"/>
              </w:rPr>
            </w:pPr>
            <w:r>
              <w:rPr>
                <w:rFonts w:ascii="Times New Roman" w:cs="Times New Roman" w:eastAsia="Times New Roman" w:hAnsi="Times New Roman"/>
                <w:sz w:val="17"/>
                <w:szCs w:val="17"/>
                <w:color w:val="auto"/>
                <w:w w:val="98"/>
              </w:rPr>
              <w:t>88,608</w:t>
            </w:r>
          </w:p>
        </w:tc>
        <w:tc>
          <w:tcPr>
            <w:tcW w:w="2160" w:type="dxa"/>
            <w:vAlign w:val="bottom"/>
            <w:gridSpan w:val="4"/>
          </w:tcPr>
          <w:p>
            <w:pPr>
              <w:jc w:val="center"/>
              <w:ind w:left="23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1180" w:type="dxa"/>
            <w:vAlign w:val="bottom"/>
            <w:shd w:val="clear" w:color="auto" w:fill="CFF0FC"/>
          </w:tcPr>
          <w:p>
            <w:pPr>
              <w:jc w:val="center"/>
              <w:ind w:left="575"/>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60" w:type="dxa"/>
            <w:vAlign w:val="bottom"/>
            <w:gridSpan w:val="4"/>
            <w:shd w:val="clear" w:color="auto" w:fill="CFF0FC"/>
          </w:tcPr>
          <w:p>
            <w:pPr>
              <w:jc w:val="center"/>
              <w:ind w:left="115"/>
              <w:spacing w:after="0"/>
              <w:rPr>
                <w:sz w:val="20"/>
                <w:szCs w:val="20"/>
                <w:color w:val="auto"/>
              </w:rPr>
            </w:pPr>
            <w:r>
              <w:rPr>
                <w:rFonts w:ascii="Times New Roman" w:cs="Times New Roman" w:eastAsia="Times New Roman" w:hAnsi="Times New Roman"/>
                <w:sz w:val="17"/>
                <w:szCs w:val="17"/>
                <w:color w:val="auto"/>
              </w:rPr>
              <w:t>-7.03%</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Falling</w:t>
            </w:r>
          </w:p>
        </w:tc>
        <w:tc>
          <w:tcPr>
            <w:tcW w:w="1640" w:type="dxa"/>
            <w:vAlign w:val="bottom"/>
            <w:gridSpan w:val="2"/>
            <w:shd w:val="clear" w:color="auto" w:fill="CFF0FC"/>
          </w:tcPr>
          <w:p>
            <w:pPr>
              <w:jc w:val="center"/>
              <w:ind w:left="135"/>
              <w:spacing w:after="0"/>
              <w:rPr>
                <w:sz w:val="20"/>
                <w:szCs w:val="20"/>
                <w:color w:val="auto"/>
              </w:rPr>
            </w:pPr>
            <w:r>
              <w:rPr>
                <w:rFonts w:ascii="Times New Roman" w:cs="Times New Roman" w:eastAsia="Times New Roman" w:hAnsi="Times New Roman"/>
                <w:sz w:val="17"/>
                <w:szCs w:val="17"/>
                <w:color w:val="auto"/>
              </w:rPr>
              <w:t>-1.00%</w:t>
            </w:r>
          </w:p>
        </w:tc>
        <w:tc>
          <w:tcPr>
            <w:tcW w:w="1900" w:type="dxa"/>
            <w:vAlign w:val="bottom"/>
            <w:gridSpan w:val="4"/>
            <w:shd w:val="clear" w:color="auto" w:fill="CFF0FC"/>
          </w:tcPr>
          <w:p>
            <w:pPr>
              <w:ind w:left="1420"/>
              <w:spacing w:after="0"/>
              <w:rPr>
                <w:sz w:val="20"/>
                <w:szCs w:val="20"/>
                <w:color w:val="auto"/>
              </w:rPr>
            </w:pPr>
            <w:r>
              <w:rPr>
                <w:rFonts w:ascii="Times New Roman" w:cs="Times New Roman" w:eastAsia="Times New Roman" w:hAnsi="Times New Roman"/>
                <w:sz w:val="17"/>
                <w:szCs w:val="17"/>
                <w:color w:val="auto"/>
                <w:w w:val="98"/>
              </w:rPr>
              <w:t>83,316</w:t>
            </w:r>
          </w:p>
        </w:tc>
        <w:tc>
          <w:tcPr>
            <w:tcW w:w="2160" w:type="dxa"/>
            <w:vAlign w:val="bottom"/>
            <w:gridSpan w:val="4"/>
            <w:shd w:val="clear" w:color="auto" w:fill="CFF0FC"/>
          </w:tcPr>
          <w:p>
            <w:pPr>
              <w:jc w:val="center"/>
              <w:ind w:left="215"/>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4"/>
        </w:trPr>
        <w:tc>
          <w:tcPr>
            <w:tcW w:w="1180" w:type="dxa"/>
            <w:vAlign w:val="bottom"/>
          </w:tcPr>
          <w:p>
            <w:pPr>
              <w:jc w:val="center"/>
              <w:ind w:left="575"/>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4"/>
          </w:tcPr>
          <w:p>
            <w:pPr>
              <w:jc w:val="center"/>
              <w:ind w:left="115"/>
              <w:spacing w:after="0"/>
              <w:rPr>
                <w:sz w:val="20"/>
                <w:szCs w:val="20"/>
                <w:color w:val="auto"/>
              </w:rPr>
            </w:pPr>
            <w:r>
              <w:rPr>
                <w:rFonts w:ascii="Times New Roman" w:cs="Times New Roman" w:eastAsia="Times New Roman" w:hAnsi="Times New Roman"/>
                <w:sz w:val="17"/>
                <w:szCs w:val="17"/>
                <w:color w:val="auto"/>
                <w:w w:val="99"/>
              </w:rPr>
              <w:t>-11.99%</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Falling</w:t>
            </w:r>
          </w:p>
        </w:tc>
        <w:tc>
          <w:tcPr>
            <w:tcW w:w="1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-2.00%</w:t>
            </w:r>
          </w:p>
        </w:tc>
        <w:tc>
          <w:tcPr>
            <w:tcW w:w="1900" w:type="dxa"/>
            <w:vAlign w:val="bottom"/>
            <w:gridSpan w:val="4"/>
          </w:tcPr>
          <w:p>
            <w:pPr>
              <w:ind w:left="1420"/>
              <w:spacing w:after="0"/>
              <w:rPr>
                <w:sz w:val="20"/>
                <w:szCs w:val="20"/>
                <w:color w:val="auto"/>
              </w:rPr>
            </w:pPr>
            <w:r>
              <w:rPr>
                <w:rFonts w:ascii="Times New Roman" w:cs="Times New Roman" w:eastAsia="Times New Roman" w:hAnsi="Times New Roman"/>
                <w:sz w:val="17"/>
                <w:szCs w:val="17"/>
                <w:color w:val="auto"/>
                <w:w w:val="98"/>
              </w:rPr>
              <w:t>79,707</w:t>
            </w:r>
          </w:p>
        </w:tc>
        <w:tc>
          <w:tcPr>
            <w:tcW w:w="2160" w:type="dxa"/>
            <w:vAlign w:val="bottom"/>
            <w:gridSpan w:val="4"/>
          </w:tcPr>
          <w:p>
            <w:pPr>
              <w:jc w:val="center"/>
              <w:ind w:left="215"/>
              <w:spacing w:after="0"/>
              <w:rPr>
                <w:sz w:val="20"/>
                <w:szCs w:val="20"/>
                <w:color w:val="auto"/>
              </w:rPr>
            </w:pPr>
            <w:r>
              <w:rPr>
                <w:rFonts w:ascii="Times New Roman" w:cs="Times New Roman" w:eastAsia="Times New Roman" w:hAnsi="Times New Roman"/>
                <w:sz w:val="17"/>
                <w:szCs w:val="17"/>
                <w:color w:val="auto"/>
                <w:w w:val="99"/>
              </w:rPr>
              <w:t>-10.05%</w:t>
            </w:r>
          </w:p>
        </w:tc>
        <w:tc>
          <w:tcPr>
            <w:tcW w:w="0" w:type="dxa"/>
            <w:vAlign w:val="bottom"/>
          </w:tcPr>
          <w:p>
            <w:pPr>
              <w:spacing w:after="0"/>
              <w:rPr>
                <w:sz w:val="1"/>
                <w:szCs w:val="1"/>
                <w:color w:val="auto"/>
              </w:rPr>
            </w:pPr>
          </w:p>
        </w:tc>
      </w:tr>
      <w:tr>
        <w:trPr>
          <w:trHeight w:val="204"/>
        </w:trPr>
        <w:tc>
          <w:tcPr>
            <w:tcW w:w="1180" w:type="dxa"/>
            <w:vAlign w:val="bottom"/>
            <w:shd w:val="clear" w:color="auto" w:fill="CFF0FC"/>
          </w:tcPr>
          <w:p>
            <w:pPr>
              <w:jc w:val="center"/>
              <w:ind w:left="575"/>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60" w:type="dxa"/>
            <w:vAlign w:val="bottom"/>
            <w:gridSpan w:val="4"/>
            <w:shd w:val="clear" w:color="auto" w:fill="CFF0FC"/>
          </w:tcPr>
          <w:p>
            <w:pPr>
              <w:jc w:val="center"/>
              <w:ind w:left="115"/>
              <w:spacing w:after="0"/>
              <w:rPr>
                <w:sz w:val="20"/>
                <w:szCs w:val="20"/>
                <w:color w:val="auto"/>
              </w:rPr>
            </w:pPr>
            <w:r>
              <w:rPr>
                <w:rFonts w:ascii="Times New Roman" w:cs="Times New Roman" w:eastAsia="Times New Roman" w:hAnsi="Times New Roman"/>
                <w:sz w:val="17"/>
                <w:szCs w:val="17"/>
                <w:color w:val="auto"/>
                <w:w w:val="99"/>
              </w:rPr>
              <w:t>-17.24%</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Falling</w:t>
            </w:r>
          </w:p>
        </w:tc>
        <w:tc>
          <w:tcPr>
            <w:tcW w:w="1640" w:type="dxa"/>
            <w:vAlign w:val="bottom"/>
            <w:gridSpan w:val="2"/>
            <w:shd w:val="clear" w:color="auto" w:fill="CFF0FC"/>
          </w:tcPr>
          <w:p>
            <w:pPr>
              <w:jc w:val="center"/>
              <w:ind w:left="135"/>
              <w:spacing w:after="0"/>
              <w:rPr>
                <w:sz w:val="20"/>
                <w:szCs w:val="20"/>
                <w:color w:val="auto"/>
              </w:rPr>
            </w:pPr>
            <w:r>
              <w:rPr>
                <w:rFonts w:ascii="Times New Roman" w:cs="Times New Roman" w:eastAsia="Times New Roman" w:hAnsi="Times New Roman"/>
                <w:sz w:val="17"/>
                <w:szCs w:val="17"/>
                <w:color w:val="auto"/>
              </w:rPr>
              <w:t>-3.00%</w:t>
            </w:r>
          </w:p>
        </w:tc>
        <w:tc>
          <w:tcPr>
            <w:tcW w:w="1900" w:type="dxa"/>
            <w:vAlign w:val="bottom"/>
            <w:gridSpan w:val="4"/>
            <w:shd w:val="clear" w:color="auto" w:fill="CFF0FC"/>
          </w:tcPr>
          <w:p>
            <w:pPr>
              <w:ind w:left="1420"/>
              <w:spacing w:after="0"/>
              <w:rPr>
                <w:sz w:val="20"/>
                <w:szCs w:val="20"/>
                <w:color w:val="auto"/>
              </w:rPr>
            </w:pPr>
            <w:r>
              <w:rPr>
                <w:rFonts w:ascii="Times New Roman" w:cs="Times New Roman" w:eastAsia="Times New Roman" w:hAnsi="Times New Roman"/>
                <w:sz w:val="17"/>
                <w:szCs w:val="17"/>
                <w:color w:val="auto"/>
                <w:w w:val="98"/>
              </w:rPr>
              <w:t>75,801</w:t>
            </w:r>
          </w:p>
        </w:tc>
        <w:tc>
          <w:tcPr>
            <w:tcW w:w="2160" w:type="dxa"/>
            <w:vAlign w:val="bottom"/>
            <w:gridSpan w:val="4"/>
            <w:shd w:val="clear" w:color="auto" w:fill="CFF0FC"/>
          </w:tcPr>
          <w:p>
            <w:pPr>
              <w:jc w:val="center"/>
              <w:ind w:left="215"/>
              <w:spacing w:after="0"/>
              <w:rPr>
                <w:sz w:val="20"/>
                <w:szCs w:val="20"/>
                <w:color w:val="auto"/>
              </w:rPr>
            </w:pPr>
            <w:r>
              <w:rPr>
                <w:rFonts w:ascii="Times New Roman" w:cs="Times New Roman" w:eastAsia="Times New Roman" w:hAnsi="Times New Roman"/>
                <w:sz w:val="17"/>
                <w:szCs w:val="17"/>
                <w:color w:val="auto"/>
                <w:w w:val="99"/>
              </w:rPr>
              <w:t>-14.45%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40"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17"/>
          <w:szCs w:val="17"/>
          <w:color w:val="auto"/>
        </w:rPr>
        <w:t>The shock chart currently shows a widening in net interest margin over the next twelve months in a rising rate environment and a tightening in a falling rate environment. The rising rate scenarios are predicted to expand the net interest margin and produce higher levels of net interest income. Cost of funds are at 0.68% for the quarter and 0.53% for the year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3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Overall, the Company must concentrate on increasing loan spreads on variable loans and limit the increase on cost of funds where possible.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75" w:lineRule="exact"/>
        <w:rPr>
          <w:sz w:val="20"/>
          <w:szCs w:val="20"/>
          <w:color w:val="auto"/>
        </w:rPr>
      </w:pPr>
    </w:p>
    <w:p>
      <w:pPr>
        <w:jc w:val="both"/>
        <w:ind w:left="760"/>
        <w:spacing w:after="0" w:line="248"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75"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7"/>
          <w:szCs w:val="17"/>
          <w:color w:val="212529"/>
        </w:rPr>
        <w:t xml:space="preserve">Except as otherwise noted below, there have been no material changes in the Company’s risk factors from those disclosed in the Company’s Annual Report on Form 10-K for the year </w:t>
      </w:r>
      <w:r>
        <w:rPr>
          <w:rFonts w:ascii="Times New Roman" w:cs="Times New Roman" w:eastAsia="Times New Roman" w:hAnsi="Times New Roman"/>
          <w:sz w:val="17"/>
          <w:szCs w:val="17"/>
          <w:color w:val="000000"/>
        </w:rPr>
        <w:t>ended December 31, 2021.</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Global Economic and Geopolitical Instability and Inflationary Risks</w:t>
      </w:r>
    </w:p>
    <w:p>
      <w:pPr>
        <w:spacing w:after="0" w:line="166"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17"/>
          <w:szCs w:val="17"/>
          <w:color w:val="auto"/>
        </w:rPr>
        <w:t>Instability in global economic conditions and geopolitical matters, as well as volatility in financial markets, could have a material adverse effect on the Company’s results of operations and financial condition. The macroeconomic environment in the United States is susceptible to global events and volatility in financial markets. For example, global demand for products continues to exceed supply during the economic recovery from the COVID-19 pandemic, creating significant inflationary pressures which, in turn, may adversely impact regional and global economic conditions, as well as the Company’s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Treasury stock repurchased the quarter ended September 30, 2022.</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2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 Maximum</w:t>
            </w:r>
          </w:p>
        </w:tc>
      </w:tr>
      <w:tr>
        <w:trPr>
          <w:trHeight w:val="179"/>
        </w:trPr>
        <w:tc>
          <w:tcPr>
            <w:tcW w:w="24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0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w w:val="99"/>
              </w:rPr>
              <w:t>(c) Total Number</w:t>
            </w:r>
          </w:p>
        </w:tc>
        <w:tc>
          <w:tcPr>
            <w:tcW w:w="16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Number</w:t>
            </w:r>
          </w:p>
        </w:tc>
      </w:tr>
      <w:tr>
        <w:trPr>
          <w:trHeight w:val="179"/>
        </w:trPr>
        <w:tc>
          <w:tcPr>
            <w:tcW w:w="24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0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w w:val="99"/>
              </w:rPr>
              <w:t>of Shares Purchased as</w:t>
            </w:r>
          </w:p>
        </w:tc>
        <w:tc>
          <w:tcPr>
            <w:tcW w:w="16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of Shares that may</w:t>
            </w:r>
          </w:p>
        </w:tc>
      </w:tr>
      <w:tr>
        <w:trPr>
          <w:trHeight w:val="179"/>
        </w:trPr>
        <w:tc>
          <w:tcPr>
            <w:tcW w:w="24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0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Part</w:t>
            </w:r>
          </w:p>
        </w:tc>
        <w:tc>
          <w:tcPr>
            <w:tcW w:w="16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yet be</w:t>
            </w:r>
          </w:p>
        </w:tc>
      </w:tr>
      <w:tr>
        <w:trPr>
          <w:trHeight w:val="179"/>
        </w:trPr>
        <w:tc>
          <w:tcPr>
            <w:tcW w:w="24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0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of Publicly Announced</w:t>
            </w:r>
          </w:p>
        </w:tc>
        <w:tc>
          <w:tcPr>
            <w:tcW w:w="168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purchased under the</w:t>
            </w:r>
          </w:p>
        </w:tc>
      </w:tr>
      <w:tr>
        <w:trPr>
          <w:trHeight w:val="170"/>
        </w:trPr>
        <w:tc>
          <w:tcPr>
            <w:tcW w:w="2400" w:type="dxa"/>
            <w:vAlign w:val="bottom"/>
          </w:tcPr>
          <w:p>
            <w:pPr>
              <w:spacing w:after="0"/>
              <w:rPr>
                <w:sz w:val="14"/>
                <w:szCs w:val="14"/>
                <w:color w:val="auto"/>
              </w:rPr>
            </w:pPr>
          </w:p>
        </w:tc>
        <w:tc>
          <w:tcPr>
            <w:tcW w:w="2540" w:type="dxa"/>
            <w:vAlign w:val="bottom"/>
          </w:tcPr>
          <w:p>
            <w:pPr>
              <w:jc w:val="right"/>
              <w:ind w:right="375"/>
              <w:spacing w:after="0" w:line="170" w:lineRule="exact"/>
              <w:rPr>
                <w:sz w:val="20"/>
                <w:szCs w:val="20"/>
                <w:color w:val="auto"/>
              </w:rPr>
            </w:pPr>
            <w:r>
              <w:rPr>
                <w:rFonts w:ascii="Times New Roman" w:cs="Times New Roman" w:eastAsia="Times New Roman" w:hAnsi="Times New Roman"/>
                <w:sz w:val="17"/>
                <w:szCs w:val="17"/>
                <w:color w:val="auto"/>
              </w:rPr>
              <w:t>(a) Total Number of</w:t>
            </w:r>
          </w:p>
        </w:tc>
        <w:tc>
          <w:tcPr>
            <w:tcW w:w="1600" w:type="dxa"/>
            <w:vAlign w:val="bottom"/>
          </w:tcPr>
          <w:p>
            <w:pPr>
              <w:jc w:val="right"/>
              <w:ind w:right="195"/>
              <w:spacing w:after="0" w:line="170" w:lineRule="exact"/>
              <w:rPr>
                <w:sz w:val="20"/>
                <w:szCs w:val="20"/>
                <w:color w:val="auto"/>
              </w:rPr>
            </w:pPr>
            <w:r>
              <w:rPr>
                <w:rFonts w:ascii="Times New Roman" w:cs="Times New Roman" w:eastAsia="Times New Roman" w:hAnsi="Times New Roman"/>
                <w:sz w:val="17"/>
                <w:szCs w:val="17"/>
                <w:color w:val="auto"/>
              </w:rPr>
              <w:t>(b) Average Price</w:t>
            </w:r>
          </w:p>
        </w:tc>
        <w:tc>
          <w:tcPr>
            <w:tcW w:w="190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w w:val="99"/>
              </w:rPr>
              <w:t>Plan</w:t>
            </w:r>
          </w:p>
        </w:tc>
        <w:tc>
          <w:tcPr>
            <w:tcW w:w="168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Plans or</w:t>
            </w:r>
          </w:p>
        </w:tc>
      </w:tr>
      <w:tr>
        <w:trPr>
          <w:trHeight w:val="230"/>
        </w:trPr>
        <w:tc>
          <w:tcPr>
            <w:tcW w:w="24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Period</w:t>
            </w:r>
          </w:p>
        </w:tc>
        <w:tc>
          <w:tcPr>
            <w:tcW w:w="25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Shares Purchased</w:t>
            </w:r>
          </w:p>
        </w:tc>
        <w:tc>
          <w:tcPr>
            <w:tcW w:w="16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Paid per Share</w:t>
            </w:r>
          </w:p>
        </w:tc>
        <w:tc>
          <w:tcPr>
            <w:tcW w:w="19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7"/>
                <w:szCs w:val="17"/>
                <w:color w:val="auto"/>
                <w:w w:val="95"/>
              </w:rPr>
              <w:t xml:space="preserve">or Programs </w:t>
            </w:r>
            <w:r>
              <w:rPr>
                <w:rFonts w:ascii="Times New Roman" w:cs="Times New Roman" w:eastAsia="Times New Roman" w:hAnsi="Times New Roman"/>
                <w:sz w:val="22"/>
                <w:szCs w:val="22"/>
                <w:color w:val="auto"/>
                <w:w w:val="95"/>
                <w:vertAlign w:val="superscript"/>
              </w:rPr>
              <w:t>(1)</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Programs</w:t>
            </w:r>
          </w:p>
        </w:tc>
      </w:tr>
      <w:tr>
        <w:trPr>
          <w:trHeight w:val="197"/>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7/1/2022 to 7/31/2022</w:t>
            </w:r>
          </w:p>
        </w:tc>
        <w:tc>
          <w:tcPr>
            <w:tcW w:w="254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r>
      <w:tr>
        <w:trPr>
          <w:trHeight w:val="204"/>
        </w:trPr>
        <w:tc>
          <w:tcPr>
            <w:tcW w:w="2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8/1/2022 to 8/31/2022</w:t>
            </w:r>
          </w:p>
        </w:tc>
        <w:tc>
          <w:tcPr>
            <w:tcW w:w="2540" w:type="dxa"/>
            <w:vAlign w:val="bottom"/>
            <w:shd w:val="clear" w:color="auto" w:fill="CFF0FC"/>
          </w:tcPr>
          <w:p>
            <w:pPr>
              <w:jc w:val="right"/>
              <w:ind w:right="35"/>
              <w:spacing w:after="0" w:line="204" w:lineRule="exact"/>
              <w:rPr>
                <w:sz w:val="20"/>
                <w:szCs w:val="20"/>
                <w:color w:val="auto"/>
              </w:rPr>
            </w:pPr>
            <w:r>
              <w:rPr>
                <w:rFonts w:ascii="Times New Roman" w:cs="Times New Roman" w:eastAsia="Times New Roman" w:hAnsi="Times New Roman"/>
                <w:sz w:val="17"/>
                <w:szCs w:val="17"/>
                <w:color w:val="auto"/>
              </w:rPr>
              <w:t xml:space="preserve">8,100  </w:t>
            </w:r>
            <w:r>
              <w:rPr>
                <w:rFonts w:ascii="Times New Roman" w:cs="Times New Roman" w:eastAsia="Times New Roman" w:hAnsi="Times New Roman"/>
                <w:sz w:val="22"/>
                <w:szCs w:val="22"/>
                <w:color w:val="auto"/>
                <w:vertAlign w:val="superscript"/>
              </w:rPr>
              <w:t>(2)</w:t>
            </w:r>
          </w:p>
        </w:tc>
        <w:tc>
          <w:tcPr>
            <w:tcW w:w="16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31.40</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r>
      <w:tr>
        <w:trPr>
          <w:trHeight w:val="204"/>
        </w:trPr>
        <w:tc>
          <w:tcPr>
            <w:tcW w:w="2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4"/>
        </w:trPr>
        <w:tc>
          <w:tcPr>
            <w:tcW w:w="2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9/1/2022 to 9/30/2022</w:t>
            </w:r>
          </w:p>
        </w:tc>
        <w:tc>
          <w:tcPr>
            <w:tcW w:w="254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auto"/>
            </w:tcBorders>
            <w:shd w:val="clear" w:color="auto" w:fill="CFF0FC"/>
          </w:tcPr>
          <w:p>
            <w:pPr>
              <w:ind w:left="15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r>
      <w:tr>
        <w:trPr>
          <w:trHeight w:val="197"/>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5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8,100</w:t>
            </w:r>
          </w:p>
        </w:tc>
        <w:tc>
          <w:tcPr>
            <w:tcW w:w="16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31.40</w:t>
            </w:r>
          </w:p>
        </w:tc>
        <w:tc>
          <w:tcPr>
            <w:tcW w:w="19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r>
    </w:tbl>
    <w:p>
      <w:pPr>
        <w:spacing w:after="0" w:line="188" w:lineRule="exact"/>
        <w:rPr>
          <w:sz w:val="20"/>
          <w:szCs w:val="20"/>
          <w:color w:val="auto"/>
        </w:rPr>
      </w:pPr>
    </w:p>
    <w:p>
      <w:pPr>
        <w:ind w:left="1120" w:hanging="368"/>
        <w:spacing w:after="0" w:line="246" w:lineRule="auto"/>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the Company purchases shares in the market pursuant to a stock repurchase program publicly announced on January 25, 2022. On that date, the Board of Directors authorized the repurchase of 600,000 common shares between January 25, 2022 and December 31, 2022.</w:t>
      </w:r>
    </w:p>
    <w:p>
      <w:pPr>
        <w:ind w:left="1120" w:hanging="368"/>
        <w:spacing w:after="0"/>
        <w:tabs>
          <w:tab w:leader="none" w:pos="11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which are returned to account for tax payable on vested stock awards are outside of the Company’s stock repurchase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DEFAULTS UPON SENIOR SECURITIES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Not applicable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5340" cy="4191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10620" w:type="dxa"/>
            <w:vAlign w:val="bottom"/>
            <w:gridSpan w:val="19"/>
          </w:tcPr>
          <w:p>
            <w:pPr>
              <w:ind w:left="60"/>
              <w:spacing w:after="0"/>
              <w:rPr>
                <w:sz w:val="20"/>
                <w:szCs w:val="20"/>
                <w:color w:val="auto"/>
              </w:rPr>
            </w:pPr>
            <w:r>
              <w:rPr>
                <w:rFonts w:ascii="Times New Roman" w:cs="Times New Roman" w:eastAsia="Times New Roman" w:hAnsi="Times New Roman"/>
                <w:sz w:val="17"/>
                <w:szCs w:val="17"/>
                <w:color w:val="auto"/>
              </w:rPr>
              <w:t>None</w:t>
            </w:r>
          </w:p>
        </w:tc>
      </w:tr>
      <w:tr>
        <w:trPr>
          <w:trHeight w:val="396"/>
        </w:trPr>
        <w:tc>
          <w:tcPr>
            <w:tcW w:w="113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ITEM 6 EXHIBITS</w:t>
            </w:r>
          </w:p>
        </w:tc>
      </w:tr>
      <w:tr>
        <w:trPr>
          <w:trHeight w:val="35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440" w:type="dxa"/>
            <w:vAlign w:val="bottom"/>
          </w:tcPr>
          <w:p>
            <w:pPr>
              <w:spacing w:after="0"/>
              <w:rPr>
                <w:sz w:val="24"/>
                <w:szCs w:val="24"/>
                <w:color w:val="auto"/>
              </w:rPr>
            </w:pPr>
          </w:p>
        </w:tc>
        <w:tc>
          <w:tcPr>
            <w:tcW w:w="10180" w:type="dxa"/>
            <w:vAlign w:val="bottom"/>
            <w:gridSpan w:val="18"/>
          </w:tcPr>
          <w:p>
            <w:pPr>
              <w:spacing w:after="0"/>
              <w:rPr>
                <w:rFonts w:ascii="Times New Roman" w:cs="Times New Roman" w:eastAsia="Times New Roman" w:hAnsi="Times New Roman"/>
                <w:sz w:val="17"/>
                <w:szCs w:val="17"/>
                <w:color w:val="0000FF"/>
              </w:rPr>
            </w:pPr>
            <w:hyperlink r:id="rId797">
              <w:r>
                <w:rPr>
                  <w:rFonts w:ascii="Times New Roman" w:cs="Times New Roman" w:eastAsia="Times New Roman" w:hAnsi="Times New Roman"/>
                  <w:sz w:val="17"/>
                  <w:szCs w:val="17"/>
                  <w:color w:val="0000FF"/>
                </w:rPr>
                <w:t>Agreement and Plan of Merger dated June 14, 2022 (incorporated by reference to Exhibit 2.1 to Registrant’s Current Report on Form 8-K filed with</w:t>
              </w:r>
            </w:hyperlink>
          </w:p>
        </w:tc>
      </w:tr>
      <w:tr>
        <w:trPr>
          <w:trHeight w:val="146"/>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3"/>
          </w:tcPr>
          <w:p>
            <w:pPr>
              <w:spacing w:after="0" w:line="146" w:lineRule="exact"/>
              <w:rPr>
                <w:rFonts w:ascii="Times New Roman" w:cs="Times New Roman" w:eastAsia="Times New Roman" w:hAnsi="Times New Roman"/>
                <w:sz w:val="16"/>
                <w:szCs w:val="16"/>
                <w:color w:val="0000FF"/>
              </w:rPr>
            </w:pPr>
            <w:hyperlink r:id="rId797">
              <w:r>
                <w:rPr>
                  <w:rFonts w:ascii="Times New Roman" w:cs="Times New Roman" w:eastAsia="Times New Roman" w:hAnsi="Times New Roman"/>
                  <w:sz w:val="16"/>
                  <w:szCs w:val="16"/>
                  <w:color w:val="0000FF"/>
                </w:rPr>
                <w:t>the Commission on June 15, 2022).</w:t>
              </w:r>
            </w:hyperlink>
          </w:p>
        </w:tc>
        <w:tc>
          <w:tcPr>
            <w:tcW w:w="76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440" w:type="dxa"/>
            <w:vAlign w:val="bottom"/>
          </w:tcPr>
          <w:p>
            <w:pPr>
              <w:spacing w:after="0"/>
              <w:rPr>
                <w:sz w:val="17"/>
                <w:szCs w:val="17"/>
                <w:color w:val="auto"/>
              </w:rPr>
            </w:pPr>
          </w:p>
        </w:tc>
        <w:tc>
          <w:tcPr>
            <w:tcW w:w="10180" w:type="dxa"/>
            <w:vAlign w:val="bottom"/>
            <w:gridSpan w:val="18"/>
          </w:tcPr>
          <w:p>
            <w:pPr>
              <w:spacing w:after="0"/>
              <w:rPr>
                <w:rFonts w:ascii="Times New Roman" w:cs="Times New Roman" w:eastAsia="Times New Roman" w:hAnsi="Times New Roman"/>
                <w:sz w:val="17"/>
                <w:szCs w:val="17"/>
                <w:color w:val="0000FF"/>
              </w:rPr>
            </w:pPr>
            <w:hyperlink r:id="rId798">
              <w:r>
                <w:rPr>
                  <w:rFonts w:ascii="Times New Roman" w:cs="Times New Roman" w:eastAsia="Times New Roman" w:hAnsi="Times New Roman"/>
                  <w:sz w:val="17"/>
                  <w:szCs w:val="17"/>
                  <w:color w:val="0000FF"/>
                </w:rPr>
                <w:t>Amended Articles of Incorporation of the Registrant (incorporated by reference to Exhibit 3.1 to Registrant’s Quarterly Report on Form 10-Q filed</w:t>
              </w:r>
            </w:hyperlink>
          </w:p>
        </w:tc>
      </w:tr>
      <w:tr>
        <w:trPr>
          <w:trHeight w:val="146"/>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7"/>
          </w:tcPr>
          <w:p>
            <w:pPr>
              <w:spacing w:after="0" w:line="146" w:lineRule="exact"/>
              <w:rPr>
                <w:rFonts w:ascii="Times New Roman" w:cs="Times New Roman" w:eastAsia="Times New Roman" w:hAnsi="Times New Roman"/>
                <w:sz w:val="16"/>
                <w:szCs w:val="16"/>
                <w:color w:val="0000FF"/>
              </w:rPr>
            </w:pPr>
            <w:hyperlink r:id="rId798">
              <w:r>
                <w:rPr>
                  <w:rFonts w:ascii="Times New Roman" w:cs="Times New Roman" w:eastAsia="Times New Roman" w:hAnsi="Times New Roman"/>
                  <w:sz w:val="16"/>
                  <w:szCs w:val="16"/>
                  <w:color w:val="0000FF"/>
                </w:rPr>
                <w:t>with the Commission on October 25, 2017).</w:t>
              </w:r>
            </w:hyperlink>
          </w:p>
        </w:tc>
        <w:tc>
          <w:tcPr>
            <w:tcW w:w="20" w:type="dxa"/>
            <w:vAlign w:val="bottom"/>
            <w:tcBorders>
              <w:top w:val="single" w:sz="8" w:color="0000FF"/>
              <w:bottom w:val="single" w:sz="8" w:color="0000EE"/>
            </w:tcBorders>
          </w:tcPr>
          <w:p>
            <w:pPr>
              <w:spacing w:after="0"/>
              <w:rPr>
                <w:sz w:val="12"/>
                <w:szCs w:val="12"/>
                <w:color w:val="auto"/>
              </w:rPr>
            </w:pPr>
          </w:p>
        </w:tc>
        <w:tc>
          <w:tcPr>
            <w:tcW w:w="71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440" w:type="dxa"/>
            <w:vAlign w:val="bottom"/>
          </w:tcPr>
          <w:p>
            <w:pPr>
              <w:spacing w:after="0"/>
              <w:rPr>
                <w:sz w:val="17"/>
                <w:szCs w:val="17"/>
                <w:color w:val="auto"/>
              </w:rPr>
            </w:pPr>
          </w:p>
        </w:tc>
        <w:tc>
          <w:tcPr>
            <w:tcW w:w="10180" w:type="dxa"/>
            <w:vAlign w:val="bottom"/>
            <w:gridSpan w:val="18"/>
          </w:tcPr>
          <w:p>
            <w:pPr>
              <w:spacing w:after="0"/>
              <w:rPr>
                <w:rFonts w:ascii="Times New Roman" w:cs="Times New Roman" w:eastAsia="Times New Roman" w:hAnsi="Times New Roman"/>
                <w:sz w:val="17"/>
                <w:szCs w:val="17"/>
                <w:color w:val="0000FF"/>
              </w:rPr>
            </w:pPr>
            <w:hyperlink r:id="rId799">
              <w:r>
                <w:rPr>
                  <w:rFonts w:ascii="Times New Roman" w:cs="Times New Roman" w:eastAsia="Times New Roman" w:hAnsi="Times New Roman"/>
                  <w:sz w:val="17"/>
                  <w:szCs w:val="17"/>
                  <w:color w:val="0000FF"/>
                </w:rPr>
                <w:t>Amended and Restated Code of Regulations of the Registrant (incorporated by reference to Exhibit 3.2 to Registrant's Quarterly Report on Form</w:t>
              </w:r>
            </w:hyperlink>
          </w:p>
        </w:tc>
      </w:tr>
      <w:tr>
        <w:trPr>
          <w:trHeight w:val="146"/>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160" w:type="dxa"/>
            <w:vAlign w:val="bottom"/>
            <w:tcBorders>
              <w:top w:val="single" w:sz="8" w:color="0000FF"/>
            </w:tcBorders>
            <w:gridSpan w:val="17"/>
          </w:tcPr>
          <w:p>
            <w:pPr>
              <w:spacing w:after="0" w:line="146" w:lineRule="exact"/>
              <w:rPr>
                <w:rFonts w:ascii="Times New Roman" w:cs="Times New Roman" w:eastAsia="Times New Roman" w:hAnsi="Times New Roman"/>
                <w:sz w:val="16"/>
                <w:szCs w:val="16"/>
                <w:color w:val="0000FF"/>
              </w:rPr>
            </w:pPr>
            <w:hyperlink r:id="rId799">
              <w:r>
                <w:rPr>
                  <w:rFonts w:ascii="Times New Roman" w:cs="Times New Roman" w:eastAsia="Times New Roman" w:hAnsi="Times New Roman"/>
                  <w:sz w:val="16"/>
                  <w:szCs w:val="16"/>
                  <w:color w:val="0000FF"/>
                </w:rPr>
                <w:t>10-Q filed with the Commission on July 26, 2017).</w:t>
              </w:r>
            </w:hyperlink>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440" w:type="dxa"/>
            <w:vAlign w:val="bottom"/>
          </w:tcPr>
          <w:p>
            <w:pPr>
              <w:spacing w:after="0"/>
              <w:rPr>
                <w:sz w:val="17"/>
                <w:szCs w:val="17"/>
                <w:color w:val="auto"/>
              </w:rPr>
            </w:pPr>
          </w:p>
        </w:tc>
        <w:tc>
          <w:tcPr>
            <w:tcW w:w="10180" w:type="dxa"/>
            <w:vAlign w:val="bottom"/>
            <w:gridSpan w:val="18"/>
          </w:tcPr>
          <w:p>
            <w:pPr>
              <w:spacing w:after="0"/>
              <w:rPr>
                <w:rFonts w:ascii="Times New Roman" w:cs="Times New Roman" w:eastAsia="Times New Roman" w:hAnsi="Times New Roman"/>
                <w:sz w:val="17"/>
                <w:szCs w:val="17"/>
                <w:color w:val="0000FF"/>
              </w:rPr>
            </w:pPr>
            <w:hyperlink r:id="rId800">
              <w:r>
                <w:rPr>
                  <w:rFonts w:ascii="Times New Roman" w:cs="Times New Roman" w:eastAsia="Times New Roman" w:hAnsi="Times New Roman"/>
                  <w:sz w:val="17"/>
                  <w:szCs w:val="17"/>
                  <w:color w:val="0000FF"/>
                </w:rPr>
                <w:t>Description of Registrant’s Common Stock (incorporated by reference to Exhibit 4.1 to Registrant's Annual Report on Form 10-K filed with the</w:t>
              </w:r>
            </w:hyperlink>
          </w:p>
        </w:tc>
      </w:tr>
      <w:tr>
        <w:trPr>
          <w:trHeight w:val="146"/>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6"/>
          </w:tcPr>
          <w:p>
            <w:pPr>
              <w:spacing w:after="0" w:line="146" w:lineRule="exact"/>
              <w:rPr>
                <w:rFonts w:ascii="Times New Roman" w:cs="Times New Roman" w:eastAsia="Times New Roman" w:hAnsi="Times New Roman"/>
                <w:sz w:val="16"/>
                <w:szCs w:val="16"/>
                <w:color w:val="0000FF"/>
              </w:rPr>
            </w:pPr>
            <w:hyperlink r:id="rId800">
              <w:r>
                <w:rPr>
                  <w:rFonts w:ascii="Times New Roman" w:cs="Times New Roman" w:eastAsia="Times New Roman" w:hAnsi="Times New Roman"/>
                  <w:sz w:val="16"/>
                  <w:szCs w:val="16"/>
                  <w:color w:val="0000FF"/>
                </w:rPr>
                <w:t>Commission on February 26, 2020).</w:t>
              </w:r>
            </w:hyperlink>
          </w:p>
        </w:tc>
        <w:tc>
          <w:tcPr>
            <w:tcW w:w="7620" w:type="dxa"/>
            <w:vAlign w:val="bottom"/>
            <w:tcBorders>
              <w:top w:val="single" w:sz="8" w:color="0000FF"/>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440" w:type="dxa"/>
            <w:vAlign w:val="bottom"/>
          </w:tcPr>
          <w:p>
            <w:pPr>
              <w:spacing w:after="0"/>
              <w:rPr>
                <w:sz w:val="17"/>
                <w:szCs w:val="17"/>
                <w:color w:val="auto"/>
              </w:rPr>
            </w:pPr>
          </w:p>
        </w:tc>
        <w:tc>
          <w:tcPr>
            <w:tcW w:w="10180" w:type="dxa"/>
            <w:vAlign w:val="bottom"/>
            <w:gridSpan w:val="18"/>
          </w:tcPr>
          <w:p>
            <w:pPr>
              <w:spacing w:after="0"/>
              <w:rPr>
                <w:rFonts w:ascii="Times New Roman" w:cs="Times New Roman" w:eastAsia="Times New Roman" w:hAnsi="Times New Roman"/>
                <w:sz w:val="17"/>
                <w:szCs w:val="17"/>
                <w:color w:val="0000FF"/>
              </w:rPr>
            </w:pPr>
            <w:hyperlink r:id="rId801">
              <w:r>
                <w:rPr>
                  <w:rFonts w:ascii="Times New Roman" w:cs="Times New Roman" w:eastAsia="Times New Roman" w:hAnsi="Times New Roman"/>
                  <w:sz w:val="17"/>
                  <w:szCs w:val="17"/>
                  <w:color w:val="0000FF"/>
                </w:rPr>
                <w:t>Form of 3.25% Fixed to Floating Rate Subordinated Note due July 30, 2031 (included as Exhibit A to the Purchase Agreement filed as Exhibit 10.1</w:t>
              </w:r>
            </w:hyperlink>
          </w:p>
        </w:tc>
      </w:tr>
      <w:tr>
        <w:trPr>
          <w:trHeight w:val="146"/>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40" w:type="dxa"/>
            <w:vAlign w:val="bottom"/>
            <w:tcBorders>
              <w:top w:val="single" w:sz="8" w:color="0000FF"/>
              <w:bottom w:val="single" w:sz="8" w:color="0000FF"/>
            </w:tcBorders>
            <w:gridSpan w:val="10"/>
          </w:tcPr>
          <w:p>
            <w:pPr>
              <w:spacing w:after="0" w:line="146" w:lineRule="exact"/>
              <w:rPr>
                <w:rFonts w:ascii="Times New Roman" w:cs="Times New Roman" w:eastAsia="Times New Roman" w:hAnsi="Times New Roman"/>
                <w:sz w:val="16"/>
                <w:szCs w:val="16"/>
                <w:color w:val="0000FF"/>
              </w:rPr>
            </w:pPr>
            <w:hyperlink r:id="rId801">
              <w:r>
                <w:rPr>
                  <w:rFonts w:ascii="Times New Roman" w:cs="Times New Roman" w:eastAsia="Times New Roman" w:hAnsi="Times New Roman"/>
                  <w:sz w:val="16"/>
                  <w:szCs w:val="16"/>
                  <w:color w:val="0000FF"/>
                </w:rPr>
                <w:t>to the Current Report on Form 8-K filed with the Commission on August 2, 2021).</w:t>
              </w:r>
            </w:hyperlink>
          </w:p>
        </w:tc>
        <w:tc>
          <w:tcPr>
            <w:tcW w:w="20" w:type="dxa"/>
            <w:vAlign w:val="bottom"/>
            <w:tcBorders>
              <w:top w:val="single" w:sz="8" w:color="0000FF"/>
              <w:bottom w:val="single" w:sz="8" w:color="0000EE"/>
            </w:tcBorders>
          </w:tcPr>
          <w:p>
            <w:pPr>
              <w:spacing w:after="0"/>
              <w:rPr>
                <w:sz w:val="12"/>
                <w:szCs w:val="12"/>
                <w:color w:val="auto"/>
              </w:rPr>
            </w:pPr>
          </w:p>
        </w:tc>
        <w:tc>
          <w:tcPr>
            <w:tcW w:w="4420" w:type="dxa"/>
            <w:vAlign w:val="bottom"/>
            <w:tcBorders>
              <w:top w:val="single" w:sz="8" w:color="0000FF"/>
            </w:tcBorders>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7"/>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440" w:type="dxa"/>
            <w:vAlign w:val="bottom"/>
          </w:tcPr>
          <w:p>
            <w:pPr>
              <w:spacing w:after="0"/>
              <w:rPr>
                <w:sz w:val="17"/>
                <w:szCs w:val="17"/>
                <w:color w:val="auto"/>
              </w:rPr>
            </w:pPr>
          </w:p>
        </w:tc>
        <w:tc>
          <w:tcPr>
            <w:tcW w:w="10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Change in Control Agreement executed by and between the Company and Benet Rupp, dated July 1, 2019.</w:t>
            </w:r>
          </w:p>
        </w:tc>
      </w:tr>
      <w:tr>
        <w:trPr>
          <w:trHeight w:val="184"/>
        </w:trPr>
        <w:tc>
          <w:tcPr>
            <w:tcW w:w="7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31.1</w:t>
            </w:r>
          </w:p>
        </w:tc>
        <w:tc>
          <w:tcPr>
            <w:tcW w:w="440" w:type="dxa"/>
            <w:vAlign w:val="bottom"/>
          </w:tcPr>
          <w:p>
            <w:pPr>
              <w:spacing w:after="0"/>
              <w:rPr>
                <w:sz w:val="16"/>
                <w:szCs w:val="16"/>
                <w:color w:val="auto"/>
              </w:rPr>
            </w:pPr>
          </w:p>
        </w:tc>
        <w:tc>
          <w:tcPr>
            <w:tcW w:w="2480" w:type="dxa"/>
            <w:vAlign w:val="bottom"/>
            <w:tcBorders>
              <w:top w:val="single" w:sz="8" w:color="0000FF"/>
              <w:bottom w:val="single" w:sz="8" w:color="0000FF"/>
            </w:tcBorders>
            <w:gridSpan w:val="5"/>
          </w:tcPr>
          <w:p>
            <w:pPr>
              <w:spacing w:after="0" w:line="185" w:lineRule="exact"/>
              <w:rPr>
                <w:sz w:val="20"/>
                <w:szCs w:val="20"/>
                <w:color w:val="auto"/>
              </w:rPr>
            </w:pPr>
            <w:r>
              <w:rPr>
                <w:rFonts w:ascii="Times New Roman" w:cs="Times New Roman" w:eastAsia="Times New Roman" w:hAnsi="Times New Roman"/>
                <w:sz w:val="17"/>
                <w:szCs w:val="17"/>
                <w:color w:val="0000FF"/>
                <w:w w:val="99"/>
              </w:rPr>
              <w:t>Rule 13-a-14(a) Certification - CEO</w:t>
            </w:r>
          </w:p>
        </w:tc>
        <w:tc>
          <w:tcPr>
            <w:tcW w:w="4800" w:type="dxa"/>
            <w:vAlign w:val="bottom"/>
            <w:tcBorders>
              <w:top w:val="single" w:sz="8" w:color="0000FF"/>
            </w:tcBorders>
            <w:gridSpan w:val="7"/>
          </w:tcPr>
          <w:p>
            <w:pPr>
              <w:spacing w:after="0"/>
              <w:rPr>
                <w:sz w:val="16"/>
                <w:szCs w:val="16"/>
                <w:color w:val="auto"/>
              </w:rPr>
            </w:pPr>
          </w:p>
        </w:tc>
        <w:tc>
          <w:tcPr>
            <w:tcW w:w="2900" w:type="dxa"/>
            <w:vAlign w:val="bottom"/>
            <w:gridSpan w:val="6"/>
          </w:tcPr>
          <w:p>
            <w:pPr>
              <w:spacing w:after="0"/>
              <w:rPr>
                <w:sz w:val="16"/>
                <w:szCs w:val="16"/>
                <w:color w:val="auto"/>
              </w:rPr>
            </w:pPr>
          </w:p>
        </w:tc>
      </w:tr>
      <w:tr>
        <w:trPr>
          <w:trHeight w:val="184"/>
        </w:trPr>
        <w:tc>
          <w:tcPr>
            <w:tcW w:w="7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31.2</w:t>
            </w:r>
          </w:p>
        </w:tc>
        <w:tc>
          <w:tcPr>
            <w:tcW w:w="440" w:type="dxa"/>
            <w:vAlign w:val="bottom"/>
          </w:tcPr>
          <w:p>
            <w:pPr>
              <w:spacing w:after="0"/>
              <w:rPr>
                <w:sz w:val="16"/>
                <w:szCs w:val="16"/>
                <w:color w:val="auto"/>
              </w:rPr>
            </w:pPr>
          </w:p>
        </w:tc>
        <w:tc>
          <w:tcPr>
            <w:tcW w:w="2460" w:type="dxa"/>
            <w:vAlign w:val="bottom"/>
            <w:tcBorders>
              <w:bottom w:val="single" w:sz="8" w:color="0000FF"/>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FF"/>
                <w:w w:val="99"/>
              </w:rPr>
              <w:t>Rule 13-a-14(a) Certification - CFO</w:t>
            </w:r>
          </w:p>
        </w:tc>
        <w:tc>
          <w:tcPr>
            <w:tcW w:w="7720" w:type="dxa"/>
            <w:vAlign w:val="bottom"/>
            <w:gridSpan w:val="14"/>
          </w:tcPr>
          <w:p>
            <w:pPr>
              <w:spacing w:after="0"/>
              <w:rPr>
                <w:sz w:val="16"/>
                <w:szCs w:val="16"/>
                <w:color w:val="auto"/>
              </w:rPr>
            </w:pPr>
          </w:p>
        </w:tc>
      </w:tr>
      <w:tr>
        <w:trPr>
          <w:trHeight w:val="184"/>
        </w:trPr>
        <w:tc>
          <w:tcPr>
            <w:tcW w:w="7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32.1</w:t>
            </w:r>
          </w:p>
        </w:tc>
        <w:tc>
          <w:tcPr>
            <w:tcW w:w="440" w:type="dxa"/>
            <w:vAlign w:val="bottom"/>
          </w:tcPr>
          <w:p>
            <w:pPr>
              <w:spacing w:after="0"/>
              <w:rPr>
                <w:sz w:val="16"/>
                <w:szCs w:val="16"/>
                <w:color w:val="auto"/>
              </w:rPr>
            </w:pPr>
          </w:p>
        </w:tc>
        <w:tc>
          <w:tcPr>
            <w:tcW w:w="2280" w:type="dxa"/>
            <w:vAlign w:val="bottom"/>
            <w:tcBorders>
              <w:bottom w:val="single" w:sz="8" w:color="0000FF"/>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FF"/>
                <w:w w:val="99"/>
              </w:rPr>
              <w:t>Section 1350 Certification - CEO</w:t>
            </w:r>
          </w:p>
        </w:tc>
        <w:tc>
          <w:tcPr>
            <w:tcW w:w="7900" w:type="dxa"/>
            <w:vAlign w:val="bottom"/>
            <w:gridSpan w:val="16"/>
          </w:tcPr>
          <w:p>
            <w:pPr>
              <w:spacing w:after="0"/>
              <w:rPr>
                <w:sz w:val="16"/>
                <w:szCs w:val="16"/>
                <w:color w:val="auto"/>
              </w:rPr>
            </w:pPr>
          </w:p>
        </w:tc>
      </w:tr>
      <w:tr>
        <w:trPr>
          <w:trHeight w:val="184"/>
        </w:trPr>
        <w:tc>
          <w:tcPr>
            <w:tcW w:w="7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32.2</w:t>
            </w:r>
          </w:p>
        </w:tc>
        <w:tc>
          <w:tcPr>
            <w:tcW w:w="440" w:type="dxa"/>
            <w:vAlign w:val="bottom"/>
          </w:tcPr>
          <w:p>
            <w:pPr>
              <w:spacing w:after="0"/>
              <w:rPr>
                <w:sz w:val="16"/>
                <w:szCs w:val="16"/>
                <w:color w:val="auto"/>
              </w:rPr>
            </w:pPr>
          </w:p>
        </w:tc>
        <w:tc>
          <w:tcPr>
            <w:tcW w:w="10180" w:type="dxa"/>
            <w:vAlign w:val="bottom"/>
            <w:gridSpan w:val="18"/>
          </w:tcPr>
          <w:p>
            <w:pPr>
              <w:spacing w:after="0" w:line="185" w:lineRule="exact"/>
              <w:rPr>
                <w:sz w:val="20"/>
                <w:szCs w:val="20"/>
                <w:color w:val="auto"/>
              </w:rPr>
            </w:pPr>
            <w:r>
              <w:rPr>
                <w:rFonts w:ascii="Times New Roman" w:cs="Times New Roman" w:eastAsia="Times New Roman" w:hAnsi="Times New Roman"/>
                <w:sz w:val="17"/>
                <w:szCs w:val="17"/>
                <w:color w:val="0000FF"/>
              </w:rPr>
              <w:t>Section 1350 Certification - CFO</w:t>
            </w: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r>
      <w:tr>
        <w:trPr>
          <w:trHeight w:val="376"/>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440" w:type="dxa"/>
            <w:vAlign w:val="bottom"/>
          </w:tcPr>
          <w:p>
            <w:pPr>
              <w:spacing w:after="0"/>
              <w:rPr>
                <w:sz w:val="24"/>
                <w:szCs w:val="24"/>
                <w:color w:val="auto"/>
              </w:rPr>
            </w:pPr>
          </w:p>
        </w:tc>
        <w:tc>
          <w:tcPr>
            <w:tcW w:w="101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 within</w:t>
            </w:r>
          </w:p>
        </w:tc>
      </w:tr>
      <w:tr>
        <w:trPr>
          <w:trHeight w:val="180"/>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80" w:type="dxa"/>
            <w:vAlign w:val="bottom"/>
            <w:gridSpan w:val="18"/>
          </w:tcPr>
          <w:p>
            <w:pPr>
              <w:spacing w:after="0" w:line="181" w:lineRule="exact"/>
              <w:rPr>
                <w:sz w:val="20"/>
                <w:szCs w:val="20"/>
                <w:color w:val="auto"/>
              </w:rPr>
            </w:pPr>
            <w:r>
              <w:rPr>
                <w:rFonts w:ascii="Times New Roman" w:cs="Times New Roman" w:eastAsia="Times New Roman" w:hAnsi="Times New Roman"/>
                <w:sz w:val="16"/>
                <w:szCs w:val="16"/>
                <w:color w:val="auto"/>
              </w:rPr>
              <w:t xml:space="preserve">the Inline XBRL document. </w:t>
            </w:r>
            <w:r>
              <w:rPr>
                <w:rFonts w:ascii="Times New Roman" w:cs="Times New Roman" w:eastAsia="Times New Roman" w:hAnsi="Times New Roman"/>
                <w:sz w:val="20"/>
                <w:szCs w:val="20"/>
                <w:color w:val="auto"/>
                <w:vertAlign w:val="superscript"/>
              </w:rPr>
              <w:t>(1)</w:t>
            </w:r>
          </w:p>
        </w:tc>
      </w:tr>
      <w:tr>
        <w:trPr>
          <w:trHeight w:val="204"/>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440" w:type="dxa"/>
            <w:vAlign w:val="bottom"/>
          </w:tcPr>
          <w:p>
            <w:pPr>
              <w:spacing w:after="0"/>
              <w:rPr>
                <w:sz w:val="17"/>
                <w:szCs w:val="17"/>
                <w:color w:val="auto"/>
              </w:rPr>
            </w:pPr>
          </w:p>
        </w:tc>
        <w:tc>
          <w:tcPr>
            <w:tcW w:w="10180" w:type="dxa"/>
            <w:vAlign w:val="bottom"/>
            <w:gridSpan w:val="18"/>
          </w:tcPr>
          <w:p>
            <w:pPr>
              <w:spacing w:after="0" w:line="204" w:lineRule="exact"/>
              <w:rPr>
                <w:sz w:val="20"/>
                <w:szCs w:val="20"/>
                <w:color w:val="auto"/>
              </w:rPr>
            </w:pPr>
            <w:r>
              <w:rPr>
                <w:rFonts w:ascii="Times New Roman" w:cs="Times New Roman" w:eastAsia="Times New Roman" w:hAnsi="Times New Roman"/>
                <w:sz w:val="17"/>
                <w:szCs w:val="17"/>
                <w:color w:val="auto"/>
              </w:rPr>
              <w:t xml:space="preserve">Inline XBRL Taxonomy Extension Schema Document </w:t>
            </w:r>
            <w:r>
              <w:rPr>
                <w:rFonts w:ascii="Times New Roman" w:cs="Times New Roman" w:eastAsia="Times New Roman" w:hAnsi="Times New Roman"/>
                <w:sz w:val="22"/>
                <w:szCs w:val="22"/>
                <w:color w:val="auto"/>
                <w:vertAlign w:val="superscript"/>
              </w:rPr>
              <w:t>(1)</w:t>
            </w:r>
          </w:p>
        </w:tc>
      </w:tr>
      <w:tr>
        <w:trPr>
          <w:trHeight w:val="204"/>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440" w:type="dxa"/>
            <w:vAlign w:val="bottom"/>
          </w:tcPr>
          <w:p>
            <w:pPr>
              <w:spacing w:after="0"/>
              <w:rPr>
                <w:sz w:val="17"/>
                <w:szCs w:val="17"/>
                <w:color w:val="auto"/>
              </w:rPr>
            </w:pPr>
          </w:p>
        </w:tc>
        <w:tc>
          <w:tcPr>
            <w:tcW w:w="10180" w:type="dxa"/>
            <w:vAlign w:val="bottom"/>
            <w:gridSpan w:val="18"/>
          </w:tcPr>
          <w:p>
            <w:pPr>
              <w:spacing w:after="0" w:line="204" w:lineRule="exact"/>
              <w:rPr>
                <w:sz w:val="20"/>
                <w:szCs w:val="20"/>
                <w:color w:val="auto"/>
              </w:rPr>
            </w:pPr>
            <w:r>
              <w:rPr>
                <w:rFonts w:ascii="Times New Roman" w:cs="Times New Roman" w:eastAsia="Times New Roman" w:hAnsi="Times New Roman"/>
                <w:sz w:val="17"/>
                <w:szCs w:val="17"/>
                <w:color w:val="auto"/>
              </w:rPr>
              <w:t xml:space="preserve">Inline XBRL Taxonomy Extension Calculation Linkbase Document </w:t>
            </w:r>
            <w:r>
              <w:rPr>
                <w:rFonts w:ascii="Times New Roman" w:cs="Times New Roman" w:eastAsia="Times New Roman" w:hAnsi="Times New Roman"/>
                <w:sz w:val="22"/>
                <w:szCs w:val="22"/>
                <w:color w:val="auto"/>
                <w:vertAlign w:val="superscript"/>
              </w:rPr>
              <w:t>(1)</w:t>
            </w:r>
          </w:p>
        </w:tc>
      </w:tr>
      <w:tr>
        <w:trPr>
          <w:trHeight w:val="204"/>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440" w:type="dxa"/>
            <w:vAlign w:val="bottom"/>
          </w:tcPr>
          <w:p>
            <w:pPr>
              <w:spacing w:after="0"/>
              <w:rPr>
                <w:sz w:val="17"/>
                <w:szCs w:val="17"/>
                <w:color w:val="auto"/>
              </w:rPr>
            </w:pPr>
          </w:p>
        </w:tc>
        <w:tc>
          <w:tcPr>
            <w:tcW w:w="10180" w:type="dxa"/>
            <w:vAlign w:val="bottom"/>
            <w:gridSpan w:val="18"/>
          </w:tcPr>
          <w:p>
            <w:pPr>
              <w:spacing w:after="0" w:line="204" w:lineRule="exact"/>
              <w:rPr>
                <w:sz w:val="20"/>
                <w:szCs w:val="20"/>
                <w:color w:val="auto"/>
              </w:rPr>
            </w:pPr>
            <w:r>
              <w:rPr>
                <w:rFonts w:ascii="Times New Roman" w:cs="Times New Roman" w:eastAsia="Times New Roman" w:hAnsi="Times New Roman"/>
                <w:sz w:val="17"/>
                <w:szCs w:val="17"/>
                <w:color w:val="auto"/>
              </w:rPr>
              <w:t xml:space="preserve">Inline XBRL Taxonomy Extension Definition Linkbase Document </w:t>
            </w:r>
            <w:r>
              <w:rPr>
                <w:rFonts w:ascii="Times New Roman" w:cs="Times New Roman" w:eastAsia="Times New Roman" w:hAnsi="Times New Roman"/>
                <w:sz w:val="22"/>
                <w:szCs w:val="22"/>
                <w:color w:val="auto"/>
                <w:vertAlign w:val="superscript"/>
              </w:rPr>
              <w:t>(1)</w:t>
            </w:r>
          </w:p>
        </w:tc>
      </w:tr>
      <w:tr>
        <w:trPr>
          <w:trHeight w:val="204"/>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440" w:type="dxa"/>
            <w:vAlign w:val="bottom"/>
          </w:tcPr>
          <w:p>
            <w:pPr>
              <w:spacing w:after="0"/>
              <w:rPr>
                <w:sz w:val="17"/>
                <w:szCs w:val="17"/>
                <w:color w:val="auto"/>
              </w:rPr>
            </w:pPr>
          </w:p>
        </w:tc>
        <w:tc>
          <w:tcPr>
            <w:tcW w:w="10180" w:type="dxa"/>
            <w:vAlign w:val="bottom"/>
            <w:gridSpan w:val="18"/>
          </w:tcPr>
          <w:p>
            <w:pPr>
              <w:spacing w:after="0" w:line="204" w:lineRule="exact"/>
              <w:rPr>
                <w:sz w:val="20"/>
                <w:szCs w:val="20"/>
                <w:color w:val="auto"/>
              </w:rPr>
            </w:pPr>
            <w:r>
              <w:rPr>
                <w:rFonts w:ascii="Times New Roman" w:cs="Times New Roman" w:eastAsia="Times New Roman" w:hAnsi="Times New Roman"/>
                <w:sz w:val="17"/>
                <w:szCs w:val="17"/>
                <w:color w:val="auto"/>
              </w:rPr>
              <w:t xml:space="preserve">Inline XBRL Taxonomy Extension Label Linkbase Document </w:t>
            </w:r>
            <w:r>
              <w:rPr>
                <w:rFonts w:ascii="Times New Roman" w:cs="Times New Roman" w:eastAsia="Times New Roman" w:hAnsi="Times New Roman"/>
                <w:sz w:val="22"/>
                <w:szCs w:val="22"/>
                <w:color w:val="auto"/>
                <w:vertAlign w:val="superscript"/>
              </w:rPr>
              <w:t>(1)</w:t>
            </w:r>
          </w:p>
        </w:tc>
      </w:tr>
      <w:tr>
        <w:trPr>
          <w:trHeight w:val="256"/>
        </w:trPr>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440" w:type="dxa"/>
            <w:vAlign w:val="bottom"/>
          </w:tcPr>
          <w:p>
            <w:pPr>
              <w:spacing w:after="0"/>
              <w:rPr>
                <w:sz w:val="22"/>
                <w:szCs w:val="22"/>
                <w:color w:val="auto"/>
              </w:rPr>
            </w:pPr>
          </w:p>
        </w:tc>
        <w:tc>
          <w:tcPr>
            <w:tcW w:w="101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 xml:space="preserve">Inline XBRL Taxonomy Extension Presentation Linkbase Document </w:t>
            </w:r>
            <w:r>
              <w:rPr>
                <w:rFonts w:ascii="Times New Roman" w:cs="Times New Roman" w:eastAsia="Times New Roman" w:hAnsi="Times New Roman"/>
                <w:sz w:val="22"/>
                <w:szCs w:val="22"/>
                <w:color w:val="auto"/>
                <w:vertAlign w:val="superscript"/>
              </w:rPr>
              <w:t>(1)</w:t>
            </w:r>
          </w:p>
        </w:tc>
      </w:tr>
    </w:tbl>
    <w:p>
      <w:pPr>
        <w:ind w:left="1140" w:hanging="1125"/>
        <w:spacing w:after="0" w:line="227" w:lineRule="auto"/>
        <w:tabs>
          <w:tab w:leader="none" w:pos="11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for the quarter ended September 30, 2022, has been formatted in Inline XBRL.</w:t>
      </w:r>
    </w:p>
    <w:p>
      <w:pPr>
        <w:spacing w:after="0" w:line="391" w:lineRule="exact"/>
        <w:rPr>
          <w:rFonts w:ascii="Times New Roman" w:cs="Times New Roman" w:eastAsia="Times New Roman" w:hAnsi="Times New Roman"/>
          <w:sz w:val="17"/>
          <w:szCs w:val="17"/>
          <w:color w:val="auto"/>
        </w:rPr>
      </w:pPr>
    </w:p>
    <w:p>
      <w:pPr>
        <w:jc w:val="both"/>
        <w:ind w:firstLine="2"/>
        <w:spacing w:after="0" w:line="265" w:lineRule="auto"/>
        <w:tabs>
          <w:tab w:leader="none" w:pos="161"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9"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Farmers &amp; Merchants Bancorp, Inc.,</w:t>
      </w:r>
    </w:p>
    <w:p>
      <w:pPr>
        <w:spacing w:after="0" w:line="213" w:lineRule="exact"/>
        <w:rPr>
          <w:sz w:val="20"/>
          <w:szCs w:val="20"/>
          <w:color w:val="auto"/>
        </w:rPr>
      </w:pPr>
    </w:p>
    <w:p>
      <w:pPr>
        <w:ind w:left="620"/>
        <w:spacing w:after="0"/>
        <w:tabs>
          <w:tab w:leader="none" w:pos="1460" w:val="left"/>
          <w:tab w:leader="none" w:pos="6400" w:val="left"/>
          <w:tab w:leader="none" w:pos="69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25,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15875</wp:posOffset>
            </wp:positionV>
            <wp:extent cx="274256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3">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Lars B. Eller</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20"/>
        <w:spacing w:after="0"/>
        <w:tabs>
          <w:tab w:leader="none" w:pos="1460" w:val="left"/>
          <w:tab w:leader="none" w:pos="6400" w:val="left"/>
          <w:tab w:leader="none" w:pos="69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25,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15875</wp:posOffset>
            </wp:positionV>
            <wp:extent cx="274256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4">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Barbara J. Britenriker</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Executive Vice-President and</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60325</wp:posOffset>
            </wp:positionV>
            <wp:extent cx="7165340" cy="4191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FARMERS &amp; MERCHANTS BANCORP, INC.</w:t>
      </w:r>
    </w:p>
    <w:p>
      <w:pPr>
        <w:spacing w:after="0" w:line="3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CHANGE IN CONTROL-SEVERANCE COMPENSATION AGREEMENT</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is a Change in Control - Severance Compensation Agreement (the "Agreement") made by and between Farmers &amp; Merchants Bancorp, Inc.</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("Company") and Benet Rupp ("Executive").</w:t>
      </w:r>
    </w:p>
    <w:p>
      <w:pPr>
        <w:spacing w:after="0" w:line="2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Company is a bank holding company which is engaged in the business of banking and businesses incidental thereto.</w:t>
      </w:r>
    </w:p>
    <w:p>
      <w:pPr>
        <w:spacing w:after="0" w:line="188" w:lineRule="exact"/>
        <w:rPr>
          <w:sz w:val="20"/>
          <w:szCs w:val="20"/>
          <w:color w:val="auto"/>
        </w:rPr>
      </w:pPr>
    </w:p>
    <w:p>
      <w:pPr>
        <w:ind w:left="220" w:firstLine="6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Executive possesses unique skills, knowledge and experience relating to the business of the Company and is presently employed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or one or more of its subsidiaries.</w:t>
      </w:r>
    </w:p>
    <w:p>
      <w:pPr>
        <w:spacing w:after="0" w:line="132" w:lineRule="exact"/>
        <w:rPr>
          <w:sz w:val="20"/>
          <w:szCs w:val="20"/>
          <w:color w:val="auto"/>
        </w:rPr>
      </w:pPr>
    </w:p>
    <w:p>
      <w:pPr>
        <w:jc w:val="both"/>
        <w:ind w:left="220" w:right="20" w:firstLine="329"/>
        <w:spacing w:after="0" w:line="246" w:lineRule="auto"/>
        <w:tabs>
          <w:tab w:leader="none" w:pos="63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Company desires to recognize the past and future services of Executive, and, in that connection, Executive desires to be assured that,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event of a change in the control of Company, Executive will be provided with an adequate severance payment for termination without cause or as compensation for Executive's severance because of a material change in his duties and functions.</w:t>
      </w:r>
    </w:p>
    <w:p>
      <w:pPr>
        <w:spacing w:after="0" w:line="153" w:lineRule="exact"/>
        <w:rPr>
          <w:sz w:val="20"/>
          <w:szCs w:val="20"/>
          <w:color w:val="auto"/>
        </w:rPr>
      </w:pPr>
    </w:p>
    <w:p>
      <w:pPr>
        <w:ind w:left="220" w:right="20" w:firstLine="622"/>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Company desires to be assured of the objectivity of Executive in evaluating a potential change of control and advising whether or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potential change of control is in the best interest of Company and its shareholders.</w:t>
      </w:r>
    </w:p>
    <w:p>
      <w:pPr>
        <w:spacing w:after="0" w:line="170" w:lineRule="exact"/>
        <w:rPr>
          <w:sz w:val="20"/>
          <w:szCs w:val="20"/>
          <w:color w:val="auto"/>
        </w:rPr>
      </w:pPr>
    </w:p>
    <w:p>
      <w:pPr>
        <w:ind w:left="60" w:right="4520" w:firstLine="787"/>
        <w:spacing w:after="0" w:line="319"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Company desires to induce Executive to remain in the employ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Company following a change of control to provide for continuity of management.</w:t>
      </w:r>
    </w:p>
    <w:p>
      <w:pPr>
        <w:spacing w:after="0" w:line="132" w:lineRule="exact"/>
        <w:rPr>
          <w:sz w:val="20"/>
          <w:szCs w:val="20"/>
          <w:color w:val="auto"/>
        </w:rPr>
      </w:pPr>
    </w:p>
    <w:p>
      <w:pPr>
        <w:ind w:left="200" w:right="20" w:firstLine="634"/>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Company and Executive have mutually agreed to amend and restate the terms of this Agreement in certain respects in order to clarify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on which severance pay would be due following a change of control of the Company.</w:t>
      </w:r>
    </w:p>
    <w:p>
      <w:pPr>
        <w:spacing w:after="0" w:line="158" w:lineRule="exact"/>
        <w:rPr>
          <w:sz w:val="20"/>
          <w:szCs w:val="20"/>
          <w:color w:val="auto"/>
        </w:rPr>
      </w:pPr>
    </w:p>
    <w:p>
      <w:pPr>
        <w:ind w:left="180" w:right="40" w:firstLine="642"/>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premises and of their mutual 'covenants expressed in this Agreement, the parties hereto agree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 and restate the agreement in the following manner, intending to be legally bound thereby: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Section 1 - Definitions</w:t>
      </w:r>
    </w:p>
    <w:p>
      <w:pPr>
        <w:spacing w:after="0" w:line="205" w:lineRule="exact"/>
        <w:rPr>
          <w:sz w:val="20"/>
          <w:szCs w:val="20"/>
          <w:color w:val="auto"/>
        </w:rPr>
      </w:pPr>
    </w:p>
    <w:p>
      <w:pPr>
        <w:ind w:left="820" w:hanging="636"/>
        <w:spacing w:after="0"/>
        <w:tabs>
          <w:tab w:leader="none" w:pos="8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"Board" shall mean the Board of Directors of Farmers &amp; Merchants Bancorp, Inc.</w:t>
      </w:r>
    </w:p>
    <w:p>
      <w:pPr>
        <w:spacing w:after="0" w:line="187" w:lineRule="exact"/>
        <w:rPr>
          <w:rFonts w:ascii="Times New Roman" w:cs="Times New Roman" w:eastAsia="Times New Roman" w:hAnsi="Times New Roman"/>
          <w:sz w:val="17"/>
          <w:szCs w:val="17"/>
          <w:color w:val="auto"/>
        </w:rPr>
      </w:pPr>
    </w:p>
    <w:p>
      <w:pPr>
        <w:ind w:left="780" w:right="40" w:hanging="606"/>
        <w:spacing w:after="0" w:line="267" w:lineRule="auto"/>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xml:space="preserve"> - ''Cause" shall mean and be limited to Executive's (a) criminal dishonesty, (b) failure to perform his duties on an exclusive and substantially full-time basis (unless unable to so perform by reason of disability), (c) failure to act in accordance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411480</wp:posOffset>
            </wp:positionV>
            <wp:extent cx="7165340" cy="419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000"/>
          </w:cols>
          <w:pgMar w:left="380" w:top="145" w:right="519" w:bottom="1440" w:gutter="0" w:footer="0" w:header="0"/>
        </w:sectPr>
      </w:pPr>
    </w:p>
    <w:bookmarkStart w:id="74" w:name="page75"/>
    <w:bookmarkEnd w:id="74"/>
    <w:p>
      <w:pPr>
        <w:jc w:val="both"/>
        <w:ind w:left="660" w:firstLine="6"/>
        <w:spacing w:after="0" w:line="251" w:lineRule="auto"/>
        <w:rPr>
          <w:sz w:val="20"/>
          <w:szCs w:val="20"/>
          <w:color w:val="auto"/>
        </w:rPr>
      </w:pPr>
      <w:r>
        <w:rPr>
          <w:rFonts w:ascii="Times New Roman" w:cs="Times New Roman" w:eastAsia="Times New Roman" w:hAnsi="Times New Roman"/>
          <w:sz w:val="17"/>
          <w:szCs w:val="17"/>
          <w:color w:val="auto"/>
        </w:rPr>
        <w:t>specific substantive instructions given by Company with respect to Executive's performance of duties normally associated with his position prior to the Change in Control (unless unable to so perform by reason ·of disability), or (d) engaging in conduct which could be materially damaging to Company without a reasonable good faith belief that such conduct was in the best interest of Company.</w:t>
      </w:r>
    </w:p>
    <w:p>
      <w:pPr>
        <w:spacing w:after="0" w:line="166" w:lineRule="exact"/>
        <w:rPr>
          <w:sz w:val="20"/>
          <w:szCs w:val="20"/>
          <w:color w:val="auto"/>
        </w:rPr>
      </w:pPr>
    </w:p>
    <w:p>
      <w:pPr>
        <w:ind w:left="660" w:hanging="611"/>
        <w:spacing w:after="0"/>
        <w:tabs>
          <w:tab w:leader="none" w:pos="66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xml:space="preserve"> - A "Change in Control" shall have the meaning set forth on Exhibit A.</w:t>
      </w:r>
    </w:p>
    <w:p>
      <w:pPr>
        <w:spacing w:after="0" w:line="187" w:lineRule="exact"/>
        <w:rPr>
          <w:rFonts w:ascii="Times New Roman" w:cs="Times New Roman" w:eastAsia="Times New Roman" w:hAnsi="Times New Roman"/>
          <w:sz w:val="17"/>
          <w:szCs w:val="17"/>
          <w:color w:val="auto"/>
        </w:rPr>
      </w:pPr>
    </w:p>
    <w:p>
      <w:pPr>
        <w:ind w:left="620" w:hanging="571"/>
        <w:spacing w:after="0"/>
        <w:tabs>
          <w:tab w:leader="none" w:pos="62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 "Code" shall mean the Internal Revenue Code of 1986, as amended from time to time.</w:t>
      </w:r>
    </w:p>
    <w:p>
      <w:pPr>
        <w:spacing w:after="0" w:line="200" w:lineRule="exact"/>
        <w:rPr>
          <w:rFonts w:ascii="Times New Roman" w:cs="Times New Roman" w:eastAsia="Times New Roman" w:hAnsi="Times New Roman"/>
          <w:sz w:val="17"/>
          <w:szCs w:val="17"/>
          <w:color w:val="auto"/>
        </w:rPr>
      </w:pPr>
    </w:p>
    <w:p>
      <w:pPr>
        <w:jc w:val="both"/>
        <w:ind w:left="620" w:hanging="581"/>
        <w:spacing w:after="0" w:line="243" w:lineRule="auto"/>
        <w:tabs>
          <w:tab w:leader="none" w:pos="6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 "Company' shall mean Farmers &amp; Merchants Bancorp, Inc. and, except in connection with the definition of Change in Control, any members of its Affiliated Group, as that term is defined in Section 1504 of the Code, and shall include any predecessor corporations of the Company and its Affiliated Group.</w:t>
      </w:r>
    </w:p>
    <w:p>
      <w:pPr>
        <w:spacing w:after="0" w:line="160" w:lineRule="exact"/>
        <w:rPr>
          <w:rFonts w:ascii="Times New Roman" w:cs="Times New Roman" w:eastAsia="Times New Roman" w:hAnsi="Times New Roman"/>
          <w:sz w:val="17"/>
          <w:szCs w:val="17"/>
          <w:color w:val="auto"/>
        </w:rPr>
      </w:pPr>
    </w:p>
    <w:p>
      <w:pPr>
        <w:jc w:val="both"/>
        <w:ind w:left="600" w:hanging="565"/>
        <w:spacing w:after="0" w:line="243" w:lineRule="auto"/>
        <w:tabs>
          <w:tab w:leader="none" w:pos="60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 "Disability" shall mean disability as determined under the plans, policies or programs applicable to the Executive and if no such plan, policy or program exists, "disability" shall mean the Executive is unable to perform the material and substantial functions or duties of the Executive's position due a medical condition (including mental conditions).</w:t>
      </w:r>
    </w:p>
    <w:p>
      <w:pPr>
        <w:spacing w:after="0" w:line="185" w:lineRule="exact"/>
        <w:rPr>
          <w:rFonts w:ascii="Times New Roman" w:cs="Times New Roman" w:eastAsia="Times New Roman" w:hAnsi="Times New Roman"/>
          <w:sz w:val="17"/>
          <w:szCs w:val="17"/>
          <w:color w:val="auto"/>
        </w:rPr>
      </w:pPr>
    </w:p>
    <w:p>
      <w:pPr>
        <w:ind w:left="620" w:hanging="596"/>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xml:space="preserve"> "Exchange Act" means The Securities Exchange Act of 1934.</w:t>
      </w:r>
    </w:p>
    <w:p>
      <w:pPr>
        <w:spacing w:after="0" w:line="187" w:lineRule="exact"/>
        <w:rPr>
          <w:rFonts w:ascii="Times New Roman" w:cs="Times New Roman" w:eastAsia="Times New Roman" w:hAnsi="Times New Roman"/>
          <w:sz w:val="17"/>
          <w:szCs w:val="17"/>
          <w:color w:val="auto"/>
        </w:rPr>
      </w:pPr>
    </w:p>
    <w:p>
      <w:pPr>
        <w:jc w:val="both"/>
        <w:ind w:left="600" w:right="20" w:hanging="580"/>
        <w:spacing w:after="0" w:line="238"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OneYear of Compensation</w:t>
      </w:r>
      <w:r>
        <w:rPr>
          <w:rFonts w:ascii="Times New Roman" w:cs="Times New Roman" w:eastAsia="Times New Roman" w:hAnsi="Times New Roman"/>
          <w:sz w:val="17"/>
          <w:szCs w:val="17"/>
          <w:color w:val="auto"/>
        </w:rPr>
        <w:t xml:space="preserve"> "One Year of Compensation" means the annual equivalent of the highest rate of the Executive's salary in effect during the one-year period ending with the date of the Change in Control, and the average amount, paid in cash as bonus and other incentive compensation for the three year period ending with the date of the Change in Control. "One Year of Compensation" shall not include any amount, other than salary and cash bonuses or cash incentive compensation, that may be included in Executive's taxable compensation for federal income tax purposes and reported to Executive and Internal Revenue Service (11IRS11) such as the reporting of previously deferred compensation or gain realized upon exercise of any non qualified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 Term of Agreement.</w:t>
      </w:r>
    </w:p>
    <w:p>
      <w:pPr>
        <w:spacing w:after="0" w:line="192" w:lineRule="exact"/>
        <w:rPr>
          <w:sz w:val="20"/>
          <w:szCs w:val="20"/>
          <w:color w:val="auto"/>
        </w:rPr>
      </w:pPr>
    </w:p>
    <w:p>
      <w:pPr>
        <w:jc w:val="both"/>
        <w:ind w:right="40" w:firstLine="9"/>
        <w:spacing w:after="0" w:line="239" w:lineRule="auto"/>
        <w:rPr>
          <w:sz w:val="20"/>
          <w:szCs w:val="20"/>
          <w:color w:val="auto"/>
        </w:rPr>
      </w:pPr>
      <w:r>
        <w:rPr>
          <w:rFonts w:ascii="Times New Roman" w:cs="Times New Roman" w:eastAsia="Times New Roman" w:hAnsi="Times New Roman"/>
          <w:sz w:val="17"/>
          <w:szCs w:val="17"/>
          <w:color w:val="auto"/>
        </w:rPr>
        <w:t>This Agreement shall be effective from the date hereof, until the termination of employment of the Executive for any reason, or two years following a Change in Control. Notwithstanding the forgoing, the obligations of the Company pursuant to Section 4 of this Agreement shall survive such termination insofar as provided thereunder. This Agreement shall not change, alter or amend any rights which either Company or Executive may have in respect of the termination of the employment of Executive by Company prior to a Change in Control. Nothing contained in this Agreement shall be construed to create any additional right or obligation of Executive to be employed by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166370</wp:posOffset>
            </wp:positionV>
            <wp:extent cx="7165340" cy="419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80"/>
          </w:cols>
          <w:pgMar w:left="660" w:top="174" w:right="459" w:bottom="1440" w:gutter="0" w:footer="0" w:header="0"/>
        </w:sectPr>
      </w:pPr>
    </w:p>
    <w:bookmarkStart w:id="75" w:name="page76"/>
    <w:bookmarkEnd w:id="75"/>
    <w:p>
      <w:pPr>
        <w:jc w:val="both"/>
        <w:ind w:left="60" w:firstLine="7"/>
        <w:spacing w:after="0" w:line="251" w:lineRule="auto"/>
        <w:rPr>
          <w:sz w:val="20"/>
          <w:szCs w:val="20"/>
          <w:color w:val="auto"/>
        </w:rPr>
      </w:pPr>
      <w:r>
        <w:rPr>
          <w:rFonts w:ascii="Times New Roman" w:cs="Times New Roman" w:eastAsia="Times New Roman" w:hAnsi="Times New Roman"/>
          <w:sz w:val="17"/>
          <w:szCs w:val="17"/>
          <w:color w:val="auto"/>
        </w:rPr>
        <w:t>In addition to the forgoing this Agreement shall terminate on the date which the Company or any other member of its Affiliated Group, and over which Executive has managerial control, or which employs Executive, and which is a depository institution that is insured by an agency of any state or the United States Federal Government:</w:t>
      </w:r>
    </w:p>
    <w:p>
      <w:pPr>
        <w:spacing w:after="0" w:line="166" w:lineRule="exact"/>
        <w:rPr>
          <w:sz w:val="20"/>
          <w:szCs w:val="20"/>
          <w:color w:val="auto"/>
        </w:rPr>
      </w:pPr>
    </w:p>
    <w:p>
      <w:pPr>
        <w:ind w:left="1260" w:hanging="599"/>
        <w:spacing w:after="0"/>
        <w:tabs>
          <w:tab w:leader="none" w:pos="12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insolvent; or</w:t>
      </w:r>
    </w:p>
    <w:p>
      <w:pPr>
        <w:spacing w:after="0" w:line="200" w:lineRule="exact"/>
        <w:rPr>
          <w:rFonts w:ascii="Times New Roman" w:cs="Times New Roman" w:eastAsia="Times New Roman" w:hAnsi="Times New Roman"/>
          <w:sz w:val="17"/>
          <w:szCs w:val="17"/>
          <w:color w:val="auto"/>
        </w:rPr>
      </w:pPr>
    </w:p>
    <w:p>
      <w:pPr>
        <w:ind w:left="1260" w:hanging="616"/>
        <w:spacing w:after="0"/>
        <w:tabs>
          <w:tab w:leader="none" w:pos="1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appointed any conservator or receiver; or</w:t>
      </w:r>
    </w:p>
    <w:p>
      <w:pPr>
        <w:spacing w:after="0" w:line="213" w:lineRule="exact"/>
        <w:rPr>
          <w:rFonts w:ascii="Times New Roman" w:cs="Times New Roman" w:eastAsia="Times New Roman" w:hAnsi="Times New Roman"/>
          <w:sz w:val="17"/>
          <w:szCs w:val="17"/>
          <w:color w:val="auto"/>
        </w:rPr>
      </w:pPr>
    </w:p>
    <w:p>
      <w:pPr>
        <w:ind w:left="1240" w:hanging="591"/>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determined by an appropriate federal banking agency to be in a troubled condition, as defined in the applicable law and regulations; or</w:t>
      </w:r>
    </w:p>
    <w:p>
      <w:pPr>
        <w:spacing w:after="0" w:line="187" w:lineRule="exact"/>
        <w:rPr>
          <w:rFonts w:ascii="Times New Roman" w:cs="Times New Roman" w:eastAsia="Times New Roman" w:hAnsi="Times New Roman"/>
          <w:sz w:val="17"/>
          <w:szCs w:val="17"/>
          <w:color w:val="auto"/>
        </w:rPr>
      </w:pPr>
    </w:p>
    <w:p>
      <w:pPr>
        <w:ind w:left="1240" w:right="20" w:hanging="594"/>
        <w:spacing w:after="0" w:line="261"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assigned a composite rating of 4 or 5 by the appropriate federal banking agency or is informed in writing by the Federal Deposit Insurance Corporation that it is rated a</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4 or 5 under the Uniform Financial Institution's Rating System of the Federal</w:t>
      </w:r>
    </w:p>
    <w:p>
      <w:pPr>
        <w:spacing w:after="0" w:line="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Financial Institutions Examination Council; or</w:t>
      </w:r>
    </w:p>
    <w:p>
      <w:pPr>
        <w:spacing w:after="0" w:line="213" w:lineRule="exact"/>
        <w:rPr>
          <w:sz w:val="20"/>
          <w:szCs w:val="20"/>
          <w:color w:val="auto"/>
        </w:rPr>
      </w:pPr>
    </w:p>
    <w:p>
      <w:pPr>
        <w:ind w:left="1220" w:hanging="577"/>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initiated against it by the Federal Deposit Insurance Corporation a proceeding to terminate or suspend deposit insurance; or</w:t>
      </w:r>
    </w:p>
    <w:p>
      <w:pPr>
        <w:spacing w:after="0" w:line="200" w:lineRule="exact"/>
        <w:rPr>
          <w:rFonts w:ascii="Times New Roman" w:cs="Times New Roman" w:eastAsia="Times New Roman" w:hAnsi="Times New Roman"/>
          <w:sz w:val="17"/>
          <w:szCs w:val="17"/>
          <w:color w:val="auto"/>
        </w:rPr>
      </w:pPr>
    </w:p>
    <w:p>
      <w:pPr>
        <w:jc w:val="both"/>
        <w:ind w:left="1220" w:hanging="586"/>
        <w:spacing w:after="0" w:line="251"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determines in good faith and with due care that the payments called for under this Agreement, or the obligations and promises assumed and made under this Agreement have become proscribed under applicable law or regulations. Provided, however, if such law or regulations apply prospectively only, or for some other reason do not apply to this Agreement, then this Agreement shall not be deemed by Company to be proscribed.</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Reduction in Compensation Proscribed After a Change in Control</w:t>
      </w:r>
    </w:p>
    <w:p>
      <w:pPr>
        <w:spacing w:after="0" w:line="205" w:lineRule="exact"/>
        <w:rPr>
          <w:sz w:val="20"/>
          <w:szCs w:val="20"/>
          <w:color w:val="auto"/>
        </w:rPr>
      </w:pPr>
    </w:p>
    <w:p>
      <w:pPr>
        <w:jc w:val="both"/>
        <w:ind w:right="20" w:firstLine="18"/>
        <w:spacing w:after="0" w:line="241" w:lineRule="auto"/>
        <w:rPr>
          <w:sz w:val="20"/>
          <w:szCs w:val="20"/>
          <w:color w:val="auto"/>
        </w:rPr>
      </w:pPr>
      <w:r>
        <w:rPr>
          <w:rFonts w:ascii="Times New Roman" w:cs="Times New Roman" w:eastAsia="Times New Roman" w:hAnsi="Times New Roman"/>
          <w:sz w:val="17"/>
          <w:szCs w:val="17"/>
          <w:color w:val="auto"/>
        </w:rPr>
        <w:t>During the term of this Agreement from the date of a Change in Control forward, Executive shall receive as compensation, while still employed by Company, a salary at a rate no less than the highest rate in effect during the one-year period before the Change in Control, and shall, in addition, be entitled to receive a bonus equal to at least the average of the last three years of bom1 e.3- paid before the Change in Control. In addition, during such period, the Company shall provide for Executive all of the fringe benefits and other perquisites as provided to any similarly situated employee of the Company, including but not limited to retirement benefits, health, disability, dental, life insurance, club memberships, etc., all of which shall be at levels and amounts no less favorable than levels and amounts in effect as of the Change in Control and at the same cost to Executive as provided to any similarly situated employee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166370</wp:posOffset>
            </wp:positionV>
            <wp:extent cx="7165340" cy="4191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820"/>
          </w:cols>
          <w:pgMar w:left="560" w:top="187" w:right="519" w:bottom="1440" w:gutter="0" w:footer="0" w:header="0"/>
        </w:sectPr>
      </w:pPr>
    </w:p>
    <w:bookmarkStart w:id="76" w:name="page77"/>
    <w:bookmarkEnd w:id="76"/>
    <w:p>
      <w:pPr>
        <w:ind w:left="5"/>
        <w:spacing w:after="0"/>
        <w:rPr>
          <w:sz w:val="20"/>
          <w:szCs w:val="20"/>
          <w:color w:val="auto"/>
        </w:rPr>
      </w:pPr>
      <w:r>
        <w:rPr>
          <w:rFonts w:ascii="Times New Roman" w:cs="Times New Roman" w:eastAsia="Times New Roman" w:hAnsi="Times New Roman"/>
          <w:sz w:val="17"/>
          <w:szCs w:val="17"/>
          <w:b w:val="1"/>
          <w:bCs w:val="1"/>
          <w:color w:val="auto"/>
        </w:rPr>
        <w:t xml:space="preserve">Section 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Payments and Benefits for Termination of Employment Related to a Change in Control</w:t>
      </w:r>
    </w:p>
    <w:p>
      <w:pPr>
        <w:spacing w:after="0" w:line="205" w:lineRule="exact"/>
        <w:rPr>
          <w:sz w:val="20"/>
          <w:szCs w:val="20"/>
          <w:color w:val="auto"/>
        </w:rPr>
      </w:pPr>
    </w:p>
    <w:p>
      <w:pPr>
        <w:ind w:left="605" w:hanging="596"/>
        <w:spacing w:after="0"/>
        <w:tabs>
          <w:tab w:leader="none" w:pos="60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during the term of this Agreement and:</w:t>
      </w:r>
    </w:p>
    <w:p>
      <w:pPr>
        <w:spacing w:after="0" w:line="200" w:lineRule="exact"/>
        <w:rPr>
          <w:rFonts w:ascii="Times New Roman" w:cs="Times New Roman" w:eastAsia="Times New Roman" w:hAnsi="Times New Roman"/>
          <w:sz w:val="17"/>
          <w:szCs w:val="17"/>
          <w:color w:val="auto"/>
        </w:rPr>
      </w:pPr>
    </w:p>
    <w:p>
      <w:pPr>
        <w:ind w:left="1485" w:hanging="573"/>
        <w:spacing w:after="0"/>
        <w:tabs>
          <w:tab w:leader="none" w:pos="1485" w:val="left"/>
        </w:tabs>
        <w:numPr>
          <w:ilvl w:val="3"/>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two (2) years after the date of a Change in Control, Executive is discharged without Cause; or</w:t>
      </w:r>
    </w:p>
    <w:p>
      <w:pPr>
        <w:spacing w:after="0" w:line="226" w:lineRule="exact"/>
        <w:rPr>
          <w:rFonts w:ascii="Times New Roman" w:cs="Times New Roman" w:eastAsia="Times New Roman" w:hAnsi="Times New Roman"/>
          <w:sz w:val="17"/>
          <w:szCs w:val="17"/>
          <w:color w:val="auto"/>
        </w:rPr>
      </w:pPr>
    </w:p>
    <w:p>
      <w:pPr>
        <w:jc w:val="both"/>
        <w:ind w:left="1465" w:hanging="570"/>
        <w:spacing w:after="0" w:line="256" w:lineRule="auto"/>
        <w:tabs>
          <w:tab w:leader="none" w:pos="1465"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two (2) years after the date of a Change in Control Executive resigns because he has: (i) been demoted or had his authority, duties or responsibilities materially reduced, (ii) had his compensation reduced or, (iii) had his principal place of employment transferred to a location greater than sixty (60) miles from the main office of the Company which is located at 307 N. Defiance Street, Archbold, Ohio; or</w:t>
      </w:r>
    </w:p>
    <w:p>
      <w:pPr>
        <w:spacing w:after="0" w:line="162" w:lineRule="exact"/>
        <w:rPr>
          <w:rFonts w:ascii="Times New Roman" w:cs="Times New Roman" w:eastAsia="Times New Roman" w:hAnsi="Times New Roman"/>
          <w:sz w:val="17"/>
          <w:szCs w:val="17"/>
          <w:color w:val="auto"/>
        </w:rPr>
      </w:pPr>
    </w:p>
    <w:p>
      <w:pPr>
        <w:jc w:val="both"/>
        <w:ind w:left="1445" w:hanging="554"/>
        <w:spacing w:after="0" w:line="256" w:lineRule="auto"/>
        <w:tabs>
          <w:tab w:leader="none" w:pos="1445"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four (4) months before the date of a Change in Control, Executive resigns because he has: (i) been demoted or had his authority, duties or responsibilities materially reduced, (ii) had his compensation reduced, or (iii) had his principal place of employment transferred to a location greater than sixty (60) miles from the main office of the Company which is located at 307 N. Defiance Street, Archbold, Ohio; or</w:t>
      </w:r>
    </w:p>
    <w:p>
      <w:pPr>
        <w:spacing w:after="0" w:line="162" w:lineRule="exact"/>
        <w:rPr>
          <w:rFonts w:ascii="Times New Roman" w:cs="Times New Roman" w:eastAsia="Times New Roman" w:hAnsi="Times New Roman"/>
          <w:sz w:val="17"/>
          <w:szCs w:val="17"/>
          <w:color w:val="auto"/>
        </w:rPr>
      </w:pPr>
    </w:p>
    <w:p>
      <w:pPr>
        <w:ind w:left="1445" w:hanging="569"/>
        <w:spacing w:after="0"/>
        <w:tabs>
          <w:tab w:leader="none" w:pos="1445"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one year before the date of a Change in Control, the Executive is discharged by Company other than for Cause;</w:t>
      </w:r>
    </w:p>
    <w:p>
      <w:pPr>
        <w:spacing w:after="0" w:line="213" w:lineRule="exact"/>
        <w:rPr>
          <w:sz w:val="20"/>
          <w:szCs w:val="20"/>
          <w:color w:val="auto"/>
        </w:rPr>
      </w:pPr>
    </w:p>
    <w:p>
      <w:pPr>
        <w:jc w:val="both"/>
        <w:ind w:left="565" w:right="20" w:firstLine="6"/>
        <w:spacing w:after="0" w:line="248" w:lineRule="auto"/>
        <w:rPr>
          <w:sz w:val="20"/>
          <w:szCs w:val="20"/>
          <w:color w:val="auto"/>
        </w:rPr>
      </w:pPr>
      <w:r>
        <w:rPr>
          <w:rFonts w:ascii="Times New Roman" w:cs="Times New Roman" w:eastAsia="Times New Roman" w:hAnsi="Times New Roman"/>
          <w:sz w:val="17"/>
          <w:szCs w:val="17"/>
          <w:color w:val="auto"/>
        </w:rPr>
        <w:t>then the Company shall make the payments to Executive set forth in subsection B of this Section 4, provided that before a resignation under Section 4.A. 2 or 3, the Executive must have given notice to the Company of the existence of one or more of the conditions described in Sections 4.A. 2 or 3 within a period of ninety (90) days of the initial existence of the condition, has provided the Company a period of thirty (30) days after receiving the notice during which to the condition, and the Company has failed to do so within the thirty</w:t>
      </w:r>
    </w:p>
    <w:p>
      <w:pPr>
        <w:spacing w:after="0" w:line="1"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auto"/>
        </w:rPr>
        <w:t>(30) day period.   ·</w:t>
      </w:r>
    </w:p>
    <w:p>
      <w:pPr>
        <w:spacing w:after="0" w:line="170" w:lineRule="exact"/>
        <w:rPr>
          <w:sz w:val="20"/>
          <w:szCs w:val="20"/>
          <w:color w:val="auto"/>
        </w:rPr>
      </w:pPr>
    </w:p>
    <w:p>
      <w:pPr>
        <w:jc w:val="both"/>
        <w:ind w:left="585" w:right="20" w:hanging="584"/>
        <w:spacing w:after="0" w:line="237" w:lineRule="auto"/>
        <w:tabs>
          <w:tab w:leader="none" w:pos="58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termination of Executive's employment as described in Section 4.A. Executive shall be entitled to receive One Year of Compensation paid in a single lump sum payment within fourteen (14) days of the later of termination of employment of the Executive or the occurrence of the Change in Control.</w:t>
      </w:r>
    </w:p>
    <w:p>
      <w:pPr>
        <w:spacing w:after="0" w:line="174" w:lineRule="exact"/>
        <w:rPr>
          <w:rFonts w:ascii="Times New Roman" w:cs="Times New Roman" w:eastAsia="Times New Roman" w:hAnsi="Times New Roman"/>
          <w:sz w:val="17"/>
          <w:szCs w:val="17"/>
          <w:color w:val="auto"/>
        </w:rPr>
      </w:pPr>
    </w:p>
    <w:p>
      <w:pPr>
        <w:jc w:val="both"/>
        <w:ind w:left="585" w:right="20" w:hanging="585"/>
        <w:spacing w:after="0" w:line="232" w:lineRule="auto"/>
        <w:tabs>
          <w:tab w:leader="none" w:pos="58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Executive's employment is terminated as described in Section 4.A. (1, 2, 3 or 4), then in addition to the above cash payment(s), Company shall continue at no cost to Executive for the term of the Benefit Period as defined below, Executive's coverage in Company's health, disability, dental, and life insurance at the same levels that had been provided immediately prior to his termination of employment. The Benefit Period shall commence</w:t>
      </w:r>
    </w:p>
    <w:p>
      <w:pPr>
        <w:spacing w:after="0" w:line="3" w:lineRule="exact"/>
        <w:rPr>
          <w:rFonts w:ascii="Times New Roman" w:cs="Times New Roman" w:eastAsia="Times New Roman" w:hAnsi="Times New Roman"/>
          <w:sz w:val="17"/>
          <w:szCs w:val="17"/>
          <w:color w:val="auto"/>
        </w:rPr>
      </w:pPr>
    </w:p>
    <w:p>
      <w:pPr>
        <w:ind w:left="545" w:hanging="123"/>
        <w:spacing w:after="0"/>
        <w:tabs>
          <w:tab w:leader="none" w:pos="54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of termination of the Executive's employment (or, if later, the effective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178435</wp:posOffset>
            </wp:positionV>
            <wp:extent cx="7165340" cy="4191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45"/>
          </w:cols>
          <w:pgMar w:left="635" w:top="170" w:right="519" w:bottom="1440" w:gutter="0" w:footer="0" w:header="0"/>
        </w:sectPr>
      </w:pPr>
    </w:p>
    <w:bookmarkStart w:id="77" w:name="page78"/>
    <w:bookmarkEnd w:id="77"/>
    <w:p>
      <w:pPr>
        <w:ind w:left="635"/>
        <w:spacing w:after="0"/>
        <w:rPr>
          <w:sz w:val="20"/>
          <w:szCs w:val="20"/>
          <w:color w:val="auto"/>
        </w:rPr>
      </w:pPr>
      <w:r>
        <w:rPr>
          <w:rFonts w:ascii="Times New Roman" w:cs="Times New Roman" w:eastAsia="Times New Roman" w:hAnsi="Times New Roman"/>
          <w:sz w:val="17"/>
          <w:szCs w:val="17"/>
          <w:color w:val="auto"/>
        </w:rPr>
        <w:t>the Change in Control) and shall end on the last day of the 12th consecutive whole month thereafter.</w:t>
      </w:r>
    </w:p>
    <w:p>
      <w:pPr>
        <w:spacing w:after="0" w:line="201" w:lineRule="exact"/>
        <w:rPr>
          <w:sz w:val="20"/>
          <w:szCs w:val="20"/>
          <w:color w:val="auto"/>
        </w:rPr>
      </w:pPr>
    </w:p>
    <w:p>
      <w:pPr>
        <w:jc w:val="both"/>
        <w:ind w:left="615" w:hanging="570"/>
        <w:spacing w:after="0" w:line="251" w:lineRule="auto"/>
        <w:tabs>
          <w:tab w:leader="none" w:pos="615" w:val="left"/>
        </w:tabs>
        <w:numPr>
          <w:ilvl w:val="2"/>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Executive dies before collecting all amounts and benefits due under this Section, any payments owed under Section 4.B. shall be paid to the person or persons as stated in the last designation of beneficiary concerning this Agreement signed by Executive and filed with Company, and if no such designation has been made, then to the surviving spouse, and if there is no surviving spouse, to his/her estate.</w:t>
      </w:r>
    </w:p>
    <w:p>
      <w:pPr>
        <w:spacing w:after="0" w:line="166" w:lineRule="exact"/>
        <w:rPr>
          <w:rFonts w:ascii="Times New Roman" w:cs="Times New Roman" w:eastAsia="Times New Roman" w:hAnsi="Times New Roman"/>
          <w:sz w:val="17"/>
          <w:szCs w:val="17"/>
          <w:color w:val="auto"/>
        </w:rPr>
      </w:pPr>
    </w:p>
    <w:p>
      <w:pPr>
        <w:ind w:left="615" w:right="20" w:hanging="603"/>
        <w:spacing w:after="0" w:line="267" w:lineRule="auto"/>
        <w:tabs>
          <w:tab w:leader="none" w:pos="61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Section 7, the payments and benefits provided for herein are in lieu of compensation, benefits or amounts the Executive might otherwise be entitled to from the Company by reason of termination of employment (except as required or mandated by law).</w:t>
      </w:r>
    </w:p>
    <w:p>
      <w:pPr>
        <w:spacing w:after="0" w:line="152" w:lineRule="exact"/>
        <w:rPr>
          <w:rFonts w:ascii="Times New Roman" w:cs="Times New Roman" w:eastAsia="Times New Roman" w:hAnsi="Times New Roman"/>
          <w:sz w:val="17"/>
          <w:szCs w:val="17"/>
          <w:color w:val="auto"/>
        </w:rPr>
      </w:pPr>
    </w:p>
    <w:p>
      <w:pPr>
        <w:jc w:val="both"/>
        <w:ind w:left="595" w:right="20" w:hanging="565"/>
        <w:spacing w:after="0"/>
        <w:tabs>
          <w:tab w:leader="none" w:pos="59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the·event the payments required under this Agreement, when added together with any other amounts or benefits required to be treated as parachute payments received by Executive in connection with a Change of Control under the provisions of Section 2800 of the Code, would otherwise result in an '1Excess Parachute Payment," as that term is defined in Section 2800 of the Code, then the amount of the payments provided for in this Agreement shall be limited to the maximum amount that can be paid to Executive under this Agreement without causing the total of such payments and all other amounts or benefits required to be treated as parachute payments received by Executive in connection with a Change of Control under the provisions of Section 2800 to equal or exceed 3.0 times Executive's "Base Amount" as that term is defined in Section 280G(b)(3) (or any successor thereto) of the Code.</w:t>
      </w:r>
    </w:p>
    <w:p>
      <w:pPr>
        <w:spacing w:after="0" w:line="177" w:lineRule="exact"/>
        <w:rPr>
          <w:rFonts w:ascii="Times New Roman" w:cs="Times New Roman" w:eastAsia="Times New Roman" w:hAnsi="Times New Roman"/>
          <w:sz w:val="17"/>
          <w:szCs w:val="17"/>
          <w:color w:val="auto"/>
        </w:rPr>
      </w:pPr>
    </w:p>
    <w:p>
      <w:pPr>
        <w:ind w:left="595" w:right="40" w:hanging="586"/>
        <w:spacing w:after="0" w:line="261" w:lineRule="auto"/>
        <w:tabs>
          <w:tab w:leader="none" w:pos="59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subsequent employment by Executive shall not reduce the obligation of the Company to make the full payments and provide the full benefits specified herein and Executive shall have no obligation to seek other employment or otherwise mitigate the effect of his</w:t>
      </w:r>
    </w:p>
    <w:p>
      <w:pPr>
        <w:spacing w:after="0" w:line="1" w:lineRule="exact"/>
        <w:rPr>
          <w:rFonts w:ascii="Times New Roman" w:cs="Times New Roman" w:eastAsia="Times New Roman" w:hAnsi="Times New Roman"/>
          <w:sz w:val="17"/>
          <w:szCs w:val="17"/>
          <w:color w:val="auto"/>
        </w:rPr>
      </w:pPr>
    </w:p>
    <w:p>
      <w:pPr>
        <w:ind w:left="63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discharge from employment.</w:t>
      </w:r>
    </w:p>
    <w:p>
      <w:pPr>
        <w:spacing w:after="0" w:line="208" w:lineRule="exact"/>
        <w:rPr>
          <w:rFonts w:ascii="Times New Roman" w:cs="Times New Roman" w:eastAsia="Times New Roman" w:hAnsi="Times New Roman"/>
          <w:sz w:val="17"/>
          <w:szCs w:val="17"/>
          <w:color w:val="auto"/>
        </w:rPr>
      </w:pPr>
    </w:p>
    <w:p>
      <w:pPr>
        <w:jc w:val="both"/>
        <w:ind w:left="535" w:right="40" w:hanging="535"/>
        <w:spacing w:after="0" w:line="238" w:lineRule="auto"/>
        <w:tabs>
          <w:tab w:leader="none" w:pos="535"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this agreement providing for a payment to be made upon a termination of the Executive's employment, if at the time the payment would otherwise be payable, Employee is a "specified employee' [as defined below and any portion of the payment must be treated as 11deferred compensation" with the meaning of the Internal Revenue Code (the 11Code'), section 409A, the distribution of that portion of the Employee's benefit which is not exempt from Section 409A of the Code may not be made until six months after the date of the Employee's "separation from service'' with the Company [as that term may be defined in Section 409A(a)(2)(A)(i) of the Code and regulations promulgated there1mder], or, if earlier the date of death of the Employee. This requirement shall remain in effect only for periods in which the stock of the Company is publicly traded on an established securities market. For purposes of this subsection a 11specified employee" shall mean any Employee of the Company who is a "key employee'' of the Company within the meaning of Code section 416(i) and regulations thereunder,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the prior calendar year. The provisions of this subsection providing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175895</wp:posOffset>
            </wp:positionV>
            <wp:extent cx="7165340" cy="419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815"/>
          </w:cols>
          <w:pgMar w:left="525" w:top="187" w:right="559" w:bottom="1440" w:gutter="0" w:footer="0" w:header="0"/>
        </w:sectPr>
      </w:pPr>
    </w:p>
    <w:bookmarkStart w:id="78" w:name="page79"/>
    <w:bookmarkEnd w:id="78"/>
    <w:p>
      <w:pPr>
        <w:jc w:val="both"/>
        <w:ind w:left="580" w:firstLine="10"/>
        <w:spacing w:after="0" w:line="246" w:lineRule="auto"/>
        <w:rPr>
          <w:sz w:val="20"/>
          <w:szCs w:val="20"/>
          <w:color w:val="auto"/>
        </w:rPr>
      </w:pPr>
      <w:r>
        <w:rPr>
          <w:rFonts w:ascii="Times New Roman" w:cs="Times New Roman" w:eastAsia="Times New Roman" w:hAnsi="Times New Roman"/>
          <w:sz w:val="17"/>
          <w:szCs w:val="17"/>
          <w:color w:val="auto"/>
        </w:rPr>
        <w:t>delay in payment have been adopted only in order to comply with Code section 409A. These provisions shall be interpreted and administered in a manner consistent ..with the requirements of Code section 409A, together with any regulations or other guidance which may be published by the Treasury Department or Internal Revenue Service interpreting such Code section 409A and the delay in payment provided for hereunder shall only be applicable to the extent that, and with respect to the portion of which, such payments are proscribed thereby.</w:t>
      </w:r>
    </w:p>
    <w:p>
      <w:pPr>
        <w:spacing w:after="0" w:line="170" w:lineRule="exact"/>
        <w:rPr>
          <w:sz w:val="20"/>
          <w:szCs w:val="20"/>
          <w:color w:val="auto"/>
        </w:rPr>
      </w:pPr>
    </w:p>
    <w:p>
      <w:pPr>
        <w:ind w:left="520" w:hanging="497"/>
        <w:spacing w:after="0" w:line="283" w:lineRule="auto"/>
        <w:tabs>
          <w:tab w:leader="none" w:pos="5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in the event any payment called for under the terms hereof is prohibited by law, including 12 CFR Part 359 of the Code of Federal Regulations, the Company shall have no obligation to make such payment to the extent of such prohibition.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Section 5 - Provision for Outplacement Services</w:t>
      </w:r>
    </w:p>
    <w:p>
      <w:pPr>
        <w:spacing w:after="0" w:line="192" w:lineRule="exact"/>
        <w:rPr>
          <w:sz w:val="20"/>
          <w:szCs w:val="20"/>
          <w:color w:val="auto"/>
        </w:rPr>
      </w:pPr>
    </w:p>
    <w:p>
      <w:pPr>
        <w:jc w:val="both"/>
        <w:ind w:firstLine="15"/>
        <w:spacing w:after="0" w:line="251" w:lineRule="auto"/>
        <w:rPr>
          <w:sz w:val="20"/>
          <w:szCs w:val="20"/>
          <w:color w:val="auto"/>
        </w:rPr>
      </w:pPr>
      <w:r>
        <w:rPr>
          <w:rFonts w:ascii="Times New Roman" w:cs="Times New Roman" w:eastAsia="Times New Roman" w:hAnsi="Times New Roman"/>
          <w:sz w:val="17"/>
          <w:szCs w:val="17"/>
          <w:color w:val="auto"/>
        </w:rPr>
        <w:t>In the event of the termination of employment of Executive as specified in Section 4.A. of this Agreement, Executive shall be entitled to six months of out-placement services following termination of employment. Such services shall include employment counseling, resume services, executive placement services and similar services generally provided to executives by professional executive out placement service providers. All costs of such out placement services shall be paid for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 Arbitration</w:t>
      </w:r>
    </w:p>
    <w:p>
      <w:pPr>
        <w:spacing w:after="0" w:line="192" w:lineRule="exact"/>
        <w:rPr>
          <w:sz w:val="20"/>
          <w:szCs w:val="20"/>
          <w:color w:val="auto"/>
        </w:rPr>
      </w:pPr>
    </w:p>
    <w:p>
      <w:pPr>
        <w:jc w:val="both"/>
        <w:ind w:right="20" w:firstLine="1"/>
        <w:spacing w:after="0" w:line="227" w:lineRule="auto"/>
        <w:rPr>
          <w:sz w:val="20"/>
          <w:szCs w:val="20"/>
          <w:color w:val="auto"/>
        </w:rPr>
      </w:pPr>
      <w:r>
        <w:rPr>
          <w:rFonts w:ascii="Times New Roman" w:cs="Times New Roman" w:eastAsia="Times New Roman" w:hAnsi="Times New Roman"/>
          <w:sz w:val="17"/>
          <w:szCs w:val="17"/>
          <w:color w:val="auto"/>
        </w:rPr>
        <w:t>The parties hereto agree to arbitrate any issue, misunderstanding, disagreement or dispute with respect to the terms of this Agreement before an arbitrator or an arbitration panel as hereinafter provided. The parties may agree to one mutually acceptable arbitrator. If the parties have been unable to agree upon one arbitrator, then each party may appoint one arbitrator and the two appointed arbitrators shall appoint a third neutral arbitrator. If the arbitrators selected by the parties are unable or fail to agree upon the third arbitrator, an Ohio common pleas court judge located in Fulton County Ohio chosen at random shall select the third arbitrator. Failure by a party to appoint an arbitrator, within 30 days of receipt of notice of the appointment of an</w:t>
      </w:r>
    </w:p>
    <w:p>
      <w:pPr>
        <w:spacing w:after="0" w:line="1" w:lineRule="exact"/>
        <w:rPr>
          <w:sz w:val="20"/>
          <w:szCs w:val="20"/>
          <w:color w:val="auto"/>
        </w:rPr>
      </w:pPr>
    </w:p>
    <w:p>
      <w:pPr>
        <w:jc w:val="both"/>
        <w:ind w:right="20" w:firstLine="1"/>
        <w:spacing w:after="0" w:line="231" w:lineRule="auto"/>
        <w:rPr>
          <w:sz w:val="20"/>
          <w:szCs w:val="20"/>
          <w:color w:val="auto"/>
        </w:rPr>
      </w:pPr>
      <w:r>
        <w:rPr>
          <w:rFonts w:ascii="Times New Roman" w:cs="Times New Roman" w:eastAsia="Times New Roman" w:hAnsi="Times New Roman"/>
          <w:sz w:val="17"/>
          <w:szCs w:val="17"/>
          <w:color w:val="auto"/>
        </w:rPr>
        <w:t>arbitrator by the other party, shall be deemed as acceptance of arbitration by such single arbitrator. The arbitration shall occur in Archbold, Ohio1 or such other place as mutually agreed upon. The prevailing party shall be entitled to recover any and all costs associated with any arbitration proceeding (and any subsequent proceeding to enforce rights thereunder) including the recovery of reasonable attorneys fees. Judgment on the award rendered by the arbitrator(s) may be entered by any court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165735</wp:posOffset>
            </wp:positionV>
            <wp:extent cx="7165340" cy="419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80"/>
          </w:cols>
          <w:pgMar w:left="640" w:top="187" w:right="47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Section 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Right to Other Benefits</w:t>
      </w:r>
    </w:p>
    <w:p>
      <w:pPr>
        <w:spacing w:after="0" w:line="192" w:lineRule="exact"/>
        <w:rPr>
          <w:sz w:val="20"/>
          <w:szCs w:val="20"/>
          <w:color w:val="auto"/>
        </w:rPr>
      </w:pPr>
    </w:p>
    <w:p>
      <w:pPr>
        <w:jc w:val="both"/>
        <w:ind w:firstLine="6"/>
        <w:spacing w:after="0" w:line="236" w:lineRule="auto"/>
        <w:rPr>
          <w:sz w:val="20"/>
          <w:szCs w:val="20"/>
          <w:color w:val="auto"/>
        </w:rPr>
      </w:pPr>
      <w:r>
        <w:rPr>
          <w:rFonts w:ascii="Times New Roman" w:cs="Times New Roman" w:eastAsia="Times New Roman" w:hAnsi="Times New Roman"/>
          <w:sz w:val="17"/>
          <w:szCs w:val="17"/>
          <w:color w:val="auto"/>
        </w:rPr>
        <w:t>Nothing in this Agreement shall abridge, eliminate, or cause Executive to lose Executive's right or entitlement to any other Company benefit to which Executive may be entitled due to his status as an employee under any plan or policy of Company on such terms and conditions as are required of any employee under any plan or policy of Company. Further, nothing in this Agreement shall create in Executive any greater rights or entitlements, except as specified in this Agreement. The plans and policies referred to in this Section 7 include, but are not limited to, qualified and nonqualified retirement plans, life insurance plans, dental, disability or health insurance benefits, severance policies, and accrued vacation pay.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8 - Miscellaneous</w:t>
      </w:r>
    </w:p>
    <w:p>
      <w:pPr>
        <w:spacing w:after="0" w:line="205" w:lineRule="exact"/>
        <w:rPr>
          <w:sz w:val="20"/>
          <w:szCs w:val="20"/>
          <w:color w:val="auto"/>
        </w:rPr>
      </w:pPr>
    </w:p>
    <w:p>
      <w:pPr>
        <w:ind w:left="340" w:hanging="338"/>
        <w:spacing w:after="0"/>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and Payments</w:t>
      </w:r>
    </w:p>
    <w:p>
      <w:pPr>
        <w:spacing w:after="0" w:line="188" w:lineRule="exact"/>
        <w:rPr>
          <w:sz w:val="20"/>
          <w:szCs w:val="20"/>
          <w:color w:val="auto"/>
        </w:rPr>
      </w:pPr>
    </w:p>
    <w:p>
      <w:pPr>
        <w:jc w:val="both"/>
        <w:ind w:left="580" w:right="20" w:firstLine="9"/>
        <w:spacing w:after="0" w:line="251" w:lineRule="auto"/>
        <w:rPr>
          <w:sz w:val="20"/>
          <w:szCs w:val="20"/>
          <w:color w:val="auto"/>
        </w:rPr>
      </w:pPr>
      <w:r>
        <w:rPr>
          <w:rFonts w:ascii="Times New Roman" w:cs="Times New Roman" w:eastAsia="Times New Roman" w:hAnsi="Times New Roman"/>
          <w:sz w:val="17"/>
          <w:szCs w:val="17"/>
          <w:color w:val="auto"/>
        </w:rPr>
        <w:t>All payments required or permitted to be made under the provisions of this Agreement, and all notices and other communications required or permitted to be given or delivered under this Agreement to Company or to Executive, which notices or communications must be in writing, shall be deemed to have been given if delivered by hand, or mailed by first-class mail, addressed as follows:</w:t>
      </w:r>
    </w:p>
    <w:p>
      <w:pPr>
        <w:spacing w:after="0" w:line="166" w:lineRule="exact"/>
        <w:rPr>
          <w:sz w:val="20"/>
          <w:szCs w:val="20"/>
          <w:color w:val="auto"/>
        </w:rPr>
      </w:pPr>
    </w:p>
    <w:p>
      <w:pPr>
        <w:ind w:left="1180" w:hanging="590"/>
        <w:spacing w:after="0"/>
        <w:tabs>
          <w:tab w:leader="none" w:pos="11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Company:</w:t>
      </w:r>
    </w:p>
    <w:p>
      <w:pPr>
        <w:spacing w:after="0" w:line="213"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Farmers &amp; Merchants State Bank</w:t>
      </w:r>
    </w:p>
    <w:p>
      <w:pPr>
        <w:spacing w:after="0" w:line="26" w:lineRule="exact"/>
        <w:rPr>
          <w:rFonts w:ascii="Times New Roman" w:cs="Times New Roman" w:eastAsia="Times New Roman" w:hAnsi="Times New Roman"/>
          <w:sz w:val="17"/>
          <w:szCs w:val="17"/>
          <w:color w:val="auto"/>
        </w:rPr>
      </w:pPr>
    </w:p>
    <w:p>
      <w:pPr>
        <w:ind w:left="1180" w:right="6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Attn: Chairman, Compensation Committee 307 N. Defiance Street</w:t>
      </w:r>
    </w:p>
    <w:p>
      <w:pPr>
        <w:spacing w:after="0" w:line="1" w:lineRule="exact"/>
        <w:rPr>
          <w:rFonts w:ascii="Times New Roman" w:cs="Times New Roman" w:eastAsia="Times New Roman" w:hAnsi="Times New Roman"/>
          <w:sz w:val="17"/>
          <w:szCs w:val="17"/>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Box 216</w:t>
      </w:r>
    </w:p>
    <w:p>
      <w:pPr>
        <w:spacing w:after="0" w:line="29" w:lineRule="exact"/>
        <w:rPr>
          <w:rFonts w:ascii="Times New Roman" w:cs="Times New Roman" w:eastAsia="Times New Roman" w:hAnsi="Times New Roman"/>
          <w:sz w:val="17"/>
          <w:szCs w:val="17"/>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Archbold, OH 43502</w:t>
      </w:r>
    </w:p>
    <w:p>
      <w:pPr>
        <w:spacing w:after="0" w:line="213" w:lineRule="exact"/>
        <w:rPr>
          <w:rFonts w:ascii="Times New Roman" w:cs="Times New Roman" w:eastAsia="Times New Roman" w:hAnsi="Times New Roman"/>
          <w:sz w:val="17"/>
          <w:szCs w:val="17"/>
          <w:color w:val="auto"/>
        </w:rPr>
      </w:pPr>
    </w:p>
    <w:p>
      <w:pPr>
        <w:ind w:left="860" w:hanging="281"/>
        <w:spacing w:after="0"/>
        <w:tabs>
          <w:tab w:leader="none" w:pos="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Executive:</w:t>
      </w:r>
    </w:p>
    <w:p>
      <w:pPr>
        <w:spacing w:after="0" w:line="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Benet Rupp</w:t>
      </w:r>
    </w:p>
    <w:p>
      <w:pPr>
        <w:ind w:left="1160"/>
        <w:spacing w:after="0" w:line="219" w:lineRule="auto"/>
        <w:rPr>
          <w:sz w:val="20"/>
          <w:szCs w:val="20"/>
          <w:color w:val="auto"/>
        </w:rPr>
      </w:pPr>
      <w:r>
        <w:rPr>
          <w:rFonts w:ascii="Times New Roman" w:cs="Times New Roman" w:eastAsia="Times New Roman" w:hAnsi="Times New Roman"/>
          <w:sz w:val="17"/>
          <w:szCs w:val="17"/>
          <w:color w:val="auto"/>
        </w:rPr>
        <w:t>3963 Timber Valley Dr.</w:t>
      </w:r>
    </w:p>
    <w:p>
      <w:pPr>
        <w:ind w:left="1160"/>
        <w:spacing w:after="0"/>
        <w:rPr>
          <w:sz w:val="20"/>
          <w:szCs w:val="20"/>
          <w:color w:val="auto"/>
        </w:rPr>
      </w:pPr>
      <w:r>
        <w:rPr>
          <w:rFonts w:ascii="Times New Roman" w:cs="Times New Roman" w:eastAsia="Times New Roman" w:hAnsi="Times New Roman"/>
          <w:sz w:val="17"/>
          <w:szCs w:val="17"/>
          <w:color w:val="auto"/>
        </w:rPr>
        <w:t>Maumee, OH 43537</w:t>
      </w:r>
    </w:p>
    <w:p>
      <w:pPr>
        <w:spacing w:after="0" w:line="183" w:lineRule="exact"/>
        <w:rPr>
          <w:sz w:val="20"/>
          <w:szCs w:val="20"/>
          <w:color w:val="auto"/>
        </w:rPr>
      </w:pPr>
    </w:p>
    <w:p>
      <w:pPr>
        <w:jc w:val="both"/>
        <w:ind w:left="560" w:right="40"/>
        <w:spacing w:after="0" w:line="243" w:lineRule="auto"/>
        <w:rPr>
          <w:sz w:val="20"/>
          <w:szCs w:val="20"/>
          <w:color w:val="auto"/>
        </w:rPr>
      </w:pPr>
      <w:r>
        <w:rPr>
          <w:rFonts w:ascii="Times New Roman" w:cs="Times New Roman" w:eastAsia="Times New Roman" w:hAnsi="Times New Roman"/>
          <w:sz w:val="17"/>
          <w:szCs w:val="17"/>
          <w:color w:val="auto"/>
        </w:rPr>
        <w:t>Company or Executive may, by notice given to the other from time to time and at any time, designate a different address for making payments required to be made, and for the giving of notices or other communications required or permitted to be given, to the party designating such new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164465</wp:posOffset>
            </wp:positionV>
            <wp:extent cx="7165340" cy="4191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80"/>
          </w:cols>
          <w:pgMar w:left="560" w:top="170" w:right="559" w:bottom="1440" w:gutter="0" w:footer="0" w:header="0"/>
        </w:sectPr>
      </w:pPr>
    </w:p>
    <w:bookmarkStart w:id="80" w:name="page81"/>
    <w:bookmarkEnd w:id="80"/>
    <w:p>
      <w:pPr>
        <w:ind w:left="655" w:hanging="586"/>
        <w:spacing w:after="0"/>
        <w:tabs>
          <w:tab w:leader="none" w:pos="65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Taxes</w:t>
      </w:r>
    </w:p>
    <w:p>
      <w:pPr>
        <w:spacing w:after="0" w:line="187" w:lineRule="exact"/>
        <w:rPr>
          <w:rFonts w:ascii="Times New Roman" w:cs="Times New Roman" w:eastAsia="Times New Roman" w:hAnsi="Times New Roman"/>
          <w:sz w:val="17"/>
          <w:szCs w:val="17"/>
          <w:color w:val="auto"/>
        </w:rPr>
      </w:pPr>
    </w:p>
    <w:p>
      <w:pPr>
        <w:jc w:val="both"/>
        <w:ind w:left="655" w:firstLine="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required or permitted to be made or given to Executive under this Agreement shall be subject to the withholding and other requirements of applicable laws, and to the deduction requirements of any benefit plan maintained by Company in which Executive is a participant, and to all reporting, filing and other requirements in respect of such</w:t>
      </w:r>
    </w:p>
    <w:p>
      <w:pPr>
        <w:ind w:left="65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and Company shall use its best efforts promptly to satisfy all such requirements.</w:t>
      </w:r>
    </w:p>
    <w:p>
      <w:pPr>
        <w:spacing w:after="0" w:line="182" w:lineRule="exact"/>
        <w:rPr>
          <w:rFonts w:ascii="Times New Roman" w:cs="Times New Roman" w:eastAsia="Times New Roman" w:hAnsi="Times New Roman"/>
          <w:sz w:val="17"/>
          <w:szCs w:val="17"/>
          <w:color w:val="auto"/>
        </w:rPr>
      </w:pPr>
    </w:p>
    <w:p>
      <w:pPr>
        <w:ind w:left="655" w:hanging="605"/>
        <w:spacing w:after="0"/>
        <w:tabs>
          <w:tab w:leader="none" w:pos="65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w:t>
      </w:r>
    </w:p>
    <w:p>
      <w:pPr>
        <w:spacing w:after="0" w:line="188" w:lineRule="exact"/>
        <w:rPr>
          <w:sz w:val="20"/>
          <w:szCs w:val="20"/>
          <w:color w:val="auto"/>
        </w:rPr>
      </w:pPr>
    </w:p>
    <w:p>
      <w:pPr>
        <w:ind w:left="635"/>
        <w:spacing w:after="0"/>
        <w:rPr>
          <w:sz w:val="20"/>
          <w:szCs w:val="20"/>
          <w:color w:val="auto"/>
        </w:rPr>
      </w:pPr>
      <w:r>
        <w:rPr>
          <w:rFonts w:ascii="Times New Roman" w:cs="Times New Roman" w:eastAsia="Times New Roman" w:hAnsi="Times New Roman"/>
          <w:sz w:val="17"/>
          <w:szCs w:val="17"/>
          <w:color w:val="auto"/>
        </w:rPr>
        <w:t>This Agreement shall be governed by and construed in accordance with the laws of the State of Ohio.</w:t>
      </w:r>
    </w:p>
    <w:p>
      <w:pPr>
        <w:spacing w:after="0" w:line="201" w:lineRule="exact"/>
        <w:rPr>
          <w:sz w:val="20"/>
          <w:szCs w:val="20"/>
          <w:color w:val="auto"/>
        </w:rPr>
      </w:pPr>
    </w:p>
    <w:p>
      <w:pPr>
        <w:ind w:left="635" w:hanging="601"/>
        <w:spacing w:after="0"/>
        <w:tabs>
          <w:tab w:leader="none" w:pos="635"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Duplicate Originals</w:t>
      </w:r>
    </w:p>
    <w:p>
      <w:pPr>
        <w:spacing w:after="0" w:line="187" w:lineRule="exact"/>
        <w:rPr>
          <w:rFonts w:ascii="Times New Roman" w:cs="Times New Roman" w:eastAsia="Times New Roman" w:hAnsi="Times New Roman"/>
          <w:sz w:val="17"/>
          <w:szCs w:val="17"/>
          <w:color w:val="auto"/>
        </w:rPr>
      </w:pPr>
    </w:p>
    <w:p>
      <w:pPr>
        <w:ind w:left="615" w:right="20" w:firstLine="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one or more counterparts, each of which shall be deemed to be a duplicate original, but all of which, taken together, shall constitute a single instrument.</w:t>
      </w:r>
    </w:p>
    <w:p>
      <w:pPr>
        <w:spacing w:after="0" w:line="166" w:lineRule="exact"/>
        <w:rPr>
          <w:rFonts w:ascii="Times New Roman" w:cs="Times New Roman" w:eastAsia="Times New Roman" w:hAnsi="Times New Roman"/>
          <w:sz w:val="17"/>
          <w:szCs w:val="17"/>
          <w:color w:val="auto"/>
        </w:rPr>
      </w:pPr>
    </w:p>
    <w:p>
      <w:pPr>
        <w:ind w:left="615" w:hanging="597"/>
        <w:spacing w:after="0"/>
        <w:tabs>
          <w:tab w:leader="none" w:pos="61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Captions</w:t>
      </w:r>
    </w:p>
    <w:p>
      <w:pPr>
        <w:spacing w:after="0" w:line="187" w:lineRule="exact"/>
        <w:rPr>
          <w:rFonts w:ascii="Times New Roman" w:cs="Times New Roman" w:eastAsia="Times New Roman" w:hAnsi="Times New Roman"/>
          <w:sz w:val="17"/>
          <w:szCs w:val="17"/>
          <w:color w:val="auto"/>
        </w:rPr>
      </w:pPr>
    </w:p>
    <w:p>
      <w:pPr>
        <w:ind w:left="615" w:right="20" w:firstLine="1"/>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captions contained in this Agreement are included only for convenience of reference and do not define, limit, explain or modify this Agreement or its interpretations, construction or meaning and are in no way to be construed as a part of this Agreement.</w:t>
      </w:r>
    </w:p>
    <w:p>
      <w:pPr>
        <w:spacing w:after="0" w:line="140" w:lineRule="exact"/>
        <w:rPr>
          <w:rFonts w:ascii="Times New Roman" w:cs="Times New Roman" w:eastAsia="Times New Roman" w:hAnsi="Times New Roman"/>
          <w:sz w:val="17"/>
          <w:szCs w:val="17"/>
          <w:color w:val="auto"/>
        </w:rPr>
      </w:pPr>
    </w:p>
    <w:p>
      <w:pPr>
        <w:ind w:left="615" w:hanging="597"/>
        <w:spacing w:after="0"/>
        <w:tabs>
          <w:tab w:leader="none" w:pos="61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Severability</w:t>
      </w:r>
    </w:p>
    <w:p>
      <w:pPr>
        <w:spacing w:after="0" w:line="187" w:lineRule="exact"/>
        <w:rPr>
          <w:rFonts w:ascii="Times New Roman" w:cs="Times New Roman" w:eastAsia="Times New Roman" w:hAnsi="Times New Roman"/>
          <w:sz w:val="17"/>
          <w:szCs w:val="17"/>
          <w:color w:val="auto"/>
        </w:rPr>
      </w:pPr>
    </w:p>
    <w:p>
      <w:pPr>
        <w:jc w:val="both"/>
        <w:ind w:left="595" w:right="40" w:firstLine="12"/>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of this Agreement or the application of any provision to any person or any circumstances shall be determined to be invalid or unenforceable, such provision or portion thereof shall nevertheless be effective and enforceable to the extent determined reasonable. Such determination shall not affect any other provision of this Agreement or the application of said provision to any other person or circumstance, all of which other provisions shall remain in full force and effect, and it is the intention of Company and Executive that if any provision of this Agreement is susceptible of two or more constructions, one of which would render the provision enforceable and the other or others of which would render the provisions unenforceable, then the provisions shall have the meaning which renders it enforceable.</w:t>
      </w:r>
    </w:p>
    <w:p>
      <w:pPr>
        <w:spacing w:after="0" w:line="188" w:lineRule="exact"/>
        <w:rPr>
          <w:rFonts w:ascii="Times New Roman" w:cs="Times New Roman" w:eastAsia="Times New Roman" w:hAnsi="Times New Roman"/>
          <w:sz w:val="17"/>
          <w:szCs w:val="17"/>
          <w:color w:val="auto"/>
        </w:rPr>
      </w:pPr>
    </w:p>
    <w:p>
      <w:pPr>
        <w:ind w:left="595" w:hanging="595"/>
        <w:spacing w:after="0"/>
        <w:tabs>
          <w:tab w:leader="none" w:pos="59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and Gender</w:t>
      </w:r>
    </w:p>
    <w:p>
      <w:pPr>
        <w:spacing w:after="0" w:line="175" w:lineRule="exact"/>
        <w:rPr>
          <w:rFonts w:ascii="Times New Roman" w:cs="Times New Roman" w:eastAsia="Times New Roman" w:hAnsi="Times New Roman"/>
          <w:sz w:val="17"/>
          <w:szCs w:val="17"/>
          <w:color w:val="auto"/>
        </w:rPr>
      </w:pPr>
    </w:p>
    <w:p>
      <w:pPr>
        <w:ind w:left="575" w:right="80" w:firstLine="9"/>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used in this Agreement, the number and gender of each pronoun shall be construed to be such number and gender as the context, circumstances or its antecedent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151765</wp:posOffset>
            </wp:positionV>
            <wp:extent cx="7165340" cy="419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95"/>
          </w:cols>
          <w:pgMar w:left="565" w:top="174" w:right="539" w:bottom="1440" w:gutter="0" w:footer="0" w:header="0"/>
        </w:sectPr>
      </w:pPr>
    </w:p>
    <w:bookmarkStart w:id="81" w:name="page82"/>
    <w:bookmarkEnd w:id="81"/>
    <w:p>
      <w:pPr>
        <w:ind w:left="620" w:hanging="59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Successors and Assigns</w:t>
      </w:r>
    </w:p>
    <w:p>
      <w:pPr>
        <w:spacing w:after="0" w:line="187" w:lineRule="exact"/>
        <w:rPr>
          <w:rFonts w:ascii="Times New Roman" w:cs="Times New Roman" w:eastAsia="Times New Roman" w:hAnsi="Times New Roman"/>
          <w:sz w:val="17"/>
          <w:szCs w:val="17"/>
          <w:color w:val="auto"/>
        </w:rPr>
      </w:pPr>
    </w:p>
    <w:p>
      <w:pPr>
        <w:jc w:val="both"/>
        <w:ind w:left="600" w:firstLine="15"/>
        <w:spacing w:after="0" w:line="23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inure to the benefit of and be binding upon the successors and assigns (including successive, as well as immediate, successors and assigns) of Company; provided, however, that Company may not assign this Agreement or any of its rights or obligations hereunder to any party other than a corporation, which succeeds to substantially all of the business and assets of Company by merger, consolidation, sale of assets or otherwise. This Agreement shall inure to the benefit of and be binding upon the successor and assigns (including successive, as well as immediate, successors and assigns) of Executive; provided, however, that the right of Executive under this Agreement may be assigned only to his personal representative or trustee or by will or pursuant to applicable laws of descent and distribution.</w:t>
      </w:r>
    </w:p>
    <w:p>
      <w:pPr>
        <w:spacing w:after="0" w:line="341" w:lineRule="exact"/>
        <w:rPr>
          <w:sz w:val="20"/>
          <w:szCs w:val="20"/>
          <w:color w:val="auto"/>
        </w:rPr>
      </w:pPr>
    </w:p>
    <w:p>
      <w:pPr>
        <w:ind w:right="1260" w:firstLine="1"/>
        <w:spacing w:after="0" w:line="224"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Amended and Restated Agreement to be executed on and to be effective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-112395</wp:posOffset>
            </wp:positionV>
            <wp:extent cx="93027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4">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79" w:lineRule="exact"/>
        <w:rPr>
          <w:sz w:val="20"/>
          <w:szCs w:val="20"/>
          <w:color w:val="auto"/>
        </w:rPr>
      </w:pPr>
    </w:p>
    <w:p>
      <w:pPr>
        <w:ind w:left="860"/>
        <w:spacing w:after="0"/>
        <w:tabs>
          <w:tab w:leader="none" w:pos="5460" w:val="left"/>
        </w:tabs>
        <w:rPr>
          <w:sz w:val="20"/>
          <w:szCs w:val="20"/>
          <w:color w:val="auto"/>
        </w:rPr>
      </w:pPr>
      <w:r>
        <w:rPr>
          <w:rFonts w:ascii="Times New Roman" w:cs="Times New Roman" w:eastAsia="Times New Roman" w:hAnsi="Times New Roman"/>
          <w:sz w:val="17"/>
          <w:szCs w:val="17"/>
          <w:color w:val="auto"/>
        </w:rPr>
        <w:t>In the Presence of:</w:t>
      </w:r>
      <w:r>
        <w:rPr>
          <w:sz w:val="20"/>
          <w:szCs w:val="20"/>
          <w:color w:val="auto"/>
        </w:rPr>
        <w:tab/>
      </w:r>
      <w:r>
        <w:rPr>
          <w:rFonts w:ascii="Times New Roman" w:cs="Times New Roman" w:eastAsia="Times New Roman" w:hAnsi="Times New Roman"/>
          <w:sz w:val="17"/>
          <w:szCs w:val="17"/>
          <w:color w:val="auto"/>
        </w:rPr>
        <w:t>Executive</w:t>
      </w:r>
    </w:p>
    <w:p>
      <w:pPr>
        <w:spacing w:after="0" w:line="2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Benet Rupp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-113030</wp:posOffset>
            </wp:positionV>
            <wp:extent cx="571182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5">
                      <a:extLst>
                        <a:ext uri="{28A0092B-C50C-407E-A947-70E740481C1C}"/>
                      </a:extLst>
                    </a:blip>
                    <a:srcRect/>
                    <a:stretch>
                      <a:fillRect/>
                    </a:stretch>
                  </pic:blipFill>
                  <pic:spPr bwMode="auto">
                    <a:xfrm>
                      <a:off x="0" y="0"/>
                      <a:ext cx="5711825" cy="8255"/>
                    </a:xfrm>
                    <a:prstGeom prst="rect">
                      <a:avLst/>
                    </a:prstGeom>
                    <a:noFill/>
                  </pic:spPr>
                </pic:pic>
              </a:graphicData>
            </a:graphic>
          </wp:anchor>
        </w:drawing>
      </w:r>
    </w:p>
    <w:p>
      <w:pPr>
        <w:spacing w:after="0" w:line="1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FARMERS &amp;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-113030</wp:posOffset>
            </wp:positionV>
            <wp:extent cx="236093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6">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17"/>
          <w:szCs w:val="17"/>
          <w:color w:val="auto"/>
        </w:rPr>
        <w:t>BANCORP, INC.</w:t>
      </w:r>
    </w:p>
    <w:p>
      <w:pPr>
        <w:spacing w:after="0" w:line="1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15875</wp:posOffset>
            </wp:positionV>
            <wp:extent cx="278257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7">
                      <a:extLst>
                        <a:ext uri="{28A0092B-C50C-407E-A947-70E740481C1C}"/>
                      </a:extLst>
                    </a:blip>
                    <a:srcRect/>
                    <a:stretch>
                      <a:fillRect/>
                    </a:stretch>
                  </pic:blipFill>
                  <pic:spPr bwMode="auto">
                    <a:xfrm>
                      <a:off x="0" y="0"/>
                      <a:ext cx="2782570" cy="825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320040</wp:posOffset>
            </wp:positionV>
            <wp:extent cx="7165340" cy="4191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80"/>
          </w:cols>
          <w:pgMar w:left="600" w:top="251" w:right="5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Change in Control Definition</w:t>
      </w:r>
    </w:p>
    <w:p>
      <w:pPr>
        <w:spacing w:after="0" w:line="170" w:lineRule="exact"/>
        <w:rPr>
          <w:sz w:val="20"/>
          <w:szCs w:val="20"/>
          <w:color w:val="auto"/>
        </w:rPr>
      </w:pPr>
    </w:p>
    <w:p>
      <w:pPr>
        <w:jc w:val="both"/>
        <w:ind w:hanging="12"/>
        <w:spacing w:after="0" w:line="237" w:lineRule="auto"/>
        <w:rPr>
          <w:sz w:val="20"/>
          <w:szCs w:val="20"/>
          <w:color w:val="auto"/>
        </w:rPr>
      </w:pPr>
      <w:r>
        <w:rPr>
          <w:rFonts w:ascii="Times New Roman" w:cs="Times New Roman" w:eastAsia="Times New Roman" w:hAnsi="Times New Roman"/>
          <w:sz w:val="17"/>
          <w:szCs w:val="17"/>
          <w:color w:val="auto"/>
        </w:rPr>
        <w:t xml:space="preserve">A "Change in Control" shall mean a "Change in Ownership" as defined in (a) hereof; a "Change in Effective Control" as defined in (b), hereof; or a "Change in Ownership of a Substantial Portion of Assets" as defined in (c) hereof, each of which shall be interpreted in a manner consistent with the definitions of these terms in Treasury Regulation Section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 xml:space="preserve"> .409A-3(i)(5).</w:t>
      </w:r>
    </w:p>
    <w:p>
      <w:pPr>
        <w:spacing w:after="0" w:line="149" w:lineRule="exact"/>
        <w:rPr>
          <w:sz w:val="20"/>
          <w:szCs w:val="20"/>
          <w:color w:val="auto"/>
        </w:rPr>
      </w:pPr>
    </w:p>
    <w:p>
      <w:pPr>
        <w:ind w:left="1480" w:hanging="731"/>
        <w:spacing w:after="0"/>
        <w:tabs>
          <w:tab w:leader="none" w:pos="148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Change in Qwnership.</w:t>
      </w:r>
      <w:r>
        <w:rPr>
          <w:rFonts w:ascii="Times New Roman" w:cs="Times New Roman" w:eastAsia="Times New Roman" w:hAnsi="Times New Roman"/>
          <w:sz w:val="17"/>
          <w:szCs w:val="17"/>
          <w:color w:val="auto"/>
        </w:rPr>
        <w:t xml:space="preserve"> For purposes of this Agreement, a change in the ownership of the Company occurs on the date -</w:t>
      </w:r>
    </w:p>
    <w:p>
      <w:pPr>
        <w:spacing w:after="0" w:line="175" w:lineRule="exact"/>
        <w:rPr>
          <w:rFonts w:ascii="Times New Roman" w:cs="Times New Roman" w:eastAsia="Times New Roman" w:hAnsi="Times New Roman"/>
          <w:sz w:val="17"/>
          <w:szCs w:val="17"/>
          <w:b w:val="1"/>
          <w:bCs w:val="1"/>
          <w:color w:val="auto"/>
        </w:rPr>
      </w:pPr>
    </w:p>
    <w:p>
      <w:pPr>
        <w:jc w:val="both"/>
        <w:ind w:left="2080" w:right="800" w:hanging="596"/>
        <w:spacing w:after="0" w:line="221" w:lineRule="auto"/>
        <w:tabs>
          <w:tab w:leader="none" w:pos="2080" w:val="left"/>
        </w:tabs>
        <w:numPr>
          <w:ilvl w:val="1"/>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any one person, or more than one person acting as a group (as defined in subsection (d) hereof), acquires ownership of stock of the Company that, together with stock held by such person or group, constitutes more than 50 percent of the total fair market value or total voting power of the stock of the Company. However, if any one person, or more than one person acting as a group, is considered to own more than 50 percent of the total fair market value or total voting power of the stock of the Company, the acquisition of additional stock by the same person or persons is not considered to cause a change in the ownership of the Company (or to cause a change in the effective control of the Company within the meaning of subsection (b) hereof). An increase in the percentage of stock owned by any one person, or persons acting as a group, as a result of a transaction in which the Company acquires its stock in exchange for property will be treated as an acquisition of stock for purposes of this section.</w:t>
      </w:r>
    </w:p>
    <w:p>
      <w:pPr>
        <w:spacing w:after="0" w:line="169" w:lineRule="exact"/>
        <w:rPr>
          <w:sz w:val="20"/>
          <w:szCs w:val="20"/>
          <w:color w:val="auto"/>
        </w:rPr>
      </w:pPr>
    </w:p>
    <w:p>
      <w:pPr>
        <w:jc w:val="both"/>
        <w:ind w:left="2080" w:right="820" w:hanging="611"/>
        <w:spacing w:after="0" w:line="228" w:lineRule="auto"/>
        <w:tabs>
          <w:tab w:leader="none" w:pos="2080" w:val="left"/>
        </w:tabs>
        <w:numPr>
          <w:ilvl w:val="1"/>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of the consummation of any merger, consolidation or reorganization with any other corporation pursuant to which the shareholders of the Company immediately prior to the merger, consolidation or reorganization do not immediately thereafter directly or indirectly own more than fifty percent of the combined voting power of the voting securities entitled to vote in the election of directors of the merged, consolidated or reorganized entity.</w:t>
      </w:r>
    </w:p>
    <w:p>
      <w:pPr>
        <w:spacing w:after="0" w:line="164" w:lineRule="exact"/>
        <w:rPr>
          <w:rFonts w:ascii="Times New Roman" w:cs="Times New Roman" w:eastAsia="Times New Roman" w:hAnsi="Times New Roman"/>
          <w:sz w:val="17"/>
          <w:szCs w:val="17"/>
          <w:b w:val="1"/>
          <w:bCs w:val="1"/>
          <w:color w:val="auto"/>
        </w:rPr>
      </w:pPr>
    </w:p>
    <w:p>
      <w:pPr>
        <w:ind w:left="1440" w:right="60" w:hanging="716"/>
        <w:spacing w:after="0" w:line="238" w:lineRule="auto"/>
        <w:tabs>
          <w:tab w:leader="none" w:pos="144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Change in the Effective Control</w:t>
      </w:r>
      <w:r>
        <w:rPr>
          <w:rFonts w:ascii="Times New Roman" w:cs="Times New Roman" w:eastAsia="Times New Roman" w:hAnsi="Times New Roman"/>
          <w:sz w:val="17"/>
          <w:szCs w:val="17"/>
          <w:color w:val="auto"/>
        </w:rPr>
        <w:t>. For purposes of this Agreement, a change in the effective control of the Company occurs on the date that either-</w:t>
      </w:r>
    </w:p>
    <w:p>
      <w:pPr>
        <w:spacing w:after="0" w:line="148" w:lineRule="exact"/>
        <w:rPr>
          <w:rFonts w:ascii="Times New Roman" w:cs="Times New Roman" w:eastAsia="Times New Roman" w:hAnsi="Times New Roman"/>
          <w:sz w:val="17"/>
          <w:szCs w:val="17"/>
          <w:b w:val="1"/>
          <w:bCs w:val="1"/>
          <w:color w:val="auto"/>
        </w:rPr>
      </w:pPr>
    </w:p>
    <w:p>
      <w:pPr>
        <w:jc w:val="both"/>
        <w:ind w:left="2120" w:right="780" w:hanging="655"/>
        <w:spacing w:after="0" w:line="228" w:lineRule="auto"/>
        <w:tabs>
          <w:tab w:leader="none" w:pos="2120" w:val="left"/>
        </w:tabs>
        <w:numPr>
          <w:ilvl w:val="1"/>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one person, or more than one person acting as a group (as determined under subsection (d) hereof), acquires (or has acquired during the 12-month period ending on the date of the most recent acquisition by such person or persons) ownership of stock of the Company possessing 35 percent or more of the total voting power of the stock of the Company; or '</w:t>
      </w:r>
    </w:p>
    <w:p>
      <w:pPr>
        <w:spacing w:after="0" w:line="164" w:lineRule="exact"/>
        <w:rPr>
          <w:sz w:val="20"/>
          <w:szCs w:val="20"/>
          <w:color w:val="auto"/>
        </w:rPr>
      </w:pPr>
    </w:p>
    <w:p>
      <w:pPr>
        <w:jc w:val="both"/>
        <w:ind w:left="2120" w:right="800" w:hanging="665"/>
        <w:spacing w:after="0" w:line="231" w:lineRule="auto"/>
        <w:tabs>
          <w:tab w:leader="none" w:pos="212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majority of members of the Company's board of directors is replaced during any 12-month period by directors whose appointment or election is not endorsed by a majority of the members of the Company's board of directors prior to the date of the appointment or election.</w:t>
      </w:r>
    </w:p>
    <w:p>
      <w:pPr>
        <w:spacing w:after="0" w:line="151" w:lineRule="exact"/>
        <w:rPr>
          <w:sz w:val="20"/>
          <w:szCs w:val="20"/>
          <w:color w:val="auto"/>
        </w:rPr>
      </w:pPr>
    </w:p>
    <w:p>
      <w:pPr>
        <w:ind w:left="1440" w:right="420" w:hanging="8"/>
        <w:spacing w:after="0" w:line="251" w:lineRule="auto"/>
        <w:rPr>
          <w:sz w:val="20"/>
          <w:szCs w:val="20"/>
          <w:color w:val="auto"/>
        </w:rPr>
      </w:pPr>
      <w:r>
        <w:rPr>
          <w:rFonts w:ascii="Times New Roman" w:cs="Times New Roman" w:eastAsia="Times New Roman" w:hAnsi="Times New Roman"/>
          <w:sz w:val="17"/>
          <w:szCs w:val="17"/>
          <w:color w:val="auto"/>
        </w:rPr>
        <w:t>In the absence of an event described in subsection (b)(i) or (ii) above, a change in the effective control of a Company will not have occurred.</w:t>
      </w:r>
    </w:p>
    <w:p>
      <w:pPr>
        <w:spacing w:after="0" w:line="153" w:lineRule="exact"/>
        <w:rPr>
          <w:sz w:val="20"/>
          <w:szCs w:val="20"/>
          <w:color w:val="auto"/>
        </w:rPr>
      </w:pPr>
    </w:p>
    <w:p>
      <w:pPr>
        <w:jc w:val="both"/>
        <w:ind w:left="1440" w:right="60" w:hanging="736"/>
        <w:spacing w:after="0" w:line="231" w:lineRule="auto"/>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the Ownership of a Substantial Portion of the Company's Assets</w:t>
      </w:r>
      <w:r>
        <w:rPr>
          <w:rFonts w:ascii="Times New Roman" w:cs="Times New Roman" w:eastAsia="Times New Roman" w:hAnsi="Times New Roman"/>
          <w:sz w:val="17"/>
          <w:szCs w:val="17"/>
          <w:color w:val="auto"/>
        </w:rPr>
        <w:t>. For purposes of this Agreement, a change in the ownership of a substantial portion of the Company's assets occurs on the date that any one person, or more than one person acting as a group (as determined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150495</wp:posOffset>
            </wp:positionV>
            <wp:extent cx="7165340" cy="4191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760"/>
          </w:cols>
          <w:pgMar w:left="600" w:top="387" w:right="539" w:bottom="1440" w:gutter="0" w:footer="0" w:header="0"/>
        </w:sectPr>
      </w:pPr>
    </w:p>
    <w:bookmarkStart w:id="83" w:name="page84"/>
    <w:bookmarkEnd w:id="83"/>
    <w:p>
      <w:pPr>
        <w:ind w:left="800"/>
        <w:spacing w:after="0"/>
        <w:rPr>
          <w:sz w:val="20"/>
          <w:szCs w:val="20"/>
          <w:color w:val="auto"/>
        </w:rPr>
      </w:pPr>
      <w:r>
        <w:rPr>
          <w:rFonts w:ascii="Times New Roman" w:cs="Times New Roman" w:eastAsia="Times New Roman" w:hAnsi="Times New Roman"/>
          <w:sz w:val="17"/>
          <w:szCs w:val="17"/>
          <w:color w:val="auto"/>
        </w:rPr>
        <w:t>subsection(d) hereof), acquires (or has acquired during the 12-month period ending on the date of the most recent acquisition by such</w:t>
      </w:r>
    </w:p>
    <w:p>
      <w:pPr>
        <w:spacing w:after="0" w:line="1" w:lineRule="exact"/>
        <w:rPr>
          <w:sz w:val="20"/>
          <w:szCs w:val="20"/>
          <w:color w:val="auto"/>
        </w:rPr>
      </w:pPr>
    </w:p>
    <w:p>
      <w:pPr>
        <w:jc w:val="both"/>
        <w:ind w:left="780"/>
        <w:spacing w:after="0" w:line="211" w:lineRule="auto"/>
        <w:rPr>
          <w:sz w:val="20"/>
          <w:szCs w:val="20"/>
          <w:color w:val="auto"/>
        </w:rPr>
      </w:pPr>
      <w:r>
        <w:rPr>
          <w:rFonts w:ascii="Times New Roman" w:cs="Times New Roman" w:eastAsia="Times New Roman" w:hAnsi="Times New Roman"/>
          <w:sz w:val="17"/>
          <w:szCs w:val="17"/>
          <w:color w:val="auto"/>
        </w:rPr>
        <w:t>person or persons) assets from the Company that have a total gross fair market value equal to or more than 40 percent of the total gross fair market value of all of the assets of the Company immediately prior to such acquisition or acquisitions, For this purpose, gross fair</w:t>
      </w:r>
    </w:p>
    <w:p>
      <w:pPr>
        <w:spacing w:after="0" w:line="1" w:lineRule="exact"/>
        <w:rPr>
          <w:sz w:val="20"/>
          <w:szCs w:val="20"/>
          <w:color w:val="auto"/>
        </w:rPr>
      </w:pPr>
    </w:p>
    <w:p>
      <w:pPr>
        <w:jc w:val="both"/>
        <w:ind w:left="780"/>
        <w:spacing w:after="0" w:line="234" w:lineRule="auto"/>
        <w:rPr>
          <w:sz w:val="20"/>
          <w:szCs w:val="20"/>
          <w:color w:val="auto"/>
        </w:rPr>
      </w:pPr>
      <w:r>
        <w:rPr>
          <w:rFonts w:ascii="Times New Roman" w:cs="Times New Roman" w:eastAsia="Times New Roman" w:hAnsi="Times New Roman"/>
          <w:sz w:val="17"/>
          <w:szCs w:val="17"/>
          <w:color w:val="auto"/>
        </w:rPr>
        <w:t>market value means the value of the assets of the Company, or the value of the assets being disposed of, determined without regard to any liabilities associated with such assets.</w:t>
      </w:r>
    </w:p>
    <w:p>
      <w:pPr>
        <w:spacing w:after="0" w:line="163" w:lineRule="exact"/>
        <w:rPr>
          <w:sz w:val="20"/>
          <w:szCs w:val="20"/>
          <w:color w:val="auto"/>
        </w:rPr>
      </w:pPr>
    </w:p>
    <w:p>
      <w:pPr>
        <w:jc w:val="both"/>
        <w:ind w:left="780" w:right="20" w:firstLine="1"/>
        <w:spacing w:after="0" w:line="237" w:lineRule="auto"/>
        <w:rPr>
          <w:sz w:val="20"/>
          <w:szCs w:val="20"/>
          <w:color w:val="auto"/>
        </w:rPr>
      </w:pPr>
      <w:r>
        <w:rPr>
          <w:rFonts w:ascii="Times New Roman" w:cs="Times New Roman" w:eastAsia="Times New Roman" w:hAnsi="Times New Roman"/>
          <w:sz w:val="17"/>
          <w:szCs w:val="17"/>
          <w:color w:val="auto"/>
        </w:rPr>
        <w:t>There is no Change in Control Event under this subsection (c) when there is a transfer to an entity that is controlled by the shareholders of the Company immediately after the transfer, as provided in this paragraph. A transfer of assets by the Company is not treated as a change in the ownership of such assets if the assets are transferred to --</w:t>
      </w:r>
    </w:p>
    <w:p>
      <w:pPr>
        <w:spacing w:after="0" w:line="149" w:lineRule="exact"/>
        <w:rPr>
          <w:sz w:val="20"/>
          <w:szCs w:val="20"/>
          <w:color w:val="auto"/>
        </w:rPr>
      </w:pPr>
    </w:p>
    <w:p>
      <w:pPr>
        <w:ind w:left="1460" w:hanging="675"/>
        <w:spacing w:after="0"/>
        <w:tabs>
          <w:tab w:leader="none" w:pos="1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shareholder of the Company (immediately before the asset transfer) in exchange for or with respect to its stock;</w:t>
      </w:r>
    </w:p>
    <w:p>
      <w:pPr>
        <w:spacing w:after="0" w:line="273" w:lineRule="exact"/>
        <w:rPr>
          <w:rFonts w:ascii="Times New Roman" w:cs="Times New Roman" w:eastAsia="Times New Roman" w:hAnsi="Times New Roman"/>
          <w:sz w:val="17"/>
          <w:szCs w:val="17"/>
          <w:color w:val="auto"/>
        </w:rPr>
      </w:pPr>
    </w:p>
    <w:p>
      <w:pPr>
        <w:ind w:left="1440" w:right="1020" w:hanging="659"/>
        <w:spacing w:after="0" w:line="256" w:lineRule="auto"/>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entity, </w:t>
      </w:r>
      <w:r>
        <w:rPr>
          <w:rFonts w:ascii="Times New Roman" w:cs="Times New Roman" w:eastAsia="Times New Roman" w:hAnsi="Times New Roman"/>
          <w:sz w:val="17"/>
          <w:szCs w:val="17"/>
          <w:i w:val="1"/>
          <w:iCs w:val="1"/>
          <w:color w:val="auto"/>
        </w:rPr>
        <w:t>50</w:t>
      </w:r>
      <w:r>
        <w:rPr>
          <w:rFonts w:ascii="Times New Roman" w:cs="Times New Roman" w:eastAsia="Times New Roman" w:hAnsi="Times New Roman"/>
          <w:sz w:val="17"/>
          <w:szCs w:val="17"/>
          <w:color w:val="auto"/>
        </w:rPr>
        <w:t xml:space="preserve"> percent or more of the total value or voting power of which is owned, directly or indirectly, by the Company;</w:t>
      </w:r>
    </w:p>
    <w:p>
      <w:pPr>
        <w:spacing w:after="0" w:line="136" w:lineRule="exact"/>
        <w:rPr>
          <w:rFonts w:ascii="Times New Roman" w:cs="Times New Roman" w:eastAsia="Times New Roman" w:hAnsi="Times New Roman"/>
          <w:sz w:val="17"/>
          <w:szCs w:val="17"/>
          <w:color w:val="auto"/>
        </w:rPr>
      </w:pPr>
    </w:p>
    <w:p>
      <w:pPr>
        <w:ind w:left="1460" w:right="760" w:hanging="681"/>
        <w:spacing w:after="0" w:line="251" w:lineRule="auto"/>
        <w:tabs>
          <w:tab w:leader="none" w:pos="1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more than one person acting as a group, that owns, directly or indirectly, 50 percent or more of the total value or voting power of all the outstanding stock of the Company; or</w:t>
      </w:r>
    </w:p>
    <w:p>
      <w:pPr>
        <w:spacing w:after="0" w:line="140" w:lineRule="exact"/>
        <w:rPr>
          <w:rFonts w:ascii="Times New Roman" w:cs="Times New Roman" w:eastAsia="Times New Roman" w:hAnsi="Times New Roman"/>
          <w:sz w:val="17"/>
          <w:szCs w:val="17"/>
          <w:color w:val="auto"/>
        </w:rPr>
      </w:pPr>
    </w:p>
    <w:p>
      <w:pPr>
        <w:ind w:left="1520" w:right="1180" w:hanging="739"/>
        <w:spacing w:after="0" w:line="251" w:lineRule="auto"/>
        <w:tabs>
          <w:tab w:leader="none" w:pos="146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at least 50 percent of the total value or voting power of which is owned, directly or indirectly, by a person described in section (iii) above.</w:t>
      </w:r>
    </w:p>
    <w:p>
      <w:pPr>
        <w:spacing w:after="0" w:line="230" w:lineRule="exact"/>
        <w:rPr>
          <w:sz w:val="20"/>
          <w:szCs w:val="20"/>
          <w:color w:val="auto"/>
        </w:rPr>
      </w:pPr>
    </w:p>
    <w:p>
      <w:pPr>
        <w:jc w:val="both"/>
        <w:ind w:left="760" w:right="20" w:firstLine="3"/>
        <w:spacing w:after="0" w:line="232" w:lineRule="auto"/>
        <w:rPr>
          <w:sz w:val="20"/>
          <w:szCs w:val="20"/>
          <w:color w:val="auto"/>
        </w:rPr>
      </w:pPr>
      <w:r>
        <w:rPr>
          <w:rFonts w:ascii="Times New Roman" w:cs="Times New Roman" w:eastAsia="Times New Roman" w:hAnsi="Times New Roman"/>
          <w:sz w:val="17"/>
          <w:szCs w:val="17"/>
          <w:color w:val="auto"/>
        </w:rPr>
        <w:t>For purposes of this subsection (c) and except as otherwise provided, a person's status is determined immediately after the transfer of the assets. For example, a transfer to a corporation in which the transferor corporation has no ownership interest before the transaction, but which is a majority-owned subsidiary of the transferor corporation after the transaction is not treated as a change in the ownership of the assets of the transferor corporation. ·</w:t>
      </w:r>
    </w:p>
    <w:p>
      <w:pPr>
        <w:spacing w:after="0" w:line="151" w:lineRule="exact"/>
        <w:rPr>
          <w:sz w:val="20"/>
          <w:szCs w:val="20"/>
          <w:color w:val="auto"/>
        </w:rPr>
      </w:pPr>
    </w:p>
    <w:p>
      <w:pPr>
        <w:ind w:left="700" w:right="20" w:hanging="700"/>
        <w:spacing w:after="0" w:line="221" w:lineRule="auto"/>
        <w:tabs>
          <w:tab w:leader="none" w:pos="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Persons Acting as a Group</w:t>
      </w:r>
      <w:r>
        <w:rPr>
          <w:rFonts w:ascii="Times New Roman" w:cs="Times New Roman" w:eastAsia="Times New Roman" w:hAnsi="Times New Roman"/>
          <w:sz w:val="17"/>
          <w:szCs w:val="17"/>
          <w:color w:val="auto"/>
        </w:rPr>
        <w:t>. Persons will not be considered to be acting as a group solely because they purchase assets or purchase or own stock of the same corporation at the same time, or as a result of the same public offering, However, persons will be considered to be acting as a group if they are owners of a corporation that enters into a merger, consolidation, purchase or acquisition of stock, purchase or acquisition of assets, or similar business transaction with the Company. If a person, including an entity shareholder, owns stock in both corporations that enter into a merger, consolidation, purchase or acquisition of stock, or similar transaction, such shareholder is considered to be acting as a group with other shareholders in a corporation only to the extent of the ownership in that corporation prior to the transaction giving rise to the change and not with the ownership interest in the other corporation. Notwithstanding the foregoing, no trust Department or designated fiduciary or other trustee of such trust department of the Company or a subsidiary of the Company, or other similar fiduciary capacity of the Company with direct voting control of the stock shall be treated as a person or group within the meaning of hereof. Further, no profit­sharing, employee stock ownership, employee stock purchase and savings, employee pension, or other employee benefit plan of the Company or any of its subsidiaries, and no Trustee of any such plan in its capacity as such Trustee, shall be treated as a person or group within the. meaning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45720</wp:posOffset>
            </wp:positionV>
            <wp:extent cx="7165340" cy="4191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060"/>
          </w:cols>
          <w:pgMar w:left="1280" w:top="404" w:right="5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Lars B. Eller, President and CEO of Farmers &amp; Merchants Bancorp, Inc., certify that:</w:t>
      </w:r>
    </w:p>
    <w:p>
      <w:pPr>
        <w:spacing w:after="0" w:line="201" w:lineRule="exact"/>
        <w:rPr>
          <w:sz w:val="20"/>
          <w:szCs w:val="20"/>
          <w:color w:val="auto"/>
        </w:rPr>
      </w:pPr>
    </w:p>
    <w:p>
      <w:pPr>
        <w:ind w:left="760" w:hanging="383"/>
        <w:spacing w:after="0"/>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Farmers &amp; Merchants Bancorp, Inc.;</w:t>
      </w:r>
    </w:p>
    <w:p>
      <w:pPr>
        <w:spacing w:after="0" w:line="200" w:lineRule="exact"/>
        <w:rPr>
          <w:rFonts w:ascii="Times New Roman" w:cs="Times New Roman" w:eastAsia="Times New Roman" w:hAnsi="Times New Roman"/>
          <w:sz w:val="17"/>
          <w:szCs w:val="17"/>
          <w:color w:val="auto"/>
        </w:rPr>
      </w:pPr>
    </w:p>
    <w:p>
      <w:pPr>
        <w:ind w:left="760" w:hanging="383"/>
        <w:spacing w:after="0" w:line="283"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760" w:hanging="383"/>
        <w:spacing w:after="0" w:line="267"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5" w:lineRule="exact"/>
        <w:rPr>
          <w:rFonts w:ascii="Times New Roman" w:cs="Times New Roman" w:eastAsia="Times New Roman" w:hAnsi="Times New Roman"/>
          <w:sz w:val="17"/>
          <w:szCs w:val="17"/>
          <w:color w:val="auto"/>
        </w:rPr>
      </w:pPr>
    </w:p>
    <w:p>
      <w:pPr>
        <w:jc w:val="both"/>
        <w:ind w:left="760" w:hanging="383"/>
        <w:spacing w:after="0" w:line="251"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66" w:lineRule="exact"/>
        <w:rPr>
          <w:rFonts w:ascii="Times New Roman" w:cs="Times New Roman" w:eastAsia="Times New Roman" w:hAnsi="Times New Roman"/>
          <w:sz w:val="17"/>
          <w:szCs w:val="17"/>
          <w:color w:val="auto"/>
        </w:rPr>
      </w:pPr>
    </w:p>
    <w:p>
      <w:pPr>
        <w:jc w:val="both"/>
        <w:ind w:left="1500" w:hanging="373"/>
        <w:spacing w:after="0" w:line="259" w:lineRule="auto"/>
        <w:tabs>
          <w:tab w:leader="none" w:pos="15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7"/>
          <w:szCs w:val="17"/>
          <w:color w:val="auto"/>
        </w:rPr>
      </w:pPr>
    </w:p>
    <w:p>
      <w:pPr>
        <w:jc w:val="both"/>
        <w:ind w:left="1500" w:hanging="373"/>
        <w:spacing w:after="0" w:line="259" w:lineRule="auto"/>
        <w:tabs>
          <w:tab w:leader="none" w:pos="15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7"/>
          <w:szCs w:val="17"/>
          <w:color w:val="auto"/>
        </w:rPr>
      </w:pPr>
    </w:p>
    <w:p>
      <w:pPr>
        <w:ind w:left="1500" w:hanging="373"/>
        <w:spacing w:after="0" w:line="283" w:lineRule="auto"/>
        <w:tabs>
          <w:tab w:leader="none" w:pos="15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1500" w:hanging="373"/>
        <w:spacing w:after="0" w:line="259" w:lineRule="auto"/>
        <w:tabs>
          <w:tab w:leader="none" w:pos="15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7"/>
          <w:szCs w:val="17"/>
          <w:color w:val="auto"/>
        </w:rPr>
      </w:pPr>
    </w:p>
    <w:p>
      <w:pPr>
        <w:ind w:left="760" w:hanging="383"/>
        <w:spacing w:after="0" w:line="267"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1500" w:hanging="373"/>
        <w:spacing w:after="0" w:line="267" w:lineRule="auto"/>
        <w:tabs>
          <w:tab w:leader="none" w:pos="15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500" w:hanging="373"/>
        <w:spacing w:after="0" w:line="267" w:lineRule="auto"/>
        <w:tabs>
          <w:tab w:leader="none" w:pos="15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25, 2022</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15875</wp:posOffset>
            </wp:positionV>
            <wp:extent cx="249872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1">
                      <a:extLst>
                        <a:ext uri="{28A0092B-C50C-407E-A947-70E740481C1C}"/>
                      </a:extLst>
                    </a:blip>
                    <a:srcRect/>
                    <a:stretch>
                      <a:fillRect/>
                    </a:stretch>
                  </pic:blipFill>
                  <pic:spPr bwMode="auto">
                    <a:xfrm>
                      <a:off x="0" y="0"/>
                      <a:ext cx="24987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Lars B. Eller</w:t>
      </w:r>
    </w:p>
    <w:p>
      <w:pPr>
        <w:ind w:left="73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165340" cy="4191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Barbara J. Britenriker, Executive Vice President and CFO of Farmers &amp; Merchants Bancorp, Inc., certify that:</w:t>
      </w:r>
    </w:p>
    <w:p>
      <w:pPr>
        <w:spacing w:after="0" w:line="201" w:lineRule="exact"/>
        <w:rPr>
          <w:sz w:val="20"/>
          <w:szCs w:val="20"/>
          <w:color w:val="auto"/>
        </w:rPr>
      </w:pPr>
    </w:p>
    <w:p>
      <w:pPr>
        <w:ind w:left="760" w:hanging="383"/>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Farmers &amp; Merchants Bancorp, Inc.;</w:t>
      </w:r>
    </w:p>
    <w:p>
      <w:pPr>
        <w:spacing w:after="0" w:line="200" w:lineRule="exact"/>
        <w:rPr>
          <w:rFonts w:ascii="Times New Roman" w:cs="Times New Roman" w:eastAsia="Times New Roman" w:hAnsi="Times New Roman"/>
          <w:sz w:val="17"/>
          <w:szCs w:val="17"/>
          <w:color w:val="auto"/>
        </w:rPr>
      </w:pPr>
    </w:p>
    <w:p>
      <w:pPr>
        <w:ind w:left="760" w:hanging="383"/>
        <w:spacing w:after="0" w:line="283" w:lineRule="auto"/>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760" w:hanging="383"/>
        <w:spacing w:after="0" w:line="267" w:lineRule="auto"/>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5" w:lineRule="exact"/>
        <w:rPr>
          <w:rFonts w:ascii="Times New Roman" w:cs="Times New Roman" w:eastAsia="Times New Roman" w:hAnsi="Times New Roman"/>
          <w:sz w:val="17"/>
          <w:szCs w:val="17"/>
          <w:color w:val="auto"/>
        </w:rPr>
      </w:pPr>
    </w:p>
    <w:p>
      <w:pPr>
        <w:jc w:val="both"/>
        <w:ind w:left="760" w:hanging="383"/>
        <w:spacing w:after="0" w:line="251" w:lineRule="auto"/>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66" w:lineRule="exact"/>
        <w:rPr>
          <w:rFonts w:ascii="Times New Roman" w:cs="Times New Roman" w:eastAsia="Times New Roman" w:hAnsi="Times New Roman"/>
          <w:sz w:val="17"/>
          <w:szCs w:val="17"/>
          <w:color w:val="auto"/>
        </w:rPr>
      </w:pPr>
    </w:p>
    <w:p>
      <w:pPr>
        <w:jc w:val="both"/>
        <w:ind w:left="1500" w:hanging="373"/>
        <w:spacing w:after="0" w:line="259"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7"/>
          <w:szCs w:val="17"/>
          <w:color w:val="auto"/>
        </w:rPr>
      </w:pPr>
    </w:p>
    <w:p>
      <w:pPr>
        <w:jc w:val="both"/>
        <w:ind w:left="1500" w:hanging="373"/>
        <w:spacing w:after="0" w:line="259"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7"/>
          <w:szCs w:val="17"/>
          <w:color w:val="auto"/>
        </w:rPr>
      </w:pPr>
    </w:p>
    <w:p>
      <w:pPr>
        <w:ind w:left="1500" w:hanging="373"/>
        <w:spacing w:after="0" w:line="283"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1500" w:hanging="373"/>
        <w:spacing w:after="0" w:line="259"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7"/>
          <w:szCs w:val="17"/>
          <w:color w:val="auto"/>
        </w:rPr>
      </w:pPr>
    </w:p>
    <w:p>
      <w:pPr>
        <w:ind w:left="760" w:hanging="383"/>
        <w:spacing w:after="0" w:line="267" w:lineRule="auto"/>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1500" w:hanging="373"/>
        <w:spacing w:after="0" w:line="267"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1500" w:hanging="373"/>
        <w:spacing w:after="0" w:line="267" w:lineRule="auto"/>
        <w:tabs>
          <w:tab w:leader="none" w:pos="15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25, 2022</w:t>
      </w:r>
      <w:r>
        <w:rPr>
          <w:sz w:val="20"/>
          <w:szCs w:val="20"/>
          <w:color w:val="auto"/>
        </w:rPr>
        <w:tab/>
      </w:r>
      <w:r>
        <w:rPr>
          <w:rFonts w:ascii="Times New Roman" w:cs="Times New Roman" w:eastAsia="Times New Roman" w:hAnsi="Times New Roman"/>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15875</wp:posOffset>
            </wp:positionV>
            <wp:extent cx="24987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3">
                      <a:extLst>
                        <a:ext uri="{28A0092B-C50C-407E-A947-70E740481C1C}"/>
                      </a:extLst>
                    </a:blip>
                    <a:srcRect/>
                    <a:stretch>
                      <a:fillRect/>
                    </a:stretch>
                  </pic:blipFill>
                  <pic:spPr bwMode="auto">
                    <a:xfrm>
                      <a:off x="0" y="0"/>
                      <a:ext cx="24987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Barbara J. Britenriker</w:t>
      </w:r>
    </w:p>
    <w:p>
      <w:pPr>
        <w:ind w:left="7320"/>
        <w:spacing w:after="0" w:line="235" w:lineRule="auto"/>
        <w:rPr>
          <w:sz w:val="20"/>
          <w:szCs w:val="20"/>
          <w:color w:val="auto"/>
        </w:rPr>
      </w:pPr>
      <w:r>
        <w:rPr>
          <w:rFonts w:ascii="Times New Roman" w:cs="Times New Roman" w:eastAsia="Times New Roman" w:hAnsi="Times New Roman"/>
          <w:sz w:val="17"/>
          <w:szCs w:val="17"/>
          <w:color w:val="auto"/>
        </w:rPr>
        <w:t>Executive Vice President and</w:t>
      </w:r>
    </w:p>
    <w:p>
      <w:pPr>
        <w:ind w:left="73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165340" cy="4191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18 U.S.C. SECTION 1350</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Quarterly Report of Farmers &amp; Merchants Bancorp, Inc. on Form 10-Q for the period ending September 30, 2022, as filed with the Securities and Exchange Commission ("the report"), I, Lars B. Eller, President and Chief Executive Officer, certify, pursuant to 18 U.S.C. Section 1350, as adopted pursuant to Section 906 of the Sarbanes-Oxley Act of 2002, that:</w:t>
      </w:r>
    </w:p>
    <w:p>
      <w:pPr>
        <w:spacing w:after="0" w:line="166" w:lineRule="exact"/>
        <w:rPr>
          <w:sz w:val="20"/>
          <w:szCs w:val="20"/>
          <w:color w:val="auto"/>
        </w:rPr>
      </w:pPr>
    </w:p>
    <w:p>
      <w:pPr>
        <w:ind w:left="760" w:hanging="383"/>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4" w:lineRule="exact"/>
        <w:rPr>
          <w:rFonts w:ascii="Times New Roman" w:cs="Times New Roman" w:eastAsia="Times New Roman" w:hAnsi="Times New Roman"/>
          <w:sz w:val="17"/>
          <w:szCs w:val="17"/>
          <w:color w:val="auto"/>
        </w:rPr>
      </w:pPr>
    </w:p>
    <w:p>
      <w:pPr>
        <w:ind w:left="760" w:hanging="383"/>
        <w:spacing w:after="0" w:line="245" w:lineRule="auto"/>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1"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25, 2022</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15875</wp:posOffset>
            </wp:positionV>
            <wp:extent cx="24987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5">
                      <a:extLst>
                        <a:ext uri="{28A0092B-C50C-407E-A947-70E740481C1C}"/>
                      </a:extLst>
                    </a:blip>
                    <a:srcRect/>
                    <a:stretch>
                      <a:fillRect/>
                    </a:stretch>
                  </pic:blipFill>
                  <pic:spPr bwMode="auto">
                    <a:xfrm>
                      <a:off x="0" y="0"/>
                      <a:ext cx="24987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Lars B. Eller</w:t>
      </w:r>
    </w:p>
    <w:p>
      <w:pPr>
        <w:ind w:left="73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8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329565</wp:posOffset>
            </wp:positionV>
            <wp:extent cx="7165340" cy="4191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18 U.S.C. SECTION 1350</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Quarterly Report of Farmers &amp; Merchants Bancorp, Inc. on Form 10-Q for the period ending September 30, 2022,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66" w:lineRule="exact"/>
        <w:rPr>
          <w:sz w:val="20"/>
          <w:szCs w:val="20"/>
          <w:color w:val="auto"/>
        </w:rPr>
      </w:pPr>
    </w:p>
    <w:p>
      <w:pPr>
        <w:ind w:left="760" w:hanging="383"/>
        <w:spacing w:after="0"/>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4" w:lineRule="exact"/>
        <w:rPr>
          <w:rFonts w:ascii="Times New Roman" w:cs="Times New Roman" w:eastAsia="Times New Roman" w:hAnsi="Times New Roman"/>
          <w:sz w:val="17"/>
          <w:szCs w:val="17"/>
          <w:color w:val="auto"/>
        </w:rPr>
      </w:pPr>
    </w:p>
    <w:p>
      <w:pPr>
        <w:ind w:left="760" w:hanging="383"/>
        <w:spacing w:after="0" w:line="245" w:lineRule="auto"/>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58"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25, 2022</w:t>
      </w:r>
      <w:r>
        <w:rPr>
          <w:sz w:val="20"/>
          <w:szCs w:val="20"/>
          <w:color w:val="auto"/>
        </w:rPr>
        <w:tab/>
      </w:r>
      <w:r>
        <w:rPr>
          <w:rFonts w:ascii="Times New Roman" w:cs="Times New Roman" w:eastAsia="Times New Roman" w:hAnsi="Times New Roman"/>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15875</wp:posOffset>
            </wp:positionV>
            <wp:extent cx="24987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7">
                      <a:extLst>
                        <a:ext uri="{28A0092B-C50C-407E-A947-70E740481C1C}"/>
                      </a:extLst>
                    </a:blip>
                    <a:srcRect/>
                    <a:stretch>
                      <a:fillRect/>
                    </a:stretch>
                  </pic:blipFill>
                  <pic:spPr bwMode="auto">
                    <a:xfrm>
                      <a:off x="0" y="0"/>
                      <a:ext cx="24987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Barbara J. Britenriker</w:t>
      </w:r>
    </w:p>
    <w:p>
      <w:pPr>
        <w:ind w:left="7320"/>
        <w:spacing w:after="0" w:line="235" w:lineRule="auto"/>
        <w:rPr>
          <w:sz w:val="20"/>
          <w:szCs w:val="20"/>
          <w:color w:val="auto"/>
        </w:rPr>
      </w:pPr>
      <w:r>
        <w:rPr>
          <w:rFonts w:ascii="Times New Roman" w:cs="Times New Roman" w:eastAsia="Times New Roman" w:hAnsi="Times New Roman"/>
          <w:sz w:val="17"/>
          <w:szCs w:val="17"/>
          <w:color w:val="auto"/>
        </w:rPr>
        <w:t>Executive Vice President and</w:t>
      </w:r>
    </w:p>
    <w:p>
      <w:pPr>
        <w:ind w:left="73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8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7165340" cy="4191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lvl w:ilvl="1">
      <w:lvlJc w:val="left"/>
      <w:lvlText w:val="%2."/>
      <w:numFmt w:val="lowerLetter"/>
      <w:start w:val="1"/>
    </w:lvl>
  </w:abstractNum>
  <w:abstractNum w:abstractNumId="9">
    <w:nsid w:val="77465F01"/>
    <w:multiLevelType w:val="hybridMultilevel"/>
    <w:lvl w:ilvl="0">
      <w:lvlJc w:val="left"/>
      <w:lvlText w:val="%1."/>
      <w:numFmt w:val="decimal"/>
      <w:start w:val="7"/>
    </w:lvl>
    <w:lvl w:ilvl="1">
      <w:lvlJc w:val="left"/>
      <w:lvlText w:val="%2."/>
      <w:numFmt w:val="lowerLetter"/>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lvl w:ilvl="1">
      <w:lvlJc w:val="left"/>
      <w:lvlText w:val="o"/>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upperLetter"/>
      <w:start w:val="68"/>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upperLetter"/>
      <w:start w:val="68"/>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
    </w:lvl>
    <w:lvl w:ilvl="1">
      <w:lvlJc w:val="left"/>
      <w:lvlText w:val="%2"/>
      <w:numFmt w:val="decimal"/>
      <w:start w:val="104"/>
    </w:lvl>
  </w:abstractNum>
  <w:abstractNum w:abstractNumId="29">
    <w:nsid w:val="6DE91B18"/>
    <w:multiLevelType w:val="hybridMultilevel"/>
    <w:lvl w:ilvl="0">
      <w:lvlJc w:val="left"/>
      <w:lvlText w:val="(%1)"/>
      <w:numFmt w:val="decimal"/>
      <w:start w:val="1"/>
    </w:lvl>
    <w:lvl w:ilvl="1">
      <w:lvlJc w:val="left"/>
      <w:lvlText w:val="%2"/>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upperLetter"/>
      <w:start w:val="1"/>
    </w:lvl>
  </w:abstractNum>
  <w:abstractNum w:abstractNumId="32">
    <w:nsid w:val="32FFF902"/>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33">
    <w:nsid w:val="684A481A"/>
    <w:multiLevelType w:val="hybridMultilevel"/>
    <w:lvl w:ilvl="0">
      <w:lvlJc w:val="left"/>
      <w:lvlText w:val="%1"/>
      <w:numFmt w:val="upperLetter"/>
      <w:start w:val="1"/>
    </w:lvl>
    <w:lvl w:ilvl="1">
      <w:lvlJc w:val="left"/>
      <w:lvlText w:val="%2."/>
      <w:numFmt w:val="upperLetter"/>
      <w:start w:val="5"/>
    </w:lvl>
    <w:lvl w:ilvl="2">
      <w:lvlJc w:val="left"/>
      <w:lvlText w:val="%3"/>
      <w:numFmt w:val="upperLetter"/>
      <w:start w:val="1"/>
    </w:lvl>
  </w:abstractNum>
  <w:abstractNum w:abstractNumId="34">
    <w:nsid w:val="579478FE"/>
    <w:multiLevelType w:val="hybridMultilevel"/>
    <w:lvl w:ilvl="0">
      <w:lvlJc w:val="left"/>
      <w:lvlText w:val="%1."/>
      <w:numFmt w:val="upperLetter"/>
      <w:start w:val="7"/>
    </w:lvl>
    <w:lvl w:ilvl="1">
      <w:lvlJc w:val="left"/>
      <w:lvlText w:val="%2"/>
      <w:numFmt w:val="upperLetter"/>
      <w:start w:val="1"/>
    </w:lvl>
    <w:lvl w:ilvl="2">
      <w:lvlJc w:val="left"/>
      <w:lvlText w:val="%3"/>
      <w:numFmt w:val="upperLetter"/>
      <w:start w:val="1"/>
    </w:lvl>
  </w:abstractNum>
  <w:abstractNum w:abstractNumId="35">
    <w:nsid w:val="749ABB43"/>
    <w:multiLevelType w:val="hybridMultilevel"/>
    <w:lvl w:ilvl="0">
      <w:lvlJc w:val="left"/>
      <w:lvlText w:val="%1"/>
      <w:numFmt w:val="decimal"/>
      <w:start w:val="1"/>
    </w:lvl>
    <w:lvl w:ilvl="1">
      <w:lvlJc w:val="left"/>
      <w:lvlText w:val="%2."/>
      <w:numFmt w:val="decimal"/>
      <w:start w:val="1"/>
    </w:lvl>
  </w:abstractNum>
  <w:abstractNum w:abstractNumId="36">
    <w:nsid w:val="3DC240FB"/>
    <w:multiLevelType w:val="hybridMultilevel"/>
    <w:lvl w:ilvl="0">
      <w:lvlJc w:val="left"/>
      <w:lvlText w:val="%1."/>
      <w:numFmt w:val="decimal"/>
      <w:start w:val="2"/>
    </w:lvl>
    <w:lvl w:ilvl="1">
      <w:lvlJc w:val="left"/>
      <w:lvlText w:val="%2"/>
      <w:numFmt w:val="decimal"/>
      <w:start w:val="1"/>
    </w:lvl>
  </w:abstractNum>
  <w:abstractNum w:abstractNumId="37">
    <w:nsid w:val="1BA026FA"/>
    <w:multiLevelType w:val="hybridMultilevel"/>
    <w:lvl w:ilvl="0">
      <w:lvlJc w:val="left"/>
      <w:lvlText w:val="%1."/>
      <w:numFmt w:val="decimal"/>
      <w:start w:val="5"/>
    </w:lvl>
  </w:abstractNum>
  <w:abstractNum w:abstractNumId="38">
    <w:nsid w:val="79A1DEAA"/>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decimal"/>
      <w:start w:val="1"/>
    </w:lvl>
  </w:abstractNum>
  <w:abstractNum w:abstractNumId="39">
    <w:nsid w:val="75C6C33A"/>
    <w:multiLevelType w:val="hybridMultilevel"/>
    <w:lvl w:ilvl="0">
      <w:lvlJc w:val="left"/>
      <w:lvlText w:val="%1."/>
      <w:numFmt w:val="upperLetter"/>
      <w:start w:val="2"/>
    </w:lvl>
    <w:lvl w:ilvl="1">
      <w:lvlJc w:val="left"/>
      <w:lvlText w:val="·."/>
      <w:numFmt w:val="bullet"/>
      <w:start w:val="1"/>
    </w:lvl>
  </w:abstractNum>
  <w:abstractNum w:abstractNumId="40">
    <w:nsid w:val="12E685F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4"/>
    </w:lvl>
  </w:abstractNum>
  <w:abstractNum w:abstractNumId="41">
    <w:nsid w:val="70C6A529"/>
    <w:multiLevelType w:val="hybridMultilevel"/>
    <w:lvl w:ilvl="0">
      <w:lvlJc w:val="left"/>
      <w:lvlText w:val="%1"/>
      <w:numFmt w:val="upperLetter"/>
      <w:start w:val="1"/>
    </w:lvl>
    <w:lvl w:ilvl="1">
      <w:lvlJc w:val="left"/>
      <w:lvlText w:val="%2."/>
      <w:numFmt w:val="upperLetter"/>
      <w:start w:val="5"/>
    </w:lvl>
    <w:lvl w:ilvl="2">
      <w:lvlJc w:val="left"/>
      <w:lvlText w:val="%3"/>
      <w:numFmt w:val="upperLetter"/>
      <w:start w:val="1"/>
    </w:lvl>
  </w:abstractNum>
  <w:abstractNum w:abstractNumId="42">
    <w:nsid w:val="520EEDD1"/>
    <w:multiLevelType w:val="hybridMultilevel"/>
    <w:lvl w:ilvl="0">
      <w:lvlJc w:val="left"/>
      <w:lvlText w:val="%1."/>
      <w:numFmt w:val="upperLetter"/>
      <w:start w:val="6"/>
    </w:lvl>
    <w:lvl w:ilvl="1">
      <w:lvlJc w:val="left"/>
      <w:lvlText w:val="%2."/>
      <w:numFmt w:val="upperLetter"/>
      <w:start w:val="7"/>
    </w:lvl>
    <w:lvl w:ilvl="2">
      <w:lvlJc w:val="left"/>
      <w:lvlText w:val="%3"/>
      <w:numFmt w:val="upperLetter"/>
      <w:start w:val="1"/>
    </w:lvl>
  </w:abstractNum>
  <w:abstractNum w:abstractNumId="43">
    <w:nsid w:val="374A3FE6"/>
    <w:multiLevelType w:val="hybridMultilevel"/>
    <w:lvl w:ilvl="0">
      <w:lvlJc w:val="left"/>
      <w:lvlText w:val="%1."/>
      <w:numFmt w:val="upperLetter"/>
      <w:start w:val="9"/>
    </w:lvl>
  </w:abstractNum>
  <w:abstractNum w:abstractNumId="44">
    <w:nsid w:val="4F4EF005"/>
    <w:multiLevelType w:val="hybridMultilevel"/>
    <w:lvl w:ilvl="0">
      <w:lvlJc w:val="left"/>
      <w:lvlText w:val="A"/>
      <w:numFmt w:val="bullet"/>
      <w:start w:val="1"/>
    </w:lvl>
  </w:abstractNum>
  <w:abstractNum w:abstractNumId="45">
    <w:nsid w:val="23F9C13C"/>
    <w:multiLevelType w:val="hybridMultilevel"/>
    <w:lvl w:ilvl="0">
      <w:lvlJc w:val="left"/>
      <w:lvlText w:val="%1"/>
      <w:numFmt w:val="decimal"/>
      <w:start w:val="1"/>
    </w:lvl>
    <w:lvl w:ilvl="1">
      <w:lvlJc w:val="left"/>
      <w:lvlText w:val="%2."/>
      <w:numFmt w:val="decimal"/>
      <w:start w:val="1"/>
    </w:lvl>
  </w:abstractNum>
  <w:abstractNum w:abstractNumId="46">
    <w:nsid w:val="649BB77C"/>
    <w:multiLevelType w:val="hybridMultilevel"/>
    <w:lvl w:ilvl="0">
      <w:lvlJc w:val="left"/>
      <w:lvlText w:val="%1."/>
      <w:numFmt w:val="decimal"/>
      <w:start w:val="2"/>
    </w:lvl>
    <w:lvl w:ilvl="1">
      <w:lvlJc w:val="left"/>
      <w:lvlText w:val="%2"/>
      <w:numFmt w:val="decimal"/>
      <w:start w:val="1"/>
    </w:lvl>
  </w:abstractNum>
  <w:abstractNum w:abstractNumId="47">
    <w:nsid w:val="275AC794"/>
    <w:multiLevelType w:val="hybridMultilevel"/>
    <w:lvl w:ilvl="0">
      <w:lvlJc w:val="left"/>
      <w:lvlText w:val="%1"/>
      <w:numFmt w:val="upperLetter"/>
      <w:start w:val="1"/>
    </w:lvl>
    <w:lvl w:ilvl="1">
      <w:lvlJc w:val="left"/>
      <w:lvlText w:val="%2."/>
      <w:numFmt w:val="upperLetter"/>
      <w:start w:val="2"/>
    </w:lvl>
  </w:abstractNum>
  <w:abstractNum w:abstractNumId="48">
    <w:nsid w:val="39386575"/>
    <w:multiLevelType w:val="hybridMultilevel"/>
    <w:lvl w:ilvl="0">
      <w:lvlJc w:val="left"/>
      <w:lvlText w:val="%1."/>
      <w:numFmt w:val="upperLetter"/>
      <w:start w:val="3"/>
    </w:lvl>
    <w:lvl w:ilvl="1">
      <w:lvlJc w:val="left"/>
      <w:lvlText w:val="%2"/>
      <w:numFmt w:val="upperLetter"/>
      <w:start w:val="1"/>
    </w:lvl>
  </w:abstractNum>
  <w:abstractNum w:abstractNumId="49">
    <w:nsid w:val="1CF10FD8"/>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4"/>
    </w:lvl>
  </w:abstractNum>
  <w:abstractNum w:abstractNumId="50">
    <w:nsid w:val="180115BE"/>
    <w:multiLevelType w:val="hybridMultilevel"/>
    <w:lvl w:ilvl="0">
      <w:lvlJc w:val="left"/>
      <w:lvlText w:val="%1"/>
      <w:numFmt w:val="upperLetter"/>
      <w:start w:val="1"/>
    </w:lvl>
    <w:lvl w:ilvl="1">
      <w:lvlJc w:val="left"/>
      <w:lvlText w:val="%2."/>
      <w:numFmt w:val="upperLetter"/>
      <w:start w:val="5"/>
    </w:lvl>
    <w:lvl w:ilvl="2">
      <w:lvlJc w:val="left"/>
      <w:lvlText w:val="%3"/>
      <w:numFmt w:val="upperLetter"/>
      <w:start w:val="1"/>
    </w:lvl>
  </w:abstractNum>
  <w:abstractNum w:abstractNumId="51">
    <w:nsid w:val="235BA861"/>
    <w:multiLevelType w:val="hybridMultilevel"/>
    <w:lvl w:ilvl="0">
      <w:lvlJc w:val="left"/>
      <w:lvlText w:val="%1."/>
      <w:numFmt w:val="upperLetter"/>
      <w:start w:val="7"/>
    </w:lvl>
    <w:lvl w:ilvl="1">
      <w:lvlJc w:val="left"/>
      <w:lvlText w:val="%2"/>
      <w:numFmt w:val="upperLetter"/>
      <w:start w:val="1"/>
    </w:lvl>
    <w:lvl w:ilvl="2">
      <w:lvlJc w:val="left"/>
      <w:lvlText w:val="%3"/>
      <w:numFmt w:val="upperLetter"/>
      <w:start w:val="1"/>
    </w:lvl>
  </w:abstractNum>
  <w:abstractNum w:abstractNumId="52">
    <w:nsid w:val="47398C89"/>
    <w:multiLevelType w:val="hybridMultilevel"/>
    <w:lvl w:ilvl="0">
      <w:lvlJc w:val="left"/>
      <w:lvlText w:val="%1."/>
      <w:numFmt w:val="upperLetter"/>
      <w:start w:val="8"/>
    </w:lvl>
  </w:abstractNum>
  <w:abstractNum w:abstractNumId="53">
    <w:nsid w:val="354FE9F9"/>
    <w:multiLevelType w:val="hybridMultilevel"/>
    <w:lvl w:ilvl="0">
      <w:lvlJc w:val="left"/>
      <w:lvlText w:val="(%1)"/>
      <w:numFmt w:val="lowerLetter"/>
      <w:start w:val="1"/>
    </w:lvl>
    <w:lvl w:ilvl="1">
      <w:lvlJc w:val="left"/>
      <w:lvlText w:val="(%2)"/>
      <w:numFmt w:val="lowerRoman"/>
      <w:start w:val="1"/>
    </w:lvl>
  </w:abstractNum>
  <w:abstractNum w:abstractNumId="54">
    <w:nsid w:val="15B5AF5C"/>
    <w:multiLevelType w:val="hybridMultilevel"/>
    <w:lvl w:ilvl="0">
      <w:lvlJc w:val="left"/>
      <w:lvlText w:val="%1"/>
      <w:numFmt w:val="lowerLetter"/>
      <w:start w:val="1"/>
    </w:lvl>
    <w:lvl w:ilvl="1">
      <w:lvlJc w:val="left"/>
      <w:lvlText w:val="(%2)"/>
      <w:numFmt w:val="lowerLetter"/>
      <w:start w:val="35"/>
    </w:lvl>
  </w:abstractNum>
  <w:abstractNum w:abstractNumId="55">
    <w:nsid w:val="741226BB"/>
    <w:multiLevelType w:val="hybridMultilevel"/>
    <w:lvl w:ilvl="0">
      <w:lvlJc w:val="left"/>
      <w:lvlText w:val="(%1)"/>
      <w:numFmt w:val="lowerLetter"/>
      <w:start w:val="2"/>
    </w:lvl>
    <w:lvl w:ilvl="1">
      <w:lvlJc w:val="left"/>
      <w:lvlText w:val="(%2)"/>
      <w:numFmt w:val="lowerLetter"/>
      <w:start w:val="9"/>
    </w:lvl>
  </w:abstractNum>
  <w:abstractNum w:abstractNumId="56">
    <w:nsid w:val="D34B6A8"/>
    <w:multiLevelType w:val="hybridMultilevel"/>
    <w:lvl w:ilvl="0">
      <w:lvlJc w:val="left"/>
      <w:lvlText w:val="(%1)"/>
      <w:numFmt w:val="lowerRoman"/>
      <w:start w:val="2"/>
    </w:lvl>
  </w:abstractNum>
  <w:abstractNum w:abstractNumId="57">
    <w:nsid w:val="10233C99"/>
    <w:multiLevelType w:val="hybridMultilevel"/>
    <w:lvl w:ilvl="0">
      <w:lvlJc w:val="left"/>
      <w:lvlText w:val="(%1)"/>
      <w:numFmt w:val="upperLetter"/>
      <w:start w:val="3"/>
    </w:lvl>
  </w:abstractNum>
  <w:abstractNum w:abstractNumId="58">
    <w:nsid w:val="3F6AB60F"/>
    <w:multiLevelType w:val="hybridMultilevel"/>
    <w:lvl w:ilvl="0">
      <w:lvlJc w:val="left"/>
      <w:lvlText w:val="(%1)"/>
      <w:numFmt w:val="lowerRoman"/>
      <w:start w:val="1"/>
    </w:lvl>
  </w:abstractNum>
  <w:abstractNum w:abstractNumId="59">
    <w:nsid w:val="61574095"/>
    <w:multiLevelType w:val="hybridMultilevel"/>
    <w:lvl w:ilvl="0">
      <w:lvlJc w:val="left"/>
      <w:lvlText w:val="(%1)"/>
      <w:numFmt w:val="lowerLetter"/>
      <w:start w:val="4"/>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802" Type="http://schemas.openxmlformats.org/officeDocument/2006/relationships/image" Target="media/image790.png"/><Relationship Id="rId803" Type="http://schemas.openxmlformats.org/officeDocument/2006/relationships/image" Target="media/image791.png"/><Relationship Id="rId804" Type="http://schemas.openxmlformats.org/officeDocument/2006/relationships/image" Target="media/image792.png"/><Relationship Id="rId805" Type="http://schemas.openxmlformats.org/officeDocument/2006/relationships/image" Target="media/image793.png"/><Relationship Id="rId806" Type="http://schemas.openxmlformats.org/officeDocument/2006/relationships/image" Target="media/image794.png"/><Relationship Id="rId807" Type="http://schemas.openxmlformats.org/officeDocument/2006/relationships/image" Target="media/image795.png"/><Relationship Id="rId808" Type="http://schemas.openxmlformats.org/officeDocument/2006/relationships/image" Target="media/image796.png"/><Relationship Id="rId809" Type="http://schemas.openxmlformats.org/officeDocument/2006/relationships/image" Target="media/image797.png"/><Relationship Id="rId810" Type="http://schemas.openxmlformats.org/officeDocument/2006/relationships/image" Target="media/image798.png"/><Relationship Id="rId811" Type="http://schemas.openxmlformats.org/officeDocument/2006/relationships/image" Target="media/image799.png"/><Relationship Id="rId812" Type="http://schemas.openxmlformats.org/officeDocument/2006/relationships/image" Target="media/image800.png"/><Relationship Id="rId813" Type="http://schemas.openxmlformats.org/officeDocument/2006/relationships/image" Target="media/image801.png"/><Relationship Id="rId814" Type="http://schemas.openxmlformats.org/officeDocument/2006/relationships/image" Target="media/image802.png"/><Relationship Id="rId815" Type="http://schemas.openxmlformats.org/officeDocument/2006/relationships/image" Target="media/image803.png"/><Relationship Id="rId816" Type="http://schemas.openxmlformats.org/officeDocument/2006/relationships/image" Target="media/image804.png"/><Relationship Id="rId817" Type="http://schemas.openxmlformats.org/officeDocument/2006/relationships/image" Target="media/image805.png"/><Relationship Id="rId818" Type="http://schemas.openxmlformats.org/officeDocument/2006/relationships/image" Target="media/image806.png"/><Relationship Id="rId819" Type="http://schemas.openxmlformats.org/officeDocument/2006/relationships/image" Target="media/image807.png"/><Relationship Id="rId820" Type="http://schemas.openxmlformats.org/officeDocument/2006/relationships/image" Target="media/image808.png"/><Relationship Id="rId821" Type="http://schemas.openxmlformats.org/officeDocument/2006/relationships/image" Target="media/image809.png"/><Relationship Id="rId822" Type="http://schemas.openxmlformats.org/officeDocument/2006/relationships/image" Target="media/image810.png"/><Relationship Id="rId823" Type="http://schemas.openxmlformats.org/officeDocument/2006/relationships/image" Target="media/image811.png"/><Relationship Id="rId824" Type="http://schemas.openxmlformats.org/officeDocument/2006/relationships/image" Target="media/image812.png"/><Relationship Id="rId825" Type="http://schemas.openxmlformats.org/officeDocument/2006/relationships/image" Target="media/image813.png"/><Relationship Id="rId826" Type="http://schemas.openxmlformats.org/officeDocument/2006/relationships/image" Target="media/image814.png"/><Relationship Id="rId827" Type="http://schemas.openxmlformats.org/officeDocument/2006/relationships/image" Target="media/image815.png"/><Relationship Id="rId828" Type="http://schemas.openxmlformats.org/officeDocument/2006/relationships/image" Target="media/image816.png"/><Relationship Id="rId797" Type="http://schemas.openxmlformats.org/officeDocument/2006/relationships/hyperlink" Target="https://www.sec.gov/Archives/edgar/data/792966/000119312522174225/d368190dex21.htm" TargetMode="External"/><Relationship Id="rId798" Type="http://schemas.openxmlformats.org/officeDocument/2006/relationships/hyperlink" Target="https://www.sec.gov/Archives/edgar/data/792966/000119312517318709/d447990dex31.htm" TargetMode="External"/><Relationship Id="rId799" Type="http://schemas.openxmlformats.org/officeDocument/2006/relationships/hyperlink" Target="https://www.sec.gov/Archives/edgar/data/792966/000119312517235925/d422994dex32.htm" TargetMode="External"/><Relationship Id="rId800" Type="http://schemas.openxmlformats.org/officeDocument/2006/relationships/hyperlink" Target="https://www.sec.gov/Archives/edgar/data/792966/000156459020006695/fmao-ex41_282.htm" TargetMode="External"/><Relationship Id="rId801" Type="http://schemas.openxmlformats.org/officeDocument/2006/relationships/hyperlink" Target="https://www.sec.gov/Archives/edgar/data/792966/000156459021039640/fmao-ex101_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2022-11-11T12:35:23Z</dcterms:created>
  <dcterms:modified xsi:type="dcterms:W3CDTF">2022-11-11T12:35:23Z</dcterms:modified>
</cp:coreProperties>
</file>