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March 31,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4"/>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6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20" w:type="dxa"/>
            <w:vAlign w:val="bottom"/>
          </w:tcPr>
          <w:p>
            <w:pPr>
              <w:jc w:val="center"/>
              <w:ind w:left="3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2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307 North Defiance Street, Archbold, Ohio</w:t>
            </w:r>
          </w:p>
        </w:tc>
        <w:tc>
          <w:tcPr>
            <w:tcW w:w="42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2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600" w:type="dxa"/>
            <w:vAlign w:val="bottom"/>
          </w:tcPr>
          <w:p>
            <w:pPr>
              <w:spacing w:after="0"/>
              <w:rPr>
                <w:sz w:val="24"/>
                <w:szCs w:val="24"/>
                <w:color w:val="auto"/>
              </w:rPr>
            </w:pPr>
          </w:p>
        </w:tc>
        <w:tc>
          <w:tcPr>
            <w:tcW w:w="422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19"/>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192"/>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34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44"/>
        </w:trPr>
        <w:tc>
          <w:tcPr>
            <w:tcW w:w="7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9"/>
        </w:trPr>
        <w:tc>
          <w:tcPr>
            <w:tcW w:w="19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13,718,086</w:t>
            </w:r>
          </w:p>
        </w:tc>
        <w:tc>
          <w:tcPr>
            <w:tcW w:w="620" w:type="dxa"/>
            <w:vAlign w:val="bottom"/>
          </w:tcPr>
          <w:p>
            <w:pPr>
              <w:spacing w:after="0"/>
              <w:rPr>
                <w:sz w:val="21"/>
                <w:szCs w:val="21"/>
                <w:color w:val="auto"/>
              </w:rPr>
            </w:pPr>
          </w:p>
        </w:tc>
      </w:tr>
      <w:tr>
        <w:trPr>
          <w:trHeight w:val="217"/>
        </w:trPr>
        <w:tc>
          <w:tcPr>
            <w:tcW w:w="1900" w:type="dxa"/>
            <w:vAlign w:val="bottom"/>
          </w:tcPr>
          <w:p>
            <w:pPr>
              <w:spacing w:after="0"/>
              <w:rPr>
                <w:sz w:val="18"/>
                <w:szCs w:val="18"/>
                <w:color w:val="auto"/>
              </w:rPr>
            </w:pPr>
          </w:p>
        </w:tc>
        <w:tc>
          <w:tcPr>
            <w:tcW w:w="5440" w:type="dxa"/>
            <w:vAlign w:val="bottom"/>
            <w:gridSpan w:val="2"/>
          </w:tcPr>
          <w:p>
            <w:pPr>
              <w:jc w:val="center"/>
              <w:ind w:right="3460"/>
              <w:spacing w:after="0"/>
              <w:rPr>
                <w:sz w:val="20"/>
                <w:szCs w:val="20"/>
                <w:color w:val="auto"/>
              </w:rPr>
            </w:pPr>
            <w:r>
              <w:rPr>
                <w:rFonts w:ascii="Times New Roman" w:cs="Times New Roman" w:eastAsia="Times New Roman" w:hAnsi="Times New Roman"/>
                <w:sz w:val="16"/>
                <w:szCs w:val="16"/>
                <w:color w:val="auto"/>
                <w:w w:val="97"/>
              </w:rPr>
              <w:t>Class</w:t>
            </w:r>
          </w:p>
        </w:tc>
        <w:tc>
          <w:tcPr>
            <w:tcW w:w="216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Outstanding as of May 1, 2025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64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4"/>
        </w:trPr>
        <w:tc>
          <w:tcPr>
            <w:tcW w:w="660" w:type="dxa"/>
            <w:vAlign w:val="bottom"/>
          </w:tcPr>
          <w:p>
            <w:pPr>
              <w:spacing w:after="0"/>
              <w:rPr>
                <w:sz w:val="16"/>
                <w:szCs w:val="16"/>
                <w:color w:val="auto"/>
              </w:rPr>
            </w:pPr>
          </w:p>
        </w:tc>
        <w:tc>
          <w:tcPr>
            <w:tcW w:w="15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Form 10-Q Items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w w:val="91"/>
              </w:rPr>
              <w:t>Page</w:t>
            </w:r>
          </w:p>
        </w:tc>
      </w:tr>
      <w:tr>
        <w:trPr>
          <w:trHeight w:val="196"/>
        </w:trPr>
        <w:tc>
          <w:tcPr>
            <w:tcW w:w="660" w:type="dxa"/>
            <w:vAlign w:val="bottom"/>
          </w:tcPr>
          <w:p>
            <w:pPr>
              <w:spacing w:after="0"/>
              <w:rPr>
                <w:sz w:val="17"/>
                <w:szCs w:val="17"/>
                <w:color w:val="auto"/>
              </w:rPr>
            </w:pPr>
          </w:p>
        </w:tc>
        <w:tc>
          <w:tcPr>
            <w:tcW w:w="124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320" w:type="dxa"/>
            <w:vAlign w:val="bottom"/>
          </w:tcPr>
          <w:p>
            <w:pPr>
              <w:spacing w:after="0"/>
              <w:rPr>
                <w:sz w:val="17"/>
                <w:szCs w:val="17"/>
                <w:color w:val="auto"/>
              </w:rPr>
            </w:pPr>
          </w:p>
        </w:tc>
        <w:tc>
          <w:tcPr>
            <w:tcW w:w="22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5780" w:type="dxa"/>
            <w:vAlign w:val="bottom"/>
            <w:gridSpan w:val="11"/>
          </w:tcPr>
          <w:p>
            <w:pPr>
              <w:spacing w:after="0"/>
              <w:rPr>
                <w:sz w:val="17"/>
                <w:szCs w:val="17"/>
                <w:color w:val="auto"/>
              </w:rPr>
            </w:pP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2025 and December 31, 2024</w:t>
            </w:r>
          </w:p>
        </w:tc>
        <w:tc>
          <w:tcPr>
            <w:tcW w:w="20" w:type="dxa"/>
            <w:vAlign w:val="bottom"/>
            <w:tcBorders>
              <w:bottom w:val="single" w:sz="8" w:color="0000EE"/>
            </w:tcBorders>
          </w:tcPr>
          <w:p>
            <w:pPr>
              <w:spacing w:after="0"/>
              <w:rPr>
                <w:sz w:val="24"/>
                <w:szCs w:val="24"/>
                <w:color w:val="auto"/>
              </w:rPr>
            </w:pPr>
          </w:p>
        </w:tc>
        <w:tc>
          <w:tcPr>
            <w:tcW w:w="2060" w:type="dxa"/>
            <w:vAlign w:val="bottom"/>
            <w:gridSpan w:val="4"/>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March 31, 2025 and March 31, 2024</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2025 and</w:t>
            </w:r>
          </w:p>
        </w:tc>
        <w:tc>
          <w:tcPr>
            <w:tcW w:w="6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March 31, 2024</w:t>
            </w: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Months Ended March 31,</w:t>
            </w:r>
          </w:p>
        </w:tc>
        <w:tc>
          <w:tcPr>
            <w:tcW w:w="6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2025 and March 31, 2024</w:t>
            </w: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2025 and March 31, 2024</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60" w:type="dxa"/>
            <w:vAlign w:val="bottom"/>
            <w:tcBorders>
              <w:top w:val="single" w:sz="8" w:color="0000FF"/>
            </w:tcBorders>
            <w:gridSpan w:val="7"/>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48</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Qualitative and Quantitative Disclosures About Market Risk</w:t>
            </w:r>
          </w:p>
        </w:tc>
        <w:tc>
          <w:tcPr>
            <w:tcW w:w="2080" w:type="dxa"/>
            <w:vAlign w:val="bottom"/>
            <w:tcBorders>
              <w:top w:val="single" w:sz="8" w:color="0000FF"/>
            </w:tcBorders>
            <w:gridSpan w:val="3"/>
          </w:tcPr>
          <w:p>
            <w:pPr>
              <w:spacing w:after="0"/>
              <w:rPr>
                <w:sz w:val="24"/>
                <w:szCs w:val="24"/>
                <w:color w:val="auto"/>
              </w:rPr>
            </w:pPr>
          </w:p>
        </w:tc>
        <w:tc>
          <w:tcPr>
            <w:tcW w:w="1640" w:type="dxa"/>
            <w:vAlign w:val="bottom"/>
            <w:gridSpan w:val="3"/>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280" w:type="dxa"/>
            <w:vAlign w:val="bottom"/>
            <w:gridSpan w:val="15"/>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17"/>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24"/>
                <w:szCs w:val="24"/>
                <w:color w:val="auto"/>
              </w:rPr>
            </w:pPr>
          </w:p>
        </w:tc>
        <w:tc>
          <w:tcPr>
            <w:tcW w:w="6180" w:type="dxa"/>
            <w:vAlign w:val="bottom"/>
            <w:gridSpan w:val="14"/>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318"/>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740" w:type="dxa"/>
            <w:vAlign w:val="bottom"/>
            <w:gridSpan w:val="7"/>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6"/>
          </w:tcPr>
          <w:p>
            <w:pPr>
              <w:spacing w:after="0"/>
              <w:rPr>
                <w:sz w:val="24"/>
                <w:szCs w:val="24"/>
                <w:color w:val="auto"/>
              </w:rPr>
            </w:pPr>
          </w:p>
        </w:tc>
        <w:tc>
          <w:tcPr>
            <w:tcW w:w="5760" w:type="dxa"/>
            <w:vAlign w:val="bottom"/>
            <w:gridSpan w:val="10"/>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20" w:type="dxa"/>
            <w:vAlign w:val="bottom"/>
            <w:gridSpan w:val="17"/>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70</w:t>
            </w:r>
          </w:p>
        </w:tc>
      </w:tr>
      <w:tr>
        <w:trPr>
          <w:trHeight w:val="318"/>
        </w:trPr>
        <w:tc>
          <w:tcPr>
            <w:tcW w:w="66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0" w:type="dxa"/>
            <w:vAlign w:val="bottom"/>
            <w:gridSpan w:val="2"/>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71</w:t>
            </w:r>
          </w:p>
        </w:tc>
      </w:tr>
      <w:tr>
        <w:trPr>
          <w:trHeight w:val="320"/>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64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80" w:type="dxa"/>
            <w:vAlign w:val="bottom"/>
            <w:gridSpan w:val="21"/>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18"/>
                <w:szCs w:val="18"/>
                <w:color w:val="auto"/>
              </w:rPr>
            </w:pPr>
          </w:p>
        </w:tc>
      </w:tr>
      <w:tr>
        <w:trPr>
          <w:trHeight w:val="317"/>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24"/>
                <w:szCs w:val="24"/>
                <w:color w:val="auto"/>
              </w:rPr>
            </w:pPr>
          </w:p>
        </w:tc>
      </w:tr>
    </w:tbl>
    <w:p>
      <w:pPr>
        <w:spacing w:after="0" w:line="136" w:lineRule="exact"/>
        <w:rPr>
          <w:sz w:val="20"/>
          <w:szCs w:val="20"/>
          <w:color w:val="auto"/>
        </w:rPr>
      </w:pPr>
    </w:p>
    <w:p>
      <w:pPr>
        <w:jc w:val="both"/>
        <w:ind w:left="380" w:hanging="372"/>
        <w:spacing w:after="0" w:line="231" w:lineRule="auto"/>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20" w:type="dxa"/>
            <w:vAlign w:val="bottom"/>
          </w:tcPr>
          <w:p>
            <w:pPr>
              <w:spacing w:after="0"/>
              <w:rPr>
                <w:sz w:val="20"/>
                <w:szCs w:val="20"/>
                <w:color w:val="auto"/>
              </w:rPr>
            </w:pPr>
          </w:p>
        </w:tc>
        <w:tc>
          <w:tcPr>
            <w:tcW w:w="396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172,612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174,855</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176,351</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438,568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426,556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 of allowance for credit losses of $26,352 and $25,826</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2,555,552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2,536,043</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33,828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servicing rights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35,116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34,872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42,802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45,181</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3,388,786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3,364,723</w:t>
            </w:r>
          </w:p>
        </w:tc>
        <w:tc>
          <w:tcPr>
            <w:tcW w:w="0" w:type="dxa"/>
            <w:vAlign w:val="bottom"/>
          </w:tcPr>
          <w:p>
            <w:pPr>
              <w:spacing w:after="0"/>
              <w:rPr>
                <w:sz w:val="1"/>
                <w:szCs w:val="1"/>
                <w:color w:val="auto"/>
              </w:rPr>
            </w:pPr>
          </w:p>
        </w:tc>
      </w:tr>
      <w:tr>
        <w:trPr>
          <w:trHeight w:val="413"/>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502,318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516,904</w:t>
            </w: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NOW accounts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874,881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850,462</w:t>
            </w: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696,635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671,818</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Time</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626,450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647,581</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2,700,284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2,686,765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246,056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34,846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payable</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33,326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31,659</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3,044,185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3,029,512</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No par value 20,000,000 shares authorized; issued</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14,564,425 shares 3/31/25 and 12/31/24; outstanding 13,718,336</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shares 3/31/25 and 13,699,536 shares 12/31/24</w:t>
            </w: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135,407</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135,565</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- 846,089 shares 3/31/25 and 864,889 shares 12/31/24</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240,079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235,854</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344,601</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335,211</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3,388,786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3,364,723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-5734050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-4071620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-4053840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-2673985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-1842135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Note: The December 31, 2024, Condensed Consolidated Balance Sheet has been derived from the audited Consolidated Balance Sheet as of that date.</w:t>
      </w:r>
    </w:p>
    <w:p>
      <w:pPr>
        <w:sectPr>
          <w:pgSz w:w="11900" w:h="16838" w:orient="portrait"/>
          <w:cols w:equalWidth="0" w:num="1">
            <w:col w:w="10800"/>
          </w:cols>
          <w:pgMar w:left="320" w:top="985" w:right="779" w:bottom="1440" w:gutter="0" w:footer="0" w:header="0"/>
        </w:sectPr>
      </w:pP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5" w:right="7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March 31, 2025</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4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including fees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securities: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Municipalities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funds sold</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interest income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Borrowed funds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Subordinated notes</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interest expense</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7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(Recovery of) Credit Losses - Loans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194"/>
        </w:trPr>
        <w:tc>
          <w:tcPr>
            <w:tcW w:w="57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Recovery of Credit Losses - Off Balance Sheet Credit</w:t>
            </w: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6"/>
                <w:szCs w:val="16"/>
                <w:color w:val="auto"/>
              </w:rPr>
            </w:pPr>
          </w:p>
        </w:tc>
        <w:tc>
          <w:tcPr>
            <w:tcW w:w="1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17"/>
        </w:trPr>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Exposures</w:t>
            </w: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Income - After Provision for Credit Losses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Customer service fees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servicing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life insurance</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sale of other assets owned</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4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wages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occupancy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processing</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Franchise taxes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ATM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FDIC assessment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Consulting fees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-4559935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-4559935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-2493645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March 31, 2025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2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5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Declared</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0.22125</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-659765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-350520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-334010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right="490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6,952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6,464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 on sale</w:t>
            </w:r>
          </w:p>
        </w:tc>
        <w:tc>
          <w:tcPr>
            <w:tcW w:w="200" w:type="dxa"/>
            <w:vAlign w:val="bottom"/>
          </w:tcPr>
          <w:p>
            <w:pPr>
              <w:spacing w:after="0"/>
              <w:rPr>
                <w:sz w:val="17"/>
                <w:szCs w:val="17"/>
                <w:color w:val="auto"/>
              </w:rPr>
            </w:pPr>
          </w:p>
        </w:tc>
        <w:tc>
          <w:tcPr>
            <w:tcW w:w="1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6,464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expense (benefit)</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5,106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12,058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MONTHS ENDED MARCH 31, 2025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13,699,536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235,854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20,731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- 950)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13,718,336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240,079</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344,601</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MONTHS ENDED MARCH 31, 2024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Earnings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13,664,641</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4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23,369 shares of restricted stock</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(Net of forfeitures - 250)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13,683,270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223,648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(30,589)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-25400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7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60" w:type="dxa"/>
            <w:vAlign w:val="bottom"/>
            <w:tcBorders>
              <w:top w:val="single" w:sz="8" w:color="auto"/>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(recovery of) credit losses - loans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(12,958)</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(7,559)</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 of other assets owned</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(3,916)</w:t>
            </w:r>
          </w:p>
        </w:tc>
      </w:tr>
      <w:tr>
        <w:trPr>
          <w:trHeight w:val="210"/>
        </w:trPr>
        <w:tc>
          <w:tcPr>
            <w:tcW w:w="706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FF0FC"/>
            </w:tcBorders>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(13,816)</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on loan originations and principal collections</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(19,079)</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(24,278)</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100" w:type="dxa"/>
            <w:vAlign w:val="bottom"/>
            <w:shd w:val="clear" w:color="auto" w:fill="CFF0FC"/>
          </w:tcPr>
          <w:p>
            <w:pPr>
              <w:spacing w:after="0"/>
              <w:rPr>
                <w:sz w:val="18"/>
                <w:szCs w:val="18"/>
                <w:color w:val="auto"/>
              </w:rPr>
            </w:pPr>
          </w:p>
        </w:tc>
      </w:tr>
      <w:tr>
        <w:trPr>
          <w:trHeight w:val="210"/>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(9,105)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(2,996)</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(2,974)</w:t>
            </w:r>
          </w:p>
        </w:tc>
      </w:tr>
      <w:tr>
        <w:trPr>
          <w:trHeight w:val="210"/>
        </w:trPr>
        <w:tc>
          <w:tcPr>
            <w:tcW w:w="706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top w:val="single" w:sz="8" w:color="CFF0FC"/>
            </w:tcBorders>
          </w:tcPr>
          <w:p>
            <w:pPr>
              <w:spacing w:after="0"/>
              <w:rPr>
                <w:sz w:val="18"/>
                <w:szCs w:val="18"/>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(3,314)</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100" w:type="dxa"/>
            <w:vAlign w:val="bottom"/>
          </w:tcPr>
          <w:p>
            <w:pPr>
              <w:spacing w:after="0"/>
              <w:rPr>
                <w:sz w:val="18"/>
                <w:szCs w:val="18"/>
                <w:color w:val="auto"/>
              </w:rPr>
            </w:pP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173,037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-3239770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-1567815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60" w:type="dxa"/>
            <w:vAlign w:val="bottom"/>
            <w:tcBorders>
              <w:top w:val="single" w:sz="8" w:color="auto"/>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2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18,554</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2,997</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2025 are not necessarily indicative of the results that are expected for the year ended December 31, 2025. The condensed consolidated balance sheet of the Company as of December 31, 2024,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2024.</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Reclassification</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Certain amounts within the noninterest income and noninterest expense section of the Company's consolidated statements of income have been reclassified to conform with current year presentation to provide additional information to the reader.</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7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was deductible for tax purposes.</w:t>
      </w:r>
    </w:p>
    <w:p>
      <w:pPr>
        <w:spacing w:after="0" w:line="200" w:lineRule="exact"/>
        <w:rPr>
          <w:sz w:val="20"/>
          <w:szCs w:val="20"/>
          <w:color w:val="auto"/>
        </w:rPr>
      </w:pPr>
    </w:p>
    <w:p>
      <w:pPr>
        <w:spacing w:after="0" w:line="3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2024</w:t>
            </w:r>
          </w:p>
        </w:tc>
      </w:tr>
      <w:tr>
        <w:trPr>
          <w:trHeight w:val="209"/>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198"/>
        </w:trPr>
        <w:tc>
          <w:tcPr>
            <w:tcW w:w="20" w:type="dxa"/>
            <w:vAlign w:val="bottom"/>
          </w:tcPr>
          <w:p>
            <w:pPr>
              <w:spacing w:after="0"/>
              <w:rPr>
                <w:sz w:val="17"/>
                <w:szCs w:val="17"/>
                <w:color w:val="auto"/>
              </w:rPr>
            </w:pPr>
          </w:p>
        </w:tc>
        <w:tc>
          <w:tcPr>
            <w:tcW w:w="36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-170815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2024</w:t>
            </w:r>
          </w:p>
        </w:tc>
      </w:tr>
      <w:tr>
        <w:trPr>
          <w:trHeight w:val="210"/>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r>
      <w:tr>
        <w:trPr>
          <w:trHeight w:val="198"/>
        </w:trPr>
        <w:tc>
          <w:tcPr>
            <w:tcW w:w="20" w:type="dxa"/>
            <w:vAlign w:val="bottom"/>
          </w:tcPr>
          <w:p>
            <w:pPr>
              <w:spacing w:after="0"/>
              <w:rPr>
                <w:sz w:val="17"/>
                <w:szCs w:val="17"/>
                <w:color w:val="auto"/>
              </w:rPr>
            </w:pPr>
          </w:p>
        </w:tc>
        <w:tc>
          <w:tcPr>
            <w:tcW w:w="36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-170815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w:t>
      </w:r>
    </w:p>
    <w:p>
      <w:pPr>
        <w:spacing w:after="0" w:line="13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2024</w:t>
            </w:r>
          </w:p>
        </w:tc>
      </w:tr>
      <w:tr>
        <w:trPr>
          <w:trHeight w:val="209"/>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20" w:type="dxa"/>
            <w:vAlign w:val="bottom"/>
          </w:tcPr>
          <w:p>
            <w:pPr>
              <w:spacing w:after="0"/>
              <w:rPr>
                <w:sz w:val="17"/>
                <w:szCs w:val="17"/>
                <w:color w:val="auto"/>
              </w:rPr>
            </w:pPr>
          </w:p>
        </w:tc>
        <w:tc>
          <w:tcPr>
            <w:tcW w:w="36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nonaccretable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-170815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160" w:type="dxa"/>
            <w:vAlign w:val="bottom"/>
            <w:gridSpan w:val="6"/>
          </w:tcPr>
          <w:p>
            <w:pPr>
              <w:jc w:val="right"/>
              <w:ind w:right="158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March 31, 2024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shd w:val="clear" w:color="auto" w:fill="CFF0FC"/>
          </w:tcPr>
          <w:p>
            <w:pPr>
              <w:jc w:val="right"/>
              <w:ind w:right="159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1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198"/>
        </w:trPr>
        <w:tc>
          <w:tcPr>
            <w:tcW w:w="20" w:type="dxa"/>
            <w:vAlign w:val="bottom"/>
          </w:tcPr>
          <w:p>
            <w:pPr>
              <w:spacing w:after="0"/>
              <w:rPr>
                <w:sz w:val="17"/>
                <w:szCs w:val="17"/>
                <w:color w:val="auto"/>
              </w:rPr>
            </w:pPr>
          </w:p>
        </w:tc>
        <w:tc>
          <w:tcPr>
            <w:tcW w:w="36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nonaccretable</w:t>
            </w:r>
          </w:p>
        </w:tc>
        <w:tc>
          <w:tcPr>
            <w:tcW w:w="1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difference</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Disposals</w:t>
            </w:r>
          </w:p>
        </w:tc>
        <w:tc>
          <w:tcPr>
            <w:tcW w:w="17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60" w:type="dxa"/>
            <w:vAlign w:val="bottom"/>
          </w:tcPr>
          <w:p>
            <w:pPr>
              <w:jc w:val="right"/>
              <w:ind w:right="159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-170815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$668.0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three months ended March 31, 2024 was $414 thousand. Of the approximately $1.7 million to be expensed in 2025, $414 thousand has been expensed for the three months ended March 31, 2025. Annual amortization of core deposit intangible assets is as follows: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Perpetual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Peoples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58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15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58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5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1580" w:type="dxa"/>
            <w:vAlign w:val="bottom"/>
            <w:tcBorders>
              <w:bottom w:val="single" w:sz="8" w:color="CFF0FC"/>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2029</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9"/>
        </w:trPr>
        <w:tc>
          <w:tcPr>
            <w:tcW w:w="1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0"/>
        </w:trPr>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5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three months ended March 31, 2024 was $31 thousand. Of the $123 thousand to be expensed in 2025, $31 thousand has been expensed for the three months ended March 31, 2025. Annual amortization expense of customer list intangible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100" w:type="dxa"/>
            <w:vAlign w:val="bottom"/>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2025</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2026</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100" w:type="dxa"/>
            <w:vAlign w:val="bottom"/>
            <w:tcBorders>
              <w:bottom w:val="single" w:sz="8" w:color="CFF0FC"/>
            </w:tcBorders>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2027</w:t>
            </w:r>
          </w:p>
        </w:tc>
        <w:tc>
          <w:tcPr>
            <w:tcW w:w="2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-1010920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March 31, 2025 and December 31, 2024,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color w:val="auto"/>
                <w:w w:val="99"/>
              </w:rPr>
              <w:t>March 31, 2025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3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111,090</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106,883</w:t>
            </w: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145,369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137,705</w:t>
            </w: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130,878</w:t>
            </w:r>
          </w:p>
        </w:tc>
      </w:tr>
      <w:tr>
        <w:trPr>
          <w:trHeight w:val="216"/>
        </w:trPr>
        <w:tc>
          <w:tcPr>
            <w:tcW w:w="3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66,639</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63,102</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464,032</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438,568</w:t>
            </w:r>
          </w:p>
        </w:tc>
      </w:tr>
      <w:tr>
        <w:trPr>
          <w:trHeight w:val="20"/>
        </w:trPr>
        <w:tc>
          <w:tcPr>
            <w:tcW w:w="3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3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111,397</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105,999</w:t>
            </w:r>
          </w:p>
        </w:tc>
      </w:tr>
      <w:tr>
        <w:trPr>
          <w:trHeight w:val="216"/>
        </w:trPr>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144,660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135,166</w:t>
            </w: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120,631</w:t>
            </w:r>
          </w:p>
        </w:tc>
      </w:tr>
      <w:tr>
        <w:trPr>
          <w:trHeight w:val="216"/>
        </w:trPr>
        <w:tc>
          <w:tcPr>
            <w:tcW w:w="3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64,760</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458,484</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426,556</w:t>
            </w:r>
          </w:p>
        </w:tc>
      </w:tr>
      <w:tr>
        <w:trPr>
          <w:trHeight w:val="20"/>
        </w:trPr>
        <w:tc>
          <w:tcPr>
            <w:tcW w:w="3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-2030730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-2030730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-2030730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68" w:lineRule="exact"/>
        <w:rPr>
          <w:sz w:val="20"/>
          <w:szCs w:val="20"/>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226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If the unrealized loss is determined to be the result of credit quality factors,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Company did not record an allowance for credit losses on its investment securities available for sale as the unrealized losses were attributable to changes in interest rates, not credit quality.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March 31, 2025 and December 31, 2024, aggregated by investment category and length of time that individual securities have been in a continuous loss position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0"/>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31, 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35,601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62,680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98,281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131,113</w:t>
            </w:r>
          </w:p>
        </w:tc>
      </w:tr>
      <w:tr>
        <w:trPr>
          <w:trHeight w:val="216"/>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31,890</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66,396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98,286</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53,201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59,517</w:t>
            </w:r>
          </w:p>
        </w:tc>
      </w:tr>
      <w:tr>
        <w:trPr>
          <w:trHeight w:val="22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73,807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313,390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387,197</w:t>
            </w:r>
          </w:p>
        </w:tc>
      </w:tr>
      <w:tr>
        <w:trPr>
          <w:trHeight w:val="20"/>
        </w:trPr>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0"/>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31,533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62,151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93,684</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131,335</w:t>
            </w:r>
          </w:p>
        </w:tc>
      </w:tr>
      <w:tr>
        <w:trPr>
          <w:trHeight w:val="216"/>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51,236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118,113</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53,091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61,722</w:t>
            </w:r>
          </w:p>
        </w:tc>
      </w:tr>
      <w:tr>
        <w:trPr>
          <w:trHeight w:val="230"/>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91,400</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(30,631)</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313,454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404,854</w:t>
            </w:r>
          </w:p>
        </w:tc>
      </w:tr>
      <w:tr>
        <w:trPr>
          <w:trHeight w:val="20"/>
        </w:trPr>
        <w:tc>
          <w:tcPr>
            <w:tcW w:w="2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-1876425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-1859280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-1876425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-1859280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-1876425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-1859280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-1876425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-1859280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-1859280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gross realized gains or losses for the three months ended March 31, 2025 and March 31, 2024.</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Net realized gains (losses) on sales and related tax expense (benefit) is a reclassification out of accumulated other comprehensive income (loss). The net realized gains (losses) are included in net gain (loss) on sale of available-for-sale securities and the related tax expense (benefit) is included in income taxes in the condensed consolidated statements of income and comprehensive income.</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at March 31, 2025, by contractual maturity, are shown below. Expected maturities will differ from contractual maturities because borrowers may have the right to call or prepay obligations with or without call or prepayment penalties.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61,107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231,222</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323,098</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307,690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130,878</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464,032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438,568</w:t>
            </w: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31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-864870</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-847725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of $242.1 million and $221.9 million at March 31, 2025 and December 31, 2024, respectively, were pledged to secure public deposits and securities sold under repurchase agreements. Investments with a carrying value of $29.8 million and $29.9 million were pledged to the Federal Reserve's Discount Window to provide additional borrowing capacity at March 31, 2025 and December 31, 2024, respectively.</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$14.1 million as of March 31, 2025 and $14.4 million as of December 31,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March 31, 2025 and December 31, 2024 are summarized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69"/>
        </w:trPr>
        <w:tc>
          <w:tcPr>
            <w:tcW w:w="44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Consumer Real Estate</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523,383</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520,114</w:t>
            </w:r>
          </w:p>
        </w:tc>
        <w:tc>
          <w:tcPr>
            <w:tcW w:w="0" w:type="dxa"/>
            <w:vAlign w:val="bottom"/>
          </w:tcPr>
          <w:p>
            <w:pPr>
              <w:spacing w:after="0"/>
              <w:rPr>
                <w:sz w:val="1"/>
                <w:szCs w:val="1"/>
                <w:color w:val="auto"/>
              </w:rPr>
            </w:pPr>
          </w:p>
        </w:tc>
      </w:tr>
      <w:tr>
        <w:trPr>
          <w:trHeight w:val="216"/>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216,401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153,607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152,080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Real Estate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1,310,811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278,254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275,152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24,985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2,581,940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2,562,545</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2,560,795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Plus: Basis adjustment related to fair value hedges</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Loans - Net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2,555,552</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2,536,043</w:t>
            </w: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-873760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-591185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loans primarily fund public improvements in the Bank’s service area.</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break out of fixed rate loans and variable rate loans by portfolio segment is as follows as of March 31,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0"/>
        </w:trPr>
        <w:tc>
          <w:tcPr>
            <w:tcW w:w="3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620" w:type="dxa"/>
            <w:vAlign w:val="bottom"/>
          </w:tcPr>
          <w:p>
            <w:pPr>
              <w:spacing w:after="0"/>
              <w:rPr>
                <w:sz w:val="18"/>
                <w:szCs w:val="18"/>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Fixed</w:t>
            </w:r>
          </w:p>
        </w:tc>
        <w:tc>
          <w:tcPr>
            <w:tcW w:w="46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291,720</w:t>
            </w:r>
          </w:p>
        </w:tc>
        <w:tc>
          <w:tcPr>
            <w:tcW w:w="6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231,663</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305,062</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215,052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113,451</w:t>
            </w:r>
          </w:p>
        </w:tc>
        <w:tc>
          <w:tcPr>
            <w:tcW w:w="6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102,447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118,808</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97,593</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50,487</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103,120</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54,099</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97,981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890,046</w:t>
            </w:r>
          </w:p>
        </w:tc>
        <w:tc>
          <w:tcPr>
            <w:tcW w:w="6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435,652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934,197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376,614</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123,414</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154,840</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148,542</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126,610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60,084</w:t>
            </w:r>
          </w:p>
        </w:tc>
        <w:tc>
          <w:tcPr>
            <w:tcW w:w="6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62,977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15,427</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9,558</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15,270</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9,708</w:t>
            </w:r>
          </w:p>
        </w:tc>
      </w:tr>
    </w:tbl>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Variable rate loans that have reached ceiling or floor limits are reported as fixed rate loans until such time as their rates adjust away from those limits.</w:t>
      </w:r>
    </w:p>
    <w:p>
      <w:pPr>
        <w:spacing w:after="0" w:line="16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one to four family residential mortgage loans amounting to $188.1 million and $190.1 million, respectively, and HELOC loans amounting to $12.0 million and $11.9 million, respectively, have been pledged as security for future loans and existing loans the Bank has received from the Federal Home Loan Bank "FHLB". The Bank has also pledged eligible commercial real estate loans of $333.2 million and $369.5 million as of March 31, 2025 and December 31, 2024, respectively, to the FHLB. During the second quarter of 2024, the Bank began pledging eligible multi-family real estate loans to the FHLB which amounted to $49.0 million and $47.7 million as of March 31, 2025 and December 31, 2024,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contractual aging at amortized cost in past due loans by portfolio segment as of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523,704</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215,656</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152,406</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153,921</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1,322,762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1,323,262</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277,866</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277,943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60,721</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2,573,810</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2,580,192</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516,753</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520,392</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152,258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152,381</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1,307,906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1,308,461</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274,635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274,819</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2,555,197</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2,560,795</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-3119755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-3119755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-3119755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-3119755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-3119755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-1010920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-1010920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-1010920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amortized cost of nonaccrual loans by portfolio segment as of March 31, 2025 and as of December 31, 2024:</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09"/>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-2142490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-2125345</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-2288540</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-2142490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-2125345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-2288540</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-2142490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-2125345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-2288540</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recognized interest income of $20 thousand for the three months ended March 31, 2025 on nonaccrual loans. The Company recognized interest income of $24 thousand and $93 thousand on nonaccrual loans for the three and twelve months ending December 31, 2024.</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portfolio segment of loan the Bank offers: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2260" w:hanging="755"/>
        <w:spacing w:after="0" w:line="255"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2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2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66"/>
        <w:spacing w:after="0" w:line="253" w:lineRule="auto"/>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weaknesses are considered “potential” versus “defined” impairments to the primary source of loan repayment and collateral.</w:t>
      </w:r>
    </w:p>
    <w:p>
      <w:pPr>
        <w:spacing w:after="0" w:line="117" w:lineRule="exact"/>
        <w:rPr>
          <w:sz w:val="20"/>
          <w:szCs w:val="20"/>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620" w:hanging="366"/>
        <w:spacing w:after="0" w:line="257"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98"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77"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at amortized cost, by portfolio segment and year of origination, based on the most recent analysis performed as of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w w:val="99"/>
              </w:rPr>
              <w:t>March 31,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175,38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454,56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519,06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77,759</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88,204</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64,194</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177,40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458,93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78,318</w:t>
            </w:r>
          </w:p>
        </w:tc>
        <w:tc>
          <w:tcPr>
            <w:tcW w:w="2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89,619</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64,447</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209,42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97,422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97,525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148,93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153,92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20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w w:val="99"/>
              </w:rPr>
              <w:t>March 31,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145,42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204,44</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404,02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214,79</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249,29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1,270,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145,47</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238,52</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417,88</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215,10</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251,94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145,07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127,30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272,45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146,20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131,66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-3839845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-3822700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-3839845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-3822700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-3839845</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-3822700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-3839845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-3822700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-3839845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-3822700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-3839845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-3822700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-3839845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-3822700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-3839845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-3822700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-2571115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-2571115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-2571115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-2571115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-2571115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-2571115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-2571115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-2571115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-2125345</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-2125345</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-2125345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-2125345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-2125345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-2125345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-2125345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106,00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454,87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64,316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79,503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89,800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74,996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61,097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458,78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64,555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80,069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91,137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75,461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61,352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216,04</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150,81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5,616</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52,527</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98,283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tcBorders>
              <w:lef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152,38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5,624</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52,598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99,783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128,60</w:t>
            </w: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200,19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413,10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110,43</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188,23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1,258,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12,590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14,695</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34,299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34,877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34,877</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128,60</w:t>
            </w: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234,49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425,69</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111,78</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189,57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156,00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113,44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54,581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157,21</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117,38</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55,066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15,235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24,978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24,978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-3977005</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-3959860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-3977005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-3959860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-3977005</wp:posOffset>
            </wp:positionV>
            <wp:extent cx="768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-3959860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-3977005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-3959860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-3977005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-3959860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-3977005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-3959860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-3977005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-3959860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-3977005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-3959860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-2708275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-2708275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-2708275</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-2708275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-2708275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-2708275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-2708275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-2708275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-2262505</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-2262505</wp:posOffset>
            </wp:positionV>
            <wp:extent cx="774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-2262505</wp:posOffset>
            </wp:positionV>
            <wp:extent cx="768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-2262505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-2262505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-2262505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-2262505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-2262505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-1130935</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-1148080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-1130935</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-1148080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-1130935</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-1130935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-1148080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-1130935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-1130935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-1148080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-1130935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consumer, the Company also evaluates credit quality based on the aging status of the loan, as was previously stated, and by payment performance. Consumer loans are placed on nonperforming status in the event that the loan is in past due status for more than 90 days or payment in full of principal and interest is not expected. The following tables present the amortized cost based on payment performance and assigned risk grading as of March 31, 2025 and December 31, 2024 by year of origination.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3"/>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$ 11,803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$ 11,826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7"/>
                <w:szCs w:val="17"/>
                <w:color w:val="auto"/>
              </w:rPr>
            </w:pP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color w:val="auto"/>
              </w:rPr>
              <w:t>December 31, 2024</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3"/>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13,437</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27,264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63,031</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63,508</w:t>
            </w: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13,477</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27,304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63,150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63,627</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534"/>
        </w:trPr>
        <w:tc>
          <w:tcPr>
            <w:tcW w:w="2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-3548380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-3531235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-3548380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-3531235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-3548380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-3531235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-3548380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-3531235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-3548380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-3531235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-3548380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-3531235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-3548380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-3531235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-1010920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-993775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-1010920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-993775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-1010920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-993775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-1010920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-993775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-1010920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-993775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-1010920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-993775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-1010920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-993775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collateral as of March 31, 2025 and December 31, 2024:</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31, 2025</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-1868170</wp:posOffset>
            </wp:positionV>
            <wp:extent cx="431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-1851025</wp:posOffset>
            </wp:positionV>
            <wp:extent cx="431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-2014220</wp:posOffset>
            </wp:positionV>
            <wp:extent cx="431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normally do not result in the contractual forgiveness of principal. During the three months ended March 31, 2025, there were no new loan modifications to borrowers experiencing financial difficulty.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three months ended March 31, 2024, no new loans were considered a modification to a borrower experiencing financial difficulty.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One modified loan previous to 2024 paid off during the first quarter of 2024.</w:t>
      </w:r>
    </w:p>
    <w:p>
      <w:pPr>
        <w:spacing w:after="0" w:line="166"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there were no modifications to borrowers experiencing financial difficulty that subsequently defaulted after modification.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Bank periodically evaluates collateral asset values for collateral dependent loans to determine fair value and to measure any anticipated shortfall.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39"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7"/>
          <w:szCs w:val="17"/>
          <w:color w:val="auto"/>
        </w:rPr>
        <w:t>The Bank used the following guidelines as stated in policy to determine when to realize a charge-off, whether a partial or full loan balance. A charge-off in whole or in part was realized when unsecured consumer loans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7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no foreclosed residential real estate property obtained by physical possession and $1.9 million of consumer mortgage loans secured by residential real estate properties for which foreclosure proceedings are in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process according to local jurisdictions. This compares to the Company having no foreclosed residential real estate property obtained by physical possession and $1.3 million of consumer mortgage loans secured by residential real estate properties for which foreclosure proceeding were in process according to local jurisdictions as of December 31, 2024. As of March 31, 2024, the Company had no foreclosed residential real estate property obtained by physical possession and $270 thousand of consumer mortgage loans secured by residential real estate properties for which foreclosure proceedings were in process according to local jurisdictions.</w:t>
      </w:r>
    </w:p>
    <w:p>
      <w:pPr>
        <w:spacing w:after="0" w:line="1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accounts for the allowance for credit losses in accordance with Accounting Standards Update ("ASU") No. 2016-13 - "Financial Instruments - Credit Losses (Topic 326): Measurement of Credit Losses on Financial Instruments" and uses the current expected credit losses accounting standard. As a result, the Company recorded a one-time adjustment from equity into the allowance for credit losses on loans and unfunded commitments in the amount of $4.5 million, or $3.4 million, net of tax.</w:t>
      </w:r>
    </w:p>
    <w:p>
      <w:pPr>
        <w:spacing w:after="0" w:line="15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ACL and the Allowance for Unfunded Loan Commitments and Letters of Credit (AULC). When combined, these reserves constitute the total Current Expected Credit Losses (CECL).</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$1.5 million and $1.9 million as of March 31, 2025 and December 31, 2024, respectively, related to the acquisitions of Bank of Geneva in 2019 and Ossian State Bank and Perpetual Federal Savings Bank in 2021 and Peoples Federal Savings and Loan Bank in 2022 as previously discussed in Note 2.</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within the ACL for each portfolio segment and shows the contribution provided by both the recoveries and the provision along with the reduction of the allowance caused by charge-offs for the three months ended March 31, 2025 and March 31, 2024 in addition to the activity within the ACL for each portfolio segment and ending balances as of and for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bottom w:val="single" w:sz="8" w:color="auto"/>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auto"/>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00" w:type="dxa"/>
            <w:vAlign w:val="bottom"/>
            <w:tcBorders>
              <w:bottom w:val="single" w:sz="8" w:color="auto"/>
            </w:tcBorders>
            <w:shd w:val="clear" w:color="auto" w:fill="CFF0FC"/>
          </w:tcPr>
          <w:p>
            <w:pPr>
              <w:spacing w:after="0"/>
              <w:rPr>
                <w:sz w:val="21"/>
                <w:szCs w:val="21"/>
                <w:color w:val="auto"/>
              </w:rPr>
            </w:pPr>
          </w:p>
        </w:tc>
      </w:tr>
      <w:tr>
        <w:trPr>
          <w:trHeight w:val="106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95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-1139190</wp:posOffset>
            </wp:positionV>
            <wp:extent cx="774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-1122045</wp:posOffset>
            </wp:positionV>
            <wp:extent cx="774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-1285240</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-1139190</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-1122045</wp:posOffset>
            </wp:positionV>
            <wp:extent cx="77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-1285240</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-1139190</wp:posOffset>
            </wp:positionV>
            <wp:extent cx="768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-1122045</wp:posOffset>
            </wp:positionV>
            <wp:extent cx="768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-1285240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-1139190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-1122045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-1285240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-1139190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-1122045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-1285240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-1139190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-1122045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-1285240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-1139190</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-1122045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-1285240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8"/>
                <w:szCs w:val="18"/>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-864870</wp:posOffset>
            </wp:positionV>
            <wp:extent cx="774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-848360</wp:posOffset>
            </wp:positionV>
            <wp:extent cx="77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-1010920</wp:posOffset>
            </wp:positionV>
            <wp:extent cx="774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-864870</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-848360</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74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-864870</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-848360</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768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-864870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-848360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-848360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-864870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-848360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-848360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-1010920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in the AULC for the three months ended March 31, 2025 and March 31, 2024 in addition to the activity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AULC and ending balances as of and for the year ended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-3248025</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-3230880</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-3394075</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$362.6, $363.6 and $364.3 million at March 31, 2025 and 2024 and at December 31, 2024, respectively. Unpaid principal balances of agricultural real estate loans serviced for others were $145.3, $132.9 and $141.9 million at March 31, 2025 and 2024 and at December 31, 2024, respectively.</w:t>
      </w:r>
    </w:p>
    <w:p>
      <w:pPr>
        <w:spacing w:after="0" w:line="15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March 31, 2025 and 2024 and at December 31, 2024 for 1-4 family real estate loans, was $3.5, $3.4 and $3.5 million, respectively. Agricultural real estate loan servicing rights, established in 2023, were $2.3, $2.1 and $2.2 million at March 31, 2025 and 2024 and at December 31, 2024, respectively. The capitalized addition of servicing rights is included in loan servicing income on the Company's consolidated statement of income.</w:t>
      </w:r>
    </w:p>
    <w:p>
      <w:pPr>
        <w:spacing w:after="0" w:line="13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March 31, 2025 and 2024 was $5.0 million and $5.5 million, respectively, and at December 31, 2024 was $4.8 million. Capitalized servicing rights for agricultural real estate loans had a fair value of $2.6 million and $2.1 million as of March 31, 2025 and 2024, respectively, and was $2.7 million at December 31, 2024.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7.8% and 5.4% were utilized at March 31, 2025 and 2024, respectively, and 8.1% at December 31, 2024. Agricultural real estate loans utilize an average constant prepayment rate based on the Bank's last twelve months of data. The average constant prepayment rate was 0.259% and 0.596% for fixed rate agricultural real estate loans at March 31, 2025 and 2024, respectively, compared to 0.184% at December 31, 2024. At March 31, 2025, two 1-4 family real estate strata, which included 80 of the total 3,656 loans, were slightly below the carrying value using a discount yield of 5.77% which resulted in the need to establish a $2 thousand valuation allowance. At March 31, 2025, the carrying value of eleven agricultural real estate strata, which included 34 of the total 636 loans, using an approximate discount rate of 8.54% were lower than fair value requiring a $46 thousand valuation allowance to be established.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gridSpan w:val="5"/>
          </w:tcPr>
          <w:p>
            <w:pPr>
              <w:jc w:val="right"/>
              <w:ind w:right="16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70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80" w:type="dxa"/>
            <w:vAlign w:val="bottom"/>
            <w:tcBorders>
              <w:top w:val="single" w:sz="8" w:color="auto"/>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spacing w:after="0"/>
              <w:rPr>
                <w:sz w:val="18"/>
                <w:szCs w:val="18"/>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3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09"/>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top w:val="single" w:sz="8" w:color="CFF0FC"/>
            </w:tcBorders>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March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top w:val="single" w:sz="8" w:color="CFF0FC"/>
            </w:tcBorders>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-453390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85"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stock-based compensation plans.</w:t>
      </w:r>
    </w:p>
    <w:p>
      <w:pPr>
        <w:spacing w:after="0" w:line="167"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in June of 2020 and thereafter on the first Thursday of June. Directors receive a prorated dollar value of shares for a partial year of service. The value for the shares is to be based upon the prior day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closing price. On June 6, 2024, twelve directors each received $15,007 which equated to 716 shares and one director received $5,911 which equated to 282 shares. On December 5, 2024, one new Director received 54 prorated shares worth approximately $1,730. The use of stock for Directors’ retainer, does not have an effect on diluted earnings per share as it is immediately vested.</w:t>
      </w:r>
    </w:p>
    <w:p>
      <w:pPr>
        <w:spacing w:after="0" w:line="14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other officers receiving any awards in August. On March 1, 2025, senior management received stock awards of 19,767 shares worth $508,012. On March 1, 2024, senior management received stock awards of 23,369 shares worth $472,054 while other officers received stock awards of 36,800 shares worth $979,616 during third quarter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780" w:type="dxa"/>
            <w:vAlign w:val="bottom"/>
            <w:tcBorders>
              <w:top w:val="single" w:sz="8" w:color="auto"/>
              <w:bottom w:val="single" w:sz="8" w:color="auto"/>
            </w:tcBorders>
            <w:gridSpan w:val="5"/>
          </w:tcPr>
          <w:p>
            <w:pPr>
              <w:jc w:val="right"/>
              <w:ind w:right="115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6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1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26"/>
        </w:trPr>
        <w:tc>
          <w:tcPr>
            <w:tcW w:w="48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9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76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7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20" w:type="dxa"/>
            <w:vAlign w:val="bottom"/>
            <w:vMerge w:val="continue"/>
            <w:shd w:val="clear" w:color="auto" w:fill="CFF0FC"/>
          </w:tcPr>
          <w:p>
            <w:pPr>
              <w:spacing w:after="0"/>
              <w:rPr>
                <w:sz w:val="9"/>
                <w:szCs w:val="9"/>
                <w:color w:val="auto"/>
              </w:rPr>
            </w:pPr>
          </w:p>
        </w:tc>
        <w:tc>
          <w:tcPr>
            <w:tcW w:w="19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13"/>
        </w:trPr>
        <w:tc>
          <w:tcPr>
            <w:tcW w:w="48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20" w:type="dxa"/>
            <w:vAlign w:val="bottom"/>
            <w:tcBorders>
              <w:top w:val="single" w:sz="8" w:color="CFF0FC"/>
            </w:tcBorders>
          </w:tcPr>
          <w:p>
            <w:pPr>
              <w:spacing w:after="0"/>
              <w:rPr>
                <w:sz w:val="17"/>
                <w:szCs w:val="17"/>
                <w:color w:val="auto"/>
              </w:rPr>
            </w:pPr>
          </w:p>
        </w:tc>
        <w:tc>
          <w:tcPr>
            <w:tcW w:w="19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1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13,706,003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13,671,166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8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9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20" w:type="dxa"/>
            <w:vAlign w:val="bottom"/>
            <w:vMerge w:val="continue"/>
            <w:shd w:val="clear" w:color="auto" w:fill="CFF0FC"/>
          </w:tcPr>
          <w:p>
            <w:pPr>
              <w:spacing w:after="0"/>
              <w:rPr>
                <w:sz w:val="9"/>
                <w:szCs w:val="9"/>
                <w:color w:val="auto"/>
              </w:rPr>
            </w:pPr>
          </w:p>
        </w:tc>
        <w:tc>
          <w:tcPr>
            <w:tcW w:w="19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(164,156)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(156,506)</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9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13,541,847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13,514,660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252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7"/>
                <w:szCs w:val="17"/>
                <w:color w:val="auto"/>
              </w:rPr>
            </w:pPr>
          </w:p>
        </w:tc>
        <w:tc>
          <w:tcPr>
            <w:tcW w:w="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9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8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-2022475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-2005330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-1302385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-1285240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4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4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r>
      <w:tr>
        <w:trPr>
          <w:trHeight w:val="191"/>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100" w:type="dxa"/>
            <w:vAlign w:val="bottom"/>
          </w:tcPr>
          <w:p>
            <w:pPr>
              <w:spacing w:after="0"/>
              <w:rPr>
                <w:sz w:val="16"/>
                <w:szCs w:val="16"/>
                <w:color w:val="auto"/>
              </w:rPr>
            </w:pP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 Fair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Value Hedging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Value Hedging</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Included in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Amount of</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Amount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Amount of</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the Hedged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the Hedged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the Hedged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34"/>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 Included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Assets</w:t>
            </w:r>
          </w:p>
        </w:tc>
        <w:tc>
          <w:tcPr>
            <w:tcW w:w="100" w:type="dxa"/>
            <w:vAlign w:val="bottom"/>
          </w:tcPr>
          <w:p>
            <w:pPr>
              <w:spacing w:after="0"/>
              <w:rPr>
                <w:sz w:val="20"/>
                <w:szCs w:val="20"/>
                <w:color w:val="auto"/>
              </w:rPr>
            </w:pPr>
          </w:p>
        </w:tc>
      </w:tr>
      <w:tr>
        <w:trPr>
          <w:trHeight w:val="210"/>
        </w:trPr>
        <w:tc>
          <w:tcPr>
            <w:tcW w:w="5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243,278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249,127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March 31, 2025 and December 31, 2024, identified by the underlying interest rate-sensitive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w:t>
            </w:r>
          </w:p>
        </w:tc>
        <w:tc>
          <w:tcPr>
            <w:tcW w:w="1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(1,605)</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March 31, 2025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6"/>
                <w:szCs w:val="16"/>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(1,605)</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December 31, 2024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-2562225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-2562225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-2562225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-2562225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-2562225</wp:posOffset>
            </wp:positionV>
            <wp:extent cx="12001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-1148080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-1148080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-1148080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-1148080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-1148080</wp:posOffset>
            </wp:positionV>
            <wp:extent cx="1117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$2.3 million of cash collateral to counterparties as security for its obligations related to these interest rate swap transactions at both March 31, 2025 and December 31, 2024. Collateral posted and received is dependent on the market valuation of the underlying hedges.</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March 31, 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r>
      <w:tr>
        <w:trPr>
          <w:trHeight w:val="191"/>
        </w:trPr>
        <w:tc>
          <w:tcPr>
            <w:tcW w:w="5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54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4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5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r>
      <w:tr>
        <w:trPr>
          <w:trHeight w:val="41"/>
        </w:trPr>
        <w:tc>
          <w:tcPr>
            <w:tcW w:w="548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-753745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-753745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-753745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month period ended March 31, 2025 and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jc w:val="right"/>
              <w:ind w:right="10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including fees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3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4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At March 31, 2025 and December 31, 2024, the balance of the Company's investments in qualified affordable housing projects was $3.5 million and $3.6 million, respectively. This balance is reflected in the other assets line on the condensed consolidated balance sheets. The unfunded commitments related to the investments in qualified housing projects totaled $574 and $880 thousand at March 31, 2025 and December 31, 2024, respectively. These balances are reflected in the accrued expense and other liabilities line on the condensed consolidated balance sheets.</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funded balance in qualified affordable housing projects was $3.4 million and $3.1 million at March 31, 2025 and December 31, 2024, respectively, out of a total of $4.0 million committed.</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incur any impairment losses related to its investments in qualified affordable housing projects in 2025 or 2024.</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in qualified affordable housing projects as of March 31, 2025 and December 31, 2024 along with the related expenses and tax credits recognized as of March 31, 2025 and March 31,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6"/>
          </w:tcPr>
          <w:p>
            <w:pPr>
              <w:jc w:val="right"/>
              <w:ind w:right="19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March 31, 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Low-income-housing tax credit investments</w:t>
            </w: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4,000</w:t>
            </w:r>
          </w:p>
        </w:tc>
        <w:tc>
          <w:tcPr>
            <w:tcW w:w="10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funded low-income-housing tax credit investments</w:t>
            </w: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3,426</w:t>
            </w:r>
          </w:p>
        </w:tc>
        <w:tc>
          <w:tcPr>
            <w:tcW w:w="10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FF0FC"/>
          </w:tcPr>
          <w:p>
            <w:pPr>
              <w:spacing w:after="0"/>
              <w:rPr>
                <w:sz w:val="19"/>
                <w:szCs w:val="19"/>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March 31, 2025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99"/>
              </w:rPr>
              <w:t>March 31, 2024</w:t>
            </w:r>
          </w:p>
        </w:tc>
        <w:tc>
          <w:tcPr>
            <w:tcW w:w="100" w:type="dxa"/>
            <w:vAlign w:val="bottom"/>
          </w:tcPr>
          <w:p>
            <w:pPr>
              <w:spacing w:after="0"/>
              <w:rPr>
                <w:sz w:val="18"/>
                <w:szCs w:val="18"/>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recognized</w:t>
            </w: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-1130935</wp:posOffset>
            </wp:positionV>
            <wp:extent cx="603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-1113790</wp:posOffset>
            </wp:positionV>
            <wp:extent cx="603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-1130935</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-1113790</wp:posOffset>
            </wp:positionV>
            <wp:extent cx="6032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-723265</wp:posOffset>
            </wp:positionV>
            <wp:extent cx="85725" cy="1797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bank premises and equipment and intangibles. Further, the tax ramifications related to the realization of the unrealized gains and losses can have a significant effect on the fair value estimates and have not been considered in any of the estimates.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are valued using the quoted price and are classified as Level 1.</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3"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Interest rate swaps classified as Level 2 are valued using the prices obtained from an independent pricing service and not adjusted. The fair value of interest rate swaps with a positive fair value are reported as assets while interest rate swaps with a negative fair value are reported as liabilities.</w:t>
      </w:r>
    </w:p>
    <w:p>
      <w:pPr>
        <w:spacing w:after="0" w:line="11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three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March 31, 2025 and December 31, 2024, segregated by level within the fair value hierarchy utilized to measure fair value:</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4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80" w:type="dxa"/>
            <w:vAlign w:val="bottom"/>
            <w:tcBorders>
              <w:right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106,883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30,703</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299,370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115,131</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120,631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63,133</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126,034</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298,895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-2091055</wp:posOffset>
            </wp:positionV>
            <wp:extent cx="60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603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-2091055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-281940</wp:posOffset>
            </wp:positionV>
            <wp:extent cx="603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wp:posOffset>
            </wp:positionV>
            <wp:extent cx="596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-281940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month periods ended March 31, 2025 and March 31, 2024.</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Tax-Exempt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Taxable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Maturities &amp; Calls</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FF0FC"/>
            </w:tcBorders>
          </w:tcPr>
          <w:p>
            <w:pPr>
              <w:spacing w:after="0"/>
              <w:rPr>
                <w:sz w:val="18"/>
                <w:szCs w:val="18"/>
                <w:color w:val="auto"/>
              </w:rPr>
            </w:pPr>
          </w:p>
        </w:tc>
        <w:tc>
          <w:tcPr>
            <w:tcW w:w="15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-307975</wp:posOffset>
            </wp:positionV>
            <wp:extent cx="5143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-307975</wp:posOffset>
            </wp:positionV>
            <wp:extent cx="5143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-307975</wp:posOffset>
            </wp:positionV>
            <wp:extent cx="514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514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514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Payments, Maturities &amp; Calls</w:t>
      </w:r>
    </w:p>
    <w:p>
      <w:pPr>
        <w:spacing w:after="0" w:line="2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28028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1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36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6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-993775</wp:posOffset>
            </wp:positionV>
            <wp:extent cx="5700395" cy="1371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-719455</wp:posOffset>
            </wp:positionV>
            <wp:extent cx="5700395" cy="13716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-445135</wp:posOffset>
            </wp:positionV>
            <wp:extent cx="5700395" cy="1454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-161925</wp:posOffset>
            </wp:positionV>
            <wp:extent cx="5700395" cy="1625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3699"/>
          </w:cols>
          <w:pgMar w:left="320" w:top="7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March 31, 2025 and December 31, 2024, such assets consist of collateral dependent loans and loan servicing rights.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16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fair value of collateral dependent loans categorized as Level 3 was $4.1 million and $3.0 million, respectively. The specific allocation for collateral dependent loans was $159 thousand as of March 31, 2025 and $52 thousand as of December 31, 2024. The specific allocations are accounted for in the allowance for credit losses (see Note 4).</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During 2025 and 2024,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$48 thousand ($2 thousand on 1-4 family real estate loans and $46 thousand on agricultural real estate loans) at March 31, 2025 compared to $97 thousand ($2 thousand on 1-4 family real estate loans and $95 thousand on agricultural real estate loans) at December 31, 2024.</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March 31,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March 31, 2025</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Balance at</w:t>
            </w: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 2025</w:t>
            </w:r>
          </w:p>
        </w:tc>
        <w:tc>
          <w:tcPr>
            <w:tcW w:w="12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shd w:val="clear" w:color="auto" w:fill="CFF0FC"/>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630"/>
        </w:trPr>
        <w:tc>
          <w:tcPr>
            <w:tcW w:w="3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2024</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2,988</w:t>
            </w: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2,988</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522"/>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(In Thousands)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3.42-4.26%</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20.00-30.00%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(26.64%)</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9.80-550.0%</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(114.89%)</w:t>
            </w:r>
          </w:p>
        </w:tc>
      </w:tr>
      <w:tr>
        <w:trPr>
          <w:trHeight w:val="64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-3.61-4.52%</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1,627</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(4.33%)</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20.00-30.00%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2,988</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9.36-618.70%</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(107.90%)</w:t>
            </w:r>
          </w:p>
        </w:tc>
      </w:tr>
    </w:tbl>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March 31, 2025 and December 31, 2024 are reflected below. The aggregate fair values in the table below do not represent the total fair value of the Bank’s assets and liabilities. The table excludes the following: available-for-sale securities, premises and equipment, derivatives (which are included in other assets or other liabilities), goodwill, loan servicing rights, bank owned life insurance, other assets, dividends payable, accrued expenses and other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6"/>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31, 2025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173,037</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173,037</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2,512,106</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502,318</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502,318</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1,571,516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1,571,919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1,571,919</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624,340</w:t>
            </w:r>
          </w:p>
        </w:tc>
        <w:tc>
          <w:tcPr>
            <w:tcW w:w="100" w:type="dxa"/>
            <w:vAlign w:val="bottom"/>
          </w:tcPr>
          <w:p>
            <w:pPr>
              <w:spacing w:after="0"/>
              <w:rPr>
                <w:sz w:val="18"/>
                <w:szCs w:val="18"/>
                <w:color w:val="auto"/>
              </w:rPr>
            </w:pPr>
          </w:p>
        </w:tc>
      </w:tr>
      <w:tr>
        <w:trPr>
          <w:trHeight w:val="20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2,700,284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2,698,577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502,318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2,196,259</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245,352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tcPr>
          <w:p>
            <w:pPr>
              <w:spacing w:after="0"/>
              <w:rPr>
                <w:sz w:val="20"/>
                <w:szCs w:val="20"/>
                <w:color w:val="auto"/>
              </w:rPr>
            </w:pPr>
          </w:p>
        </w:tc>
      </w:tr>
      <w:tr>
        <w:trPr>
          <w:trHeight w:val="414"/>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2,485,297</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1,521,097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644,849</w:t>
            </w:r>
          </w:p>
        </w:tc>
        <w:tc>
          <w:tcPr>
            <w:tcW w:w="100" w:type="dxa"/>
            <w:vAlign w:val="bottom"/>
          </w:tcPr>
          <w:p>
            <w:pPr>
              <w:spacing w:after="0"/>
              <w:rPr>
                <w:sz w:val="18"/>
                <w:szCs w:val="18"/>
                <w:color w:val="auto"/>
              </w:rPr>
            </w:pPr>
          </w:p>
        </w:tc>
      </w:tr>
      <w:tr>
        <w:trPr>
          <w:trHeight w:val="210"/>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2,686,765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2,682,850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2,165,946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245,373</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0"/>
                <w:szCs w:val="20"/>
                <w:color w:val="auto"/>
              </w:rPr>
            </w:pPr>
          </w:p>
        </w:tc>
      </w:tr>
      <w:tr>
        <w:trPr>
          <w:trHeight w:val="522"/>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at March 31, 2025 or at December 31, 2024. Securities sold under agreement to repurchase were as follows at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Overnight &amp;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Continuous</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30-90 days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0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42"/>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Overnight &amp;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Continuous</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30-90 days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27,218</w:t>
            </w: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27,218</w:t>
            </w:r>
          </w:p>
        </w:tc>
      </w:tr>
      <w:tr>
        <w:trPr>
          <w:trHeight w:val="521"/>
        </w:trPr>
        <w:tc>
          <w:tcPr>
            <w:tcW w:w="48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-2451100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-2433955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-2451100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-2433955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-2451100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-2433955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-2451100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-2433955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-864870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-847725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-864870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-847725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-864870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-847725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-864870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-847725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July 30, 2021, the Company completed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Beginning July 31, 2026, the Note amount that qualifies as Tier 2 capital is reduced in proportionate amounts until July 30, 2031.</w:t>
      </w:r>
    </w:p>
    <w:p>
      <w:pPr>
        <w:spacing w:after="0" w:line="15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Issuance Costs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Issuance 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 SEGMENT REPORTING</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 commercial and consumer banking services, wealth advisory services and insurance to individual and business clients through most of its banking center locations in Ohio, Indiana, and Michigan.</w:t>
      </w:r>
    </w:p>
    <w:p>
      <w:pPr>
        <w:spacing w:after="0" w:line="15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accounting policies of the commercial banking segment are the same as those described in management's discussion and analysis of the financial condition and results of operations of the Company.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and nonaccrual loans to total loans, among others, are used for competitive analysis by benchmarking to the Company’s competitors as well as used in assessing the performance of the segment and for establishing management’s compensation. Loans, investments and deposits provide revenue in the banking operation. Interest expense, provisions for credit losses, salaries, wages and associated employee benefits, and data processing are the significant expenses in the banking operation.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CODM are the President and senior management team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13 RECENT ACCOUNTING PRONOUNCEMENTS</w:t>
      </w:r>
    </w:p>
    <w:p>
      <w:pPr>
        <w:spacing w:after="0" w:line="18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62" w:lineRule="auto"/>
        <w:tabs>
          <w:tab w:leader="none" w:pos="1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500" w:right="20" w:firstLine="5"/>
        <w:spacing w:after="0" w:line="25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500" w:firstLine="5"/>
        <w:spacing w:after="0" w:line="26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54"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4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The amendments in this Update improve reportable segment disclosure requirements, primarily through enhanced disclosures about significant segment expenses. The amendments in this Update primarily require that a public entity disclose, on an annual and interim basis, significant segment expenses that are regularly provided to the chief operating decision maker; require that a public entity disclose the title and position of the chief operating decision maker and an explanation of how the chief operating decision maker uses the reported measure(s) of segment profit or loss in assessing segment performance and deciding how to allocate resources; require that a public entity that has a single reportable segment provide all the disclosures required by the amendments in this Update and all existing segment disclosures in Topic 280.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Management adopted this Update effective December 31, 2024, without material effect on the Company’s financial position or results of operations.</w:t>
      </w:r>
    </w:p>
    <w:p>
      <w:pPr>
        <w:spacing w:after="0" w:line="15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16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The amendments in this Update require disclosure, in the notes to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The amendments require that at each interim and annual reporting period (1) the Company disclose the amounts of (a) employee compensation, (c) depreciation, and (d)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largest improvement in profitability of the first quarter 2025 as compared to both last quarter and the same quarter last year is in the Company’s net interest income generated from the highest net interest margin since 4th quarter 2022. Net interest income for first quarter 2025 is up $3.8 million over the same quarter last year and $1.1 million over last quarter. This represents a solid base from which to continue improvement for the remainder of 2025 as we expect loan repricing and continued growth in low-cost core deposits to increase the margin going forward. The improvement compared to last quarter was driven by a 25-basis point reduction in the cost of funding. The reduction was larger by another 5 basis points, or a 30-basis point reduction in the cost of funding comparing to the first quarter 2024. The difference in the net interest margin of 3.03% for first quarter 2025 as compared to first quarter 2024’s 2.60% is also attributed to a 19-basis point improvement in the asset yield.</w:t>
      </w:r>
    </w:p>
    <w:p>
      <w:pPr>
        <w:spacing w:after="0" w:line="16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There were two primary reasons behind the decrease in the cost of funds for the quarter, the first being the lower repricing of higher cost certificate of deposits (CDs), combined with a balance sheet shift or reduction in CD balances. The second primary reason was a reduction in interest expense due to rate changes in the savings bucket which includes interest bearing checking, money market accounts and savings accounts. The Company experienced a full quarter of the advantage of interest rate cuts implemented due to the Federal Reserve dropping rates over the last four months of 2024.</w:t>
      </w:r>
    </w:p>
    <w:p>
      <w:pPr>
        <w:spacing w:after="0" w:line="1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Higher credit cost in the first quarter 2025 had the opposite impact on profitability and was due to higher net charge-offs from consumer loans coupled with provision related expense from loan growth during the quarter. Provision for credit losses was $811 thousand for the quarter compared to $944 thousand for all of 2024. First quarter 2024 was in a recovery position for the quarter of $289 thousand while fourth quarter 2024 had a provision of $346 thousand.</w:t>
      </w:r>
    </w:p>
    <w:p>
      <w:pPr>
        <w:spacing w:after="0" w:line="13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F&amp;M Commercial Banking Division saw loan demand grow in late 2024 and continue into first quarter 2025. Lending rates and terms remained consistent from fourth quarter 2024 into first quarter 2025. Commercial clients’ primary concerns so far in 2025 remain inflation and any impact on potential tariffs to their business. Credit quality of the commercial portfolio remains strong and first quarter collateral values and auction values are still holding consistent with previous quarters. Past dues and delinquencies remained low for the F&amp;M portfolio, but the team continues to monitor the portfolio closely for the impact from inflationary pressures, input costs and margin compression on the portfolio. Borrowers have plenty availability on lines of credit overall.</w:t>
      </w:r>
    </w:p>
    <w:p>
      <w:pPr>
        <w:spacing w:after="0" w:line="160"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As we review the results of our farm and agribusiness clients from 2024, the performance of our customer base was steady. Yields were average with declined commodity prices making net income less than prior years. Marketing and crop insurance coverage was and will continue to be important. Most of our customer base's financial position was sound as we enter a period where they anticipate they may have declining net income. Our anticipation is 2025 will be similar to 2024. We have communicated regularly with our clients potentially affected by the bird flu outbreak and have developed options for individual clients. To date, this portion of our portfolio continues to perform as agreed. Our agribusiness clientele continue to perform well, but declined farm income will potentially affect certain sectors. Global political pressures continue to be monitored. The performance of our agricultural portfolio continues to be monitored but continues to perform well.</w:t>
      </w:r>
    </w:p>
    <w:p>
      <w:pPr>
        <w:spacing w:after="0" w:line="148"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Home loan activity has improved slightly in all areas, including with respect to both purchases and refinances, and with respect to loans both held in-house by the Bank and also those sold into the secondary market. The biggest product remains home equity lines as existing borrowers do not want to refinance the lower fixed mortgage rates from previous years. A 300+ basis point difference remains in current fixed rates compared to the lows of the early 2020s. The Bank participated in the “Welcome Home” program offered through the Federal Home Loan Bank of Cincinnati ("FHLB"). This program assists with grants for down payments. The funds are open to all members of FHLB and capped by overall funds available. The funds were depleted in a matter of hours so the Bank is pleased to have received approval for some of our customers. Inventory in our market areas has improved in the midrange values.</w:t>
      </w:r>
    </w:p>
    <w:p>
      <w:pPr>
        <w:spacing w:after="0" w:line="14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Consumer loans increased towards the end of the first quarter, primarily with respect to direct and indirect automobile loans. Consumer interest in used cars increased along with prices recently over concerns related to the potential impact of tariffs. Our activity is and has been more in the used car market than in brand new.</w:t>
      </w:r>
    </w:p>
    <w:p>
      <w:pPr>
        <w:spacing w:after="0" w:line="1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Overall, asset quality metrics are still favorable. However, while it remains too early to tell the overall impact of pending tariffs, we’re expecting past dues and non-accruals to increase throughout the year. Our credit department continues to monitor all areas and complete stress testing to better prepare our responsiveness to market events.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Noninterest income went over the $4 million mark for the quarter without any single line item increasing significantly, all under $150 thousand.</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Treasury services and interchange revenue from increased debit card usage are primarily credited for the improvement.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expense was higher in first quarter 2025 by $919 thousand as compared to same quarter 2024 and almost $2.7 million higher than fourth quarter 2024. Looking at the difference between the first quarter comparisons, increased employee benefits, specifically group medical insurance was up $192 thousand in 2025 along with payroll taxes increasing by $64 thousand. The largest increase was in consulting services, which increased by $559 thousand. Much of the expense was related to the use of a consultant to negotiate our core processor services. While the base contract negotiation is complete, the consultant will continue to be used as we explore additional ancillary products to the core banking system. The benefits of using the consultant have far outweighed the cost and will continue to be realized after our consultant services have ended. In comparing first quarter 2025 to fourth quarter 2024, almost $1.5 million of the increase is attributable to salary, benefits and occupancy expenses. Another $900 thousand in the difference is due to data processing and consulting expenses. Fourth quarter 2024 included a much higher usage of flex credits that were provided in the renegotiation of which some may be used on a wider range of services than others that are product specific. Smaller levels of flex credit will be realized going forward along with lower consulting fee levels throughout 2025.</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encouraged by the higher-than-expected improvement in the net interest margin in the first quarter of 2025. Overall net income, which was $1.6 million higher than first quarter 2024, sets the stage for a more profitable 2025. As with every year, challenges will present opportunities and the Bank has additional projects in the works to improve revenue while keeping an eye on costs. The Company remains well-capitalized with sound liquidity levels and strong asset quality; the future appears bright.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The Bank includes F&amp;M Insurance Agency, LLC, a subsidiary offering insurance products, which was formed in November of 2023. We report our financial condition and net income on a consolidated basis and we have only one segment.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thirty-seven full-service banking offices throughout Northwest Ohio, Northeast Indiana and Southeast Michigan along with a drive-up facility in Archbold. The Bank also operates four Loan Production Offices (LPOs), two in Ohio with one in Indiana and one in Michigan.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 Federal Savings Bank in the fourth quarter of 2021 and the addition of Peoples Federal Savings in the fourth quarter of 2022, the Bank saw an increase in fixed rate, long-term mortgage loans to our portfolio from that banking service area. The Bank began offering a low income home buyer mortgage program, currently Hometown Advantage Mortgage Program, in November of 2023.</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In our banking activities, we compete directly with other commercial banks, credit unions, farm credit services, and savings and loan institutions in each of our operating localities. In a number of</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locations, we compete against entities which are much larger than us. The primary factors in competing for loans and deposits are the rates charged as well as location and quality of the services provided.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we had 482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Bank remain attentive to the current regulatory environment in light of the regulatory agencies’ risk-based approach to examinations and the change in presidential administration.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ensure ongoing compliance.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Truth in Lending Act (TILA) Ability to Repay requirements,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amended the Ability to Repay/Qualified Mortgage Rules. The General QM Final Rule amended the definition of the QM category to offset the impact of the sunsetting of the temporary Government Sponsored Enterprise (GSE) QMs. The General QM loan definition amended and removed the 43% debt-to-income limit, eliminated Appendix Q underwriting standards and any requirement to use them as a qualification for General QM status, and instead implemented price-based thresholds. For General QM status, applicable to first-lien mortgage loans offered by the Bank, a loan must still observe existing product features, underwriting requirements, and limits on points and fees. Since the Bank, on occasion, does make Non-Qualified Mortgages, approvals and originations of both Non-QM loans and Higher Priced Mortgage Loans are periodically reported to the Bank’s Loan Committee.</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30, 2023, the Consumer Financial Protection Bureau (CFPB) issued final rules which amended Regulation B to implement changes to the Equal Credit Opportunity Act (ECOA) as made by Section 1071 of the Dodd-Frank Act. Covered financial institutions were required to collect and report data on covered credit applications involving small businesses, including those businesses owned by women or minorities. Small businesses were defined as those businesses (including agricultural businesses) which had gross annual revenue of $5 million of less during its most recent fiscal year. Data collection involved demographic information collected from a loan applicant regarding that applicant’s status as a minority-owned business, a women-owned business, and an LGBTQI+-owned business, as well as the applicant’s principal owners’ ethnicity, race, and sex. Applicants could refuse to provide demographic information. Implementation of these final rules would involve significant changes to processes and procedures along with new software configurations to accommodate and capture required data points regarding applications and final action taken. Data would be reported to the CFPB which would then make aggregated information publicly available. These new final rules had a phased implementation period with the largest lenders being required to collect and report data first. A Lender, such as the Bank, that originated at least 500 covered small business loans annually, data collection would have originally commenced on April 1, 2025.</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lawsuit filed in April 2023 by the Texas Bankers Association and Rio Bank based in McAllen, Texas in the U.S. District Court for the Southern District of Texas challenged the CFPB's final rule implementing Section 1071 of the Dodd-Frank Act. Shortly thereafter, the American Bankers Association joined the lawsuit as a plaintiff. The argument was the final rule far exceeded the statutory scope of Section 1071, failed to take into consideration relevant industry comments, and did not conduct appropriate cost-benefit analysis. Additionally, the constitutionality of the CFPB was challenged based on its funding structure, and was also based upon another pending lawsuit which awaited a hearing by the U.S. Supreme Court regarding CFPB's funding. On July 31, 2023, an injunction was granted by a federal judge in the Southern District of Texas banning the CFPB from requiring Rio Bank, and members of both the Texas Bankers Association and the American Bankers Association from complying with the final rules implementing Section 1071 of the Dodd-Frank Act until the Supreme Court of the United States rules on the CFPB's funding. On August 4, 2023, a motion was filed by the Independent Community Bankers of America, the Independent Bankers Association of Texas, and Texas First Bank in the U.S. District Court for the Southern District of Texas requesting expansion of the injunction previously granted. In late October 2023, the federal judge granted the expansion of the injunctive relief to provide a nationwide injunction to all community banks and covered financial institutions thus ensuring relief was not limited by trade association membership. The U.S. Supreme Court issued its long-awaited decision on the challenge to the CFPB’s funding mechanism on May 16, 2024. The Supreme Court ruled that the CFPB’s funding does not violate the U.S. Constitution’s Appropriations Clause. Subsequently, the CFPB issued an interim final rule on June 25, 2024, to make date related adjustments on a day for day basis based on recent court orders involving ongoing litigation. This extended compliance dates for beginning data collection by 290 days. As of February 7, 2025, an order issued by the New Orleans First</w:t>
      </w:r>
    </w:p>
    <w:p>
      <w:pPr>
        <w:spacing w:after="0" w:line="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Circuit Court of Appeals granted a stay pending appeal and deadlines for compliance were extended further. Recently, the Bank remains attentive to the ongoing arguments, appeals, and related cases in the litigation involving the Section 1071 final rule, as well as the CFPB’s actions on further rulemaking to replace or change the current rule.</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 final rule to amend the Community Reinvestment Act (CRA) was jointly released by the Federal Reserve, the FDIC, and Office of the Comptroller of the Currency on October 24, 2023. These amendments were intended to update how CRA activities qualify for consideration, where CRA activities are considered, and how CRA activities are evaluated. The final rule was effective on April 1, 2024, with certain amendments effective April 1, 2024, through January 1, 2031, and other amendments in the final rule were delayed indefinitely. The final CRA rules were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on February 1, 2024. On February 5, 2024, the American Bankers Association, the U.S. Chamber of Commerce, the Independent Community Bankers of America, along with four state associations jointly sued the Federal Reserve, FDIC, and Office of Comptroller of the Currency for exceeding their statutory authority. The lawsuit filed in the U.S. District Court for the Northern District of Texas requested the regulatory agencies vacate the rule and sought a preliminary injunction pausing the new rules while the court decided the merits of the case. On March 21, 2024, the joint regulatory agencies issued an interim final rule and a technical corrections final rule related to the CRA final rule both effective on April 1, 2024. The Agencies also requested comments on the interim final rule for a period of 45 days after publication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The interim final rule extended two provisions of the CRA final rule from April 1, 2024, to January 1, 2026. Then on March 29, 2024, the district court judge granted a temporary injunction to pause the implementation of CRA final rule while the case moves forward. The injunction extended implementation dates on a day for day basis for each day the injunction remains in place. A joint press release on March 28, 2025, announced the joint agencies intent to rescind the 2023 Community Reinvestment Act Final Rule and reinstate the CRA framework that existed prior to the October 2023 final rule. As a large bank examined for its CRA performance, the Bank remains attentive to the CRA framework in place prior to the October 2023 final rule.</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Company and the Bank remain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$10.9 million and $10.7 million at March 31, 2025 and December 31, 2024, respectively,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of repayments.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Management in turn assesses the results from the reviews to make changes in internal risk ratings of loans and the related ACL.</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Commercial &amp; Industrial, Agricultural Real Estate, Agricultural, Consumer Real Estate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utilizing peer data from a peer group of 316 banks in the region of Ohio, Michigan and Indiana with asset sizes less than $5 billion as of March 31, 2025.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Annual projections are broken down using a straight-line approach for quarterly changes.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as a component of the ACL.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of the loan based on the discounted collateral value. This specific reserve portion of the ACL was $159 thousand at March 31, 2025 and $52 thousand at December 31, 2024.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2025, the Company plans to have modest loan growth and continue to focus on earnings improvement. Paydowns and payoffs will be used to fund originations to existing customers and to build relationships in our newer markets. Loan balances as of March 31, 2025, were $19.4 million or 0.08% higher than December 31, 2024 balances and there remains $97.8 million of funds committed to complete construction projects of business customers as of March 31, 2025.</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Company continues to focus on growth in the areas of core deposits and the expansion of contingency funding. Growing deposits has been a focus especially in our newer markets throughout 2024 and continues into 2025. Core deposits provide additional opportunities for noninterest income. The Bank offers the Insured Cash Sweep (ICS) product and CDARS, a certificate of deposit registry, accessed through the IntraFi network of financial institutions which helps to reduce the amount of pledged securities needed. The Bank’s uninsured deposit ratio remains low at 12.1%. As of March 31, 2025, total uninsured deposits of the Bank were $327.0 million of $2.7 billion total deposits. If the amount of coverage is adjusted for what is insured by FDIC alone, the percentage is 21.5% or $579.3 million of uninsured deposits as of March 31, 2025. The underlying difference between these two percentages is the protection required for public funds for which the Bank pledges securities. A State insurance fund exists for public funds in Indiana. The state of Michigan also does not require the pledging of collateral for public funds though some entities do request it.</w:t>
      </w:r>
    </w:p>
    <w:p>
      <w:pPr>
        <w:spacing w:after="0" w:line="14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Deposits have increased $13.5 million as of March 31, 2025 since December 31, 2024, while cash and cash equivalents have decreased $3.3 million over the same time period. The nearly $173.0 million of cash holdings represents 5.1% of total assets and 6.4% of total deposits as of March 31, 2025. The Bank is comfortable with operating at this level as 5% is the guideline the Bank has established. Since March 31, 2024, deposits have increased $78.9 million, or 3.0%, while cash and cash equivalents have decreased $14.7 million or 7.9%. Management has continued to hold biweekly meetings to discuss liquidity in order to be more responsive to opportunities and threats as they arise.</w:t>
      </w:r>
    </w:p>
    <w:p>
      <w:pPr>
        <w:spacing w:after="0" w:line="156"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During the first quarter 2025, borrowings from the FHLB decreased $585 thousand through normal paydowns. The Bank has utilized four sources for brokered CDs in 2024 for a total of $26.9 million. This was done to establish relationships to test the access of such funds and decrease the cost of funds going forward. To assure a proper net interest margin over the 3 and 4-year time period of these CDs, the Bank internally looked at loan originations in the first quarter with similar or slightly longer fixed interest rate periods. The Bank also tested all correspondent borrowing lines during the first quarter of 2025 to assure availability should the need arise. The availability for overnight borrowing on unsecured Federal Funds lines is $163.0 million. Combining the available line of credit at the holding company level, the Company has $178 million overnight borrowing availability.</w:t>
      </w:r>
    </w:p>
    <w:p>
      <w:pPr>
        <w:spacing w:after="0" w:line="14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 comparing to the same prior year period, the March 31, 2025 (at amortized cost) loan balances of $2.6 billion accounted for $39.8 million or 1.6% increase when compared to 2024. The year over year improvement was made up of an increase in commercial and industrial related loans of 4.1%. Individual growth was comprised of 8.7% in non-real estate commercial loans, 1.6% in commercial real estate loans and 20.3% in agricultural loans as we saw a slightly heightened use in lines of credit. Consumer real estate loans decreased by 0.3% while consumer loans decreased by 19.6%. Agricultural related loans increased 4.1% year over year. Individual growth was comprised of 20.3% in non-real estate agricultural loans partially offset by a decline of 5.1% in agricultural real estate loans. Other loans decreased by 6.7%. The Company's strong team of lenders remain focused on providing customers valuable localized services and thereby increasing our market share. The acquisition of Peoples Federal Savings and Loan Association in the fourth quarter of 2022 brought $101.8 million of loans to the portfolio. See Note 2 to the consolidated financial statements.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chart below shows the breakdown by portfolio segment as of March 31, for the last three years,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31,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380" w:type="dxa"/>
            <w:vAlign w:val="bottom"/>
            <w:gridSpan w:val="2"/>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523,704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525,243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502,968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215,656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227,599</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153,921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127,913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131,677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1,223,163</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277,943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255,797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241,541</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90,388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26,776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29,316</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680" w:type="dxa"/>
            <w:vAlign w:val="bottom"/>
            <w:tcBorders>
              <w:top w:val="single" w:sz="8" w:color="CFF0FC"/>
            </w:tcBorders>
          </w:tcPr>
          <w:p>
            <w:pPr>
              <w:spacing w:after="0"/>
              <w:rPr>
                <w:sz w:val="18"/>
                <w:szCs w:val="18"/>
                <w:color w:val="auto"/>
              </w:rPr>
            </w:pPr>
          </w:p>
        </w:tc>
        <w:tc>
          <w:tcPr>
            <w:tcW w:w="2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Pr>
          <w:p>
            <w:pPr>
              <w:spacing w:after="0"/>
              <w:rPr>
                <w:sz w:val="18"/>
                <w:szCs w:val="18"/>
                <w:color w:val="auto"/>
              </w:rPr>
            </w:pPr>
          </w:p>
        </w:tc>
      </w:tr>
      <w:tr>
        <w:trPr>
          <w:trHeight w:val="256"/>
        </w:trPr>
        <w:tc>
          <w:tcPr>
            <w:tcW w:w="300" w:type="dxa"/>
            <w:vAlign w:val="bottom"/>
          </w:tcPr>
          <w:p>
            <w:pPr>
              <w:spacing w:after="0"/>
              <w:rPr>
                <w:sz w:val="22"/>
                <w:szCs w:val="22"/>
                <w:color w:val="auto"/>
              </w:rPr>
            </w:pPr>
          </w:p>
        </w:tc>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Loans, amortized cost</w:t>
            </w:r>
          </w:p>
        </w:tc>
        <w:tc>
          <w:tcPr>
            <w:tcW w:w="2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2,580,192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2,540,398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2,446,652</w:t>
            </w:r>
          </w:p>
        </w:tc>
        <w:tc>
          <w:tcPr>
            <w:tcW w:w="280" w:type="dxa"/>
            <w:vAlign w:val="bottom"/>
          </w:tcPr>
          <w:p>
            <w:pPr>
              <w:spacing w:after="0"/>
              <w:rPr>
                <w:sz w:val="22"/>
                <w:szCs w:val="22"/>
                <w:color w:val="auto"/>
              </w:rPr>
            </w:pPr>
          </w:p>
        </w:tc>
      </w:tr>
      <w:tr>
        <w:trPr>
          <w:trHeight w:val="520"/>
        </w:trPr>
        <w:tc>
          <w:tcPr>
            <w:tcW w:w="300" w:type="dxa"/>
            <w:vAlign w:val="bottom"/>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4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-1148080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-1148080</wp:posOffset>
            </wp:positionV>
            <wp:extent cx="6032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-1148080</wp:posOffset>
            </wp:positionV>
            <wp:extent cx="603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-865505</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-847725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-865505</wp:posOffset>
            </wp:positionV>
            <wp:extent cx="6032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-847725</wp:posOffset>
            </wp:positionV>
            <wp:extent cx="6032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-865505</wp:posOffset>
            </wp:positionV>
            <wp:extent cx="603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-847725</wp:posOffset>
            </wp:positionV>
            <wp:extent cx="6032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5" w:name="page56"/>
    <w:bookmarkEnd w:id="55"/>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Gross commercial real estate loans, excluding deferred loan fees and costs, represented 51.34% of the Company's total gross loan portfolio as of March 31, 2025. The below charts break out the commercial real estate (CRE) portfolio segment by category, location and loan grade.</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Dollar</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Total Loan</w:t>
            </w:r>
          </w:p>
        </w:tc>
      </w:tr>
      <w:tr>
        <w:trPr>
          <w:trHeight w:val="234"/>
        </w:trPr>
        <w:tc>
          <w:tcPr>
            <w:tcW w:w="20" w:type="dxa"/>
            <w:vAlign w:val="bottom"/>
          </w:tcPr>
          <w:p>
            <w:pPr>
              <w:spacing w:after="0"/>
              <w:rPr>
                <w:sz w:val="20"/>
                <w:szCs w:val="20"/>
                <w:color w:val="auto"/>
              </w:rPr>
            </w:pPr>
          </w:p>
        </w:tc>
        <w:tc>
          <w:tcPr>
            <w:tcW w:w="2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CRE Category</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Balance</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281,484</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21.23%</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217,903</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16.44%</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213,281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16.09%</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157,139</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11.85%</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139,069</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10.49%</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70,983</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5.35%</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52,827</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3.98%</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2.26%</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7.88%</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1,325,698</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100.00%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51.34%</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514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11112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CRE Category</w:t>
            </w:r>
            <w:r>
              <w:rPr>
                <w:rFonts w:ascii="Times New Roman" w:cs="Times New Roman" w:eastAsia="Times New Roman" w:hAnsi="Times New Roman"/>
                <w:sz w:val="24"/>
                <w:szCs w:val="24"/>
                <w:color w:val="auto"/>
                <w:w w:val="96"/>
                <w:vertAlign w:val="superscript"/>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552,097</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530,413</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213,281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1,325,698</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Categories assume construction loans converted to either owner or non-owner occupied.</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447,553</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331,504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160,860</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145,829</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74,823</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Dayton/Cincinnati,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112,138</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1,325,698</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-2125345</wp:posOffset>
            </wp:positionV>
            <wp:extent cx="431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-2108200</wp:posOffset>
            </wp:positionV>
            <wp:extent cx="431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-2125345</wp:posOffset>
            </wp:positionV>
            <wp:extent cx="1111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-2108200</wp:posOffset>
            </wp:positionV>
            <wp:extent cx="1111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431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431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280" w:type="dxa"/>
            <w:vAlign w:val="bottom"/>
          </w:tcPr>
          <w:p>
            <w:pPr>
              <w:spacing w:after="0"/>
              <w:rPr>
                <w:sz w:val="20"/>
                <w:szCs w:val="20"/>
                <w:color w:val="auto"/>
              </w:rPr>
            </w:pPr>
          </w:p>
        </w:tc>
        <w:tc>
          <w:tcPr>
            <w:tcW w:w="1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March 31, 2025</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0.53%</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45.42%</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38.99%</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50.03%</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56.69%</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56</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following is a contractual maturity schedule by portfolio segment at amortized cost excluding fair value adjustments related to acquisitions as of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After One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Year Within</w:t>
            </w:r>
          </w:p>
        </w:tc>
        <w:tc>
          <w:tcPr>
            <w:tcW w:w="10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Years Within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Five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161,421</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323,582</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135,897</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201,120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 generating efforts and additional borrowings. For short term needs, the Bank has the unsecured borrowing capacity through its correspondent banks mentioned above along with access to $163.7 million through a Cash Management Advance with the FHLB as of March 31, 2025. The Bank's secured borrowing capacity limits at the FHLB would have allowed draws based on current collateral pledging of $197.7 million on March 31, 2025.</w:t>
      </w:r>
    </w:p>
    <w:p>
      <w:pPr>
        <w:spacing w:after="0" w:line="183"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in previous periods, additional sources have been cultivated during 2024 and 2025. The security portfolio increased in the first three months of 2025 from year end 2024 due to purchases of $13.8 million offset by maturities and paydowns of $8.2 million, net amortization of $0.1 million and a $6.5 million decrease in unrealized losses. The amount of pledged investment securities increased by $20.2 million as compared to year end and increased $13.9 million as compared to March 31, 2024. As of March 31, 2025 pledged investment securities totaled $271.9 million. The Company does plan to do additional purchases of securities the remainder of the year for the purposes of increasing our investment holdings in Community Reinvestment Act (CRA) qualifying securities, liquidity and contingency planning and as a means of balance sheet gap management.</w:t>
      </w:r>
    </w:p>
    <w:p>
      <w:pPr>
        <w:spacing w:after="0" w:line="14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As mentioned previously, an additional $197.7 million is also available to the Bank from the FHLB based on current amounts of pledged collateral. The Bank has pledged eligible 1-4 family, home equity, commercial real estate, multifamily real estate portfolios and specific securities. Multifamily real estate was added to our assets pledged to the FHLB in second quarter 2024 and additional commercial real estate holdings were designated as pledges to increase the availability in first quarter 2024. The CRE holdings may be adjusted quarterly to replace paydowns or increase availability of funds. Based on total asset capacity, the Bank would have nearly $1.1 billion available to borrow.</w:t>
      </w:r>
    </w:p>
    <w:p>
      <w:pPr>
        <w:spacing w:after="0" w:line="156"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Overall total assets increased only 0.7% or $24.1 million since year end 2024. The largest areas of growth occurred in the loan portfolio of $19.4 million and in the security portfolio of $12.0 million which was discussed above.</w:t>
      </w:r>
    </w:p>
    <w:p>
      <w:pPr>
        <w:spacing w:after="0" w:line="12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Total deposits accounted for the largest growth within liabilities of $13.5 million or 0.5%. The mix of deposits saw increases in interest bearing checking, savings and money market deposits offset by decreases in time deposit accounts and noninterest bearing accounts since December 31, 2024. The Bank is adjusting its checking product offerings to decrease the number of overall types and provide better service to our customers.</w:t>
      </w:r>
    </w:p>
    <w:p>
      <w:pPr>
        <w:spacing w:after="0" w:line="14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Shareholders’ equity increased by $9.4 million as of the first quarter of 2025 compared to year end 2024. Earnings exceeded dividend declarations during the three months ended March 31, 2025. Accumulated other comprehensive loss decreased in unrealized loss position by $5.1 million from December 2024 to an unrealized loss of $20.1 million on March 31, 2025. Dividends declared remained unchanged from the prior quarter at $0.22125 per share and were 0.6% over first quarter 2024’s $0.22 per share. Compared to March 31, 2024, shareholders’ equity increased 8.5% or $26.9 million with $10.5 million attributed to an improvement in accumulated other comprehensive loss. Net income was higher for the quarter ended March</w:t>
      </w:r>
    </w:p>
    <w:p>
      <w:pPr>
        <w:spacing w:after="0" w:line="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201"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2025 compared to March 2024 by $1.6 million; however, $1.4 million lower than fourth quarter 2024. We are encouraged that net interest income has continued to improve quarter over quarter since third quarter 2023.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March 31, 2025, the Company and the Bank are both positioned well above the current requirement.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$3.5 million dividend during the first quarter of 2025.</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March 31, 2025 in accordance with Federal regulatory capital requirements as the capital ratios below show:</w:t>
      </w:r>
    </w:p>
    <w:p>
      <w:pPr>
        <w:spacing w:after="0" w:line="180"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ASU 2016-13 (CECL) resulted in an entry which reduced retained earnings $3.4 million on January 1, 2023. This adjustment is permitted to be spread over three years when calculating regulatory capital, which for 2023 was over $2.5 million. This adjustment decreased to $1.7 million for 2024 and $843 thousand for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March 31,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comparing first quarter 2025 to first quarter 2024, average loan balances only grew $1.4 million which represented a 0.1% increase in a one-year time period. Interest income on loans increased $1.9 million or 5.3% as compared to the quarter ended March 31, 2024. The Company's loan portfolio is 40.2% variable rate with 23.2% of total loans subject to repricing within the next three months and 33.8% of total loans subject to repricing within the next twelve months.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$70.8 million when comparing to the same quarter in 2024 while the income associated with the security portfolio increased $1.0 million over first quarter 2024. The increased balances were the result of increasing our holdings for liquidity and contingency planning purposes and to improve our investments in CRA qualifying securities. Federal funds sold and interest bearing deposits decreased in average balances by $4.6 million as compared to the same quarter in 2024 with decreased income of $569 thousand for the current quarter. The decreased balances are the result of funding loan growth, purchases of available-for-sale securities and repayment of other borrowed money.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$67.6 million and interest income for the quarter comparisons was higher for first quarter 2025 by 6.1% or $2.3 million as compared to first quarter 2024. Rate changes between periods have contributed to approximately 89.1% of the growth.</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Annualized yield, for the quarter ended March 31, 2025, was 5.19% as compared to 5.00% for the quarter ended March 31, 2024. The following charts demonstrate rate increases accounted for 99.0% of the increased loan interest income while increased loan balances accounted for the remaining 1.0%. The yields on tax-exempt securities and the portion of the tax-exempt IDB loans included in loans have been tax adjusted based on a 21% tax rate in the charts to follow. The tax-exempt interest income was $115 and $157 thousand for the first quarter 2025 and 2024 which resulted in a federal tax savings of $24 and $33 thousand, respectively.</w:t>
      </w:r>
    </w:p>
    <w:p>
      <w:pPr>
        <w:spacing w:after="0" w:line="2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8" w:name="page59"/>
    <w:bookmarkEnd w:id="58"/>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Quarter to Date Ended March 31,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2,578,531</w:t>
            </w:r>
          </w:p>
        </w:tc>
        <w:tc>
          <w:tcPr>
            <w:tcW w:w="100" w:type="dxa"/>
            <w:vAlign w:val="bottom"/>
          </w:tcPr>
          <w:p>
            <w:pPr>
              <w:spacing w:after="0"/>
              <w:rPr>
                <w:sz w:val="16"/>
                <w:szCs w:val="16"/>
                <w:color w:val="auto"/>
              </w:rPr>
            </w:pPr>
          </w:p>
        </w:tc>
        <w:tc>
          <w:tcPr>
            <w:tcW w:w="3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37,072</w:t>
            </w:r>
          </w:p>
        </w:tc>
        <w:tc>
          <w:tcPr>
            <w:tcW w:w="100" w:type="dxa"/>
            <w:vAlign w:val="bottom"/>
          </w:tcPr>
          <w:p>
            <w:pPr>
              <w:spacing w:after="0"/>
              <w:rPr>
                <w:sz w:val="16"/>
                <w:szCs w:val="16"/>
                <w:color w:val="auto"/>
              </w:rPr>
            </w:pPr>
          </w:p>
        </w:tc>
        <w:tc>
          <w:tcPr>
            <w:tcW w:w="180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5.75%</w:t>
            </w:r>
          </w:p>
        </w:tc>
        <w:tc>
          <w:tcPr>
            <w:tcW w:w="17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3,161,130</w:t>
            </w:r>
          </w:p>
        </w:tc>
        <w:tc>
          <w:tcPr>
            <w:tcW w:w="2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-719455</wp:posOffset>
            </wp:positionV>
            <wp:extent cx="7132320" cy="13716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-445135</wp:posOffset>
            </wp:positionV>
            <wp:extent cx="7132320" cy="1371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-161925</wp:posOffset>
            </wp:positionV>
            <wp:extent cx="7132320" cy="16256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00" w:space="720"/>
            <w:col w:w="7620"/>
          </w:cols>
          <w:pgMar w:left="320" w:top="985" w:right="339" w:bottom="1440" w:gutter="0" w:footer="0" w:header="0"/>
        </w:sectPr>
      </w:pPr>
    </w:p>
    <w:p>
      <w:pPr>
        <w:ind w:left="278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March 31, 2025 Compared to March 31, 2024</w:t>
      </w:r>
    </w:p>
    <w:p>
      <w:pPr>
        <w:sectPr>
          <w:pgSz w:w="11900" w:h="16838" w:orient="portrait"/>
          <w:cols w:equalWidth="0" w:num="1">
            <w:col w:w="11240"/>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1,872</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1,853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-162560</wp:posOffset>
            </wp:positionV>
            <wp:extent cx="5700395" cy="1631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740" w:space="720"/>
            <w:col w:w="5780"/>
          </w:cols>
          <w:pgMar w:left="320" w:top="985"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Contributing to the increased net interest income for the quarter was a decrease in interest expense of just under $1.5 million or 7.8% compared to first quarter 2024. Since 2024, average interest bearing deposit balances have increased $77.1 million or 3.7% while the Company recognized $1.3 million less in interest expense for the most recent quarter. During 2024, the Federal Reserve decreased the federal funds rate by 50 basis points in September and 25 basis points in November and December. Deposit rates have been adjusted numerous times with all the rate changes. The following charts demonstrate increased average interest bearing deposit balances accounted for 34.4% of additional interest bearing deposit expense while rate decreases accounted for decreased interest bearing deposit expense of 134.4%.</w:t>
      </w:r>
    </w:p>
    <w:p>
      <w:pPr>
        <w:spacing w:after="0" w:line="16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Interest expense on FHLB borrowings and other borrowings decreased $139 thousand in the first quarter 2025 over the same time frame in 2024 due to the repayment of FHLB advances. During the current quarter, FHLB borrowings of $585 thousand were paid down. Interest expense on fed funds purchased and securities sold under agreement to repurchase decreased $13 thousand compared to first quarter 2024 due to the decrease of $978 thousand in average balances. Cost of funds decreased even with growth in interest bearing deposit balances offset by decreased borrowings and decreased noninterest bearing deposits balances of $13.9 million compared to first quarter 2024. The Bank continues to focus on capturing the full customer relationship; however, it has sometimes resulted in more expensive deposits being brought in. The average cost of funds decreased to 2.76% in first quarter 2025 compared to 3.06% in first quarter 2024. Refer to Note 11 for additional information on subordinated notes.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Quarter to Date Ended March 31,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1,543,665</w:t>
            </w:r>
          </w:p>
        </w:tc>
        <w:tc>
          <w:tcPr>
            <w:tcW w:w="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2,479,205</w:t>
            </w:r>
          </w:p>
        </w:tc>
        <w:tc>
          <w:tcPr>
            <w:tcW w:w="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-864870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-847725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-864870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-847725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-864870</wp:posOffset>
            </wp:positionV>
            <wp:extent cx="1117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-847725</wp:posOffset>
            </wp:positionV>
            <wp:extent cx="1117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-864870</wp:posOffset>
            </wp:positionV>
            <wp:extent cx="1117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-847725</wp:posOffset>
            </wp:positionV>
            <wp:extent cx="1117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u w:val="single" w:color="auto"/>
          <w:color w:val="auto"/>
        </w:rPr>
        <w:t>Change in Interest Expense Quarter to Date March 31, 2025 Compared to March 31, 2024</w:t>
      </w:r>
    </w:p>
    <w:p>
      <w:pPr>
        <w:sectPr>
          <w:pgSz w:w="11900" w:h="16838" w:orient="portrait"/>
          <w:cols w:equalWidth="0" w:num="1">
            <w:col w:w="10480"/>
          </w:cols>
          <w:pgMar w:left="108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Bearing Liabilities: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NOW accounts and savings deposits</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Time deposits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borrowed money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 funds purchased &amp; securities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sold under agreement to repurchase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Interest Bearing Liabilities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320" w:type="dxa"/>
            <w:vAlign w:val="bottom"/>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(843)</w:t>
            </w:r>
          </w:p>
        </w:tc>
        <w:tc>
          <w:tcPr>
            <w:tcW w:w="2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653</w:t>
            </w:r>
          </w:p>
        </w:tc>
        <w:tc>
          <w:tcPr>
            <w:tcW w:w="300" w:type="dxa"/>
            <w:vAlign w:val="bottom"/>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(1,496)</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-445135</wp:posOffset>
            </wp:positionV>
            <wp:extent cx="5700395" cy="13716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-162560</wp:posOffset>
            </wp:positionV>
            <wp:extent cx="5700395" cy="16319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40" w:space="720"/>
            <w:col w:w="4820"/>
          </w:cols>
          <w:pgMar w:left="1080" w:top="120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19 basis points combined with the decreased cost of funds of 30 basis points equated to a 49 basis point improvement in net interest spread when comparing to the same period a year ago. Competition for deposits remains intense with most competitors offering special rates for specific terms.</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31,</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3.03%</w:t>
            </w:r>
          </w:p>
        </w:tc>
        <w:tc>
          <w:tcPr>
            <w:tcW w:w="1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-187960</wp:posOffset>
            </wp:positionV>
            <wp:extent cx="1028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-170815</wp:posOffset>
            </wp:positionV>
            <wp:extent cx="1028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-187960</wp:posOffset>
            </wp:positionV>
            <wp:extent cx="1028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-170815</wp:posOffset>
            </wp:positionV>
            <wp:extent cx="1028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-187960</wp:posOffset>
            </wp:positionV>
            <wp:extent cx="1028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-170815</wp:posOffset>
            </wp:positionV>
            <wp:extent cx="1028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increased approximately $3.8 million for the first quarter 2025 over the same time frame in 2024 due to the increase in interest income of $2.3 million combined with the interest expense decrease of approximately $1.5 million as previously mentioned. As the new loans added in 2024 and 2025 generate more income, management expects the benefits of the Company’s strategy of repositioning the balance sheet to increase interest income in the long run. Loans as a percentage of earning assets decreased to 81.6% in first quarter 2025 compared to 83.3% in first quarter 2024. Loans to total assets decreased to 77.5% in first quarter 2025 compared to 79.2% for the same period 2024. The percentage of earning assets to total assets decreased slightly to 95.0% in 2025 compared to 95.1% in 2024. In terms of net interest margin, the Bank recognizes competition for deposits will continue; however, there is a greater opportunity for gradual improvement with loans repricing upwards in the next year and a likely continuing decrease in cost of funds.</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March 31,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provision for credit losses increased $1.1 million for the three months ended March 31, 2025 as compared to the same period in 2024. Management continues to monitor asset quality, making adjustments to the provision as necessary. The impact of higher interest rates and inflation are taken into consideration when reviewing qualitative factors. Loan charge-offs were $143 thousand higher during the three months ended March 31, 2025 than the same period in 2024. Recoveries were $87 thousand lower during the three months ended March 31, 2025 as compared to same period in 2024. Combined net charge-offs were $230 thousand higher in the three months ended March 31, 2025 than the same time period 2024.</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decreased $12.5 million at March 31, 2025 as compared to March 31, 2024. The largest changes were attributed to the combined decrease of past due balances of $14.6 million in the agricultural and agricultural real estate portfolio segments. The consumer real estate portfolio segment past due balances increased $2.5 million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portfolio segment and shows the contribution provided by both recoveries and the provision, along with the reduction of the allowance caused by charge-offs. The time period covered is for the three months ended March 31, 2025, 2024, and 2023.</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2,580,192</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2,540,398</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2,446,652</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2,577,288</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2,575,096</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2,397,061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4,492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19,391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7,713</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4,492</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19,391</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Credit Losses - March 31,</w:t>
            </w: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March 31,</w:t>
            </w:r>
          </w:p>
        </w:tc>
        <w:tc>
          <w:tcPr>
            <w:tcW w:w="1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 - March 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40" w:type="dxa"/>
            <w:vAlign w:val="bottom"/>
          </w:tcPr>
          <w:p>
            <w:pPr>
              <w:spacing w:after="0"/>
              <w:rPr>
                <w:sz w:val="17"/>
                <w:szCs w:val="17"/>
                <w:color w:val="auto"/>
              </w:rPr>
            </w:pPr>
          </w:p>
        </w:tc>
        <w:tc>
          <w:tcPr>
            <w:tcW w:w="1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tcPr>
          <w:p>
            <w:pPr>
              <w:spacing w:after="0"/>
              <w:rPr>
                <w:sz w:val="15"/>
                <w:szCs w:val="15"/>
                <w:color w:val="auto"/>
              </w:rPr>
            </w:pPr>
          </w:p>
        </w:tc>
        <w:tc>
          <w:tcPr>
            <w:tcW w:w="1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586.64%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127.28%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319.38%</w:t>
            </w:r>
          </w:p>
        </w:tc>
        <w:tc>
          <w:tcPr>
            <w:tcW w:w="0" w:type="dxa"/>
            <w:vAlign w:val="bottom"/>
          </w:tcPr>
          <w:p>
            <w:pPr>
              <w:spacing w:after="0"/>
              <w:rPr>
                <w:sz w:val="1"/>
                <w:szCs w:val="1"/>
                <w:color w:val="auto"/>
              </w:rPr>
            </w:pPr>
          </w:p>
        </w:tc>
      </w:tr>
      <w:tr>
        <w:trPr>
          <w:trHeight w:val="194"/>
        </w:trPr>
        <w:tc>
          <w:tcPr>
            <w:tcW w:w="4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586.64%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127.28%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319.38%</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-5991225</wp:posOffset>
            </wp:positionV>
            <wp:extent cx="1111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-5974080</wp:posOffset>
            </wp:positionV>
            <wp:extent cx="1111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-5991225</wp:posOffset>
            </wp:positionV>
            <wp:extent cx="1111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-5974080</wp:posOffset>
            </wp:positionV>
            <wp:extent cx="11112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-5991225</wp:posOffset>
            </wp:positionV>
            <wp:extent cx="1117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-5974080</wp:posOffset>
            </wp:positionV>
            <wp:extent cx="1117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-5665470</wp:posOffset>
            </wp:positionV>
            <wp:extent cx="11112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-5648325</wp:posOffset>
            </wp:positionV>
            <wp:extent cx="1111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-5665470</wp:posOffset>
            </wp:positionV>
            <wp:extent cx="11112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-5648325</wp:posOffset>
            </wp:positionV>
            <wp:extent cx="11112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-5665470</wp:posOffset>
            </wp:positionV>
            <wp:extent cx="1117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-5648325</wp:posOffset>
            </wp:positionV>
            <wp:extent cx="1117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-4255135</wp:posOffset>
            </wp:positionV>
            <wp:extent cx="136525" cy="1797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-4255135</wp:posOffset>
            </wp:positionV>
            <wp:extent cx="136525" cy="1797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-4255135</wp:posOffset>
            </wp:positionV>
            <wp:extent cx="137160" cy="1797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-3140710</wp:posOffset>
            </wp:positionV>
            <wp:extent cx="136525" cy="1797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-3140710</wp:posOffset>
            </wp:positionV>
            <wp:extent cx="136525" cy="1797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-3140710</wp:posOffset>
            </wp:positionV>
            <wp:extent cx="137160" cy="1797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-1731010</wp:posOffset>
            </wp:positionV>
            <wp:extent cx="11112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-1731010</wp:posOffset>
            </wp:positionV>
            <wp:extent cx="1111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-1731010</wp:posOffset>
            </wp:positionV>
            <wp:extent cx="1117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-1319530</wp:posOffset>
            </wp:positionV>
            <wp:extent cx="11112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-1319530</wp:posOffset>
            </wp:positionV>
            <wp:extent cx="11112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-1319530</wp:posOffset>
            </wp:positionV>
            <wp:extent cx="1117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11112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-993775</wp:posOffset>
            </wp:positionV>
            <wp:extent cx="11112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11112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-993775</wp:posOffset>
            </wp:positionV>
            <wp:extent cx="11112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-993775</wp:posOffset>
            </wp:positionV>
            <wp:extent cx="11176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-573405</wp:posOffset>
            </wp:positionV>
            <wp:extent cx="11112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-556895</wp:posOffset>
            </wp:positionV>
            <wp:extent cx="11112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111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-556895</wp:posOffset>
            </wp:positionV>
            <wp:extent cx="11112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-573405</wp:posOffset>
            </wp:positionV>
            <wp:extent cx="1117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-556895</wp:posOffset>
            </wp:positionV>
            <wp:extent cx="11176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11112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11112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1112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The balance of loans, amortized cost at March 31, 2025 and March 31, 2024 within this chart does not include a fair value basis adjustment for derivatives of $1.7 million and $969 thousand, respectively, or a daily average outstanding balance of $1.2 million and $2.0 million, respectively.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Loans classified as nonaccrual were lower as of March 31, 2025 at $4.5 million as compared to $19.4 million as of March 31, 2024. The agricultural real estate portfolio segment accounted for 79.2% or $11.8 million of the decrease as compared to March 31, 2024. The agricultural portfolio segment decreased $4.3 million compared to March 31, 2024. The commercial and industrial portfolio segment decreased $473 thousand while the consumer real estate portfolio segment increased $1.7 million compared to March 31, 2024.</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agricultural portfolio segment along with the consumer portfolio segment accounted for the largest component of recoveries while the consumer portfolio segment accounted for the largest component of charge-offs for the three months ended March 31, 2025 versus the commercial and industrial portfolio segment and consumer portfolio segment which accounted for the largest components of recoveries and the largest component of charge-offs for the three months ended March 31, 2024.</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portfolio segment in terms of dollars, as a percentage of ACL and as a percentage of loans at March 31, 2025 and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of Loan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(In</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of Loan</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of ACL</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Category</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of ACL</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Category</w:t>
            </w:r>
          </w:p>
        </w:tc>
      </w:tr>
      <w:tr>
        <w:trPr>
          <w:trHeight w:val="210"/>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3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9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27,633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-453390</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-453390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768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-453390</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Noninterest income was up $216 thousand, or 5.5%, for the three months ended March 31, 2025 over the same time frame in 2024. Other service fees increased by $67 thousand as compared to the three months ended March 31, 2024. Customer service fees decreased by $217 thousand compared to the same period in 2024. Mortgage release fees, which are included in customer service fees, decreased $148 thousand over the same time period in 2024. Servicing rights income for 1-4 family real estate and agricultural real estate loans increased $223 thousand as compared to the same period in 2024 due to an increase in real estate loans sold as discussed below. Bank owned life insurance cash surrender value increased $28 thousand.</w:t>
      </w:r>
    </w:p>
    <w:p>
      <w:pPr>
        <w:spacing w:after="0" w:line="16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seen improvement in mortgage production volume partially due to the improvement of midrange value housing inventory in many of our markets. The gain on the sale of these loans was $177 thousand higher for the three months ended March 31, 2025 over the same period in 2024. Total originations of loans held for sale for the three months ended March 31, 2025 were $13.0 million with proceeds from sale at $13.9 million for 2025 compared to 2024’s activity of $8.5 million in originations and $6.8 million in sales. The mortgages sold were both 1-4 family real estate and agricultural real estate loans originated for sale.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three months ended March 31, 2025 and 2024, loan servicing rights caused a net $100 thousand in income and $93 thousand in expense, respectively. Capitalized additions of agricultural real estate loan servicing rights were $170 thousand for the three months ended March 31, 2025. There were no capitalized additions during the comparable period in 2024. Amortization of agricultural real estate loan servicing rights were $65 thousand and $60 thousand for the same time periods, respectively. For 1-4 family real estate loans of 15 years and less, the market value of the loan servicing rights was 1.277% in the first quarter 2025 versus 1.177% in first quarter 2024. For 1-4 family real estate loans over 15 years, the value was 1.520% versus 1.354% for the same periods respectively. At March 31, 2025, the carrying value of certain strata were slightly below the market value thus requiring the establishment of a $2 thousand valuation allowance for 1-4 family real estate and a $46 thousand valuation allowance for agricultural real estate servicing rights.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5"/>
          </w:tcPr>
          <w:p>
            <w:pPr>
              <w:jc w:val="right"/>
              <w:ind w:right="14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6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500" w:type="dxa"/>
            <w:vAlign w:val="bottom"/>
            <w:tcBorders>
              <w:top w:val="single" w:sz="8" w:color="auto"/>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18"/>
                <w:szCs w:val="18"/>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09"/>
        </w:trPr>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top w:val="single" w:sz="8" w:color="CFF0FC"/>
            </w:tcBorders>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March 31,</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top w:val="single" w:sz="8" w:color="CFF0FC"/>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-453390</wp:posOffset>
            </wp:positionV>
            <wp:extent cx="603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-453390</wp:posOffset>
            </wp:positionV>
            <wp:extent cx="603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-170815</wp:posOffset>
            </wp:positionV>
            <wp:extent cx="6032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noninterest expenses were $919 thousand or 5.2% higher than for the same period in 2024. Salaries and wages, including normal merit increases, restricted stock expense and incentive payouts, increased $32 thousand in total. Salaries and deferred costs decreased $128 thousand from last year. Restricted stock expense decreased $81 thousand. An increase to our incentive accrual to match potential payout accounted for $242 thousand. The increase was due to the investment in people for our strategic growth initiative and staffing of new offices. Benefits increased over 2024 with the increased medical expense of $192 thousand and taxes of $114 thousand offset with reductions in pension of $88 thousand. The additional cost of the offices is also evident in the increased expenses in net occupancy with additional lease expense of $172 thousand and building depreciation of $59 thousand. Furniture and equipment decreased $75 thousand.</w:t>
      </w:r>
    </w:p>
    <w:p>
      <w:pPr>
        <w:spacing w:after="0" w:line="148"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Consulting fees increased $560 thousand over the same period in 2024. Data processing expenses and ATM expense increased a combined $75 thousand. General and administrative expense increased $151 thousand. The other items on this line of significance include an increase in charitable giving and postage and printing expenses of $93 thousand combined and debit card losses of $19 thousand.</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Income tax expense was $389 thousand higher for the three months ended March 31, 2025 compared to the same period in 2024 based mainly on higher earnings. Amortization of qualified affordable housing projects caused income tax expense to increase $112 thousand and $110 thousand for the three months ended March 31, 2025 and 2024, respectively, as presented in Note 8. Effective tax rates were 20.64% and 20.94% for 2025 and 2024, respectively. Excluding the additional $112 and $110 thousand of income tax expense, the effective tax rates would have been 19.36% and 19.31% for the three months ended March 31, 2025 and 2024, respectively.</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Overall, net income in the three months ended March 31, 2025 was up $1.6 million or 29.7% to $7.0 million as compared to last year's $5.4 million. The biggest contributor to the improvement was net interest income. Net interest income was up $3.8 million or 18.8% as the increased interest income exceeded the increased interest expense. Provision for credit losses for loans and unfunded commitments increased $1.1 million compared to 2024. Noninterest income increased $216 thousand and noninterest expense increased $919 thousand as described above. The Company remains strong, stable, and well capitalized and has the capacity to continue to cover the increased costs of expansion. The Company is optimistic for continued improvement in profitability due to the opportunity for continued expansion in the net interest margin.</w:t>
      </w: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ITEM 3 QUALITATIVE AND QUANTITATIVE DISCLOSURES ABOUT MARKET RISK</w:t>
      </w:r>
    </w:p>
    <w:p>
      <w:pPr>
        <w:spacing w:after="0" w:line="3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 bearing deposits, short-term borrowings and long-term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8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asset/liability management strategies are unsuccessful, our profitability may be adversely affected. The Company employs a sensitivity analysis utilizing interest rate shocks to help in this analysis.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2025, the shocks presented assume an immediate change of rate in the percentages and directions shown: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c>
          <w:tcPr>
            <w:tcW w:w="1160" w:type="dxa"/>
            <w:vAlign w:val="bottom"/>
          </w:tcPr>
          <w:p>
            <w:pPr>
              <w:spacing w:after="0"/>
              <w:rPr>
                <w:sz w:val="17"/>
                <w:szCs w:val="17"/>
                <w:color w:val="auto"/>
              </w:rPr>
            </w:pPr>
          </w:p>
        </w:tc>
      </w:tr>
      <w:tr>
        <w:trPr>
          <w:trHeight w:val="218"/>
        </w:trPr>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18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40" w:type="dxa"/>
            <w:vAlign w:val="bottom"/>
          </w:tcPr>
          <w:p>
            <w:pPr>
              <w:spacing w:after="0"/>
              <w:rPr>
                <w:sz w:val="18"/>
                <w:szCs w:val="18"/>
                <w:color w:val="auto"/>
              </w:rPr>
            </w:pPr>
          </w:p>
        </w:tc>
        <w:tc>
          <w:tcPr>
            <w:tcW w:w="1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34"/>
        </w:trPr>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1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Flat Rate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Flat Rate</w:t>
            </w:r>
          </w:p>
        </w:tc>
      </w:tr>
      <w:tr>
        <w:trPr>
          <w:trHeight w:val="209"/>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3.26%</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-3.63%</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96,037</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-7.53%</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3.31%</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-2.09%</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98,683</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-4.99%</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3.45%</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104,065</w:t>
            </w:r>
          </w:p>
        </w:tc>
        <w:tc>
          <w:tcPr>
            <w:tcW w:w="218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0.20%</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3.38%</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103,860</w:t>
            </w:r>
          </w:p>
        </w:tc>
        <w:tc>
          <w:tcPr>
            <w:tcW w:w="21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3.26%</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-3.57%</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102,005</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-1.79%</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3.04%</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7"/>
              </w:rPr>
              <w:t>-10.22%</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97,194</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-6.42%</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2.85%</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-15.84%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93,646</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-9.84%</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Bank’s balance sheet is slightly asset-sensitive after coming through 100 bps of Fed rate cuts from September through December 2024. The net interest margin represents the forecasted twelve-month margin. The Company also reviews shocks with a 4.00% fluctuation and over a 24-month time frame. The goal of the Company is to gather more core deposits, such as checking and savings accounts. Checking accounts are preferable for the lower cost of funds whereas savings and money market accounts are beneficial due to the variability of the interest in both rate and immediate option to reprice. CD pricing is more favorable for the Bank in shorter terms now that the yield curve has normalized somewhat for longer term rates.</w:t>
      </w:r>
    </w:p>
    <w:p>
      <w:pPr>
        <w:spacing w:after="0" w:line="147"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was aggressive in dropping its non-maturity deposit rates in the last 4 months of 2024 while the Fed was cutting their rate. We will have some continued opportunity to be aggressive with future Fed rate cuts, particularly with our higher deposit rates. While net interest income drops in a falling interest rate environment, there are potential revenues and other factors that can insulate the Bank’s overall income, such as prepayment penalty fees, mortgage fees, and rate floors. The Bank’s monthly cost of funds dropped from 2.89% in December 2024 to 2.81% in March 2025. Older loans and investments will continue to reprice higher, in aggregate, in the next twelve months based on current rates. The Bank continues to review and adjust its assumptions concerning decay rates, deposit betas, key rate ties, and loan prepayment speeds. Rates are modified as index rates change. Directional changes shown above are within the Bank's risk tolerance. The effect of the rate shocks may be mitigated to the extent that not all lines of business are directly tied to an external index and actual balance sheet composition may differ from prediction.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Overall, the Company must continue its trajectory of improved pricing discipline for its new loans and deposits.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Quantitative Modeling Risk</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6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Trade Policy Risk</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ongoing trade policies and tariff initiatives being pursued by the U.S. government under the administration of President Trump could present potential risks unique to the markets within which we operate. Many of our commercial borrowers operate in agriculture, food processing, and manufacturing; industries that are particularly sensitive to changes in trade policy. The imposition of tariffs on imported goods, the added potential for retaliatory tariffs by foreign governments, or other similar restrictions on international trade could increase costs for domestic manufacturers and consumers alike, as well as reduce demand abroad for U.S. exports, and disrupt supply chains. Any prolonged trade tensions could negatively impact the broader economic environment in the Midwest where the Bank operates, potentially leading to reduced consumer spending, lower economic growth, and decreased demand for other banking products and services. If these factors lead to financial strain on our borrowers, we may experience increased credit risk, higher loan delinquencies, and a potential decline in loan demand.</w:t>
      </w:r>
    </w:p>
    <w:p>
      <w:pPr>
        <w:spacing w:after="0" w:line="19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a result, our financial performance, including credit quality and loan growth, could be adversely affected by these policy changes. While we actively monitor these developments and work closely with our agricultural customers, there is no assurance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spacing w:after="0" w:line="282" w:lineRule="auto"/>
        <w:rPr>
          <w:sz w:val="20"/>
          <w:szCs w:val="20"/>
          <w:color w:val="auto"/>
        </w:rPr>
      </w:pPr>
      <w:r>
        <w:rPr>
          <w:rFonts w:ascii="Times New Roman" w:cs="Times New Roman" w:eastAsia="Times New Roman" w:hAnsi="Times New Roman"/>
          <w:sz w:val="18"/>
          <w:szCs w:val="18"/>
          <w:color w:val="auto"/>
        </w:rPr>
        <w:t>that we can fully mitigate the risks posed by tariff initiatives or other trade-related disruptions. These factors could materially affect our business, financial condition, and results of operations.</w:t>
      </w:r>
    </w:p>
    <w:p>
      <w:pPr>
        <w:spacing w:after="0" w:line="2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20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1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Treasury stock repurchased the quarter ended March 31, 2025.</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220" w:type="dxa"/>
            <w:vAlign w:val="bottom"/>
          </w:tcPr>
          <w:p>
            <w:pPr>
              <w:spacing w:after="0"/>
              <w:rPr>
                <w:sz w:val="15"/>
                <w:szCs w:val="15"/>
                <w:color w:val="auto"/>
              </w:rPr>
            </w:pPr>
          </w:p>
        </w:tc>
        <w:tc>
          <w:tcPr>
            <w:tcW w:w="16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2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or Programs </w:t>
            </w:r>
            <w:r>
              <w:rPr>
                <w:rFonts w:ascii="Times New Roman" w:cs="Times New Roman" w:eastAsia="Times New Roman" w:hAnsi="Times New Roman"/>
                <w:sz w:val="24"/>
                <w:szCs w:val="24"/>
                <w:color w:val="auto"/>
                <w:w w:val="94"/>
                <w:vertAlign w:val="superscript"/>
              </w:rPr>
              <w:t>(1)</w:t>
            </w:r>
          </w:p>
        </w:tc>
        <w:tc>
          <w:tcPr>
            <w:tcW w:w="178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Programs </w:t>
            </w:r>
            <w:r>
              <w:rPr>
                <w:rFonts w:ascii="Times New Roman" w:cs="Times New Roman" w:eastAsia="Times New Roman" w:hAnsi="Times New Roman"/>
                <w:sz w:val="24"/>
                <w:szCs w:val="24"/>
                <w:color w:val="auto"/>
                <w:w w:val="93"/>
                <w:vertAlign w:val="superscript"/>
              </w:rPr>
              <w:t>(1)</w:t>
            </w:r>
          </w:p>
        </w:tc>
        <w:tc>
          <w:tcPr>
            <w:tcW w:w="0" w:type="dxa"/>
            <w:vAlign w:val="bottom"/>
          </w:tcPr>
          <w:p>
            <w:pPr>
              <w:spacing w:after="0"/>
              <w:rPr>
                <w:sz w:val="1"/>
                <w:szCs w:val="1"/>
                <w:color w:val="auto"/>
              </w:rPr>
            </w:pPr>
          </w:p>
        </w:tc>
      </w:tr>
      <w:tr>
        <w:trPr>
          <w:trHeight w:val="43"/>
        </w:trPr>
        <w:tc>
          <w:tcPr>
            <w:tcW w:w="5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1/1/2025 to 1/31/2025</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8"/>
              </w:rPr>
              <w:t>)</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26.54</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2/1/2025 to 2/28/2025</w:t>
            </w:r>
          </w:p>
        </w:tc>
        <w:tc>
          <w:tcPr>
            <w:tcW w:w="2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6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3/1/2025 to 3/31/2025</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8"/>
              </w:rPr>
              <w:t>)</w:t>
            </w: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24.15</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24.61</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-916305</wp:posOffset>
            </wp:positionV>
            <wp:extent cx="6412230" cy="7715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412230" cy="771525"/>
                    </a:xfrm>
                    <a:prstGeom prst="rect">
                      <a:avLst/>
                    </a:prstGeom>
                    <a:noFill/>
                  </pic:spPr>
                </pic:pic>
              </a:graphicData>
            </a:graphic>
          </wp:anchor>
        </w:drawing>
      </w:r>
    </w:p>
    <w:p>
      <w:pPr>
        <w:spacing w:after="0" w:line="178" w:lineRule="exact"/>
        <w:rPr>
          <w:sz w:val="20"/>
          <w:szCs w:val="20"/>
          <w:color w:val="auto"/>
        </w:rPr>
      </w:pPr>
    </w:p>
    <w:p>
      <w:pPr>
        <w:jc w:val="both"/>
        <w:ind w:left="1140" w:hanging="383"/>
        <w:spacing w:after="0" w:line="257"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28, 2025. On that date, the Board of Directors authorized the repurchase of 650,000 common shares between January 28, 2025 and December 31, 2025.</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or</w:t>
      </w:r>
    </w:p>
    <w:p>
      <w:pPr>
        <w:spacing w:after="0" w:line="1"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100" w:type="dxa"/>
            <w:vAlign w:val="bottom"/>
            <w:gridSpan w:val="11"/>
          </w:tcPr>
          <w:p>
            <w:pPr>
              <w:spacing w:after="0"/>
              <w:rPr>
                <w:rFonts w:ascii="Times New Roman" w:cs="Times New Roman" w:eastAsia="Times New Roman" w:hAnsi="Times New Roman"/>
                <w:sz w:val="18"/>
                <w:szCs w:val="18"/>
                <w:color w:val="0000FF"/>
              </w:rPr>
            </w:pPr>
            <w:hyperlink r:id="rId744">
              <w:r>
                <w:rPr>
                  <w:rFonts w:ascii="Times New Roman" w:cs="Times New Roman" w:eastAsia="Times New Roman" w:hAnsi="Times New Roman"/>
                  <w:sz w:val="18"/>
                  <w:szCs w:val="18"/>
                  <w:color w:val="0000FF"/>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744">
              <w:r>
                <w:rPr>
                  <w:rFonts w:ascii="Times New Roman" w:cs="Times New Roman" w:eastAsia="Times New Roman" w:hAnsi="Times New Roman"/>
                  <w:sz w:val="18"/>
                  <w:szCs w:val="18"/>
                  <w:color w:val="0000FF"/>
                </w:rPr>
                <w:t>Q filed with the Commission on October 25,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745">
              <w:r>
                <w:rPr>
                  <w:rFonts w:ascii="Times New Roman" w:cs="Times New Roman" w:eastAsia="Times New Roman" w:hAnsi="Times New Roman"/>
                  <w:sz w:val="18"/>
                  <w:szCs w:val="18"/>
                  <w:color w:val="0000FF"/>
                </w:rPr>
                <w:t>Amendment to Articles of Incorporation of the Registrant (incorporated by reference to Exhibit 3.1(b) to Registrant’s Annual Report on</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745">
              <w:r>
                <w:rPr>
                  <w:rFonts w:ascii="Times New Roman" w:cs="Times New Roman" w:eastAsia="Times New Roman" w:hAnsi="Times New Roman"/>
                  <w:sz w:val="18"/>
                  <w:szCs w:val="18"/>
                  <w:color w:val="0000FF"/>
                </w:rPr>
                <w:t>Form 10-K filed with the Commission on February 27, 2024).</w:t>
              </w:r>
            </w:hyperlink>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746">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46">
              <w:r>
                <w:rPr>
                  <w:rFonts w:ascii="Times New Roman" w:cs="Times New Roman" w:eastAsia="Times New Roman" w:hAnsi="Times New Roman"/>
                  <w:sz w:val="18"/>
                  <w:szCs w:val="18"/>
                  <w:color w:val="0000FF"/>
                  <w:w w:val="99"/>
                </w:rPr>
                <w:t>Form 10-Q filed with the Commission on July 26, 2017).</w:t>
              </w:r>
            </w:hyperlink>
          </w:p>
        </w:tc>
        <w:tc>
          <w:tcPr>
            <w:tcW w:w="20" w:type="dxa"/>
            <w:vAlign w:val="bottom"/>
            <w:tcBorders>
              <w:bottom w:val="single" w:sz="8" w:color="0000EE"/>
            </w:tcBorders>
          </w:tcPr>
          <w:p>
            <w:pPr>
              <w:spacing w:after="0"/>
              <w:rPr>
                <w:sz w:val="17"/>
                <w:szCs w:val="17"/>
                <w:color w:val="auto"/>
              </w:rPr>
            </w:pPr>
          </w:p>
        </w:tc>
        <w:tc>
          <w:tcPr>
            <w:tcW w:w="596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47">
              <w:r>
                <w:rPr>
                  <w:rFonts w:ascii="Times New Roman" w:cs="Times New Roman" w:eastAsia="Times New Roman" w:hAnsi="Times New Roman"/>
                  <w:sz w:val="18"/>
                  <w:szCs w:val="18"/>
                  <w:color w:val="0000FF"/>
                  <w:w w:val="99"/>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47">
              <w:r>
                <w:rPr>
                  <w:rFonts w:ascii="Times New Roman" w:cs="Times New Roman" w:eastAsia="Times New Roman" w:hAnsi="Times New Roman"/>
                  <w:sz w:val="18"/>
                  <w:szCs w:val="18"/>
                  <w:color w:val="0000FF"/>
                  <w:w w:val="99"/>
                </w:rPr>
                <w:t>the Commission on February 26, 2020).</w:t>
              </w:r>
            </w:hyperlink>
          </w:p>
        </w:tc>
        <w:tc>
          <w:tcPr>
            <w:tcW w:w="722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Rule 13-a-14(a) Certification - CEO</w:t>
            </w:r>
          </w:p>
        </w:tc>
        <w:tc>
          <w:tcPr>
            <w:tcW w:w="748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Certification - CEO</w:t>
            </w:r>
          </w:p>
        </w:tc>
        <w:tc>
          <w:tcPr>
            <w:tcW w:w="180" w:type="dxa"/>
            <w:vAlign w:val="bottom"/>
            <w:tcBorders>
              <w:top w:val="single" w:sz="8" w:color="0000FF"/>
            </w:tcBorders>
          </w:tcPr>
          <w:p>
            <w:pPr>
              <w:spacing w:after="0"/>
              <w:rPr>
                <w:sz w:val="17"/>
                <w:szCs w:val="17"/>
                <w:color w:val="auto"/>
              </w:rPr>
            </w:pPr>
          </w:p>
        </w:tc>
        <w:tc>
          <w:tcPr>
            <w:tcW w:w="7500" w:type="dxa"/>
            <w:vAlign w:val="bottom"/>
            <w:gridSpan w:val="8"/>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1"/>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within the Inline XBRL document. </w:t>
            </w:r>
            <w:r>
              <w:rPr>
                <w:rFonts w:ascii="Times New Roman" w:cs="Times New Roman" w:eastAsia="Times New Roman" w:hAnsi="Times New Roman"/>
                <w:sz w:val="24"/>
                <w:szCs w:val="24"/>
                <w:color w:val="auto"/>
                <w:vertAlign w:val="superscript"/>
              </w:rPr>
              <w:t>(1)</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r>
    </w:tbl>
    <w:p>
      <w:pPr>
        <w:ind w:left="1140" w:hanging="1132"/>
        <w:spacing w:after="0" w:line="25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2025, has been formatted in Inline XBRL.</w:t>
      </w:r>
    </w:p>
    <w:p>
      <w:pPr>
        <w:spacing w:after="0" w:line="200" w:lineRule="exact"/>
        <w:rPr>
          <w:sz w:val="20"/>
          <w:szCs w:val="20"/>
          <w:color w:val="auto"/>
        </w:rPr>
      </w:pPr>
    </w:p>
    <w:p>
      <w:pPr>
        <w:spacing w:after="0" w:line="212" w:lineRule="exact"/>
        <w:rPr>
          <w:sz w:val="20"/>
          <w:szCs w:val="20"/>
          <w:color w:val="auto"/>
        </w:rPr>
      </w:pPr>
    </w:p>
    <w:p>
      <w:pPr>
        <w:jc w:val="both"/>
        <w:ind w:firstLine="8"/>
        <w:spacing w:after="0" w:line="251" w:lineRule="auto"/>
        <w:tabs>
          <w:tab w:leader="none" w:pos="18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32"/>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5, 2025</w:t>
            </w:r>
          </w:p>
        </w:tc>
        <w:tc>
          <w:tcPr>
            <w:tcW w:w="25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tcPr>
          <w:p>
            <w:pPr>
              <w:spacing w:after="0"/>
              <w:rPr>
                <w:sz w:val="16"/>
                <w:szCs w:val="16"/>
                <w:color w:val="auto"/>
              </w:rPr>
            </w:pPr>
          </w:p>
        </w:tc>
      </w:tr>
      <w:tr>
        <w:trPr>
          <w:trHeight w:val="234"/>
        </w:trPr>
        <w:tc>
          <w:tcPr>
            <w:tcW w:w="1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5, 2025</w:t>
            </w:r>
          </w:p>
        </w:tc>
        <w:tc>
          <w:tcPr>
            <w:tcW w:w="25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34"/>
        </w:trPr>
        <w:tc>
          <w:tcPr>
            <w:tcW w:w="1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1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5,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5,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March 31, 2025,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5,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March 31, 2025,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5,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7"/>
    </w:lvl>
    <w:lvl w:ilvl="1">
      <w:lvlJc w:val="left"/>
      <w:lvlText w:val="%2."/>
      <w:numFmt w:val="lowerLetter"/>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o"/>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44" Type="http://schemas.openxmlformats.org/officeDocument/2006/relationships/hyperlink" Target="https://www.sec.gov/Archives/edgar/data/792966/000119312517318709/d447990dex31.htm" TargetMode="External"/><Relationship Id="rId745" Type="http://schemas.openxmlformats.org/officeDocument/2006/relationships/hyperlink" Target="https://www.sec.gov/Archives/edgar/data/792966/000095017024021373/fmao-ex3_1b.htm" TargetMode="External"/><Relationship Id="rId746" Type="http://schemas.openxmlformats.org/officeDocument/2006/relationships/hyperlink" Target="https://www.sec.gov/Archives/edgar/data/792966/000119312517235925/d422994dex32.htm" TargetMode="External"/><Relationship Id="rId747"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2025-05-05T14:56:56Z</dcterms:created>
  <dcterms:modified xsi:type="dcterms:W3CDTF">2025-05-05T14:56:56Z</dcterms:modified>
</cp:coreProperties>
</file>