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-125730</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September 30, 2020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-125730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7"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-5080</wp:posOffset>
            </wp:positionV>
            <wp:extent cx="21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9" w:lineRule="exact"/>
        <w:rPr>
          <w:sz w:val="24"/>
          <w:szCs w:val="24"/>
          <w:color w:val="auto"/>
        </w:rPr>
      </w:pPr>
    </w:p>
    <w:tbl>
      <w:tblPr>
        <w:tblLayout w:type="fixed"/>
        <w:tblInd w:w="1200" w:type="dxa"/>
        <w:tblCellMar>
          <w:top w:w="0" w:type="dxa"/>
          <w:left w:w="0" w:type="dxa"/>
          <w:bottom w:w="0" w:type="dxa"/>
          <w:right w:w="0" w:type="dxa"/>
        </w:tblCellMar>
      </w:tblPr>
      <w:tr>
        <w:trPr>
          <w:trHeight w:val="227"/>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40" w:type="dxa"/>
            <w:vAlign w:val="bottom"/>
          </w:tcPr>
          <w:p>
            <w:pPr>
              <w:jc w:val="center"/>
              <w:ind w:left="30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4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307 North Defiance Street, Archbold, Ohio</w:t>
            </w:r>
          </w:p>
        </w:tc>
        <w:tc>
          <w:tcPr>
            <w:tcW w:w="42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4240" w:type="dxa"/>
            <w:vAlign w:val="bottom"/>
          </w:tcPr>
          <w:p>
            <w:pPr>
              <w:jc w:val="center"/>
              <w:ind w:left="30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187" w:lineRule="auto"/>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20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20"/>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2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09" w:right="339" w:bottom="1440" w:gutter="0" w:footer="0" w:header="0"/>
        </w:sectPr>
      </w:pPr>
    </w:p>
    <w:p>
      <w:pPr>
        <w:spacing w:after="0" w:line="6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24" w:lineRule="exact"/>
        <w:rPr>
          <w:sz w:val="24"/>
          <w:szCs w:val="24"/>
          <w:color w:val="auto"/>
        </w:rPr>
      </w:pPr>
    </w:p>
    <w:p>
      <w:pPr>
        <w:sectPr>
          <w:pgSz w:w="11900" w:h="16838" w:orient="portrait"/>
          <w:cols w:equalWidth="0" w:num="2">
            <w:col w:w="420" w:space="160"/>
            <w:col w:w="10660"/>
          </w:cols>
          <w:pgMar w:left="320" w:top="2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Indicate the number of shares of each of the issuers’ classes of common stock, as of the latest practicable date:</w:t>
      </w:r>
    </w:p>
    <w:p>
      <w:pPr>
        <w:sectPr>
          <w:pgSz w:w="11900" w:h="16838" w:orient="portrait"/>
          <w:cols w:equalWidth="0" w:num="1">
            <w:col w:w="11240"/>
          </w:cols>
          <w:pgMar w:left="320" w:top="209" w:right="339" w:bottom="1440" w:gutter="0" w:footer="0" w:header="0"/>
          <w:type w:val="continuous"/>
        </w:sectPr>
      </w:pPr>
    </w:p>
    <w:p>
      <w:pPr>
        <w:spacing w:after="0" w:line="11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5"/>
          <w:szCs w:val="15"/>
          <w:u w:val="single" w:color="auto"/>
          <w:color w:val="auto"/>
        </w:rPr>
        <w:t>Common Stock, No Par Value</w:t>
      </w:r>
    </w:p>
    <w:p>
      <w:pPr>
        <w:spacing w:after="0" w:line="3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color w:val="auto"/>
        </w:rPr>
        <w:t>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u w:val="single" w:color="auto"/>
          <w:color w:val="auto"/>
        </w:rPr>
        <w:t>11,158,701</w:t>
      </w:r>
    </w:p>
    <w:p>
      <w:pPr>
        <w:spacing w:after="0" w:line="2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5"/>
          <w:szCs w:val="15"/>
          <w:color w:val="auto"/>
        </w:rPr>
        <w:t>Outstanding as of October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-4680585</wp:posOffset>
            </wp:positionH>
            <wp:positionV relativeFrom="paragraph">
              <wp:posOffset>91440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108585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4"/>
          <w:szCs w:val="24"/>
          <w:color w:val="auto"/>
        </w:rPr>
      </w:pPr>
    </w:p>
    <w:p>
      <w:pPr>
        <w:sectPr>
          <w:pgSz w:w="11900" w:h="16838" w:orient="portrait"/>
          <w:cols w:equalWidth="0" w:num="2">
            <w:col w:w="6660" w:space="720"/>
            <w:col w:w="3860"/>
          </w:cols>
          <w:pgMar w:left="320" w:top="209" w:right="339" w:bottom="1440" w:gutter="0" w:footer="0" w:header="0"/>
          <w:type w:val="continuous"/>
        </w:sectPr>
      </w:pP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860" w:type="dxa"/>
            <w:vAlign w:val="bottom"/>
          </w:tcPr>
          <w:p>
            <w:pPr>
              <w:spacing w:after="0"/>
              <w:rPr>
                <w:sz w:val="18"/>
                <w:szCs w:val="18"/>
                <w:color w:val="auto"/>
              </w:rPr>
            </w:pPr>
          </w:p>
        </w:tc>
      </w:tr>
      <w:tr>
        <w:trPr>
          <w:trHeight w:val="23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Form 10-Q Items</w:t>
            </w: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Page</w:t>
            </w:r>
          </w:p>
        </w:tc>
      </w:tr>
      <w:tr>
        <w:trPr>
          <w:trHeight w:val="277"/>
        </w:trPr>
        <w:tc>
          <w:tcPr>
            <w:tcW w:w="660" w:type="dxa"/>
            <w:vAlign w:val="bottom"/>
          </w:tcPr>
          <w:p>
            <w:pPr>
              <w:spacing w:after="0"/>
              <w:rPr>
                <w:sz w:val="24"/>
                <w:szCs w:val="24"/>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86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86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w:t>
              </w:r>
            </w:hyperlink>
          </w:p>
        </w:tc>
        <w:tc>
          <w:tcPr>
            <w:tcW w:w="404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 xml:space="preserve">September 30, 2020 </w:t>
              </w:r>
              <w:r>
                <w:rPr>
                  <w:rFonts w:ascii="Times New Roman" w:cs="Times New Roman" w:eastAsia="Times New Roman" w:hAnsi="Times New Roman"/>
                  <w:sz w:val="18"/>
                  <w:szCs w:val="18"/>
                  <w:u w:val="single" w:color="auto"/>
                  <w:color w:val="000000"/>
                </w:rPr>
                <w:t>and December 31, 2019</w:t>
              </w:r>
            </w:hyperlink>
          </w:p>
        </w:tc>
        <w:tc>
          <w:tcPr>
            <w:tcW w:w="8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3</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w:t>
              </w:r>
            </w:hyperlink>
          </w:p>
        </w:tc>
        <w:tc>
          <w:tcPr>
            <w:tcW w:w="352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Three and Nine Months Ended September 30, 2020 and September 30, 2019</w:t>
              </w:r>
            </w:hyperlink>
          </w:p>
        </w:tc>
        <w:tc>
          <w:tcPr>
            <w:tcW w:w="8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4</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w:t>
              </w:r>
            </w:hyperlink>
          </w:p>
        </w:tc>
        <w:tc>
          <w:tcPr>
            <w:tcW w:w="23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Three and Nine Months Ended September 30, 2020 and September 30, 2019</w:t>
              </w:r>
            </w:hyperlink>
          </w:p>
        </w:tc>
        <w:tc>
          <w:tcPr>
            <w:tcW w:w="8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5</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to Stockholders’ Equity -</w:t>
              </w:r>
            </w:hyperlink>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Three and Nine Months Ended September 30, 2020 and September 30, 2019</w:t>
              </w:r>
            </w:hyperlink>
          </w:p>
        </w:tc>
        <w:tc>
          <w:tcPr>
            <w:tcW w:w="8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6-7</w:t>
            </w:r>
          </w:p>
        </w:tc>
      </w:tr>
      <w:tr>
        <w:trPr>
          <w:trHeight w:val="4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w:t>
              </w:r>
            </w:hyperlink>
          </w:p>
        </w:tc>
        <w:tc>
          <w:tcPr>
            <w:tcW w:w="322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Nine Months Ended September 30, 2020 and September 30, 2019</w:t>
              </w:r>
            </w:hyperlink>
          </w:p>
        </w:tc>
        <w:tc>
          <w:tcPr>
            <w:tcW w:w="8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8-9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Condensed Consolidated Financial Statements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10</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Management's Discussion and Analysis of Financial Condition</w:t>
              </w:r>
            </w:hyperlink>
          </w:p>
        </w:tc>
        <w:tc>
          <w:tcPr>
            <w:tcW w:w="252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8"/>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and Results of Operations</w:t>
              </w:r>
            </w:hyperlink>
          </w:p>
        </w:tc>
        <w:tc>
          <w:tcPr>
            <w:tcW w:w="86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46-66</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Qualitative and Quantitative Disclosures About Market Risk</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67</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Controls and Procedures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68</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OTHER INFORMATION</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68</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Legal Proceedings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68</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Risk Factors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68-69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Defaults Upon Senior Securities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Mine Safety Disclosures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Other Information</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24"/>
                <w:szCs w:val="24"/>
                <w:color w:val="auto"/>
              </w:rPr>
            </w:pPr>
          </w:p>
        </w:tc>
        <w:tc>
          <w:tcPr>
            <w:tcW w:w="7080" w:type="dxa"/>
            <w:vAlign w:val="bottom"/>
            <w:gridSpan w:val="9"/>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Exhibits</w:t>
              </w:r>
            </w:hyperlink>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70</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Signatures</w:t>
              </w:r>
            </w:hyperlink>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71</w:t>
            </w:r>
          </w:p>
        </w:tc>
      </w:tr>
      <w:tr>
        <w:trPr>
          <w:trHeight w:val="346"/>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Data File because its XBRL tags are embedded within the Inline XBRL document. </w:t>
            </w:r>
            <w:r>
              <w:rPr>
                <w:rFonts w:ascii="Times New Roman" w:cs="Times New Roman" w:eastAsia="Times New Roman" w:hAnsi="Times New Roman"/>
                <w:sz w:val="15"/>
                <w:szCs w:val="15"/>
                <w:color w:val="auto"/>
              </w:rPr>
              <w:t>(1)</w:t>
            </w:r>
          </w:p>
        </w:tc>
        <w:tc>
          <w:tcPr>
            <w:tcW w:w="860" w:type="dxa"/>
            <w:vAlign w:val="bottom"/>
          </w:tcPr>
          <w:p>
            <w:pPr>
              <w:spacing w:after="0"/>
              <w:rPr>
                <w:sz w:val="20"/>
                <w:szCs w:val="20"/>
                <w:color w:val="auto"/>
              </w:rPr>
            </w:pPr>
          </w:p>
        </w:tc>
      </w:tr>
      <w:tr>
        <w:trPr>
          <w:trHeight w:val="257"/>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7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bl>
    <w:p>
      <w:pPr>
        <w:spacing w:after="0" w:line="184" w:lineRule="exact"/>
        <w:rPr>
          <w:sz w:val="20"/>
          <w:szCs w:val="20"/>
          <w:color w:val="auto"/>
        </w:rPr>
      </w:pPr>
    </w:p>
    <w:p>
      <w:pPr>
        <w:jc w:val="both"/>
        <w:ind w:left="380" w:hanging="372"/>
        <w:spacing w:after="0" w:line="226" w:lineRule="auto"/>
        <w:tabs>
          <w:tab w:leader="none" w:pos="3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PART 1 -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46,395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50,137</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Federal funds sold</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41,358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51,296</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4,657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259,041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222,293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1,351,979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1,211,771</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Premises and equipment</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26,283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47,340</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real estate owned</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15,501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15,235</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16,872</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15,834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1,826,600</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1,607,330</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Noninterest-bearing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330,845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265,156</w:t>
            </w:r>
          </w:p>
        </w:tc>
        <w:tc>
          <w:tcPr>
            <w:tcW w:w="0" w:type="dxa"/>
            <w:vAlign w:val="bottom"/>
          </w:tcPr>
          <w:p>
            <w:pPr>
              <w:spacing w:after="0"/>
              <w:rPr>
                <w:sz w:val="1"/>
                <w:szCs w:val="1"/>
                <w:color w:val="auto"/>
              </w:rPr>
            </w:pPr>
          </w:p>
        </w:tc>
      </w:tr>
      <w:tr>
        <w:trPr>
          <w:trHeight w:val="230"/>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NOW accounts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534,792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423,655</w:t>
            </w:r>
          </w:p>
        </w:tc>
        <w:tc>
          <w:tcPr>
            <w:tcW w:w="0" w:type="dxa"/>
            <w:vAlign w:val="bottom"/>
          </w:tcPr>
          <w:p>
            <w:pPr>
              <w:spacing w:after="0"/>
              <w:rPr>
                <w:sz w:val="1"/>
                <w:szCs w:val="1"/>
                <w:color w:val="auto"/>
              </w:rPr>
            </w:pPr>
          </w:p>
        </w:tc>
      </w:tr>
      <w:tr>
        <w:trPr>
          <w:trHeight w:val="230"/>
        </w:trPr>
        <w:tc>
          <w:tcPr>
            <w:tcW w:w="7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Savings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392,059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322,973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261,177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276,563</w:t>
            </w:r>
          </w:p>
        </w:tc>
        <w:tc>
          <w:tcPr>
            <w:tcW w:w="0" w:type="dxa"/>
            <w:vAlign w:val="bottom"/>
          </w:tcPr>
          <w:p>
            <w:pPr>
              <w:spacing w:after="0"/>
              <w:rPr>
                <w:sz w:val="1"/>
                <w:szCs w:val="1"/>
                <w:color w:val="auto"/>
              </w:rPr>
            </w:pPr>
          </w:p>
        </w:tc>
      </w:tr>
      <w:tr>
        <w:trPr>
          <w:trHeight w:val="223"/>
        </w:trPr>
        <w:tc>
          <w:tcPr>
            <w:tcW w:w="7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1,518,873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1,288,347</w:t>
            </w: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repurchase</w:t>
            </w:r>
          </w:p>
        </w:tc>
        <w:tc>
          <w:tcPr>
            <w:tcW w:w="14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29,859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48,073</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24,806</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 payable</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14,841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14,078</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1,583,179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1,377,072</w:t>
            </w:r>
          </w:p>
        </w:tc>
        <w:tc>
          <w:tcPr>
            <w:tcW w:w="0" w:type="dxa"/>
            <w:vAlign w:val="bottom"/>
          </w:tcPr>
          <w:p>
            <w:pPr>
              <w:spacing w:after="0"/>
              <w:rPr>
                <w:sz w:val="1"/>
                <w:szCs w:val="1"/>
                <w:color w:val="auto"/>
              </w:rPr>
            </w:pPr>
          </w:p>
        </w:tc>
      </w:tr>
      <w:tr>
        <w:trPr>
          <w:trHeight w:val="45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 and</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outstanding 12,230,000 shares 9/30/20 and 12/31/19</w:t>
            </w:r>
          </w:p>
        </w:tc>
        <w:tc>
          <w:tcPr>
            <w:tcW w:w="14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81,577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81,535</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Treasury stock - 1,071,299 shares 9/30/20, 1,093,065 shares 12/31/19</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160,081</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5,860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1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243,421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230,258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1,826,600</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1,607,330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December 31, 2019, Condensed Consolidated Balance Sheet has been derived from the audited Consolidated Balance Sheet as of that date.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(in thousands of dollars, except per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thousands of dollars, except per</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 data)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 data)</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including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 securities: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Municipalities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Borrowed funds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Income - Before Provision for Loan Losses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Loan Losses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 service fees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(loss) on sale of available-for-sale securities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Salaries and wages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occupancy expense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Furniture and equipment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Data processing</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Franchise taxes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ATM expense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loss on sale of other assets owned</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FDIC assessment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Mortgage servicing rights amortization</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Consulting fees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496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(in thousands of dollars)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(in thousands of dollars)</w:t>
            </w:r>
          </w:p>
        </w:tc>
      </w:tr>
      <w:tr>
        <w:trPr>
          <w:trHeight w:val="234"/>
        </w:trPr>
        <w:tc>
          <w:tcPr>
            <w:tcW w:w="5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7"/>
                <w:szCs w:val="17"/>
                <w:color w:val="auto"/>
              </w:rPr>
            </w:pPr>
          </w:p>
        </w:tc>
        <w:tc>
          <w:tcPr>
            <w:tcW w:w="128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7"/>
                <w:szCs w:val="17"/>
                <w:color w:val="auto"/>
              </w:rPr>
            </w:pPr>
          </w:p>
        </w:tc>
        <w:tc>
          <w:tcPr>
            <w:tcW w:w="128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53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13,679</w:t>
            </w: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1"/>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4"/>
        </w:trPr>
        <w:tc>
          <w:tcPr>
            <w:tcW w:w="5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5,651</w:t>
            </w:r>
          </w:p>
        </w:tc>
      </w:tr>
      <w:tr>
        <w:trPr>
          <w:trHeight w:val="211"/>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 for realized (gain) loss on sale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53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05"/>
        </w:trPr>
        <w:tc>
          <w:tcPr>
            <w:tcW w:w="538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unrealized gain on available-for-sale</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34"/>
        </w:trPr>
        <w:tc>
          <w:tcPr>
            <w:tcW w:w="5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6,028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5,677</w:t>
            </w:r>
          </w:p>
        </w:tc>
      </w:tr>
      <w:tr>
        <w:trPr>
          <w:trHeight w:val="229"/>
        </w:trPr>
        <w:tc>
          <w:tcPr>
            <w:tcW w:w="53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Tax expense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r>
      <w:tr>
        <w:trPr>
          <w:trHeight w:val="223"/>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4,485</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18,081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18,164</w:t>
            </w: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right="3460" w:hanging="1365"/>
        <w:spacing w:after="0" w:line="783" w:lineRule="auto"/>
        <w:tabs>
          <w:tab w:leader="none" w:pos="43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2020 (000’S OMITTED,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Common</w:t>
            </w:r>
          </w:p>
        </w:tc>
        <w:tc>
          <w:tcPr>
            <w:tcW w:w="9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34"/>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$ 160,081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230,258</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Forfeiture of 450 shares of restricted stock</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declared - $0.16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(1,768)</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March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11,129,421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(12,636)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 stock award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 $0.16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(1,768)</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11,129,025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165,476</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240,297</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36,551 shares of restricted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(1,882)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11,158,701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$ 168,381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2019 (000’S OMITTED,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Common</w:t>
            </w:r>
          </w:p>
        </w:tc>
        <w:tc>
          <w:tcPr>
            <w:tcW w:w="9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34"/>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Earnings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2019</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9,285,261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$ 147,887</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r>
      <w:tr>
        <w:trPr>
          <w:trHeight w:val="211"/>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1,830,000  shares  of  common  stock  in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11"/>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400 shares of restricted stock</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forfeitures - 2,040)</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 $0.15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2019</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149,466</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216,934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Forfeiture of 880 shares of restricted stock</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 $0.15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2019</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11,106,183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224,047</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1"/>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37,700 shares of restricted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of forfeitures - 300)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declared - $0.15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(1,657)</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(1,657)</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11,137,014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$ 157,126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4700" w:type="dxa"/>
            <w:vAlign w:val="bottom"/>
          </w:tcPr>
          <w:p>
            <w:pPr>
              <w:spacing w:after="0"/>
              <w:rPr>
                <w:sz w:val="18"/>
                <w:szCs w:val="18"/>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7"/>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right="5180"/>
        <w:spacing w:after="0" w:line="312" w:lineRule="auto"/>
        <w:rPr>
          <w:sz w:val="20"/>
          <w:szCs w:val="20"/>
          <w:color w:val="auto"/>
        </w:rPr>
      </w:pPr>
      <w:r>
        <w:rPr>
          <w:rFonts w:ascii="Times New Roman" w:cs="Times New Roman" w:eastAsia="Times New Roman" w:hAnsi="Times New Roman"/>
          <w:sz w:val="17"/>
          <w:szCs w:val="17"/>
          <w:color w:val="auto"/>
        </w:rPr>
        <w:t>FARMERS &amp; MERCHANTS BANCORP, INC. AND SUBSIDIARIES CONDENSED CONSOLIDATED STATEMENTS OF CASH FLOWS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color w:val="auto"/>
              </w:rPr>
              <w:t>(in thousands of dollars)</w:t>
            </w:r>
          </w:p>
        </w:tc>
      </w:t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4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2019</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servicing rights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(accretion) of fair value adjustments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Director stock award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(2,128)</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(151,477)</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(50,428)</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48,543</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sales of securities available-for-sale</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(3,531)</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(110,330)</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(44,936)</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(2,805)</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(144,978)</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(51,240)</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Limberlost, net of cash received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(2,089)</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(179,008)</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230,359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142,853</w:t>
            </w:r>
          </w:p>
        </w:tc>
        <w:tc>
          <w:tcPr>
            <w:tcW w:w="120" w:type="dxa"/>
            <w:vAlign w:val="bottom"/>
            <w:shd w:val="clear" w:color="auto" w:fill="CFF0FC"/>
          </w:tcPr>
          <w:p>
            <w:pPr>
              <w:spacing w:after="0"/>
              <w:rPr>
                <w:sz w:val="19"/>
                <w:szCs w:val="19"/>
                <w:color w:val="auto"/>
              </w:rPr>
            </w:pPr>
          </w:p>
        </w:tc>
      </w:tr>
      <w:tr>
        <w:trPr>
          <w:trHeight w:val="2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(18,214)</w:t>
            </w:r>
          </w:p>
        </w:tc>
        <w:tc>
          <w:tcPr>
            <w:tcW w:w="16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(23,938)</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(5,304)</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(4,688)</w:t>
            </w:r>
          </w:p>
        </w:tc>
      </w:tr>
      <w:tr>
        <w:trPr>
          <w:trHeight w:val="223"/>
        </w:trPr>
        <w:tc>
          <w:tcPr>
            <w:tcW w:w="7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198,972</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111,724</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36,457</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76,227</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87,753</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114,592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w:t>
            </w:r>
          </w:p>
        </w:tc>
        <w:tc>
          <w:tcPr>
            <w:tcW w:w="2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purchased all of the capital stock of Limberlost for $78,902 on January 1,</w:t>
            </w: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2019. In conjunction with the acquisition, liabilities were assumed as follows:</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common stock issued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the capital stock</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460" w:hanging="1365"/>
        <w:spacing w:after="0" w:line="814" w:lineRule="auto"/>
        <w:tabs>
          <w:tab w:leader="none" w:pos="4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9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and nine months ended September 30, 2020 are not necessarily indicative of the results that are expected for the year ended December 31, 2020. The condensed consolidated balance sheet of the Company as of December 31, 2019,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2019.</w:t>
      </w:r>
    </w:p>
    <w:p>
      <w:pPr>
        <w:spacing w:after="0" w:line="148"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22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also expects to reduce costs through economies of scale.</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Common Shares (1,830,000 shares)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Noninterest bearing</w:t>
            </w: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Interest bearing</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deposits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0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carrying amount of those loans is included in loans, net on the balance sheet as of December 31, 2019 and September 30, 2020. The amounts of loans at December 31, 2019 and September 30, 2020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January 1, 2019</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Carrying amount, net of fair value adjustment of $2,118</w:t>
            </w: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2019</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Carrying amount, net of fair value adjustment of $62</w:t>
            </w: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 September 30, 2020</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Carrying amount, net of fair value adjustment of $0</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Loans acquired during 2019 for which it was probable at acquisition that all contractually required payments would not be collected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 at acquisition</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2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w:t>
            </w: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tcPr>
          <w:p>
            <w:pPr>
              <w:spacing w:after="0"/>
              <w:rPr>
                <w:sz w:val="19"/>
                <w:szCs w:val="19"/>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required payments receivable</w:t>
            </w: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expected to be collected at acquisition</w:t>
            </w:r>
          </w:p>
        </w:tc>
        <w:tc>
          <w:tcPr>
            <w:tcW w:w="27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Basis in acquired loans at acquisition</w:t>
            </w:r>
          </w:p>
        </w:tc>
        <w:tc>
          <w:tcPr>
            <w:tcW w:w="27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FF0FC"/>
          </w:tcPr>
          <w:p>
            <w:pPr>
              <w:spacing w:after="0"/>
              <w:rPr>
                <w:sz w:val="19"/>
                <w:szCs w:val="19"/>
                <w:color w:val="auto"/>
              </w:rPr>
            </w:pPr>
          </w:p>
        </w:tc>
      </w:tr>
    </w:tbl>
    <w:p>
      <w:pPr>
        <w:spacing w:after="0" w:line="157"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balance of the fair value adjustment for loans acquired and accounted for under this guidance (ASC 310-30) was $62 thousand at December 31, 2019, zero at September 30, 2020 and $2.118 million on January 1, 2019.</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Nine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Nine Months</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(2,316)</w:t>
            </w:r>
          </w:p>
        </w:tc>
      </w:tr>
      <w:tr>
        <w:trPr>
          <w:trHeight w:val="23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34"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8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8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for the nine months ended September 30, 2019 was $546 thousand. Of the $721 thousand to be expensed in 2020, $546 thousand has been expensed for the nine months ended September 30, 2020. Annual amortization of core deposit intangible assets is as follows:</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11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Custar</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118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94"/>
              </w:rPr>
              <w:t>2020</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11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4"/>
              </w:rPr>
              <w:t>2021</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118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94"/>
              </w:rPr>
              <w:t>2022</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11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4"/>
              </w:rPr>
              <w:t>2023</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118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94"/>
              </w:rPr>
              <w:t>2024</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11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4"/>
              </w:rPr>
              <w:t>2025</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0"/>
        </w:trPr>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right="3460" w:hanging="1325"/>
        <w:spacing w:after="0" w:line="814" w:lineRule="auto"/>
        <w:tabs>
          <w:tab w:leader="none" w:pos="4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25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September 30, 2020 and December 31, 2019,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5"/>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gridSpan w:val="4"/>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w:t>
            </w:r>
          </w:p>
        </w:tc>
      </w:tr>
      <w:tr>
        <w:trPr>
          <w:trHeight w:val="229"/>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90,062</w:t>
            </w: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102,980</w:t>
            </w: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59,646</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62,995</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259,041</w:t>
            </w: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5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5"/>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5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10,023</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320" w:type="dxa"/>
            <w:vAlign w:val="bottom"/>
            <w:gridSpan w:val="4"/>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10,021</w:t>
            </w:r>
          </w:p>
        </w:tc>
      </w:tr>
      <w:tr>
        <w:trPr>
          <w:trHeight w:val="229"/>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61,882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62,445</w:t>
            </w: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95,197</w:t>
            </w: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54,001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54,630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222,293</w:t>
            </w: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1" w:lineRule="exact"/>
        <w:rPr>
          <w:sz w:val="20"/>
          <w:szCs w:val="20"/>
          <w:color w:val="auto"/>
        </w:rPr>
      </w:pPr>
    </w:p>
    <w:p>
      <w:pPr>
        <w:ind w:left="2240" w:hanging="747"/>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9" w:lineRule="exact"/>
        <w:rPr>
          <w:rFonts w:ascii="Times New Roman" w:cs="Times New Roman" w:eastAsia="Times New Roman" w:hAnsi="Times New Roman"/>
          <w:sz w:val="18"/>
          <w:szCs w:val="18"/>
          <w:color w:val="auto"/>
        </w:rPr>
      </w:pPr>
    </w:p>
    <w:p>
      <w:pPr>
        <w:ind w:left="2240" w:hanging="747"/>
        <w:spacing w:after="0" w:line="250" w:lineRule="auto"/>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ind w:left="2240" w:hanging="747"/>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9" w:lineRule="exact"/>
        <w:rPr>
          <w:rFonts w:ascii="Times New Roman" w:cs="Times New Roman" w:eastAsia="Times New Roman" w:hAnsi="Times New Roman"/>
          <w:sz w:val="18"/>
          <w:szCs w:val="18"/>
          <w:color w:val="auto"/>
        </w:rPr>
      </w:pPr>
    </w:p>
    <w:p>
      <w:pPr>
        <w:ind w:left="2240" w:hanging="747"/>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underwater security has longer than 10 years to maturity and the loss position had existed for more than 3 years.</w:t>
      </w:r>
    </w:p>
    <w:p>
      <w:pPr>
        <w:spacing w:after="0" w:line="9" w:lineRule="exact"/>
        <w:rPr>
          <w:rFonts w:ascii="Times New Roman" w:cs="Times New Roman" w:eastAsia="Times New Roman" w:hAnsi="Times New Roman"/>
          <w:sz w:val="18"/>
          <w:szCs w:val="18"/>
          <w:color w:val="auto"/>
        </w:rPr>
      </w:pPr>
    </w:p>
    <w:p>
      <w:pPr>
        <w:ind w:left="2240" w:hanging="747"/>
        <w:spacing w:after="0" w:line="260" w:lineRule="auto"/>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4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3 SECURITIES (Continued)</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September 30, 2020 and December 31, 2019, aggregated by investment category and length of time that individual securities have been in a continuous loss position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Less Than Twelve Months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5"/>
        </w:trPr>
        <w:tc>
          <w:tcPr>
            <w:tcW w:w="2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200"/>
              <w:spacing w:after="0" w:line="205"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Losses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14,010</w:t>
            </w: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11,298</w:t>
            </w:r>
          </w:p>
        </w:tc>
      </w:tr>
      <w:tr>
        <w:trPr>
          <w:trHeight w:val="229"/>
        </w:trPr>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1,061</w:t>
            </w: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26,369</w:t>
            </w: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6"/>
        </w:trPr>
        <w:tc>
          <w:tcPr>
            <w:tcW w:w="29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Less Than Twelve Months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Twelve Months &amp; Over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spacing w:after="0"/>
              <w:rPr>
                <w:sz w:val="19"/>
                <w:szCs w:val="19"/>
                <w:color w:val="auto"/>
              </w:rPr>
            </w:pPr>
          </w:p>
        </w:tc>
      </w:tr>
      <w:tr>
        <w:trPr>
          <w:trHeight w:val="205"/>
        </w:trPr>
        <w:tc>
          <w:tcPr>
            <w:tcW w:w="29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3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29"/>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2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Value</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5,030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5,030</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21,294</w:t>
            </w:r>
          </w:p>
        </w:tc>
      </w:tr>
      <w:tr>
        <w:trPr>
          <w:trHeight w:val="22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27,696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39,028</w:t>
            </w:r>
          </w:p>
        </w:tc>
      </w:tr>
      <w:tr>
        <w:trPr>
          <w:trHeight w:val="230"/>
        </w:trPr>
        <w:tc>
          <w:tcPr>
            <w:tcW w:w="2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16,845</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16,845</w:t>
            </w: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55,090</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27,107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82,197</w:t>
            </w:r>
          </w:p>
        </w:tc>
      </w:tr>
      <w:tr>
        <w:trPr>
          <w:trHeight w:val="20"/>
        </w:trPr>
        <w:tc>
          <w:tcPr>
            <w:tcW w:w="2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are the gross realized gains and losses for the three and nine months ended September 30, 2020 and September 30, 2019.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4"/>
          </w:tcPr>
          <w:p>
            <w:pPr>
              <w:jc w:val="right"/>
              <w:ind w:right="294"/>
              <w:spacing w:after="0"/>
              <w:rPr>
                <w:sz w:val="20"/>
                <w:szCs w:val="20"/>
                <w:color w:val="auto"/>
              </w:rPr>
            </w:pPr>
            <w:r>
              <w:rPr>
                <w:rFonts w:ascii="Times New Roman" w:cs="Times New Roman" w:eastAsia="Times New Roman" w:hAnsi="Times New Roman"/>
                <w:sz w:val="18"/>
                <w:szCs w:val="18"/>
                <w:color w:val="auto"/>
              </w:rPr>
              <w:t>Nine Months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5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5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expense (benefit) related to net realized gains (losses)</w:t>
            </w: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net realized gains (losses) on sales and related tax expense is a reclassification out of accumulated other comprehensive income (loss). The net realized gains (losses) is included in net gains (losses) on sale of available-for-sale securities and the related tax expense (benefit) is included in income taxes in the condensed consolidated statements of income and comprehensive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3 SECURITIES (Continued)</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at September 30, 2020, by contractual maturity, are shown below. Expected maturities will differ from contractual maturities because borrowers may have the right to call or prepay obligations with or without call or prepayment penalties.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8"/>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50,784</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87,646</w:t>
            </w: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w:t>
            </w:r>
          </w:p>
        </w:tc>
      </w:tr>
      <w:tr>
        <w:trPr>
          <w:trHeight w:val="223"/>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156,061</w:t>
            </w: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100,858</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102,980</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251,624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259,041</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Investments with a carrying value of $87.1 million and $88.8 million at September 30, 2020 and December 31, 2019, respectively, were pledged to secure public deposits and securities sold under repurchase agreements.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$5.8 million as of September 30, 2020 and December 31, 2019, in addition to Ohio Equity Fund for Housing Limited Partnership of $38 thousand and $21 thousand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right="3460" w:hanging="1325"/>
        <w:spacing w:after="0" w:line="673" w:lineRule="auto"/>
        <w:tabs>
          <w:tab w:leader="none" w:pos="4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September 30, 2020 and December 31, 2019 are summarized below:</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5"/>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134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200" w:type="dxa"/>
            <w:vAlign w:val="bottom"/>
            <w:gridSpan w:val="2"/>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86"/>
        </w:trPr>
        <w:tc>
          <w:tcPr>
            <w:tcW w:w="53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28"/>
        </w:trPr>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175,963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165,349</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199,105</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111,820</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551,309</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238,175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135,631</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49,237</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1,220,765</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1,218,999</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1,351,979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1,211,771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loans primarily fund public improvement in the Bank’s service area.</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September 30, 2020:</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8"/>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Fixed</w:t>
            </w:r>
          </w:p>
        </w:tc>
        <w:tc>
          <w:tcPr>
            <w:tcW w:w="2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Variable</w:t>
            </w:r>
          </w:p>
        </w:tc>
      </w:tr>
      <w:tr>
        <w:trPr>
          <w:trHeight w:val="234"/>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128,976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46,987</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101,191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91,692</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89,810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13,520</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446,886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148,260</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210,588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27,587</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8,976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one to four family residential mortgage loans amounting to $40.5 million and $42.1 million, respectively, have been pledged as security for future loans and existing loans the Bank has received from the Federal Home Loan Bank.</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thousands) in past due loans by portfolio classification of loans as of September 30, 2020 and December 31, 2019, net of deferred loan fees and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Recorded</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30-59</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60-89</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Greater</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Total</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&gt;</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Days Past</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Days Past</w:t>
            </w:r>
          </w:p>
        </w:tc>
        <w:tc>
          <w:tcPr>
            <w:tcW w:w="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Than 90</w:t>
            </w: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Financing</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90 Days and</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Due</w:t>
            </w:r>
          </w:p>
        </w:tc>
        <w:tc>
          <w:tcPr>
            <w:tcW w:w="7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Days</w:t>
            </w:r>
          </w:p>
        </w:tc>
        <w:tc>
          <w:tcPr>
            <w:tcW w:w="2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Due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Accruing</w:t>
            </w:r>
          </w:p>
        </w:tc>
      </w:tr>
      <w:tr>
        <w:trPr>
          <w:trHeight w:val="223"/>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175,482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175,595</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192,577</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192,577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103,476</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103,476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593,767</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593,936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244,823</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244,823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53,413</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53,455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r>
      <w:tr>
        <w:trPr>
          <w:trHeight w:val="223"/>
        </w:trPr>
        <w:tc>
          <w:tcPr>
            <w:tcW w:w="4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1,363,538</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$ 1,363,862</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7"/>
        </w:trPr>
        <w:tc>
          <w:tcPr>
            <w:tcW w:w="4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5"/>
        </w:trPr>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Recorded</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30-59</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60-89</w:t>
            </w:r>
          </w:p>
        </w:tc>
        <w:tc>
          <w:tcPr>
            <w:tcW w:w="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Greater</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Total</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&gt;</w:t>
            </w:r>
          </w:p>
        </w:tc>
      </w:tr>
      <w:tr>
        <w:trPr>
          <w:trHeight w:val="216"/>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right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Days Past</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Days Past</w:t>
            </w:r>
          </w:p>
        </w:tc>
        <w:tc>
          <w:tcPr>
            <w:tcW w:w="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Than 90</w:t>
            </w: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Total Past</w:t>
            </w: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Financing</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90 Days and</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Due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7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Days</w:t>
            </w:r>
          </w:p>
        </w:tc>
        <w:tc>
          <w:tcPr>
            <w:tcW w:w="2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Due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Accruing</w:t>
            </w:r>
          </w:p>
        </w:tc>
      </w:tr>
      <w:tr>
        <w:trPr>
          <w:trHeight w:val="223"/>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78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164,266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164,691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198,752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198,859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111,864</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111,949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550,082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550,082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267</w:t>
            </w:r>
          </w:p>
        </w:tc>
        <w:tc>
          <w:tcPr>
            <w:tcW w:w="78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143,541</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144,009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49,355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49,409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r>
      <w:tr>
        <w:trPr>
          <w:trHeight w:val="223"/>
        </w:trPr>
        <w:tc>
          <w:tcPr>
            <w:tcW w:w="4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451</w:t>
            </w:r>
          </w:p>
        </w:tc>
        <w:tc>
          <w:tcPr>
            <w:tcW w:w="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1,217,860</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$ 1,218,999</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recorded investment in nonaccrual loans by class of loans as of September 30, 2020 and December 31, 2019:</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180" w:type="dxa"/>
            <w:vAlign w:val="bottom"/>
            <w:gridSpan w:val="2"/>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7"/>
                <w:szCs w:val="17"/>
                <w:color w:val="auto"/>
              </w:rPr>
            </w:pPr>
          </w:p>
        </w:tc>
        <w:tc>
          <w:tcPr>
            <w:tcW w:w="1200" w:type="dxa"/>
            <w:vAlign w:val="bottom"/>
            <w:gridSpan w:val="2"/>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crop insurance.</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27" w:lineRule="exact"/>
        <w:rPr>
          <w:sz w:val="20"/>
          <w:szCs w:val="20"/>
          <w:color w:val="auto"/>
        </w:rPr>
      </w:pPr>
    </w:p>
    <w:p>
      <w:pPr>
        <w:ind w:left="2240" w:hanging="747"/>
        <w:spacing w:after="0"/>
        <w:tabs>
          <w:tab w:leader="none" w:pos="2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9" w:lineRule="exact"/>
        <w:rPr>
          <w:rFonts w:ascii="Times New Roman" w:cs="Times New Roman" w:eastAsia="Times New Roman" w:hAnsi="Times New Roman"/>
          <w:sz w:val="18"/>
          <w:szCs w:val="18"/>
          <w:color w:val="auto"/>
        </w:rPr>
      </w:pPr>
    </w:p>
    <w:p>
      <w:pPr>
        <w:jc w:val="both"/>
        <w:ind w:left="2240" w:hanging="747"/>
        <w:spacing w:after="0" w:line="252" w:lineRule="auto"/>
        <w:tabs>
          <w:tab w:leader="none" w:pos="2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jc w:val="both"/>
        <w:ind w:left="2240" w:hanging="747"/>
        <w:spacing w:after="0" w:line="254" w:lineRule="auto"/>
        <w:tabs>
          <w:tab w:leader="none" w:pos="2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Times New Roman" w:cs="Times New Roman" w:eastAsia="Times New Roman" w:hAnsi="Times New Roman"/>
          <w:sz w:val="18"/>
          <w:szCs w:val="18"/>
          <w:color w:val="auto"/>
        </w:rPr>
      </w:pPr>
    </w:p>
    <w:p>
      <w:pPr>
        <w:jc w:val="both"/>
        <w:ind w:left="2240" w:hanging="747"/>
        <w:spacing w:after="0" w:line="250" w:lineRule="auto"/>
        <w:tabs>
          <w:tab w:leader="none" w:pos="2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1" w:lineRule="exact"/>
        <w:rPr>
          <w:rFonts w:ascii="Times New Roman" w:cs="Times New Roman" w:eastAsia="Times New Roman" w:hAnsi="Times New Roman"/>
          <w:sz w:val="18"/>
          <w:szCs w:val="18"/>
          <w:color w:val="auto"/>
        </w:rPr>
      </w:pPr>
    </w:p>
    <w:p>
      <w:pPr>
        <w:ind w:left="226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graded 3 when there is no recent information on which to base a current risk evaluation and the following conditions apply:</w:t>
      </w: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9"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9"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71"/>
        <w:spacing w:after="0" w:line="250" w:lineRule="auto"/>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Times New Roman" w:cs="Times New Roman" w:eastAsia="Times New Roman" w:hAnsi="Times New Roman"/>
          <w:sz w:val="18"/>
          <w:szCs w:val="18"/>
          <w:color w:val="auto"/>
        </w:rPr>
      </w:pPr>
    </w:p>
    <w:p>
      <w:pPr>
        <w:jc w:val="both"/>
        <w:ind w:left="2240" w:hanging="747"/>
        <w:spacing w:after="0" w:line="250" w:lineRule="auto"/>
        <w:tabs>
          <w:tab w:leader="none" w:pos="2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1" w:lineRule="exact"/>
        <w:rPr>
          <w:rFonts w:ascii="Times New Roman" w:cs="Times New Roman" w:eastAsia="Times New Roman" w:hAnsi="Times New Roman"/>
          <w:sz w:val="18"/>
          <w:szCs w:val="18"/>
          <w:color w:val="auto"/>
        </w:rPr>
      </w:pPr>
    </w:p>
    <w:p>
      <w:pPr>
        <w:jc w:val="both"/>
        <w:ind w:left="2240" w:hanging="747"/>
        <w:spacing w:after="0" w:line="250" w:lineRule="auto"/>
        <w:tabs>
          <w:tab w:leader="none" w:pos="2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Times New Roman" w:cs="Times New Roman" w:eastAsia="Times New Roman" w:hAnsi="Times New Roman"/>
          <w:sz w:val="18"/>
          <w:szCs w:val="18"/>
          <w:color w:val="auto"/>
        </w:rPr>
      </w:pPr>
    </w:p>
    <w:p>
      <w:pPr>
        <w:ind w:left="2240" w:hanging="747"/>
        <w:spacing w:after="0"/>
        <w:tabs>
          <w:tab w:leader="none" w:pos="2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9" w:lineRule="exact"/>
        <w:rPr>
          <w:rFonts w:ascii="Times New Roman" w:cs="Times New Roman" w:eastAsia="Times New Roman" w:hAnsi="Times New Roman"/>
          <w:sz w:val="18"/>
          <w:szCs w:val="18"/>
          <w:color w:val="auto"/>
        </w:rPr>
      </w:pPr>
    </w:p>
    <w:p>
      <w:pPr>
        <w:jc w:val="both"/>
        <w:ind w:left="2620" w:hanging="371"/>
        <w:spacing w:after="0" w:line="250" w:lineRule="auto"/>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71"/>
        <w:spacing w:after="0" w:line="250" w:lineRule="auto"/>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but continues to make interest payments.</w:t>
      </w:r>
    </w:p>
    <w:p>
      <w:pPr>
        <w:spacing w:after="0" w:line="9"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71"/>
        <w:spacing w:after="0" w:line="250" w:lineRule="auto"/>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71"/>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ind w:left="2240" w:hanging="747"/>
        <w:spacing w:after="0"/>
        <w:tabs>
          <w:tab w:leader="none" w:pos="2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2620" w:hanging="371"/>
        <w:spacing w:after="0" w:line="250" w:lineRule="auto"/>
        <w:tabs>
          <w:tab w:leader="none" w:pos="2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these weaknesses make collection or liquidation in full based on existing conditions improbable.</w:t>
      </w:r>
    </w:p>
    <w:p>
      <w:pPr>
        <w:ind w:left="2620" w:hanging="371"/>
        <w:spacing w:after="0" w:line="250" w:lineRule="auto"/>
        <w:tabs>
          <w:tab w:leader="none" w:pos="2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71"/>
        <w:spacing w:after="0" w:line="250" w:lineRule="auto"/>
        <w:tabs>
          <w:tab w:leader="none" w:pos="2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Times New Roman" w:cs="Times New Roman" w:eastAsia="Times New Roman" w:hAnsi="Times New Roman"/>
          <w:sz w:val="18"/>
          <w:szCs w:val="18"/>
          <w:color w:val="auto"/>
        </w:rPr>
      </w:pPr>
    </w:p>
    <w:p>
      <w:pPr>
        <w:jc w:val="both"/>
        <w:ind w:left="2240" w:hanging="747"/>
        <w:spacing w:after="0" w:line="253" w:lineRule="auto"/>
        <w:tabs>
          <w:tab w:leader="none" w:pos="2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40" w:right="3460" w:hanging="1325"/>
        <w:spacing w:after="0" w:line="814" w:lineRule="auto"/>
        <w:tabs>
          <w:tab w:leader="none" w:pos="43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47"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net of deferred fees and costs, based on the most recent analysis performed as of September 30, 2020 (Refer to the table in the COVID-19 section for deferrals impacted by the Coronavirus Aid, Relief and Economic Security Act (CARES Act.)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8"/>
        </w:trPr>
        <w:tc>
          <w:tcPr>
            <w:tcW w:w="3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Agricultural</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Commercial</w:t>
            </w:r>
          </w:p>
        </w:tc>
        <w:tc>
          <w:tcPr>
            <w:tcW w:w="12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12,929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89,381</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38,127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164,410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26,846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4,716</w:t>
            </w:r>
          </w:p>
        </w:tc>
      </w:tr>
      <w:tr>
        <w:trPr>
          <w:trHeight w:val="229"/>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402,362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4,314</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192,577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103,476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593,936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235,793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9,030</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1"/>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3,844</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33,951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131,780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19,790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3,168</w:t>
            </w:r>
          </w:p>
        </w:tc>
      </w:tr>
      <w:tr>
        <w:trPr>
          <w:trHeight w:val="229"/>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5,146</w:t>
            </w:r>
          </w:p>
        </w:tc>
      </w:tr>
      <w:tr>
        <w:trPr>
          <w:trHeight w:val="230"/>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198,859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111,949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550,082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135,695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8,314</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9"/>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2020 and December 31, 2019.</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8"/>
        </w:trPr>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Consumer</w:t>
            </w:r>
          </w:p>
        </w:tc>
      </w:tr>
      <w:tr>
        <w:trPr>
          <w:trHeight w:val="234"/>
        </w:trPr>
        <w:tc>
          <w:tcPr>
            <w:tcW w:w="2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Real Estate</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8"/>
              </w:rPr>
              <w:t>Real Estate</w:t>
            </w:r>
          </w:p>
        </w:tc>
      </w:tr>
      <w:tr>
        <w:trPr>
          <w:trHeight w:val="205"/>
        </w:trPr>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gridSpan w:val="5"/>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40" w:type="dxa"/>
            <w:vAlign w:val="bottom"/>
          </w:tcPr>
          <w:p>
            <w:pPr>
              <w:spacing w:after="0"/>
              <w:rPr>
                <w:sz w:val="17"/>
                <w:szCs w:val="17"/>
                <w:color w:val="auto"/>
              </w:rPr>
            </w:pPr>
          </w:p>
        </w:tc>
        <w:tc>
          <w:tcPr>
            <w:tcW w:w="120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20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3"/>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Grade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Pass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172,132</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160,930</w:t>
            </w:r>
          </w:p>
        </w:tc>
      </w:tr>
      <w:tr>
        <w:trPr>
          <w:trHeight w:val="229"/>
        </w:trPr>
        <w:tc>
          <w:tcPr>
            <w:tcW w:w="2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Special Mention (5)</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Substandard (6)</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29"/>
        </w:trPr>
        <w:tc>
          <w:tcPr>
            <w:tcW w:w="2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Doubtful (7)</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6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164,691</w:t>
            </w:r>
          </w:p>
        </w:tc>
      </w:tr>
      <w:tr>
        <w:trPr>
          <w:trHeight w:val="20"/>
        </w:trPr>
        <w:tc>
          <w:tcPr>
            <w:tcW w:w="2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96"/>
        </w:trPr>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8"/>
                <w:szCs w:val="18"/>
                <w:color w:val="auto"/>
              </w:rPr>
              <w:t>Consumer - Credit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8"/>
                <w:szCs w:val="18"/>
                <w:color w:val="auto"/>
              </w:rPr>
              <w:t>Consumer - Other</w:t>
            </w:r>
          </w:p>
        </w:tc>
      </w:tr>
      <w:tr>
        <w:trPr>
          <w:trHeight w:val="205"/>
        </w:trPr>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c>
          <w:tcPr>
            <w:tcW w:w="10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0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49,868</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44,831</w:t>
            </w:r>
          </w:p>
        </w:tc>
      </w:tr>
      <w:tr>
        <w:trPr>
          <w:trHeight w:val="229"/>
        </w:trPr>
        <w:tc>
          <w:tcPr>
            <w:tcW w:w="2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2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50,025</w:t>
            </w: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45,318</w:t>
            </w:r>
          </w:p>
        </w:tc>
      </w:tr>
      <w:tr>
        <w:trPr>
          <w:trHeight w:val="20"/>
        </w:trPr>
        <w:tc>
          <w:tcPr>
            <w:tcW w:w="2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about impaired loans as of September 30, 2020, December 31, 2019 and September 30, 2019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10"/>
              <w:spacing w:after="0" w:line="205" w:lineRule="exact"/>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impaired loans</w:t>
            </w: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15,259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Valuation allowance related to impaired loans</w:t>
            </w: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7,870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loans past-due ninety days or more and</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still accruing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average investment in impaired</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13,517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Year to date average investment in impaired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$1.2 million additional funds available to be advanced in connection with impaired loans as of September 30, 2020.</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Bank had approximately $6.4 million of its impaired loans classified as troubled debt restructured (TDR) as of September 30, 2020, $1.0 million as of December 31, 2019 and $1.1 million as of September 30, 2019.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8"/>
          <w:szCs w:val="18"/>
          <w:color w:val="auto"/>
        </w:rPr>
        <w:t>Modification programs focused on payment pattern changes and/or modified maturity dates with most receiving a combination of the two concessions. The modifications did not result in the contractual forgiveness of principal. In 2020, two loans resulted in payment changes from a monthly payment to principal and interest at maturity on June 19, 2020. One loan was paid off in May with the other loan past due and in the foreclosure process. In the second quarter of 2020, three loans had a rate concession along with the amortization extended. During the third quarter of 2020, one loan was modified with a rate concession. All interest was paid current at the time of the modifications. Consequently, the financial impact of the modifications was immaterial to the ALLL. During the year to date 2020, there were 6 new loans considered TDR with one of the loans subsequently paid off in May. There were 5 new loans considered TDR year to date 2019</w:t>
      </w:r>
      <w:r>
        <w:rPr>
          <w:rFonts w:ascii="Courier New" w:cs="Courier New" w:eastAsia="Courier New" w:hAnsi="Courier New"/>
          <w:sz w:val="18"/>
          <w:szCs w:val="18"/>
          <w:color w:val="auto"/>
        </w:rPr>
        <w:t>.</w:t>
      </w:r>
      <w:r>
        <w:rPr>
          <w:rFonts w:ascii="Times New Roman" w:cs="Times New Roman" w:eastAsia="Times New Roman" w:hAnsi="Times New Roman"/>
          <w:sz w:val="18"/>
          <w:szCs w:val="18"/>
          <w:color w:val="auto"/>
        </w:rPr>
        <w:t xml:space="preserve"> The following tables represents three and nine months ended September 30, 2020 and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Post-</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Post-</w:t>
            </w:r>
          </w:p>
        </w:tc>
      </w:tr>
      <w:tr>
        <w:trPr>
          <w:trHeight w:val="229"/>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w:t>
            </w:r>
          </w:p>
        </w:tc>
        <w:tc>
          <w:tcPr>
            <w:tcW w:w="38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4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Modification</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w:t>
            </w:r>
          </w:p>
        </w:tc>
        <w:tc>
          <w:tcPr>
            <w:tcW w:w="40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Modification</w:t>
            </w:r>
          </w:p>
        </w:tc>
      </w:tr>
      <w:tr>
        <w:trPr>
          <w:trHeight w:val="229"/>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Contracts</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Outstanding</w:t>
            </w:r>
          </w:p>
        </w:tc>
        <w:tc>
          <w:tcPr>
            <w:tcW w:w="1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Contracts</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Modified in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Modified 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Recorded</w:t>
            </w: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r>
      <w:tr>
        <w:trPr>
          <w:trHeight w:val="194"/>
        </w:trPr>
        <w:tc>
          <w:tcPr>
            <w:tcW w:w="1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7"/>
              </w:rPr>
              <w:t>Debt</w:t>
            </w:r>
          </w:p>
        </w:tc>
        <w:tc>
          <w:tcPr>
            <w:tcW w:w="160" w:type="dxa"/>
            <w:vAlign w:val="bottom"/>
          </w:tcPr>
          <w:p>
            <w:pPr>
              <w:spacing w:after="0"/>
              <w:rPr>
                <w:sz w:val="16"/>
                <w:szCs w:val="16"/>
                <w:color w:val="auto"/>
              </w:rPr>
            </w:pPr>
          </w:p>
        </w:tc>
        <w:tc>
          <w:tcPr>
            <w:tcW w:w="7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Last Three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4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1"/>
              </w:rPr>
              <w:t>Debt</w:t>
            </w:r>
          </w:p>
        </w:tc>
        <w:tc>
          <w:tcPr>
            <w:tcW w:w="200" w:type="dxa"/>
            <w:vAlign w:val="bottom"/>
          </w:tcPr>
          <w:p>
            <w:pPr>
              <w:spacing w:after="0"/>
              <w:rPr>
                <w:sz w:val="16"/>
                <w:szCs w:val="16"/>
                <w:color w:val="auto"/>
              </w:rPr>
            </w:pPr>
          </w:p>
        </w:tc>
        <w:tc>
          <w:tcPr>
            <w:tcW w:w="102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9"/>
              </w:rPr>
              <w:t>Last Nine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5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Months</w:t>
            </w:r>
          </w:p>
        </w:tc>
        <w:tc>
          <w:tcPr>
            <w:tcW w:w="280" w:type="dxa"/>
            <w:vAlign w:val="bottom"/>
          </w:tcPr>
          <w:p>
            <w:pPr>
              <w:spacing w:after="0"/>
              <w:rPr>
                <w:sz w:val="17"/>
                <w:szCs w:val="17"/>
                <w:color w:val="auto"/>
              </w:rPr>
            </w:pPr>
          </w:p>
        </w:tc>
        <w:tc>
          <w:tcPr>
            <w:tcW w:w="1180" w:type="dxa"/>
            <w:vAlign w:val="bottom"/>
            <w:gridSpan w:val="4"/>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48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16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1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 Real Estate</w:t>
            </w:r>
          </w:p>
        </w:tc>
        <w:tc>
          <w:tcPr>
            <w:tcW w:w="38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 Real Estate</w:t>
            </w:r>
          </w:p>
        </w:tc>
        <w:tc>
          <w:tcPr>
            <w:tcW w:w="40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5,380</w:t>
            </w:r>
          </w:p>
        </w:tc>
      </w:tr>
      <w:tr>
        <w:trPr>
          <w:trHeight w:val="211"/>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80" w:type="dxa"/>
            <w:vAlign w:val="bottom"/>
          </w:tcPr>
          <w:p>
            <w:pPr>
              <w:spacing w:after="0"/>
              <w:rPr>
                <w:sz w:val="20"/>
                <w:szCs w:val="20"/>
                <w:color w:val="auto"/>
              </w:rPr>
            </w:pP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400" w:type="dxa"/>
            <w:vAlign w:val="bottom"/>
          </w:tcPr>
          <w:p>
            <w:pPr>
              <w:spacing w:after="0"/>
              <w:rPr>
                <w:sz w:val="20"/>
                <w:szCs w:val="20"/>
                <w:color w:val="auto"/>
              </w:rPr>
            </w:pP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1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40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r>
      <w:tr>
        <w:trPr>
          <w:trHeight w:val="886"/>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Post-</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Post-</w:t>
            </w: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w:t>
            </w:r>
          </w:p>
        </w:tc>
        <w:tc>
          <w:tcPr>
            <w:tcW w:w="38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4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Modification</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w:t>
            </w:r>
          </w:p>
        </w:tc>
        <w:tc>
          <w:tcPr>
            <w:tcW w:w="400" w:type="dxa"/>
            <w:vAlign w:val="bottom"/>
          </w:tcPr>
          <w:p>
            <w:pPr>
              <w:spacing w:after="0"/>
              <w:rPr>
                <w:sz w:val="19"/>
                <w:szCs w:val="19"/>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Modification</w:t>
            </w: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Contracts</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Outstanding</w:t>
            </w:r>
          </w:p>
        </w:tc>
        <w:tc>
          <w:tcPr>
            <w:tcW w:w="1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Contracts</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Modified in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Modified 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Recorded</w:t>
            </w: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r>
      <w:tr>
        <w:trPr>
          <w:trHeight w:val="194"/>
        </w:trPr>
        <w:tc>
          <w:tcPr>
            <w:tcW w:w="1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7"/>
              </w:rPr>
              <w:t>Debt</w:t>
            </w:r>
          </w:p>
        </w:tc>
        <w:tc>
          <w:tcPr>
            <w:tcW w:w="160" w:type="dxa"/>
            <w:vAlign w:val="bottom"/>
          </w:tcPr>
          <w:p>
            <w:pPr>
              <w:spacing w:after="0"/>
              <w:rPr>
                <w:sz w:val="16"/>
                <w:szCs w:val="16"/>
                <w:color w:val="auto"/>
              </w:rPr>
            </w:pPr>
          </w:p>
        </w:tc>
        <w:tc>
          <w:tcPr>
            <w:tcW w:w="7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Last Three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4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1"/>
              </w:rPr>
              <w:t>Debt</w:t>
            </w:r>
          </w:p>
        </w:tc>
        <w:tc>
          <w:tcPr>
            <w:tcW w:w="200" w:type="dxa"/>
            <w:vAlign w:val="bottom"/>
          </w:tcPr>
          <w:p>
            <w:pPr>
              <w:spacing w:after="0"/>
              <w:rPr>
                <w:sz w:val="16"/>
                <w:szCs w:val="16"/>
                <w:color w:val="auto"/>
              </w:rPr>
            </w:pPr>
          </w:p>
        </w:tc>
        <w:tc>
          <w:tcPr>
            <w:tcW w:w="102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9"/>
              </w:rPr>
              <w:t>Last Nine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5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Months</w:t>
            </w:r>
          </w:p>
        </w:tc>
        <w:tc>
          <w:tcPr>
            <w:tcW w:w="280" w:type="dxa"/>
            <w:vAlign w:val="bottom"/>
          </w:tcPr>
          <w:p>
            <w:pPr>
              <w:spacing w:after="0"/>
              <w:rPr>
                <w:sz w:val="17"/>
                <w:szCs w:val="17"/>
                <w:color w:val="auto"/>
              </w:rPr>
            </w:pPr>
          </w:p>
        </w:tc>
        <w:tc>
          <w:tcPr>
            <w:tcW w:w="1180" w:type="dxa"/>
            <w:vAlign w:val="bottom"/>
            <w:gridSpan w:val="4"/>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48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16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74</w:t>
            </w:r>
          </w:p>
        </w:tc>
        <w:tc>
          <w:tcPr>
            <w:tcW w:w="1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 Real Estate</w:t>
            </w:r>
          </w:p>
        </w:tc>
        <w:tc>
          <w:tcPr>
            <w:tcW w:w="38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 Real Estate</w:t>
            </w:r>
          </w:p>
        </w:tc>
        <w:tc>
          <w:tcPr>
            <w:tcW w:w="40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80" w:type="dxa"/>
            <w:vAlign w:val="bottom"/>
          </w:tcPr>
          <w:p>
            <w:pPr>
              <w:spacing w:after="0"/>
              <w:rPr>
                <w:sz w:val="20"/>
                <w:szCs w:val="20"/>
                <w:color w:val="auto"/>
              </w:rPr>
            </w:pP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400" w:type="dxa"/>
            <w:vAlign w:val="bottom"/>
          </w:tcPr>
          <w:p>
            <w:pPr>
              <w:spacing w:after="0"/>
              <w:rPr>
                <w:sz w:val="20"/>
                <w:szCs w:val="20"/>
                <w:color w:val="auto"/>
              </w:rPr>
            </w:pPr>
          </w:p>
        </w:tc>
        <w:tc>
          <w:tcPr>
            <w:tcW w:w="12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1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40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three and nine month periods ended September 30, 2020 and 2019, there were no TDRs that subsequently defaulted after modification.</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For the nine month period ended September 30, 2020, there was one impaired commercial real estate loan of $481 thousand that was classified as TDR paid off. There were no impaired loans classified as TDR paid off for the nine month period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right="3460" w:hanging="1325"/>
        <w:spacing w:after="0" w:line="532" w:lineRule="auto"/>
        <w:tabs>
          <w:tab w:leader="none" w:pos="43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56"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4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loans individually evaluated for impairment by class of loans for the three and nine months ended September 30, 2020 and September 30, 2019 and for the year ended 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QTD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September 30, 2020</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NOTE 4 LOANS (Continued)</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QTD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QTD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September 30, 2019</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Unpaid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Principal</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10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2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YTD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YTD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$71 thousand foreclosed residential real estate property obtained by physical possession and $849 thousand of consumer mortgage loans secured by residential real estate properties for which foreclosure proceedings are in process according to local jurisdictions. As of September 30, 2019, the Company had $187 thousand of foreclosed residential real estate property obtained by physical possession and $379 thousand of consumer mortgage loans secured by residential real estate properties for which foreclosure proceedings were in process according to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09"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5"/>
        </w:trPr>
        <w:tc>
          <w:tcPr>
            <w:tcW w:w="5220" w:type="dxa"/>
            <w:vAlign w:val="bottom"/>
          </w:tcPr>
          <w:p>
            <w:pPr>
              <w:spacing w:after="0"/>
              <w:rPr>
                <w:sz w:val="17"/>
                <w:szCs w:val="17"/>
                <w:color w:val="auto"/>
              </w:rPr>
            </w:pPr>
          </w:p>
        </w:tc>
        <w:tc>
          <w:tcPr>
            <w:tcW w:w="1340" w:type="dxa"/>
            <w:vAlign w:val="bottom"/>
            <w:gridSpan w:val="3"/>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auto"/>
                <w:w w:val="99"/>
              </w:rPr>
              <w:t>Nine Months</w:t>
            </w:r>
          </w:p>
        </w:tc>
        <w:tc>
          <w:tcPr>
            <w:tcW w:w="1300" w:type="dxa"/>
            <w:vAlign w:val="bottom"/>
            <w:gridSpan w:val="2"/>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8"/>
              </w:rPr>
              <w:t>Twelve Months</w:t>
            </w:r>
          </w:p>
        </w:tc>
      </w:tr>
      <w:tr>
        <w:trPr>
          <w:trHeight w:val="230"/>
        </w:trPr>
        <w:tc>
          <w:tcPr>
            <w:tcW w:w="5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5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Loan &amp; Lease Losses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6,775</w:t>
            </w:r>
          </w:p>
        </w:tc>
      </w:tr>
      <w:tr>
        <w:trPr>
          <w:trHeight w:val="229"/>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loan loss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charged off</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Loan &amp; Lease Losses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7,228</w:t>
            </w:r>
          </w:p>
        </w:tc>
      </w:tr>
      <w:tr>
        <w:trPr>
          <w:trHeight w:val="205"/>
        </w:trPr>
        <w:tc>
          <w:tcPr>
            <w:tcW w:w="52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Allowance for Unfunded Loan Commitments &amp;</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34"/>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Letters of Credit</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12,516</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7,707</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8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ALLL does not include an accretable yield of $1.7 million and $2.0 million as September 30, 2020 and December 31, 2019 related to the acquisition of Bank of Geneva as previously discussed in Note 2.</w:t>
      </w:r>
    </w:p>
    <w:p>
      <w:pPr>
        <w:spacing w:after="0" w:line="13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right="3460" w:hanging="1325"/>
        <w:spacing w:after="0" w:line="814" w:lineRule="auto"/>
        <w:tabs>
          <w:tab w:leader="none" w:pos="43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Additional analysis, presented in thousands, related to the allowance for credit losses for the three and nine months ended September 30, 2020 and</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September 30, 2019 in addition to the ending balances as of December 31, 2019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Unfunded</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Loan</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Commitment</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&amp; Letters of</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Industrial</w:t>
            </w:r>
          </w:p>
        </w:tc>
        <w:tc>
          <w:tcPr>
            <w:tcW w:w="9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20"/>
                <w:szCs w:val="20"/>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Credit</w:t>
            </w:r>
          </w:p>
        </w:tc>
        <w:tc>
          <w:tcPr>
            <w:tcW w:w="10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720" w:type="dxa"/>
            <w:vAlign w:val="bottom"/>
            <w:tcBorders>
              <w:top w:val="single" w:sz="8" w:color="CFF0FC"/>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6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1,036</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4,458</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w:t>
            </w:r>
          </w:p>
        </w:tc>
        <w:tc>
          <w:tcPr>
            <w:tcW w:w="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10,538</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1"/>
        </w:trPr>
        <w:tc>
          <w:tcPr>
            <w:tcW w:w="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5,735</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3,272</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192"/>
        </w:trPr>
        <w:tc>
          <w:tcPr>
            <w:tcW w:w="7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000" w:type="dxa"/>
            <w:vAlign w:val="bottom"/>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tcBorders>
              <w:right w:val="single" w:sz="8" w:color="auto"/>
            </w:tcBorders>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6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641</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5,691</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2,621</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11,318</w:t>
            </w:r>
          </w:p>
        </w:tc>
        <w:tc>
          <w:tcPr>
            <w:tcW w:w="0" w:type="dxa"/>
            <w:vAlign w:val="bottom"/>
          </w:tcPr>
          <w:p>
            <w:pPr>
              <w:spacing w:after="0"/>
              <w:rPr>
                <w:sz w:val="1"/>
                <w:szCs w:val="1"/>
                <w:color w:val="auto"/>
              </w:rPr>
            </w:pPr>
          </w:p>
        </w:tc>
      </w:tr>
      <w:tr>
        <w:trPr>
          <w:trHeight w:val="192"/>
        </w:trPr>
        <w:tc>
          <w:tcPr>
            <w:tcW w:w="172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 balance: 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right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175,595</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192,577</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103,476</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593,936</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244,823</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53,455</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1,363,862</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7,014</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3,219</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3,295</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192"/>
        </w:trPr>
        <w:tc>
          <w:tcPr>
            <w:tcW w:w="72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000" w:type="dxa"/>
            <w:vAlign w:val="bottom"/>
            <w:tcBorders>
              <w:top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right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174,567</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185,563</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102,755</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590,717</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241,528</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53,339</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1,348,469</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320" w:type="dxa"/>
            <w:vAlign w:val="bottom"/>
            <w:gridSpan w:val="10"/>
          </w:tcPr>
          <w:p>
            <w:pPr>
              <w:ind w:left="480"/>
              <w:spacing w:after="0"/>
              <w:rPr>
                <w:sz w:val="20"/>
                <w:szCs w:val="20"/>
                <w:color w:val="auto"/>
              </w:rPr>
            </w:pPr>
            <w:r>
              <w:rPr>
                <w:rFonts w:ascii="Times New Roman" w:cs="Times New Roman" w:eastAsia="Times New Roman" w:hAnsi="Times New Roman"/>
                <w:sz w:val="18"/>
                <w:szCs w:val="18"/>
                <w:color w:val="auto"/>
              </w:rPr>
              <w:t>NOTE 4 LOANS (Continued)</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Unfunded</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Commitment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4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&amp; Letters of</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gridSpan w:val="4"/>
            <w:vMerge w:val="continue"/>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Industrial</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Consumer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Credit</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Unallocated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380" w:type="dxa"/>
            <w:vAlign w:val="bottom"/>
            <w:tcBorders>
              <w:top w:val="single" w:sz="8" w:color="CFF0FC"/>
            </w:tcBorders>
            <w:gridSpan w:val="3"/>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ALLOWANCE</w:t>
            </w:r>
          </w:p>
        </w:tc>
        <w:tc>
          <w:tcPr>
            <w:tcW w:w="520" w:type="dxa"/>
            <w:vAlign w:val="bottom"/>
            <w:tcBorders>
              <w:top w:val="single" w:sz="8" w:color="CFF0FC"/>
            </w:tcBorders>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FOR</w:t>
            </w: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w w:val="99"/>
              </w:rPr>
              <w:t>Ending Balance</w:t>
            </w:r>
          </w:p>
        </w:tc>
        <w:tc>
          <w:tcPr>
            <w:tcW w:w="22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5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evaluated</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collectively evaluated for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6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720" w:type="dxa"/>
            <w:vAlign w:val="bottom"/>
            <w:tcBorders>
              <w:top w:val="single" w:sz="8" w:color="CFF0FC"/>
            </w:tcBorders>
            <w:gridSpan w:val="2"/>
            <w:shd w:val="clear" w:color="auto" w:fill="CFF0FC"/>
          </w:tcPr>
          <w:p>
            <w:pPr>
              <w:ind w:left="4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520" w:type="dxa"/>
            <w:vAlign w:val="bottom"/>
            <w:tcBorders>
              <w:top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loans</w:t>
            </w: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deteriorated</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quality</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164,691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550,082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49,409</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1,218,999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evaluated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6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50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CFF0FC"/>
            </w:tcBorders>
            <w:gridSpan w:val="2"/>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 for</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163,816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198,859</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549,783</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142,694</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49,376</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1,215,786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720" w:type="dxa"/>
            <w:vAlign w:val="bottom"/>
            <w:tcBorders>
              <w:top w:val="single" w:sz="8" w:color="CFF0FC"/>
              <w:bottom w:val="single" w:sz="8" w:color="CFF0FC"/>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balance:</w:t>
            </w:r>
          </w:p>
        </w:tc>
        <w:tc>
          <w:tcPr>
            <w:tcW w:w="5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loans</w:t>
            </w: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deteriorated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credit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6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color w:val="auto"/>
              </w:rPr>
              <w:t>NOTE 4 LOANS (Continued)</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Unfunded</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Loan</w:t>
            </w: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Commitment</w:t>
            </w: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&amp; Letters of</w:t>
            </w: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4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and Industrial</w:t>
            </w:r>
          </w:p>
        </w:tc>
        <w:tc>
          <w:tcPr>
            <w:tcW w:w="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Credit</w:t>
            </w:r>
          </w:p>
        </w:tc>
        <w:tc>
          <w:tcPr>
            <w:tcW w:w="11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Unallocated</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840" w:type="dxa"/>
            <w:vAlign w:val="bottom"/>
            <w:gridSpan w:val="3"/>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3,320</w:t>
            </w: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48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29"/>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tcBorders>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1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1"/>
        </w:trPr>
        <w:tc>
          <w:tcPr>
            <w:tcW w:w="18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Non-interest</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5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Borders>
              <w:left w:val="single" w:sz="8" w:color="auto"/>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12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3,305</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60" w:type="dxa"/>
            <w:vAlign w:val="bottom"/>
            <w:gridSpan w:val="2"/>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tcBorders>
              <w:left w:val="single" w:sz="8" w:color="auto"/>
            </w:tcBorders>
            <w:shd w:val="clear" w:color="auto" w:fill="CFF0FC"/>
          </w:tcPr>
          <w:p>
            <w:pPr>
              <w:spacing w:after="0"/>
              <w:rPr>
                <w:sz w:val="16"/>
                <w:szCs w:val="16"/>
                <w:color w:val="auto"/>
              </w:rPr>
            </w:pPr>
          </w:p>
        </w:tc>
        <w:tc>
          <w:tcPr>
            <w:tcW w:w="62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56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3,305</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7,002</w:t>
            </w: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700" w:type="dxa"/>
            <w:vAlign w:val="bottom"/>
            <w:shd w:val="clear" w:color="auto" w:fill="CFF0FC"/>
          </w:tcPr>
          <w:p>
            <w:pPr>
              <w:ind w:left="6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560" w:type="dxa"/>
            <w:vAlign w:val="bottom"/>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tcBorders>
              <w:left w:val="single" w:sz="8" w:color="auto"/>
            </w:tcBorders>
            <w:shd w:val="clear" w:color="auto" w:fill="CFF0FC"/>
          </w:tcPr>
          <w:p>
            <w:pPr>
              <w:spacing w:after="0"/>
              <w:rPr>
                <w:sz w:val="16"/>
                <w:szCs w:val="16"/>
                <w:color w:val="auto"/>
              </w:rPr>
            </w:pPr>
          </w:p>
        </w:tc>
        <w:tc>
          <w:tcPr>
            <w:tcW w:w="62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deteriorated</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7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158,458</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200,625</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110,405</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501,095</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138,395</w:t>
            </w:r>
          </w:p>
        </w:tc>
        <w:tc>
          <w:tcPr>
            <w:tcW w:w="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49,718</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1,158,696</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56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60" w:type="dxa"/>
            <w:vAlign w:val="bottom"/>
            <w:gridSpan w:val="2"/>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tcBorders>
              <w:left w:val="single" w:sz="8" w:color="auto"/>
            </w:tcBorders>
            <w:shd w:val="clear" w:color="auto" w:fill="CFF0FC"/>
          </w:tcPr>
          <w:p>
            <w:pPr>
              <w:spacing w:after="0"/>
              <w:rPr>
                <w:sz w:val="16"/>
                <w:szCs w:val="16"/>
                <w:color w:val="auto"/>
              </w:rPr>
            </w:pPr>
          </w:p>
        </w:tc>
        <w:tc>
          <w:tcPr>
            <w:tcW w:w="62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157,659</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200,219</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110,037</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500,791</w:t>
            </w:r>
          </w:p>
        </w:tc>
        <w:tc>
          <w:tcPr>
            <w:tcW w:w="3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136,997</w:t>
            </w:r>
          </w:p>
        </w:tc>
        <w:tc>
          <w:tcPr>
            <w:tcW w:w="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49,718</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1,155,421</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balance:</w:t>
            </w: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deteriorated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0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NOTE 4 LOANS (Continued)</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Unfunded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Loan</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Commitment</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2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&amp; Letters of</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10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2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and Industrial</w:t>
            </w:r>
          </w:p>
        </w:tc>
        <w:tc>
          <w:tcPr>
            <w:tcW w:w="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760" w:type="dxa"/>
            <w:vAlign w:val="bottom"/>
            <w:tcBorders>
              <w:top w:val="single" w:sz="8" w:color="CFF0FC"/>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Non-interest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FF0FC"/>
            </w:tcBorders>
          </w:tcPr>
          <w:p>
            <w:pPr>
              <w:spacing w:after="0"/>
              <w:rPr>
                <w:sz w:val="22"/>
                <w:szCs w:val="22"/>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7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040" w:type="dxa"/>
            <w:vAlign w:val="bottom"/>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tcBorders>
              <w:lef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6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76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 balance: loans</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tcBorders>
              <w:lef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deteriorated credit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175,595</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192,577</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103,476</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593,936</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244,823</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1,363,862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6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040" w:type="dxa"/>
            <w:vAlign w:val="bottom"/>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tcBorders>
              <w:lef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174,567</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185,563</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102,755</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590,717</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241,528</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53,339</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1,348,469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 loans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deteriorated credit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4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Unfunded</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Loan</w:t>
            </w: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Commitment</w:t>
            </w: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&amp; Letters of</w:t>
            </w: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10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and Industrial</w:t>
            </w:r>
          </w:p>
        </w:tc>
        <w:tc>
          <w:tcPr>
            <w:tcW w:w="9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Credit</w:t>
            </w:r>
          </w:p>
        </w:tc>
        <w:tc>
          <w:tcPr>
            <w:tcW w:w="110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Unallocated</w:t>
            </w:r>
          </w:p>
        </w:tc>
        <w:tc>
          <w:tcPr>
            <w:tcW w:w="14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800" w:type="dxa"/>
            <w:vAlign w:val="bottom"/>
            <w:tcBorders>
              <w:top w:val="single" w:sz="8" w:color="CFF0FC"/>
            </w:tcBorders>
            <w:gridSpan w:val="3"/>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left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tcBorders>
              <w:left w:val="single" w:sz="8" w:color="auto"/>
            </w:tcBorders>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FF0FC"/>
          </w:tcPr>
          <w:p>
            <w:pPr>
              <w:spacing w:after="0"/>
              <w:rPr>
                <w:sz w:val="19"/>
                <w:szCs w:val="19"/>
                <w:color w:val="auto"/>
              </w:rPr>
            </w:pPr>
          </w:p>
        </w:tc>
        <w:tc>
          <w:tcPr>
            <w:tcW w:w="40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1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tcBorders>
              <w:left w:val="single" w:sz="8" w:color="auto"/>
            </w:tcBorders>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4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20"/>
                <w:szCs w:val="20"/>
                <w:color w:val="auto"/>
              </w:rPr>
            </w:pPr>
          </w:p>
        </w:tc>
        <w:tc>
          <w:tcPr>
            <w:tcW w:w="400" w:type="dxa"/>
            <w:vAlign w:val="bottom"/>
            <w:tcBorders>
              <w:left w:val="single" w:sz="8" w:color="auto"/>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FF0FC"/>
              <w:right w:val="single" w:sz="8" w:color="auto"/>
            </w:tcBorders>
          </w:tcPr>
          <w:p>
            <w:pPr>
              <w:spacing w:after="0"/>
              <w:rPr>
                <w:sz w:val="22"/>
                <w:szCs w:val="22"/>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bottom w:val="single" w:sz="8" w:color="CFF0FC"/>
            </w:tcBorders>
          </w:tcPr>
          <w:p>
            <w:pPr>
              <w:spacing w:after="0"/>
              <w:rPr>
                <w:sz w:val="22"/>
                <w:szCs w:val="22"/>
                <w:color w:val="auto"/>
              </w:rPr>
            </w:pPr>
          </w:p>
        </w:tc>
        <w:tc>
          <w:tcPr>
            <w:tcW w:w="4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tcBorders>
              <w:left w:val="single" w:sz="8" w:color="auto"/>
            </w:tcBorders>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for impairment</w:t>
            </w:r>
          </w:p>
        </w:tc>
        <w:tc>
          <w:tcPr>
            <w:tcW w:w="4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0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for impairment</w:t>
            </w:r>
          </w:p>
        </w:tc>
        <w:tc>
          <w:tcPr>
            <w:tcW w:w="46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3"/>
                <w:szCs w:val="23"/>
                <w:color w:val="auto"/>
              </w:rPr>
            </w:pPr>
          </w:p>
        </w:tc>
        <w:tc>
          <w:tcPr>
            <w:tcW w:w="4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0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740" w:type="dxa"/>
            <w:vAlign w:val="bottom"/>
            <w:tcBorders>
              <w:top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460" w:type="dxa"/>
            <w:vAlign w:val="bottom"/>
            <w:tcBorders>
              <w:top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0" w:type="dxa"/>
            <w:vAlign w:val="bottom"/>
            <w:tcBorders>
              <w:top w:val="single" w:sz="8" w:color="auto"/>
              <w:left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deteriorated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7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0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4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3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158,458</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200,625</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110,405</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501,095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1,158,696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for impairment</w:t>
            </w:r>
          </w:p>
        </w:tc>
        <w:tc>
          <w:tcPr>
            <w:tcW w:w="46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0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tcBorders>
              <w:top w:val="single" w:sz="8" w:color="CFF0FC"/>
            </w:tcBorders>
            <w:gridSpan w:val="2"/>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0" w:type="dxa"/>
            <w:vAlign w:val="bottom"/>
            <w:tcBorders>
              <w:top w:val="single" w:sz="8" w:color="auto"/>
              <w:left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for impairment</w:t>
            </w:r>
          </w:p>
        </w:tc>
        <w:tc>
          <w:tcPr>
            <w:tcW w:w="4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157,659</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200,219</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110,037</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500,791</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136,997</w:t>
            </w:r>
          </w:p>
        </w:tc>
        <w:tc>
          <w:tcPr>
            <w:tcW w:w="12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0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1,155,421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74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46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deteriorated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 5 EARNINGS PER SHARE</w:t>
      </w:r>
    </w:p>
    <w:p>
      <w:pPr>
        <w:spacing w:after="0" w:line="225"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54"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to be based upon the closing price for Shares on June 4, 2020 and thereafter on the first Thursday in June in each year. On June 5, 2020, each Director received 176 shares. The use of stock for Directors’ retainer, does not have an effect on diluted earnings per share as it is immediately vested.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20" w:type="dxa"/>
            <w:vAlign w:val="bottom"/>
          </w:tcPr>
          <w:p>
            <w:pPr>
              <w:spacing w:after="0"/>
              <w:rPr>
                <w:sz w:val="19"/>
                <w:szCs w:val="19"/>
                <w:color w:val="auto"/>
              </w:rPr>
            </w:pPr>
          </w:p>
        </w:tc>
        <w:tc>
          <w:tcPr>
            <w:tcW w:w="28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9"/>
                <w:szCs w:val="19"/>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13,679</w:t>
            </w:r>
          </w:p>
        </w:tc>
        <w:tc>
          <w:tcPr>
            <w:tcW w:w="0" w:type="dxa"/>
            <w:vAlign w:val="bottom"/>
          </w:tcPr>
          <w:p>
            <w:pPr>
              <w:spacing w:after="0"/>
              <w:rPr>
                <w:sz w:val="1"/>
                <w:szCs w:val="1"/>
                <w:color w:val="auto"/>
              </w:rPr>
            </w:pPr>
          </w:p>
        </w:tc>
      </w:tr>
      <w:tr>
        <w:trPr>
          <w:trHeight w:val="211"/>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12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12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26"/>
        </w:trPr>
        <w:tc>
          <w:tcPr>
            <w:tcW w:w="5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4,243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13,579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12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11,142,797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11,121,426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11,135,695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11,105,993</w:t>
            </w: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20" w:type="dxa"/>
            <w:vAlign w:val="bottom"/>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11,059,540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11,042,091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11,052,250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11,024,424</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40" w:right="3560" w:hanging="1419"/>
        <w:spacing w:after="0" w:line="814" w:lineRule="auto"/>
        <w:tabs>
          <w:tab w:leader="none" w:pos="42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Bearing Time Deposits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Securities – Available-for-sale</w:t>
      </w:r>
    </w:p>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Fair values for securities, excluding Federal Home Loan Bank stock are based on quoted market price, where available. If quoted market prices are not available, fair values are based on quoted market prices of comparable instruments.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carrying value of Federal Home Loan Bank stock of Cincinnati and Indianapolis, approximates fair value based on the redemption provisions of the respective Federal Home Loan Bank.</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Loans, net</w:t>
      </w:r>
    </w:p>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and/or the Bank’s most recent acquisition experience.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Deposits</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FHLB Advances</w:t>
      </w:r>
    </w:p>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Fair values of FHLB advances are estimated using discounted cash flow analysis based on the Company’s current incremental borrowing rates for similar types or borrowing arrangements.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Off Balance Sheet Financial Instruments</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3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September 30, 2020 and December 31, 2019 are reflected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87,753</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1,351,979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1,324,451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1,324,451</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receivable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926,851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926,899</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926,899</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264,052</w:t>
            </w:r>
          </w:p>
        </w:tc>
        <w:tc>
          <w:tcPr>
            <w:tcW w:w="10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1,521,796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1,190,951</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to repurchase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100" w:type="dxa"/>
            <w:vAlign w:val="bottom"/>
          </w:tcPr>
          <w:p>
            <w:pPr>
              <w:spacing w:after="0"/>
              <w:rPr>
                <w:sz w:val="20"/>
                <w:szCs w:val="20"/>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shd w:val="clear" w:color="auto" w:fill="CFF0FC"/>
          </w:tcPr>
          <w:p>
            <w:pPr>
              <w:spacing w:after="0"/>
              <w:rPr>
                <w:sz w:val="19"/>
                <w:szCs w:val="19"/>
                <w:color w:val="auto"/>
              </w:rPr>
            </w:pPr>
          </w:p>
        </w:tc>
      </w:tr>
      <w:tr>
        <w:trPr>
          <w:trHeight w:val="234"/>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r>
      <w:tr>
        <w:trPr>
          <w:trHeight w:val="427"/>
        </w:trPr>
        <w:tc>
          <w:tcPr>
            <w:tcW w:w="4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8"/>
          </w:tcPr>
          <w:p>
            <w:pPr>
              <w:ind w:left="150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4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December 31, 2019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1,211,771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1,188,014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1,188,014</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receivable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746,691</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746,691</w:t>
            </w: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Time deposits</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277,008</w:t>
            </w:r>
          </w:p>
        </w:tc>
        <w:tc>
          <w:tcPr>
            <w:tcW w:w="10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1,023,699</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to repurchase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48,073</w:t>
            </w:r>
          </w:p>
        </w:tc>
        <w:tc>
          <w:tcPr>
            <w:tcW w:w="100" w:type="dxa"/>
            <w:vAlign w:val="bottom"/>
          </w:tcPr>
          <w:p>
            <w:pPr>
              <w:spacing w:after="0"/>
              <w:rPr>
                <w:sz w:val="20"/>
                <w:szCs w:val="20"/>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shd w:val="clear" w:color="auto" w:fill="CFF0FC"/>
          </w:tcPr>
          <w:p>
            <w:pPr>
              <w:spacing w:after="0"/>
              <w:rPr>
                <w:sz w:val="19"/>
                <w:szCs w:val="19"/>
                <w:color w:val="auto"/>
              </w:rPr>
            </w:pPr>
          </w:p>
        </w:tc>
      </w:tr>
      <w:tr>
        <w:trPr>
          <w:trHeight w:val="234"/>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securities are valued using the quoted price and are classified as Level 1.</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5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September 30, 2020 and December 31, 2019, segregated by level or the valuation inputs within the fair value hierarchy utilized to measure fair value:</w:t>
      </w: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(In Thousands)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0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rPr>
              <w:t>Significant</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17"/>
                <w:szCs w:val="17"/>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78"/>
        </w:trPr>
        <w:tc>
          <w:tcPr>
            <w:tcW w:w="50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Significant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210,782</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nine month periods ended September 30, 2020 and September 30,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State and Local</w:t>
            </w:r>
          </w:p>
        </w:tc>
        <w:tc>
          <w:tcPr>
            <w:tcW w:w="1340" w:type="dxa"/>
            <w:vAlign w:val="bottom"/>
            <w:gridSpan w:val="3"/>
          </w:tcPr>
          <w:p>
            <w:pPr>
              <w:jc w:val="center"/>
              <w:ind w:left="9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340" w:type="dxa"/>
            <w:vAlign w:val="bottom"/>
            <w:gridSpan w:val="3"/>
          </w:tcPr>
          <w:p>
            <w:pPr>
              <w:ind w:left="20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2020</w:t>
            </w:r>
          </w:p>
        </w:tc>
        <w:tc>
          <w:tcPr>
            <w:tcW w:w="1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7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State and Local</w:t>
            </w:r>
          </w:p>
        </w:tc>
        <w:tc>
          <w:tcPr>
            <w:tcW w:w="1340" w:type="dxa"/>
            <w:vAlign w:val="bottom"/>
            <w:gridSpan w:val="3"/>
          </w:tcPr>
          <w:p>
            <w:pPr>
              <w:jc w:val="center"/>
              <w:ind w:left="9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340" w:type="dxa"/>
            <w:vAlign w:val="bottom"/>
            <w:gridSpan w:val="3"/>
          </w:tcPr>
          <w:p>
            <w:pPr>
              <w:ind w:left="20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4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State and Local</w:t>
            </w:r>
          </w:p>
        </w:tc>
        <w:tc>
          <w:tcPr>
            <w:tcW w:w="1340" w:type="dxa"/>
            <w:vAlign w:val="bottom"/>
            <w:gridSpan w:val="3"/>
          </w:tcPr>
          <w:p>
            <w:pPr>
              <w:jc w:val="center"/>
              <w:ind w:left="9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340" w:type="dxa"/>
            <w:vAlign w:val="bottom"/>
            <w:gridSpan w:val="3"/>
          </w:tcPr>
          <w:p>
            <w:pPr>
              <w:ind w:left="20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2019</w:t>
            </w:r>
          </w:p>
        </w:tc>
        <w:tc>
          <w:tcPr>
            <w:tcW w:w="1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4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State and Local</w:t>
            </w:r>
          </w:p>
        </w:tc>
        <w:tc>
          <w:tcPr>
            <w:tcW w:w="1340" w:type="dxa"/>
            <w:vAlign w:val="bottom"/>
            <w:gridSpan w:val="3"/>
          </w:tcPr>
          <w:p>
            <w:pPr>
              <w:jc w:val="center"/>
              <w:ind w:left="9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340" w:type="dxa"/>
            <w:vAlign w:val="bottom"/>
            <w:gridSpan w:val="3"/>
          </w:tcPr>
          <w:p>
            <w:pPr>
              <w:ind w:left="20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4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September 30, 2020 and December 31, 2019,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September 30, 2020 and December 31, 2019, fair value of collateral dependent impaired loans categorized as Level 3 was $8.1 million and $444 thousand, respectively. The specific allocation for impaired loans was $1.2 million and $197 thousand as of September 30, 2020 and December 31, 2019, respectively, which are accounted for in the allowance for loan losses (see Note 4).</w:t>
      </w:r>
    </w:p>
    <w:p>
      <w:pPr>
        <w:spacing w:after="0" w:line="14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18"/>
        </w:trPr>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Fair Value at</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4"/>
        </w:trPr>
        <w:tc>
          <w:tcPr>
            <w:tcW w:w="22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240" w:type="dxa"/>
            <w:vAlign w:val="bottom"/>
            <w:tcBorders>
              <w:bottom w:val="single" w:sz="8" w:color="CFF0FC"/>
            </w:tcBorders>
          </w:tcPr>
          <w:p>
            <w:pPr>
              <w:spacing w:after="0"/>
              <w:rPr>
                <w:sz w:val="20"/>
                <w:szCs w:val="20"/>
                <w:color w:val="auto"/>
              </w:rPr>
            </w:pPr>
          </w:p>
        </w:tc>
        <w:tc>
          <w:tcPr>
            <w:tcW w:w="1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Borders>
              <w:bottom w:val="single" w:sz="8" w:color="CFF0FC"/>
            </w:tcBorders>
          </w:tcPr>
          <w:p>
            <w:pPr>
              <w:spacing w:after="0"/>
              <w:rPr>
                <w:sz w:val="20"/>
                <w:szCs w:val="20"/>
                <w:color w:val="auto"/>
              </w:rPr>
            </w:pPr>
          </w:p>
        </w:tc>
        <w:tc>
          <w:tcPr>
            <w:tcW w:w="3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05"/>
        </w:trPr>
        <w:tc>
          <w:tcPr>
            <w:tcW w:w="2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Credit strength of underlying project or</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0-5%</w:t>
            </w:r>
          </w:p>
        </w:tc>
      </w:tr>
      <w:tr>
        <w:trPr>
          <w:trHeight w:val="23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Discounted Cash Flow</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entity / Discount rate</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 dependent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Collateral based</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0-50%</w:t>
            </w: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measurements</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 to reflect current</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Appraisals</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 )</w:t>
            </w:r>
          </w:p>
        </w:tc>
      </w:tr>
      <w:tr>
        <w:trPr>
          <w:trHeight w:val="715"/>
        </w:trPr>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18"/>
        </w:trPr>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Fair Value at</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4"/>
        </w:trPr>
        <w:tc>
          <w:tcPr>
            <w:tcW w:w="22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240" w:type="dxa"/>
            <w:vAlign w:val="bottom"/>
            <w:tcBorders>
              <w:bottom w:val="single" w:sz="8" w:color="CFF0FC"/>
            </w:tcBorders>
          </w:tcPr>
          <w:p>
            <w:pPr>
              <w:spacing w:after="0"/>
              <w:rPr>
                <w:sz w:val="20"/>
                <w:szCs w:val="20"/>
                <w:color w:val="auto"/>
              </w:rPr>
            </w:pPr>
          </w:p>
        </w:tc>
        <w:tc>
          <w:tcPr>
            <w:tcW w:w="1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Borders>
              <w:bottom w:val="single" w:sz="8" w:color="CFF0FC"/>
            </w:tcBorders>
          </w:tcPr>
          <w:p>
            <w:pPr>
              <w:spacing w:after="0"/>
              <w:rPr>
                <w:sz w:val="20"/>
                <w:szCs w:val="20"/>
                <w:color w:val="auto"/>
              </w:rPr>
            </w:pPr>
          </w:p>
        </w:tc>
        <w:tc>
          <w:tcPr>
            <w:tcW w:w="3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05"/>
        </w:trPr>
        <w:tc>
          <w:tcPr>
            <w:tcW w:w="2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Credit strength of underlying project or</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0-5%</w:t>
            </w:r>
          </w:p>
        </w:tc>
      </w:tr>
      <w:tr>
        <w:trPr>
          <w:trHeight w:val="23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Discounted Cash Flow</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entity / Discount rate</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366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1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 dependent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Collateral based</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0-50%</w:t>
            </w: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measurements</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(30.73%)</w:t>
            </w:r>
          </w:p>
        </w:tc>
      </w:tr>
      <w:tr>
        <w:trPr>
          <w:trHeight w:val="22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6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11"/>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 to reflect current</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Appraisals</w:t>
            </w:r>
          </w:p>
        </w:tc>
        <w:tc>
          <w:tcPr>
            <w:tcW w:w="3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w:t>
            </w:r>
          </w:p>
        </w:tc>
        <w:tc>
          <w:tcPr>
            <w:tcW w:w="9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(23.31%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296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presents impaired loans and other real estate owned as recorded at fair value on September 30, 2020 and December 31, 2019:</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September 30, 2020</w:t>
            </w:r>
          </w:p>
        </w:tc>
      </w:tr>
      <w:tr>
        <w:trPr>
          <w:trHeight w:val="218"/>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Balance at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(Level 3)</w:t>
            </w:r>
          </w:p>
        </w:tc>
      </w:tr>
      <w:tr>
        <w:trPr>
          <w:trHeight w:val="205"/>
        </w:trPr>
        <w:tc>
          <w:tcPr>
            <w:tcW w:w="23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Collateral dependent</w:t>
            </w:r>
          </w:p>
        </w:tc>
        <w:tc>
          <w:tcPr>
            <w:tcW w:w="7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9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660" w:type="dxa"/>
            <w:vAlign w:val="bottom"/>
            <w:gridSpan w:val="3"/>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FF0FC"/>
          </w:tcPr>
          <w:p>
            <w:pPr>
              <w:spacing w:after="0"/>
              <w:rPr>
                <w:sz w:val="20"/>
                <w:szCs w:val="20"/>
                <w:color w:val="auto"/>
              </w:rPr>
            </w:pPr>
          </w:p>
        </w:tc>
      </w:t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owned - commercial</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715"/>
        </w:trPr>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1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2019</w:t>
            </w:r>
          </w:p>
        </w:tc>
      </w:tr>
      <w:tr>
        <w:trPr>
          <w:trHeight w:val="218"/>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Balance at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(Level 3)</w:t>
            </w:r>
          </w:p>
        </w:tc>
      </w:tr>
      <w:tr>
        <w:trPr>
          <w:trHeight w:val="205"/>
        </w:trPr>
        <w:tc>
          <w:tcPr>
            <w:tcW w:w="23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Collateral dependent</w:t>
            </w:r>
          </w:p>
        </w:tc>
        <w:tc>
          <w:tcPr>
            <w:tcW w:w="7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9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60" w:type="dxa"/>
            <w:vAlign w:val="bottom"/>
            <w:gridSpan w:val="3"/>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20"/>
                <w:szCs w:val="20"/>
                <w:color w:val="auto"/>
              </w:rPr>
            </w:pPr>
          </w:p>
        </w:tc>
      </w:t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owned - commercial</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right="3440" w:hanging="1329"/>
        <w:spacing w:after="0" w:line="767" w:lineRule="auto"/>
        <w:tabs>
          <w:tab w:leader="none" w:pos="4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FEDERAL FUNDS PURCHASED AND SECURITIES SOLD UNDER AGREEMENTS TO REPURCHASE</w:t>
      </w:r>
    </w:p>
    <w:p>
      <w:pPr>
        <w:spacing w:after="0" w:line="252"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as of September 30, 2020 and $17.8 million as of December 31, 2019, respectively. During the same time periods, the Company also had $29.9 million and $30.2 million in securities sold under agreement to repurchase.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8"/>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Remaining Contractual Maturity of the Agreements (In Thousands)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4"/>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Greater Than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30-90 days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90 days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19"/>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Contractual Maturity of the Agreements (In Thousands)</w:t>
            </w:r>
          </w:p>
        </w:tc>
        <w:tc>
          <w:tcPr>
            <w:tcW w:w="100" w:type="dxa"/>
            <w:vAlign w:val="bottom"/>
          </w:tcPr>
          <w:p>
            <w:pPr>
              <w:spacing w:after="0"/>
              <w:rPr>
                <w:sz w:val="19"/>
                <w:szCs w:val="19"/>
                <w:color w:val="auto"/>
              </w:rPr>
            </w:pPr>
          </w:p>
        </w:tc>
      </w:tr>
      <w:tr>
        <w:trPr>
          <w:trHeight w:val="434"/>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Greater Than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30-90 days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90 days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30,230</w:t>
            </w:r>
          </w:p>
        </w:tc>
        <w:tc>
          <w:tcPr>
            <w:tcW w:w="100" w:type="dxa"/>
            <w:vAlign w:val="bottom"/>
            <w:shd w:val="clear" w:color="auto" w:fill="CFF0FC"/>
          </w:tcPr>
          <w:p>
            <w:pPr>
              <w:spacing w:after="0"/>
              <w:rPr>
                <w:sz w:val="19"/>
                <w:szCs w:val="19"/>
                <w:color w:val="auto"/>
              </w:rPr>
            </w:pPr>
          </w:p>
        </w:tc>
      </w:tr>
      <w:tr>
        <w:trPr>
          <w:trHeight w:val="263"/>
        </w:trPr>
        <w:tc>
          <w:tcPr>
            <w:tcW w:w="48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76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24,451</w:t>
            </w:r>
          </w:p>
        </w:tc>
        <w:tc>
          <w:tcPr>
            <w:tcW w:w="200" w:type="dxa"/>
            <w:vAlign w:val="bottom"/>
          </w:tcPr>
          <w:p>
            <w:pPr>
              <w:spacing w:after="0"/>
              <w:rPr>
                <w:sz w:val="22"/>
                <w:szCs w:val="22"/>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48,073</w:t>
            </w:r>
          </w:p>
        </w:tc>
        <w:tc>
          <w:tcPr>
            <w:tcW w:w="100" w:type="dxa"/>
            <w:vAlign w:val="bottom"/>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RECENT ACCOUNTING PRONOUNCEMENTS</w:t>
      </w:r>
    </w:p>
    <w:p>
      <w:pPr>
        <w:spacing w:after="0" w:line="358"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(Topic 326): Measurement of Credit Losses on Financial Instruments.” </w:t>
      </w:r>
      <w:r>
        <w:rPr>
          <w:rFonts w:ascii="Times New Roman" w:cs="Times New Roman" w:eastAsia="Times New Roman" w:hAnsi="Times New Roman"/>
          <w:sz w:val="18"/>
          <w:szCs w:val="18"/>
          <w:color w:val="auto"/>
        </w:rPr>
        <w:t>This ASU requires the measurement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8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ASU is effective for SEC filers for fiscal years, and interim periods within those fiscal years, beginning after December 15, 2019 (i.e., January 1, 2020, for calendar year entities). FASB recently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7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will not adopt ASU 2016-13 in calendar year 2020 and management is currently evaluating when or if they would elect to early adopt ASU 2016-13.</w:t>
      </w:r>
    </w:p>
    <w:p>
      <w:pPr>
        <w:spacing w:after="0" w:line="7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 Simplifying the Test for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w:t>
      </w:r>
      <w:r>
        <w:rPr>
          <w:rFonts w:ascii="Times New Roman" w:cs="Times New Roman" w:eastAsia="Times New Roman" w:hAnsi="Times New Roman"/>
          <w:sz w:val="18"/>
          <w:szCs w:val="18"/>
          <w:color w:val="auto"/>
        </w:rPr>
        <w:t>These amendments eliminate Step 2 from the goodwill impairment test. The amendments also eliminate the requirements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was permitted for interim or annual goodwill impairment tests performed on testing dates after January 1, 2017. ASU 2017-04 should be adopted on a prospective basis. The Company has adopted ASU 2017-04 effective January 1, 2020, as required, and does not expect the ASU to have a material impact on its financial statements. Goodwill testing is scheduled to be completed during the fourth quarter.</w:t>
      </w:r>
    </w:p>
    <w:p>
      <w:pPr>
        <w:spacing w:after="0" w:line="80"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w:t>
      </w:r>
      <w:r>
        <w:rPr>
          <w:rFonts w:ascii="Times New Roman" w:cs="Times New Roman" w:eastAsia="Times New Roman" w:hAnsi="Times New Roman"/>
          <w:sz w:val="18"/>
          <w:szCs w:val="18"/>
          <w:color w:val="auto"/>
        </w:rPr>
        <w:t>t.” ASU 2018-13 modifies the disclosure requirements on fair value measurements in Topic 820.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remove disclosures that no longer are considered cost beneficial, modify/clarify the specific requirements of certain disclosures, and add disclosure requirements identified as relevant. ASU 2018-13 is effective for years beginning after December 15, 2019, with early adoption permitted. The Company adopted ASU 2018-13 effective January 1, 2020, as required, without material effect on its accounting disclosures.</w:t>
      </w:r>
    </w:p>
    <w:p>
      <w:pPr>
        <w:spacing w:after="0" w:line="7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the implementation of the CARES Act and related provisions, we have elected the temporary relief in the CARES Act not to apply the guidance in ASC 310-40 on accounting for troubled debt restructurings (TDRs) to loan modifications related to COVID-19 made between March 1, 2020 and the earlier of (1) December 31, 2020 or (2) 60 days after the end of the COVID-19 national emergency. The relief was only applied to modifications for borrowers that were not more than 30 days past due as of December 31, 2019. As of September 30, 2020, there were no loan modifications that would have been previously treated as TDRs under the guidance in ASC 310-40.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2020 started out to be the year of execution. After a good beginning in terms of loan growth and initiatives the first two months, March brought the year of unprecedented change. The Federal Reserve decreased its overnight rate by fifty basis points on March 3rd. As we were adjusting to that change, they again decreased the rate on March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by a before unseen 100 basis points. We began to see the disruption caused by COVID-19 and the focus of the Bank quickly changed. Execution took on a new meaning related to following the actions governed by the Bank’s pandemic flu plan. The Bank took immediate measures to protect its customers and employees from risk of spread while continuing to provide financial services. Investigating solutions was our focus for the second quarter and will be for as long as it takes. </w:t>
      </w:r>
      <w:r>
        <w:rPr>
          <w:rFonts w:ascii="Times New Roman" w:cs="Times New Roman" w:eastAsia="Times New Roman" w:hAnsi="Times New Roman"/>
          <w:sz w:val="18"/>
          <w:szCs w:val="18"/>
          <w:b w:val="1"/>
          <w:bCs w:val="1"/>
          <w:color w:val="auto"/>
        </w:rPr>
        <w:t>Please see section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COVID-19 for additional information related to actions taken.</w:t>
      </w:r>
    </w:p>
    <w:p>
      <w:pPr>
        <w:spacing w:after="0" w:line="16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During the third quarter, the Bank continued to grow, as loans increased by 17.71% or $205.2 million over September 30, 2019 and 11.88% or $144.9 million over December 31, 2019. Loan balances as of September 30, 2020 include approximately $87 million in forgivable Paycheck Protection Program (PPP) loans made under the CARES Act. In comparison for the same time periods, deposits grew 18.85% or $240.8 million over September 30, 2019 and 17.89% or $230.5 million over December 31, 2019. Home loan activity continued to be robust, due to the refinance activity associated with interest rate reductions. The activity is expected to continue into fourth quarter as our home loan applications continue to grow. Deposit growth correlated to a flight to safety as the stock market experienced great volatility in addition to the depositing of funds from the PPP loans.</w:t>
      </w:r>
    </w:p>
    <w:p>
      <w:pPr>
        <w:spacing w:after="0" w:line="14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growing season in our market area was variable with some areas receiving timely rains and others needing moisture. It is believed yields will be average when looking at our market area. Grain markets have increased thus giving producers an opportunity to lock in better prices. The profit potential appears better than believed earlier in the year. Fluctuations in markets and challenges in production are part of the inherent risk of agriculture that our producers have become used to managing. COVID-19 challenges seem to be decreasing. The agriculture portfolio remains healthy and concerns are manageable.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Row crop production accounts for the largest percentage of our agriculture portfolio. We remain very positive about the long term outlook of this sector. Our customers mitigate risk through the purchasing of crop insurance. F&amp;M’s exposure to customers that do not carry crop insurance is less than 5% of the total exposure in this sector of agriculture. The livestock sector, which equates to 25% of the agricultural portfolio, has 70% exposure to supportive roles and does not have direct ownership of the livestock. The Bank has limited exposure to any one producer and many loans are secured with buildings as collateral.</w:t>
      </w:r>
    </w:p>
    <w:p>
      <w:pPr>
        <w:spacing w:after="0" w:line="15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the third quarter, most of the commercial sector in the Bank’s markets returned to work in an increased capacity. Business volumes and profitability have returned for many commercial loan clients, but still lag for those industries most impacted by COVID-19. The current rate environment continues to drive acquisition and construction activity. These projects have seen some delays due to the higher restrictions in the second quarter. With these restrictions lessened in the third quarter, projects are moving forward and leases are being executed.</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Loan Production Offices (LPO) in Muncie, Indiana, Oxford, Ohio and West Bloomfield, Michigan all have new loan activity and are helping extend the F&amp;M footprint. The Bank was able to hire well known talented bankers from each area. The Bank is completing a new full-service office in Fort Wayne, Indiana which will open in the fourth quarter.</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During the second quarter, the Bank accelerated investments in our digital infrastructure to support our employee’s ability to work from home and to make it easier for our customers to engage with the Bank electronically. Due to retirement, the Bank also hired Shalini Singhal as our new Chief Information Officer. Shalini is a proven CIO who will lead our digital efforts.</w:t>
      </w:r>
    </w:p>
    <w:p>
      <w:pPr>
        <w:spacing w:after="0" w:line="14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remains well capitalized and prepared to face the new challenges coming our way in 2020. Our history shows we weathered the 2008-2009 financial crisis and recession. We did so without taking Troubled Asset Relief Program (TARP) funds and our performance over the time frame was significantly higher than our peers. It is the character of the communities we serve that contributed to that success. It is not just what is done during the storm but how well prepared for the storm you are. F&amp;M has prepared well with historically low troubled loans the last few years due to having strong credit quality controls in place. Additional loan loss provision was taken in the first three quarters in view of the unknown length and breadth of the declining economic situation and its potential effect on our loan portfolio.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F&amp;M will continue to focus on serving our shareholders, communities, and customers while protecting our employees. Please see below for what we have accomplished so far in 2020 and our response to and impact of COVID-19.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What the Company knows and what steps have been taken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Dividend declaration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maintain the payment of its quarterly dividend consistent with its past practices. We are sensitive to the needs of our long-time shareholders that utilize these funds to supplement their living expenses, especially in this low interest rate environment. Dividends declared during the quarter at $0.17 per share increased by 6.25% over first and second quarters $0.16 per share.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its Annual Meeting on April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however, in light of the governmental restrictions the meeting was significantly different than in the past. There was no dinner, no presentation of 2019 or an outlook for 2020 and only a small group of directors and officers present. For the three items to be considered at the meeting, shareholders were asked to seriously consider not attending and vote by proxy. Over 80% of the shareholders voted by proxy.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Communities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health of our employees and customers being our top concern, as of March 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the Bank temporarily suspended branch lobby hours to the public for walk-in transactions. Appointments could be made at branches to complete all needed paperwork and transactions. Drive-thru services remained open as well as all ATM’s and ITM’s to complete needed transactions. To assure branches remained open, employees were divided into teams who rotated every three days to two weeks as a means to practice social distancing while limiting any possible exposure. During the month of May, the retail re-open team developed an employee handbook which focused on opening protocols, employee training, health and wellness and facility signage. Branch re-openings began on June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with the last branches re-opening on June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We continue to monitor and adjust lobby access as needed. Internal controls have not been significantly modified due to COVID-19.</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Small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Small Business Administration (SBA) approved provider, the Bank was able to immediately participate in the SBA PPP established under the CARES Act, which was signed into law on March 27, 2020. The PPP provided much needed assistance to businesses in our communities. The Bank has been able to present applications for around 947 small businesses which provided approximately $87 million in needed funding. Loan size varied from $300 to $2.3 million with only 2 loans over $2 million. Net fee income from PPP loans to be recognized over 24 months will be $3.2 million. The Bank began to take applications for PPP loan forgiveness in the third quarter.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Consumers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Home Loan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Federal Reserve rate drops of 150 basis points in March (100 basis points of which was directly related to the effects of the virus on the economy), a surge in home loan activity has occurred. Much of the activity is refinance related and the Bank has experienced the highest amount of applications in its history, both in number of and dollar amount. Given the nature of the programs, the results were recorded in the second and third quarters. The Bank sells most of its home loans into the secondary market through Freddie Mac.</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Existing loans on our books for which the Bank has received inquiries into forbearance agreements, totaled over 100 as of September 30th. Of these inquiries, 95 customers entered into agreements totaling just under $8.9 million. 30 loans were in-house making up $2.2 million in principal balance and 65 were secondary market loans which we service with balances totaling $6.7 million. Of the 30 in-house loans, 4 loans are in a repayment plan, 1 loan is in the payment deferral process and 3 loans are in forbearance as of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the 65 secondary market loans, 13 loans are in a repayment plan and 3 loans are in forbearance as of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Some inquiries were only for possible future requests. We remain ready to assist our customers through this difficult time in the best manner possible.</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47" w:name="page48"/>
    <w:bookmarkEnd w:id="47"/>
    <w:p>
      <w:pPr>
        <w:ind w:left="740"/>
        <w:spacing w:after="0"/>
        <w:rPr>
          <w:sz w:val="20"/>
          <w:szCs w:val="20"/>
          <w:color w:val="auto"/>
        </w:rPr>
      </w:pPr>
      <w:r>
        <w:rPr>
          <w:rFonts w:ascii="Times New Roman" w:cs="Times New Roman" w:eastAsia="Times New Roman" w:hAnsi="Times New Roman"/>
          <w:sz w:val="18"/>
          <w:szCs w:val="18"/>
          <w:b w:val="1"/>
          <w:bCs w:val="1"/>
          <w:color w:val="auto"/>
        </w:rPr>
        <w:t>Retail Loans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offering its “Skip-a-pay” program to consumers with installment loans, which allows the customer to skip the payment and extend the maturity of the contract for the payment period. We are allowing two payments to be skipped upon request with an additional one possible at the end of the initial request upon review. Normally, the Bank would charge a fee for this program – the fee has been waived. The Bank would also normally require the interest for the period to be collected and that requirement is currently waived. Interest is a part of the extended maturity payments. We have assisted 141 customers currently with loan balances totaling $1.9 million. 129 of those customers have returned the extension documents representing approximately $1.8 million and 247 extended months.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Waiving of late payment fees for our customers was introduced on March 16, 2020 and ceased on June 30, 2020. As of June 30th, the Bank had foregone fees of $307 thousand on loans to help our customers. Of the $307 thousand, $131 thousand was related to two past due commercial loans. As a community bank, it is by definition what we should do.</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Depositors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Bank’s most popular checking account, which includes requirements to earn a reward, removed the requirement of debit card transactions to be completed during a cycle for the months of April and May. In the Bank’s geographical area, the states issued “stay at home” guidelines and many of our customers were concerned with being able to complete the requirement. This impacted almost 11.6 thousand accounts and represented just under $101 million in average account balances. The product includes the option of attaching a savings account for which the same requirements were waived and impacted an additional almost 7 thousand accounts and $113.1 million in average account balances, calculated as of June 30th. Overall, typically 80-85% of our customers meet all the requirements. The waiving of the debit card transactions allowed those customers to receive the reward and possibly an additional 77.5% of the previous non-qualifiers which represented the other 15-20% in total. With the removal of the “stay at home” guidelines, the debit card transaction requirement was reinstated beginning with the June cycle on May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During the months of April and May, most individuals still met their debit card transaction requirement with the “stay at home” order in place. As of end of September, our customers are meeting the same percentage of qualifications as pre-COVID levels.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continued paying employees their full pay through Marsh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During this time period, accumulated PTO and vacation time were frozen and not required to be used to receive full pay. The Bank continues to promote social distancing by encouraging employees who can work remotely to do so and in other cases, departments have been dispersed to keep the team separated. As of April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the Bank is following The Families First Coronavirus Response Act (FFCRA) which requires employers to provide their employees with paid sick leave and extended family and medical leave for specified reasons related to COVID-19. These provisions are in effect until December 31, 2020. Qualifying reasons for leave related to COVID-19 include the employee: (1) being subject to a quarantine order, (2) being advised by a healthcare provider to self-quarantine, (3) experiencing COVID-19 symptoms and is seeking a medical diagnosis, (4) caring for an individual subject to a quarantine order, (5) caring for his or her child whose school or place of care is closed or (6) experiencing any other substantially-similar condition specified by the U.S. Department of Health and Human Services. All time off related to the above reasons is being separately documented within our time and attendance system. The Bank will be able to reduce its employer tax for up to two weeks (80 hours, or a part-time employee’s two-week equivalent).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 Exposures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33333"/>
        </w:rPr>
        <w:t xml:space="preserve">Given the timing of the outbreak in the United States of the COVID-19 pandemic, management believes that the main impact on the Company’s first three quarters performance </w:t>
      </w:r>
      <w:r>
        <w:rPr>
          <w:rFonts w:ascii="Times New Roman" w:cs="Times New Roman" w:eastAsia="Times New Roman" w:hAnsi="Times New Roman"/>
          <w:sz w:val="18"/>
          <w:szCs w:val="18"/>
          <w:color w:val="000000"/>
        </w:rPr>
        <w:t>was a factor in the economic qualitative adjustment for the calculation of the allowance for loan loss.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Subsequently the loan loss </w:t>
      </w:r>
      <w:r>
        <w:rPr>
          <w:rFonts w:ascii="Times New Roman" w:cs="Times New Roman" w:eastAsia="Times New Roman" w:hAnsi="Times New Roman"/>
          <w:sz w:val="18"/>
          <w:szCs w:val="18"/>
          <w:color w:val="333333"/>
        </w:rPr>
        <w:t>provision</w:t>
      </w:r>
      <w:r>
        <w:rPr>
          <w:rFonts w:ascii="Times New Roman" w:cs="Times New Roman" w:eastAsia="Times New Roman" w:hAnsi="Times New Roman"/>
          <w:sz w:val="18"/>
          <w:szCs w:val="18"/>
          <w:color w:val="000000"/>
        </w:rPr>
        <w:t xml:space="preserve"> was increased which also included an increase due to loan growth</w:t>
      </w:r>
      <w:r>
        <w:rPr>
          <w:rFonts w:ascii="Times New Roman" w:cs="Times New Roman" w:eastAsia="Times New Roman" w:hAnsi="Times New Roman"/>
          <w:sz w:val="18"/>
          <w:szCs w:val="18"/>
          <w:color w:val="333333"/>
        </w:rPr>
        <w:t>. The COVID-19 pandemic represents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 xml:space="preserve">unprecedented challenge to the global economy in general and the financial services sector in particular. However, there is still significant uncertainty regarding the overall length of the pandemic and the aggregate impact that it will have on global and regional economies, including uncertainties regarding the potential positive effects of governmental actions taken in response to the pandemic during the remainder of 2020. With so much uncertainty, it is impossible for the Bank to accurately predict the impact that the pandemic will have on the Company’s primary markets and the overall extent to which it will affect the Company’s financial condition and results of operations during the remainder of the current fiscal year. At a minimum, the actions taken by the Company to assist its customers experiencing challenges from the pandemic, such as through the Bank’s </w:t>
      </w:r>
      <w:r>
        <w:rPr>
          <w:rFonts w:ascii="Times New Roman" w:cs="Times New Roman" w:eastAsia="Times New Roman" w:hAnsi="Times New Roman"/>
          <w:sz w:val="18"/>
          <w:szCs w:val="18"/>
          <w:color w:val="000000"/>
        </w:rPr>
        <w:t>“Skip-a-pay” program, the waiver of late payment fees, and the entry into loan forbearance agreements, did have an impact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on the Company’s 2020 performance. Nonetheless, management believes that the Company’s current regulatory capital position is adequate to face the coming challenges.</w:t>
      </w:r>
    </w:p>
    <w:p>
      <w:pPr>
        <w:spacing w:after="0" w:line="1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36" w:right="339" w:bottom="1440" w:gutter="0" w:footer="0" w:header="0"/>
        </w:sectPr>
      </w:pPr>
    </w:p>
    <w:bookmarkStart w:id="48" w:name="page49"/>
    <w:bookmarkEnd w:id="48"/>
    <w:p>
      <w:pPr>
        <w:jc w:val="both"/>
        <w:ind w:left="760"/>
        <w:spacing w:after="0" w:line="256" w:lineRule="auto"/>
        <w:rPr>
          <w:sz w:val="20"/>
          <w:szCs w:val="20"/>
          <w:color w:val="auto"/>
        </w:rPr>
      </w:pPr>
      <w:r>
        <w:rPr>
          <w:rFonts w:ascii="Times New Roman" w:cs="Times New Roman" w:eastAsia="Times New Roman" w:hAnsi="Times New Roman"/>
          <w:sz w:val="18"/>
          <w:szCs w:val="18"/>
          <w:color w:val="333333"/>
        </w:rPr>
        <w:t>The Company has a limited exposure to many sectors of the economy that will likely be impacted for an extended period such as the travel, restaurant, hospitality, energy and retail industries. The Bank does not have any direct exposure to the energy industry and hotels, entertainment and food related businesses are less than 10% of our overall loan portfolio as shown in the chart which follows. In addition, the Bank’s hotel customers are financially strong business owners, operating brand name hotels in compelling locations. The Bank, along with many other financial institutions, has increased its provision for loan losses in the current year compared to 2019 by approximately $4.6 million. The Bank is fully prepared to make additional provisions as warranted by the COVID-19 situation.</w:t>
      </w:r>
    </w:p>
    <w:p>
      <w:pPr>
        <w:spacing w:after="0" w:line="16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333333"/>
        </w:rPr>
        <w:t>The Bank initially had loans of $28 million in deferment and loans of $137 million making interest only payments. As of September 30th, there is a total of $8.5 million outstanding between deferrals and interest only payments within our commercial and agricultural portfolios. The $8.5 million is comprised of $1.4 million with one full month of deferment, $641 thousand with three full months of deferment, $5.5 million with three month interest only and $900 thousand with six months interest only. At this point in time, existing loans outstanding in deferral or interest only payments are expected to be current as of December 31st.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Percent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Percent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Percent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 Loans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Total Loans</w:t>
            </w:r>
          </w:p>
        </w:tc>
        <w:tc>
          <w:tcPr>
            <w:tcW w:w="0" w:type="dxa"/>
            <w:vAlign w:val="bottom"/>
          </w:tcPr>
          <w:p>
            <w:pPr>
              <w:spacing w:after="0"/>
              <w:rPr>
                <w:sz w:val="1"/>
                <w:szCs w:val="1"/>
                <w:color w:val="auto"/>
              </w:rPr>
            </w:pPr>
          </w:p>
        </w:tc>
      </w:tr>
      <w:tr>
        <w:trPr>
          <w:trHeight w:val="216"/>
        </w:trPr>
        <w:tc>
          <w:tcPr>
            <w:tcW w:w="24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Industry Segments</w:t>
            </w:r>
          </w:p>
        </w:tc>
        <w:tc>
          <w:tcPr>
            <w:tcW w:w="2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Total Loan</w:t>
            </w:r>
          </w:p>
        </w:tc>
        <w:tc>
          <w:tcPr>
            <w:tcW w:w="1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Payment</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Adjusted with</w:t>
            </w:r>
          </w:p>
        </w:tc>
        <w:tc>
          <w:tcPr>
            <w:tcW w:w="10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Only</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Adjusted with</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Loan Balance</w:t>
            </w:r>
          </w:p>
        </w:tc>
        <w:tc>
          <w:tcPr>
            <w:tcW w:w="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Deferment</w:t>
            </w:r>
          </w:p>
        </w:tc>
        <w:tc>
          <w:tcPr>
            <w:tcW w:w="28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Deferment</w:t>
            </w:r>
          </w:p>
        </w:tc>
        <w:tc>
          <w:tcPr>
            <w:tcW w:w="3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Modifications</w:t>
            </w:r>
          </w:p>
        </w:tc>
        <w:tc>
          <w:tcPr>
            <w:tcW w:w="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Only</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Hospitality (Hotels)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74,426</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11"/>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Commercial</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Real Estate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101,783</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 Dealers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770,197</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gridSpan w:val="2"/>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1,042,380</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Customers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Owner Occupied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Adjusted Loans as of September 30, 2020</w:t>
      </w:r>
    </w:p>
    <w:p>
      <w:pPr>
        <w:spacing w:after="0" w:line="247"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other category in payment deferment as of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is a loan for a livestock production facility. The other category for interest modifications as of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is for construction of an agricultural implement facility and a manufacturer.</w:t>
      </w:r>
    </w:p>
    <w:p>
      <w:pPr>
        <w:spacing w:after="0" w:line="18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restaurant portfolio, which represents 1.6% of the Bank’s total loan portfolio, is 60% full-service restaurants with the remaining 40% quick-service restaurants. Of the $87 million PPP loans originated, only $6.1 million were to restaurants.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Entertainment loans, which total $24.6 million or 1.8% of the Bank’s total loan portfolio, has $641 thousand on payment deferments as of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The Bank has nearly 100 entertainment loans with an average loan amount of $230 thousand. There is a diverse group of businesses that comprise this sector and have performed well throughout the pandemic. Businesses include sports, athletic and fitness facilities, camping and campgrounds, fireworks and pet kennels. Loans for sports and athletics total $14.9 million while loans for campgrounds total $2.7 million.</w:t>
      </w:r>
    </w:p>
    <w:p>
      <w:pPr>
        <w:spacing w:after="0" w:line="14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Our credit administration is closely monitoring and analyzing these higher risk segments within the loan portfolio, tracking loan payment deferrals, customer liquidity and providing timely reports to senior management and the board of directors. The Bank is in frequent contact with our borrowers during this time of uncertainty and has had only one COVID-19 related downgrade which was less than $10 million. The Bank has stress tested our top five commercial concentrations which include retail commercial real estate, hotels, multi-family, industrial commercial real estate and assisted living. An outside third party has reviewed 55% of our commercial portfolio along with our internal credit department having recently reviewed 75% of our loan portfolio as a result of new money, renewals or annual reviews. Based on the Company’s capital levels, prudent underwriting policies, loan concentration diversification and our geographic footprint, we expect to be able to manage the economic risks and uncertainties associated with the pandemic and remain adequately capitalized.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 full service banking offices throughout Northwest Ohio and Northeast Indiana.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 2019, six offices of Bank of Geneva, located in the Indiana counties of Adams, Allen and Jay, were merged with and into The Farmers &amp; Merchants State Bank. The Bank has continued its expansion strategy and the new offices have provided new growth opportunities.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During second quarter 2019, “Smart 25” checking and Business Money Market savings products were launched. Upgrades to our digital products and services continue to occur in both retail and business lines. During the fourth quarter of 2020, new checking products will be rolled out which will replace KASASA.</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and described more thoroughly below on the basis of general loan type. In addition, credit scores of those seeking consumer credit are reviewed and if they do not meet the Bank's Loan Policy guidelines an additional officer approval is required.</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3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740" w:hanging="372"/>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trucks and light trucks vary from 90% to 110% depending on whether direct or indirect.</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additional charges for extended warranties and/or insurance coverage for wage or death.</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740" w:hanging="372"/>
        <w:spacing w:after="0" w:line="250"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range from 75%-90% with "in-house" first real estate mortgages requiring private mortgage insurance on those exceeding 80% LTV.</w:t>
      </w:r>
    </w:p>
    <w:p>
      <w:pPr>
        <w:ind w:left="740" w:hanging="372"/>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Commercial/Agriculture/Real Estate:</w:t>
      </w:r>
    </w:p>
    <w:p>
      <w:pPr>
        <w:spacing w:after="0" w:line="27" w:lineRule="exact"/>
        <w:rPr>
          <w:sz w:val="20"/>
          <w:szCs w:val="20"/>
          <w:color w:val="auto"/>
        </w:rPr>
      </w:pPr>
    </w:p>
    <w:p>
      <w:pPr>
        <w:ind w:left="740" w:hanging="372"/>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Up to 80% LTV less retainages and greater than 90 days.</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740" w:hanging="372"/>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207" w:lineRule="exact"/>
        <w:rPr>
          <w:sz w:val="20"/>
          <w:szCs w:val="20"/>
          <w:color w:val="auto"/>
        </w:rPr>
      </w:pPr>
    </w:p>
    <w:p>
      <w:pPr>
        <w:ind w:left="740" w:hanging="372"/>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225" w:lineRule="exact"/>
        <w:rPr>
          <w:sz w:val="20"/>
          <w:szCs w:val="20"/>
          <w:color w:val="auto"/>
        </w:rPr>
      </w:pPr>
    </w:p>
    <w:p>
      <w:pPr>
        <w:ind w:left="740" w:hanging="372"/>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21" w:lineRule="exact"/>
        <w:rPr>
          <w:sz w:val="20"/>
          <w:szCs w:val="20"/>
          <w:color w:val="auto"/>
        </w:rPr>
      </w:pPr>
    </w:p>
    <w:p>
      <w:pPr>
        <w:ind w:left="1480" w:hanging="369"/>
        <w:spacing w:after="0"/>
        <w:tabs>
          <w:tab w:leader="none" w:pos="1480"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New/used vehicles to 100% of wholesale.</w:t>
      </w:r>
    </w:p>
    <w:p>
      <w:pPr>
        <w:spacing w:after="0" w:line="1" w:lineRule="exact"/>
        <w:rPr>
          <w:rFonts w:ascii="Courier New" w:cs="Courier New" w:eastAsia="Courier New" w:hAnsi="Courier New"/>
          <w:sz w:val="18"/>
          <w:szCs w:val="18"/>
          <w:color w:val="auto"/>
        </w:rPr>
      </w:pPr>
    </w:p>
    <w:p>
      <w:pPr>
        <w:ind w:left="1480" w:hanging="369"/>
        <w:spacing w:after="0" w:line="231" w:lineRule="auto"/>
        <w:tabs>
          <w:tab w:leader="none" w:pos="1480"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740" w:hanging="372"/>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up to NTE 75% LTV and aircraft up to 75% of appraised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F&amp;M Investment Services, the brokerage department of the Bank, opened for business in April 1999. Securities are offered through Raymond James Financial Services, Inc.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we had 374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global spread of the Coronavirus (COVID-19) and resulting declaration of a world-wide pandemic have impacted the financial services industry and banking operations in the United States (US) and world-wide. The financial services sector is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1" w:name="page52"/>
    <w:bookmarkEnd w:id="51"/>
    <w:p>
      <w:pPr>
        <w:jc w:val="both"/>
        <w:spacing w:after="0" w:line="251" w:lineRule="auto"/>
        <w:rPr>
          <w:sz w:val="20"/>
          <w:szCs w:val="20"/>
          <w:color w:val="auto"/>
        </w:rPr>
      </w:pPr>
      <w:r>
        <w:rPr>
          <w:rFonts w:ascii="Times New Roman" w:cs="Times New Roman" w:eastAsia="Times New Roman" w:hAnsi="Times New Roman"/>
          <w:sz w:val="18"/>
          <w:szCs w:val="18"/>
          <w:color w:val="auto"/>
        </w:rPr>
        <w:t>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can involve modification of loan terms for existing borrowers, waiver of certain fees and charges, providing small dollar loans, and offering forbearance and payment deferrals on mortgage loan obligations due to financial hardship. Legislation enacted in March 2020 has provided the Families First Coronavirus Response Act (FFCRA) and CARES Act. The FFCRA which is effective through December 31, 2020, provides for a paid leave for employees (of employers with fewer than 500 employees) who must quarantine due to the coronavirus, are caring for a sick family member, or caring for a child out of school. It significantly expands existing protections currently available to employees who take leave to care for a sick family member. The CARES Act, among other matters, resulted in expansion of SBA Lending Programs; provided for a financial election to suspend GAAP principles and regulatory determinations for COVID-19 related loan modifications that would otherwise be deemed Trouble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has been the rollout of the SBA Paycheck Protection Program (PPP). The PPP authorized lending of up to $350 billion in 100% guaranteed 7(a) loans to cover payroll costs, interest on mortgage payments, rent obligations, and utilities. The PPP provides a guaranteed loan for which a portion of the loan up to or equal to 8 weeks of covered payroll and specific operating expenses can be forgiven. The maximum loan size is capped at the lessor of 250% of the average monthly payroll costs or $10 million.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 Further legislation and regulatory guidance may result depending on the duration of the COVID-19 spread and subsequent economic impact to customers, communities, businesses, and industry sectors.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income from operations of foreclosed real estate held for sale is reported either in noninterest income or noninterest expense depending upon whether the property is in a gain or loss position overall. At September 30, 2020 OREO property holdings were $206 thousand. OREO totaled $214 thousand and $351 thousand as of December 31, 2019 and September 30, 2019 respectively.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Bank’s mortgage servicing rights relating to loans serviced for others represent an asset.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w:t>
      </w:r>
    </w:p>
    <w:p>
      <w:pPr>
        <w:spacing w:after="0" w:line="1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3" w:name="page54"/>
    <w:bookmarkEnd w:id="53"/>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 spite of the ongoing COVID-19 pandemic, the Company plans to continue in its growth mode in 2020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p>
    <w:p>
      <w:pPr>
        <w:spacing w:after="0" w:line="1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Liquidity in terms of cash and cash equivalents ended $36.5 million higher as of September 30, 2020 than it was at yearend December 31, 2019. An increase in deposits helped to fund the $140.2 million increase in net loans since yearend 2019. Commercial real estate, consumer real estate, commercial and industrial and consumer portfolios increased compared to December 31, 2019. The remaining two portfolios decreased compared to yearend.</w:t>
      </w:r>
    </w:p>
    <w:p>
      <w:pPr>
        <w:spacing w:after="0" w:line="15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 comparing to the same prior year period, the September 30, 2020 (net of deferred fees and cost) loan balances of $1.4 billion accounted for $205.2 million or 17.7% increase when compared to 2019’s $1.2 billion. The year over year improvement was made up of a combined increase of 99.6% in commercial and industrial related loans (comprised of 18.5% in commercial real estate loans and 81.1% in non-real estate commercial loans). PPP loans of approximately $87.2 million are included in the non-real estate commercial portfolio. Consumer real estate loans increased by 10.8%, consumer loans by 7.5% and other loans by 10.6%. Agricultural related loans decreased 10.3% year over year (comprised of 4.0% in agricultural real estate and 6.3% in non-real estate agricultural loans). The Company credits the growth to the strong team of lenders focused on providing customers valuable localized services and thereby increasing our market share.</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chart below shows the breakdown of the loan portfolio category as of September 30, for the last three years, net of deferred fees and costs.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175,595</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158,458</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82,629</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103,760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416,632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130,228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Loans, net</w:t>
            </w:r>
          </w:p>
        </w:tc>
        <w:tc>
          <w:tcPr>
            <w:tcW w:w="2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1,363,862</w:t>
            </w:r>
          </w:p>
        </w:tc>
        <w:tc>
          <w:tcPr>
            <w:tcW w:w="3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1,158,696</w:t>
            </w:r>
          </w:p>
        </w:tc>
        <w:tc>
          <w:tcPr>
            <w:tcW w:w="3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838,698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bottom w:val="single" w:sz="8" w:color="CFF0FC"/>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following is a contractual maturity schedule by major category of loans excluding fair value adjustments as of September 30, 2020.</w:t>
      </w:r>
    </w:p>
    <w:p>
      <w:pPr>
        <w:spacing w:after="0" w:line="266"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8"/>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After One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Within</w:t>
            </w: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6"/>
              </w:rPr>
              <w:t>Year Within</w:t>
            </w: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One Year</w:t>
            </w: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6"/>
              </w:rPr>
              <w:t>Five Years</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Five Years</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139,063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180,864</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246,035</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for the last three years, additional sources have been cultivated during 2018, 2019, and 2020. The security portfolio increased $36.7 million in the first nine months of 2020 from yearend 2019. The amount of pledged investment securities decreased by $1.7 million as compared to yearend and $2.2 million as compared to September 30, 2019. Liquidity is improved with the additional option of selling unpledged investment securities if needed to fund loan growth or other initiatives. As of September 30, 2020, pledged investment securities totaled $87.1 million. The current portfolio is in a net unrealized gain position of $7.4 million.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Bank, an additional $6.8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feels confident that liquidity needs for future growth can be met through additional maturities and/or sales from the security portfolio, increased deposits and additional borrowings. For short term needs, the Bank has $148.1 million of unsecured borrowing capacity through its correspondent banks.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total assets increased 13.6% since yearend 2019 and grew 16.0% since September 30, 2019. The largest growth in both periods was in the loan portfolios followed by securities. COVID-19 has not had an impact on Goodwill at this point but will be externally tested during fourth quarter 2020.</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Deposits accounted for the largest growth within liabilities, up 17.9% or $230.2 million since yearend and 18.8% or $240.8 million over September 30, 2019 balances. As stated previously, the growth of deposits correlated to a flight to safety as the stock market experienced great volatility.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equity increased by $13.2 million as of the third quarter of 2020 compared to yearend 2019, as earnings exceeded dividend declarations during the nine months ended September 30, 2020. Accumulated other comprehensive income increased in unrealized gain position by $4.8 million from December 2019 to an unrealized gain of $5.9 million on September 30, 2020. Dividends declared increased to $0.17 per share for third quarter 2020. Compared to September 30, 2019, shareholders’ equity increased 7.0% or $16 million. Profits were lower year-to-date September 2020 than year-to-date September 2019 by $360 thousand.</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September 30, 2020, the Company and the Bank are both positioned well above the 2019 requirement.</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364" w:right="339"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8"/>
          <w:szCs w:val="18"/>
          <w:color w:val="auto"/>
        </w:rPr>
        <w:t>The Holding Company has sufficient liquidity to maintain its dividend policy without relying on the upstreaming of dividends from the Bank.</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Bank continues to be well-capitalized in accordance with Federal regulatory capital requirements as the capital ratios below show:</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September 30, 2020 and 2019</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0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When comparing third quarter 2020 to third quarter 2019, average loan balances grew $233 million with PPP loans accounting for $87.2 million of the increase. This represented a 20.7% increase in a one-year time period. Interest income on loan balances experienced an increase of $979 thousand as compared to the quarter ended September 30, 2019. Net fee income for the PPP loans is recognized on a straight line basis over 24 months and will be accelerated upon payoff. PPP loan income for the quarter included interest income of $220 thousand and net fee income of $417 thousand.</w:t>
      </w:r>
    </w:p>
    <w:p>
      <w:pPr>
        <w:spacing w:after="0" w:line="14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$71.1 million when comparing to the previous year while the income decreased $155 thousand over third quarter. Fed Funds sold and interest-bearing deposits decreased in average balances by $29.2 million as compared to the same quarter in 2019 with decreased income of $543 thousand for the current quarter due to much lower interest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With the overall increase in the average balances of the Bank’s earning assets, overall total interest income for the quarter comparisons was only higher for third quarter 2020 by 1.7% or $281 thousand as compared to third quarter 2019. Decreases in the prime lending rate between the periods contributed to a decrease in rate yield.</w:t>
      </w:r>
    </w:p>
    <w:p>
      <w:pPr>
        <w:spacing w:after="0" w:line="14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Annualized yield, for the quarter ended September 30, 2020, was 4.04% as compared to 4.74% for the quarter ended September 30, 2019.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500" w:type="dxa"/>
            <w:vAlign w:val="bottom"/>
            <w:tcBorders>
              <w:top w:val="single" w:sz="8" w:color="auto"/>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Quarter to Date Ended September 30, 2020</w:t>
            </w: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Annualized Yield/Rate</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500" w:type="dxa"/>
            <w:vAlign w:val="bottom"/>
          </w:tcPr>
          <w:p>
            <w:pPr>
              <w:jc w:val="right"/>
              <w:ind w:right="25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Average Balance</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Interest/Dividends</w:t>
            </w: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1,359,156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1,714,222</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17,293</w:t>
            </w:r>
          </w:p>
        </w:tc>
        <w:tc>
          <w:tcPr>
            <w:tcW w:w="1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ind w:left="248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September 30, 2020 Compared to September 30, 2019</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05"/>
        </w:trPr>
        <w:tc>
          <w:tcPr>
            <w:tcW w:w="4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50"/>
              <w:spacing w:after="0" w:line="205"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6"/>
              </w:rPr>
              <w:t>to Volume</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 Rate</w:t>
            </w: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Offsetting the lower than expected increase in interest income for the quarter was the decrease in interest expense in 2020. Third quarter 2020 was lower by $1.8 million or 44.8% compared to third quarter 2019. Since 2019, average interest-bearing deposit balances have increased $163.3 million or 16.2% and the Company recognized approximately $1.8 million less in interest expense for the most recent quarter. The prime rate has dropped 150 basis points to date in 2020. Management has adjusted deposit rates accordingly. Interest expense on FHLB borrowings was down $26 thousand in the third quarter 2020 over the same time frame in 2019 due to borrowings taken on from the Limberlost acquisition being repaid.</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Quarter to Date Ended September 30, 2020</w:t>
            </w:r>
          </w:p>
        </w:tc>
        <w:tc>
          <w:tcPr>
            <w:tcW w:w="220" w:type="dxa"/>
            <w:vAlign w:val="bottom"/>
            <w:gridSpan w:val="2"/>
          </w:tcPr>
          <w:p>
            <w:pPr>
              <w:spacing w:after="0"/>
              <w:rPr>
                <w:sz w:val="19"/>
                <w:szCs w:val="19"/>
                <w:color w:val="auto"/>
              </w:rPr>
            </w:pPr>
          </w:p>
        </w:tc>
        <w:tc>
          <w:tcPr>
            <w:tcW w:w="32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5"/>
        </w:trPr>
        <w:tc>
          <w:tcPr>
            <w:tcW w:w="3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Interest Bearing Liabilities:</w:t>
            </w: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915,367</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740" w:type="dxa"/>
            <w:vAlign w:val="bottom"/>
            <w:gridSpan w:val="3"/>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1,223,196</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u w:val="single" w:color="auto"/>
          <w:color w:val="auto"/>
        </w:rPr>
        <w:t>Change in Interest Expense Quarter to Date September 30, 2020 Compared to September 30, 2019</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5"/>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20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20" w:type="dxa"/>
            <w:vAlign w:val="bottom"/>
          </w:tcPr>
          <w:p>
            <w:pPr>
              <w:spacing w:after="0"/>
              <w:rPr>
                <w:sz w:val="17"/>
                <w:szCs w:val="17"/>
                <w:color w:val="auto"/>
              </w:rPr>
            </w:pPr>
          </w:p>
        </w:tc>
        <w:tc>
          <w:tcPr>
            <w:tcW w:w="1140" w:type="dxa"/>
            <w:vAlign w:val="bottom"/>
            <w:gridSpan w:val="2"/>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to Volume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Overall, net interest spread for the third quarter 2020 was 11 basis points higher than last year. As the following chart indicates, the decline in yields on interest earning assets was less than the decline in the cost of funds when comparing to the same period a year ago.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2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color w:val="auto"/>
                <w:w w:val="99"/>
              </w:rPr>
              <w:t>September 30,</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17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7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7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78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vMerge w:val="continue"/>
            <w:shd w:val="clear" w:color="auto" w:fill="CFF0FC"/>
          </w:tcPr>
          <w:p>
            <w:pPr>
              <w:spacing w:after="0"/>
              <w:rPr>
                <w:sz w:val="19"/>
                <w:szCs w:val="19"/>
                <w:color w:val="auto"/>
              </w:rPr>
            </w:pPr>
          </w:p>
        </w:tc>
        <w:tc>
          <w:tcPr>
            <w:tcW w:w="178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Interest Margin</w:t>
            </w:r>
          </w:p>
        </w:tc>
        <w:tc>
          <w:tcPr>
            <w:tcW w:w="1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increased $2.1 million for the third quarter 2020 over the same time frame in 2019 with the increase in interest income combined with the lower interest expense, as previously mentioned. As the new loans added in 2019 and 2020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152" w:lineRule="exact"/>
        <w:rPr>
          <w:sz w:val="20"/>
          <w:szCs w:val="20"/>
          <w:color w:val="auto"/>
        </w:rPr>
      </w:pPr>
    </w:p>
    <w:p>
      <w:pPr>
        <w:ind w:right="324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Noninterest Results of Operations - Third Quarter 2020 to Third Quarter 2019 </w:t>
      </w:r>
      <w:r>
        <w:rPr>
          <w:rFonts w:ascii="Times New Roman" w:cs="Times New Roman" w:eastAsia="Times New Roman" w:hAnsi="Times New Roman"/>
          <w:sz w:val="18"/>
          <w:szCs w:val="18"/>
          <w:b w:val="1"/>
          <w:bCs w:val="1"/>
          <w:color w:val="auto"/>
        </w:rPr>
        <w:t>Provision Expense</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portfolios accounted for the largest component of charge-offs and recoveries for third quarter of 2020 and 2019. The commercial real estate portfolio is currently creating a large impact on the ALLL due to the loan growth.</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provision for loan losses was $1.7 million higher for the third quarter 2020 as compared to the same quarter 2019. Provision for loan loss was increased due to the uncertainty related to COVID-19 and its effects on the ability of individuals, businesses and other entities to meet their financial obligations. Therefore, it is prudent to incorporate the impact of COVID-19 in the evaluation of the adequacy of Allowance for Loan and Lease Losses (ALLL). Due to the governors’ prior closure of non-essential businesses in many states, including restaurants (except for carryout and delivery), hair salons, and retail establishments, the risk in those industries has increased. The restaurant and hospitality sectors have been hit especially hard. Risk in the Consumer and 1-4 Family Portfolio has increased but the full impact remains unknown. Increases to the Bank’s ALLL for the third quarter of 2020, centered around current customers and businesses that are particularly vulnerable due to the stay at home order and qualitative factors, were adjusted accordingly. Management continues to monitor asset quality, making adjustments to the provision as necessary. Loan charge-offs were $140 thousand lower in third quarter 2020 than the same quarter 2019. Recoveries were $6 thousand lower in third quarter 2020 as compared to third quarter 2019. Combined net charge-offs were $134 thousand lower in third quarter 2020 than the same time period 2019. Past due loans, which include no deferrals related to COVID-19, decreased $2.2 million at September 30, 2020 as compared to September 30, 2019. The majority of the change is attributed to the decrease of past due balances in the consumer real estate, agricultural, agricultural real estate and commercial and industrial portfolios with an increase in the commercial real estate portfolio.</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58" w:name="page59"/>
    <w:bookmarkEnd w:id="58"/>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2020,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right"/>
              <w:ind w:right="270"/>
              <w:spacing w:after="0" w:line="205" w:lineRule="exact"/>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30, 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30, 2019</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2018</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1,363,862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1,158,696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838,698</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1,359,156</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1,126,173</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831,246</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 July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6,789</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Charge Offs</w:t>
            </w: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Acquisition provision for loan loss</w:t>
            </w: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&amp; Lease Losses - September 30,</w:t>
            </w: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211"/>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4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12,516</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7,189</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7,088</w:t>
            </w:r>
          </w:p>
        </w:tc>
        <w:tc>
          <w:tcPr>
            <w:tcW w:w="0" w:type="dxa"/>
            <w:vAlign w:val="bottom"/>
          </w:tcPr>
          <w:p>
            <w:pPr>
              <w:spacing w:after="0"/>
              <w:rPr>
                <w:sz w:val="1"/>
                <w:szCs w:val="1"/>
                <w:color w:val="auto"/>
              </w:rPr>
            </w:pPr>
          </w:p>
        </w:tc>
      </w:tr>
      <w:tr>
        <w:trPr>
          <w:trHeight w:val="192"/>
        </w:trPr>
        <w:tc>
          <w:tcPr>
            <w:tcW w:w="46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Ratio of net charge-offs to average</w:t>
            </w:r>
          </w:p>
        </w:tc>
        <w:tc>
          <w:tcPr>
            <w:tcW w:w="1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outstanding</w:t>
            </w:r>
          </w:p>
        </w:tc>
        <w:tc>
          <w:tcPr>
            <w:tcW w:w="14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the Allowance for Loan Loss to</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1,399.98%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are defined as all loans on nonaccrual, plus any loans 90 days past due not on nonaccrual.</w:t>
      </w:r>
    </w:p>
    <w:p>
      <w:pPr>
        <w:spacing w:after="0" w:line="19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5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Loans classified as nonaccrual were higher as of September 30, 2020 at $7.9 million as compared to $3.3 million as of September 30, 2019. The agricultural real estate portfolio increased $3.8 million while the commercial real estate. commercial and industrial and consumer real estate portfolios increased a combined $2.2 million. The agricultural portfolio decreased by $1.3 million as compared to September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53"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47"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loan losses by loan type for nine months ended September 30, 2020 and September 30,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19"/>
                <w:szCs w:val="19"/>
                <w:color w:val="auto"/>
              </w:rPr>
            </w:pP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w:t>
            </w:r>
          </w:p>
        </w:tc>
        <w:tc>
          <w:tcPr>
            <w:tcW w:w="146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2020</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2019</w:t>
            </w:r>
          </w:p>
        </w:tc>
        <w:tc>
          <w:tcPr>
            <w:tcW w:w="1460" w:type="dxa"/>
            <w:vAlign w:val="bottom"/>
          </w:tcPr>
          <w:p>
            <w:pPr>
              <w:spacing w:after="0"/>
              <w:rPr>
                <w:sz w:val="20"/>
                <w:szCs w:val="20"/>
                <w:color w:val="auto"/>
              </w:rPr>
            </w:pPr>
          </w:p>
        </w:tc>
      </w:tr>
      <w:tr>
        <w:trPr>
          <w:trHeight w:val="205"/>
        </w:trPr>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jc w:val="right"/>
              <w:ind w:right="230"/>
              <w:spacing w:after="0" w:line="205" w:lineRule="exact"/>
              <w:rPr>
                <w:sz w:val="20"/>
                <w:szCs w:val="20"/>
                <w:color w:val="auto"/>
              </w:rPr>
            </w:pPr>
            <w:r>
              <w:rPr>
                <w:rFonts w:ascii="Times New Roman" w:cs="Times New Roman" w:eastAsia="Times New Roman" w:hAnsi="Times New Roman"/>
                <w:sz w:val="18"/>
                <w:szCs w:val="18"/>
                <w:color w:val="auto"/>
              </w:rPr>
              <w:t>% of Loan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 of Loan</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Amount</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tcBorders>
              <w:top w:val="single" w:sz="8" w:color="auto"/>
            </w:tcBorders>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5,735</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3,272</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11,883</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6,759</w:t>
            </w:r>
          </w:p>
        </w:tc>
        <w:tc>
          <w:tcPr>
            <w:tcW w:w="146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12,516</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7,189</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Noninterest income was up $1.6 million for the third quarter 2020 over the same time frame in 2019. The Company has seen an increase in its mortgage production volume and the gain on the sale of these loans was $1.3 million higher for the third quarter 2020 over the same period in 2019. Loan originations on loans held for sale for the third quarter 2020 were $63.5 million with proceeds from sale at $68.9 million for 2020 compared to 2019’s third quarter activity of $24.7 million in originations and $24.8 million in sales. The increase in loan originations was driven by the refinance activity associated with the reduction in interest rates. The mortgages sold were both 1-4 family and agricultural real estate loans originated for sale.</w:t>
      </w:r>
    </w:p>
    <w:p>
      <w:pPr>
        <w:spacing w:after="0" w:line="160"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Combined service fees increased by $277 thousand as compared to third quarter 2019. Service fee income for 1-4 family and agricultural real estate loans increased by $23 thousand, mortgage release fees increased $45 thousand, servicing rights income increased $334 thousand, credit card fees increased $33 thousand and debit card income increased by $163 thousand over the same quarter in 2019. The additional fee income was offset by a decrease in overdraft and returned check charges of $283 thousand and service charge income of $37 thousand.</w:t>
      </w:r>
    </w:p>
    <w:p>
      <w:pPr>
        <w:spacing w:after="0" w:line="139"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Bank may see an impact in some of the line items such as interchange fee income and overdraft fees going forward; however, we do see additional income being derived from home loan activity.</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540"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2020 and 2019, mortgage servicing rights caused a net $287 and $91 thousand in income respectively. The higher capitalized additions for 2020 are attributed to a higher loan origination level of 1-4 families. A lower interest rate environment has helped to generate the mortgage refinance activity. For loans of 15 years and less, the value was 0.975% in the third quarter 2020 versus 1.055% in third quarter 2019. For loans over 15 years, the value was 1.109% versus 1.259% for the same periods respectively. The carrying value is well below the market value of $3.6 million which indicates any large expense to fund the valuation allowance to be unlikely in 2020.</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Nine Months</w:t>
            </w:r>
          </w:p>
        </w:tc>
      </w:tr>
      <w:tr>
        <w:trPr>
          <w:trHeight w:val="234"/>
        </w:trPr>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36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 September 30,</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third quarter 2020, noninterest expenses were $1.7 million higher than for the same quarter in 2019. Salaries, wages, and employee benefits (includes normal merit increases, restricted stock expense, incentive payout and all employee benefits) increased $1.2 million in total. This was comprised of increased salaries of $944 thousand which includes a one-time true up of $500 thousand to support our employees’ annual incentive program and increased benefits of $235 thousand. Furniture and equipment expenses increased $155 thousand from the prior year primarily due to an increase in depreciation of $54 thousand and an increase in maintenance contracts of $94 thousand. Data processing charges only increased $8 thousand for third quarter 2020. Building occupancy costs decreased $72 thousand due to decreased building depreciation of $39 thousand and decreased building repairs of $28 thousand. Advertising decreased $176 thousand for the quarter. Franchise taxes increased $120 thousand over third quarter 2019 with the increase in equity due to the issuance of stock in the Bank of Geneva acquisition. FDIC assessment and other general and administrative expenses were up $194 thousand and $119 thousand respectfully as compared to third quarter 2019. In 2019, Small Bank Credits were applied to the FDIC assessment.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income tax expense was $121 thousand higher for the third quarter 2020 compared to the same quarter in 2019. Effective tax rates were 19.29% and 17.91% for third quarter 2020 and 2019 respectively. The higher effective tax rate for third quarter 2020 equated to an increase in federal income tax expense of $75 thousand with the remainder attributed to the increase in pre-tax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overall, net income in the third quarter of 2020 was up $135 thousand as compared to the same quarter last year. Third quarter 2020 included an additional $1.7 million of loan loss provision as compared to third quarter 2019. As discussed previously, the long-term effects of COVID-19 and the ability of borrowers to make timely payments are unknown at this time. The Company has done an exceptional job of growing loans while keeping past dues low. The Company remains strong, stable, and well capitalized and has the capacity to continue to cover the increased costs of expansion.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nine month periods ended September 30, 2020 and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Higher loan balances created the improvement in the interest income for the first nine months of 2020 as compared to the first nine months of 2019. Interest income rose 1.7% or $873 thousand while interest income from loans accounted for $1.7 million of the increase. Contributing to the overall improvement was an increase in securities income of $219 thousand offset by a decrease in income from Fed Funds sold and interest-bearing deposits of $997 thousand over 2019. The asset yield decreased by 63 basis points to 4.30% for the first nine months of 2020 compared to the first nine months of 2019’s 4.93%. The 2019 yield was favorably impacted by the $2.0 million reversal of the estimated credit loss associated with the payoff of two purchased credit-impaired loans.</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61" w:name="page62"/>
    <w:bookmarkEnd w:id="61"/>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With each quarter of 2020, the loan growth has provided an offset to the overall decline in asset yield. PPP loan income for the year included interest income of $390 thousand and net fee income of $735 thousand. The growth factor contribution is shown in the charts which follow.</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average interest earning asset base was $228.1 million higher in the first nine months 2020 than the first nine months of 2019, an increase of approximately 16.4%.</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yields on tax-exempt securities and the portion of the tax-exempt IDB loans included in loans have been tax adjusted based on a 21% tax rate in the charts to follow.</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left="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8"/>
          </w:tcPr>
          <w:p>
            <w:pPr>
              <w:jc w:val="center"/>
              <w:ind w:right="70"/>
              <w:spacing w:after="0" w:line="205" w:lineRule="exact"/>
              <w:rPr>
                <w:sz w:val="20"/>
                <w:szCs w:val="20"/>
                <w:color w:val="auto"/>
              </w:rPr>
            </w:pPr>
            <w:r>
              <w:rPr>
                <w:rFonts w:ascii="Times New Roman" w:cs="Times New Roman" w:eastAsia="Times New Roman" w:hAnsi="Times New Roman"/>
                <w:sz w:val="18"/>
                <w:szCs w:val="18"/>
                <w:color w:val="auto"/>
                <w:w w:val="99"/>
              </w:rPr>
              <w:t>Year to Date Ended 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11"/>
          </w:tcPr>
          <w:p>
            <w:pPr>
              <w:jc w:val="right"/>
              <w:ind w:right="84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6"/>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4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Average Balance</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Interest/Dividends</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1,305,998</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162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162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1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3440" w:type="dxa"/>
            <w:vAlign w:val="bottom"/>
            <w:gridSpan w:val="3"/>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46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3"/>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1,615,978</w:t>
            </w:r>
          </w:p>
        </w:tc>
        <w:tc>
          <w:tcPr>
            <w:tcW w:w="8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vMerge w:val="continue"/>
            <w:shd w:val="clear" w:color="auto" w:fill="CFF0FC"/>
          </w:tcPr>
          <w:p>
            <w:pPr>
              <w:spacing w:after="0"/>
              <w:rPr>
                <w:sz w:val="19"/>
                <w:szCs w:val="19"/>
                <w:color w:val="auto"/>
              </w:rPr>
            </w:pPr>
          </w:p>
        </w:tc>
        <w:tc>
          <w:tcPr>
            <w:tcW w:w="15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0"/>
        </w:trPr>
        <w:tc>
          <w:tcPr>
            <w:tcW w:w="5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40" w:type="dxa"/>
            <w:vAlign w:val="bottom"/>
            <w:gridSpan w:val="19"/>
          </w:tcPr>
          <w:p>
            <w:pPr>
              <w:jc w:val="right"/>
              <w:ind w:right="40"/>
              <w:spacing w:after="0"/>
              <w:rPr>
                <w:sz w:val="20"/>
                <w:szCs w:val="20"/>
                <w:color w:val="auto"/>
              </w:rPr>
            </w:pPr>
            <w:r>
              <w:rPr>
                <w:rFonts w:ascii="Times New Roman" w:cs="Times New Roman" w:eastAsia="Times New Roman" w:hAnsi="Times New Roman"/>
                <w:sz w:val="18"/>
                <w:szCs w:val="18"/>
                <w:color w:val="auto"/>
                <w:w w:val="99"/>
              </w:rPr>
              <w:t>Change in Interest Income Year to Date September 30, 2020 Compared to September 30,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5"/>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40" w:type="dxa"/>
            <w:vAlign w:val="bottom"/>
          </w:tcPr>
          <w:p>
            <w:pPr>
              <w:spacing w:after="0"/>
              <w:rPr>
                <w:sz w:val="17"/>
                <w:szCs w:val="17"/>
                <w:color w:val="auto"/>
              </w:rPr>
            </w:pPr>
          </w:p>
        </w:tc>
        <w:tc>
          <w:tcPr>
            <w:tcW w:w="1380" w:type="dxa"/>
            <w:vAlign w:val="bottom"/>
            <w:gridSpan w:val="5"/>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Interest Earning Assets: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Total Change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6"/>
              </w:rPr>
              <w:t>to Volume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to Rate</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4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Interest expense was lower for the first nine months of 2020 compared to the first nine months of 2019. At $8.4 million, the first nine months of 2020 was down $2.6 million as compared to the same time period 2019 or 23.5%.</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average balance of interest-bearing liabilities was higher by $148.7 million in 2020 than the first nine months of 2019. Interest bearing deposits increased $148.6 million while Fed Funds purchased and securities sold under agreement to repurchase increased by a combined $3.5 million. The higher balance coupled with the slight variation of the balance sheet mix, resulted in a 47 basis points decrease in the cost of funds at 0.95% for the first nine months of 2020 as compared to 2019’s 1.42%.</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change chart below shows the decreased cost was driven more by rate than volume.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left="97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9"/>
              </w:rPr>
              <w:t>Year to Date Ended September 30, 2020</w:t>
            </w:r>
          </w:p>
        </w:tc>
        <w:tc>
          <w:tcPr>
            <w:tcW w:w="220" w:type="dxa"/>
            <w:vAlign w:val="bottom"/>
            <w:gridSpan w:val="2"/>
          </w:tcPr>
          <w:p>
            <w:pPr>
              <w:spacing w:after="0"/>
              <w:rPr>
                <w:sz w:val="19"/>
                <w:szCs w:val="19"/>
                <w:color w:val="auto"/>
              </w:rPr>
            </w:pPr>
          </w:p>
        </w:tc>
        <w:tc>
          <w:tcPr>
            <w:tcW w:w="32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Annualized Yield/Rate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740" w:type="dxa"/>
            <w:vAlign w:val="bottom"/>
            <w:gridSpan w:val="2"/>
          </w:tcPr>
          <w:p>
            <w:pPr>
              <w:ind w:left="300"/>
              <w:spacing w:after="0" w:line="205" w:lineRule="exact"/>
              <w:rPr>
                <w:sz w:val="20"/>
                <w:szCs w:val="20"/>
                <w:color w:val="auto"/>
              </w:rPr>
            </w:pPr>
            <w:r>
              <w:rPr>
                <w:rFonts w:ascii="Times New Roman" w:cs="Times New Roman" w:eastAsia="Times New Roman" w:hAnsi="Times New Roman"/>
                <w:sz w:val="18"/>
                <w:szCs w:val="18"/>
                <w:color w:val="auto"/>
              </w:rPr>
              <w:t>Interest Bearing Liabilities:</w:t>
            </w: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1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4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849,748</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1,174,029</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ind w:left="1420"/>
        <w:spacing w:after="0"/>
        <w:rPr>
          <w:sz w:val="20"/>
          <w:szCs w:val="20"/>
          <w:color w:val="auto"/>
        </w:rPr>
      </w:pPr>
      <w:r>
        <w:rPr>
          <w:rFonts w:ascii="Times New Roman" w:cs="Times New Roman" w:eastAsia="Times New Roman" w:hAnsi="Times New Roman"/>
          <w:sz w:val="18"/>
          <w:szCs w:val="18"/>
          <w:u w:val="single" w:color="auto"/>
          <w:color w:val="auto"/>
        </w:rPr>
        <w:t>Change in Interest Expense Year to Date September 30, 2020 Compared to September 30, 2019</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4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38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7"/>
                <w:szCs w:val="17"/>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6"/>
              </w:rPr>
              <w:t>to Volume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 Rate</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net interest spread figures for the first nine months of 2020 were down from 2019 by 16 basis points and down 23 basis points from 2018. Net interest margin for the first nine months of 2020 was lower than the same periods of 2019 and 2018. As the chart below illustrates, lower yields on loan and investment income were only partially offset by lower interest expense resulting in total net interest margin down 27 basis points since the first nine months of 2019 and under the first nine months of 2018 by 19 basis points.</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41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4.93%</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0.95%</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was up $3.4 million in the first nine months of 2020 over the same time frame in 2019 due to the increase in loan income and lower interest expense as previously mentioned. As the new loans added in 2019 and 2020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Noninterest Earnings and Expenses for nine month periods ended September 30, 2020 and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provision for loan losses was $4.6 million higher for the first nine months 2020 than for the first nine months 2019 attributable primarily to the uncertainties associated with COVID-19 and its effects on the ability of individuals, businesses and other entities to meet their financial obligations. Therefore, it is prudent to incorporate the impact of COVID-19 in the evaluation of the adequacy of Allowance for Loan and Lease Losses (ALLL). Due to the governors’ prior closure of non-essential businesses in many states, including restaurants (except for carryout and delivery), hair salons, and retail establishments, the risk in those industries has increased. The restaurant and hospitality sectors have been hit especially hard. Risk in the Consumer and 1-4 Family Portfolio has increased but the full impact remains unknown. Increases to the Bank’s ALLL for the first nine months of 2020, centered around current customers and businesses that are particularly vulnerable due to the stay at home order and qualitative factors, were adjusted accordingly. Management continues to monitor asset quality, making adjustments to the provision as necessary. Loan charge-offs were $74 thousand lower in the first nine months of 2020 compared to the same period 2019. Recoveries were $21 thousand higher in the first nine months of 2020 as compared to first nine months of 2019. Combined net charge-offs were $95 thousand lower in the nine months ended September 2020 as compared to the same time period 2019. Management continues to evaluate the potential financial implications resulting from COVID-19 and adjusts ALLL qualitative factors as necessary.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nine months ended September 30, 2020, 2019, and 2018.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36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2"/>
          </w:tcPr>
          <w:p>
            <w:pPr>
              <w:jc w:val="right"/>
              <w:ind w:right="400"/>
              <w:spacing w:after="0" w:line="205" w:lineRule="exact"/>
              <w:rPr>
                <w:sz w:val="20"/>
                <w:szCs w:val="20"/>
                <w:color w:val="auto"/>
              </w:rPr>
            </w:pPr>
            <w:r>
              <w:rPr>
                <w:rFonts w:ascii="Times New Roman" w:cs="Times New Roman" w:eastAsia="Times New Roman" w:hAnsi="Times New Roman"/>
                <w:sz w:val="18"/>
                <w:szCs w:val="18"/>
                <w:color w:val="auto"/>
              </w:rPr>
              <w:t>Nine Months Ended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400"/>
              <w:spacing w:after="0" w:line="205" w:lineRule="exact"/>
              <w:rPr>
                <w:sz w:val="20"/>
                <w:szCs w:val="20"/>
                <w:color w:val="auto"/>
              </w:rPr>
            </w:pPr>
            <w:r>
              <w:rPr>
                <w:rFonts w:ascii="Times New Roman" w:cs="Times New Roman" w:eastAsia="Times New Roman" w:hAnsi="Times New Roman"/>
                <w:sz w:val="18"/>
                <w:szCs w:val="18"/>
                <w:color w:val="auto"/>
              </w:rPr>
              <w:t>Nine Months Ended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September 30, 2018</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1,363,862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1,158,696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838,698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1,305,998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1,113,892</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830,118</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 January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Charged off:</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 Recoveries:</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Charge Offs</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Provision for loan loss</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Acquisition provision for loan loss</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&amp; Lease Losses - September 30,</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6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6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Ratio of net charge-offs to average</w:t>
            </w:r>
          </w:p>
        </w:tc>
        <w:tc>
          <w:tcPr>
            <w:tcW w:w="1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outstanding</w:t>
            </w:r>
          </w:p>
        </w:tc>
        <w:tc>
          <w:tcPr>
            <w:tcW w:w="16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Ratio of the Allowance for Loan Loss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are defined as all loans on nonaccrual, plus any loans 90 days past due not on nonaccrual.</w:t>
      </w:r>
    </w:p>
    <w:p>
      <w:pPr>
        <w:spacing w:after="0" w:line="25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comparing past due balances of loans 30+ days, September 30, 2020 balances were $324 thousand as compared to September 30, 2019 balances of $2.5 million. Net charge-offs were also slightly lower at $331 thousand for the first nine months of 2020 compared to the first nine months of 2019’s $426 thousand.</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Noninterest income for the first nine months of 2020 increased over the first nine months of 2019 by $2.3 million. Gain on sale of loans showed an $1.6 million increase over the first nine months of 2019 with the refinance activity due to interest rate reductions. Combined service fees increased by $460 thousand with increased debit card income of $358 thousand, servicing rights income of $642 thousand and mortgage release fees of $262 thousand. Overdraft and returned check income decreased $636 thousand and miscellaneous service fees decreased $196 thousand. The Company did sell some of its available-for-sale securities in first quarter 2020 and recognized a gain of $270 thousand.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first nine months of 2020, noninterest expenses were $1.5 million higher than in the first nine months of 2019. 2019 included $1.3 million of third party acquisition related costs incurred with the Limberlost transaction. The nine months of 2020 included an increase of $1.1 million in salaries and wages in addition to an increase of $313 thousand in employee benefits. The addition of the acquired offices, normal merit increases, increased restricted stock expense, increased medical costs and increased employer taxes related to the vesting of restricted stock awards have impacted 2020. 2019 included acquisition costs in these categories of $145 thousand.</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processing fees were $817 thousand lower than last year with $868 thousand of the decrease acquisition related. A seven year contract extension was signed in the third quarter of 2016 which has helped reduce the expense while adding new products and services to better align with our customers’ expectations in the coming years. We have already added additional products in 2020, mainly focused on mobile services and business deposit accounts. Furniture and equipment was $204 thousand higher than 2019. Increased depreciation for new offices and office transformations, along with increased maintenance costs have led to this expense to increase over 2019.</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up $130 thousand over the first nine months of 2019. Acquisition costs of $182 thousand were included in this line for 2019. One of the largest increases was $106 thousand for audit, accounting and exam fees. Overdraft related expenses were $96 thousand more than 2019. The largest decrease for 2020 was in legal expenses. These two line items on the income statement were down by $131 thousand over the first nine months of 2019. During the first nine months of 2019, legal acquisition expenses were $96 thousand. Travel and convention expenses were down $81 thousand as compared to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income tax expense was only $3 thousand higher for the first nine months of 2020 compared to the first nine months of 2019. Effective tax rates were 19.04% and 18.62% for the first nine months of 2020 and 2019 respectively. The higher effective tax rate for the first nine months of 2020 equaled an increase in federal income tax expense of $70 thousand with the remainder driven from decreased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net income through the first nine months of 2020 was down $360 thousand as compared to the first nine months of 2019. Provision for loan loss, which increased $4.6 million for the first nine months of 2020 as compared to the first nine months of 2019, was the largest contributor to the decreased net income.</w:t>
      </w:r>
    </w:p>
    <w:p>
      <w:pPr>
        <w:spacing w:after="0" w:line="3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1080" w:top="36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shocks presented below assume an immediate change of rate in the percentages and directions shown covering a twelve month period:</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0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Interest Rate Shock</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9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gridSpan w:val="7"/>
          </w:tcPr>
          <w:p>
            <w:pPr>
              <w:jc w:val="center"/>
              <w:ind w:right="820"/>
              <w:spacing w:after="0" w:line="196" w:lineRule="exact"/>
              <w:rPr>
                <w:sz w:val="20"/>
                <w:szCs w:val="20"/>
                <w:color w:val="auto"/>
              </w:rPr>
            </w:pPr>
            <w:r>
              <w:rPr>
                <w:rFonts w:ascii="Times New Roman" w:cs="Times New Roman" w:eastAsia="Times New Roman" w:hAnsi="Times New Roman"/>
                <w:sz w:val="18"/>
                <w:szCs w:val="18"/>
                <w:color w:val="auto"/>
                <w:w w:val="99"/>
              </w:rPr>
              <w:t>on Net Interest Income</w:t>
            </w:r>
          </w:p>
        </w:tc>
      </w:tr>
      <w:tr>
        <w:trPr>
          <w:trHeight w:val="20"/>
        </w:trPr>
        <w:tc>
          <w:tcPr>
            <w:tcW w:w="68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45"/>
        </w:trPr>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Net Interest</w:t>
            </w:r>
          </w:p>
        </w:tc>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8"/>
              </w:rPr>
              <w:t>% Change to</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Rate</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Rate</w:t>
            </w:r>
          </w:p>
        </w:tc>
        <w:tc>
          <w:tcPr>
            <w:tcW w:w="16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Cumulative</w:t>
            </w: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34"/>
        </w:trPr>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Margin (Ratio)</w:t>
            </w: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Flat Rate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Direction</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Changes by</w:t>
            </w:r>
          </w:p>
        </w:tc>
        <w:tc>
          <w:tcPr>
            <w:tcW w:w="16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 ($000)</w:t>
            </w:r>
          </w:p>
        </w:tc>
        <w:tc>
          <w:tcPr>
            <w:tcW w:w="15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Flat Rate</w:t>
            </w:r>
          </w:p>
        </w:tc>
      </w:tr>
      <w:tr>
        <w:trPr>
          <w:trHeight w:val="223"/>
        </w:trPr>
        <w:tc>
          <w:tcPr>
            <w:tcW w:w="1400" w:type="dxa"/>
            <w:vAlign w:val="bottom"/>
            <w:tcBorders>
              <w:top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60,605</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3.31%</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0.43%</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Rising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55,997</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2.03%</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3.27%</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98"/>
              </w:rPr>
              <w:t>-0.67%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Rising</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55,062</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98"/>
              </w:rPr>
              <w:t>0.32%</w:t>
            </w:r>
          </w:p>
        </w:tc>
        <w:tc>
          <w:tcPr>
            <w:tcW w:w="100" w:type="dxa"/>
            <w:vAlign w:val="bottom"/>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3.29%</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Flat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54,885</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r>
      <w:tr>
        <w:trPr>
          <w:trHeight w:val="229"/>
        </w:trPr>
        <w:tc>
          <w:tcPr>
            <w:tcW w:w="140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3.03%</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98"/>
              </w:rPr>
              <w:t>-8.03%</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Falling</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51,308</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-6.52%</w:t>
            </w:r>
          </w:p>
        </w:tc>
        <w:tc>
          <w:tcPr>
            <w:tcW w:w="100" w:type="dxa"/>
            <w:vAlign w:val="bottom"/>
            <w:shd w:val="clear" w:color="auto" w:fill="CFF0FC"/>
          </w:tcPr>
          <w:p>
            <w:pPr>
              <w:spacing w:after="0"/>
              <w:rPr>
                <w:sz w:val="19"/>
                <w:szCs w:val="19"/>
                <w:color w:val="auto"/>
              </w:rPr>
            </w:pPr>
          </w:p>
        </w:tc>
      </w:tr>
      <w:tr>
        <w:trPr>
          <w:trHeight w:val="230"/>
        </w:trPr>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2.90%</w:t>
            </w:r>
          </w:p>
        </w:tc>
        <w:tc>
          <w:tcPr>
            <w:tcW w:w="220" w:type="dxa"/>
            <w:vAlign w:val="bottom"/>
          </w:tcPr>
          <w:p>
            <w:pPr>
              <w:spacing w:after="0"/>
              <w:rPr>
                <w:sz w:val="19"/>
                <w:szCs w:val="19"/>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-11.94%</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Falling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49,450</w:t>
            </w:r>
          </w:p>
        </w:tc>
        <w:tc>
          <w:tcPr>
            <w:tcW w:w="240" w:type="dxa"/>
            <w:vAlign w:val="bottom"/>
          </w:tcPr>
          <w:p>
            <w:pPr>
              <w:spacing w:after="0"/>
              <w:rPr>
                <w:sz w:val="19"/>
                <w:szCs w:val="19"/>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-9.90%</w:t>
            </w:r>
          </w:p>
        </w:tc>
        <w:tc>
          <w:tcPr>
            <w:tcW w:w="100" w:type="dxa"/>
            <w:vAlign w:val="bottom"/>
          </w:tcPr>
          <w:p>
            <w:pPr>
              <w:spacing w:after="0"/>
              <w:rPr>
                <w:sz w:val="19"/>
                <w:szCs w:val="19"/>
                <w:color w:val="auto"/>
              </w:rPr>
            </w:pPr>
          </w:p>
        </w:tc>
      </w:tr>
      <w:tr>
        <w:trPr>
          <w:trHeight w:val="229"/>
        </w:trPr>
        <w:tc>
          <w:tcPr>
            <w:tcW w:w="140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2.78%</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Falling</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47,713</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year with the Limberlost acquisition, the Bank has experienced an increase in the time balances of our deposit portfolio, and therefore, an increase of term funding. Over the past two years, the Bank has also paid off term borrowings with the last $5 million maturing December 2018; however, additional borrowings were a part of the Limberlost acquisition in 2019.</w:t>
      </w:r>
    </w:p>
    <w:p>
      <w:pPr>
        <w:spacing w:after="0" w:line="364"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shock chart currently shows a tightening in net interest margin over the next twelve months in a rising rate environment at 100 basis points and at all levels in a falling rate environment. At an increase of 100 basis points and the current low rate, there are not enough assets repricing above the floor for an expansion of net interest margin. Due to the existence of such a low rate environment, the model predicts expansion of net interest income at any level in a rising rate environment. Cost of funds are at 0.74% for the quarter and 0.95% for the year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September 30, 2020,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September 30, 2020 . There have been no changes in the Company's internal control over financial reporting that occurred during the quarter ended September 30, 2020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otherwise provided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2019.</w:t>
      </w:r>
    </w:p>
    <w:p>
      <w:pPr>
        <w:spacing w:after="0" w:line="117"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color w:val="212529"/>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48"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December 2019, a novel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 state and local governments have ordered non-essential businesses to close and residents to shelter in place at home. This has resulted in an unprecedented slow-down in economic activity and a related increase in unemployment. Since the COVID-19 outbreak an unprecedented number of individuals have filed claims for unemployment, and stock markets have experienced significant volatility, with bank stocks suffering significant declines in value. In response to the COVID-19 outbreak, the Federal Reserve Board has reduced the benchmark fed funds rate to a target range of 0% to 0.25%, and the yields on 10 and 30-year treasury notes have declined to historic lows. The federal banking agencies have encouraged financial institutions to prudently work with affected borrowers and recently passed legislation to provide relief from reporting loan classifications due to modifications related to the COVID-19 outbreak.</w:t>
      </w:r>
    </w:p>
    <w:p>
      <w:pPr>
        <w:spacing w:after="0" w:line="154"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Finally, the spread of the coronavirus has caused us to modify our business practices, including employee travel, employee work locations, and cancellation of physical participation in meetings, events and conferences. We may take further actions as may be required by government authorities or that we determine are in the best interests of our employees, customers and business partners. There is no certainty that such measures will be sufficient to mitigate the risks posed by the virus or will otherwise be satisfactory to government authorities. In addition, the success of our operations substantially depends on the management skills of our executive officers and directors, many of whom have held officer and director positions with us for many years. The unanticipated loss or unavailability of key employees due to the outbreak could harm our ability to operate our business or execute our business strategy.</w:t>
      </w:r>
    </w:p>
    <w:p>
      <w:pPr>
        <w:spacing w:after="0" w:line="148"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Given the ongoing and dynamic nature of the circumstances, it is difficult to predict the full impact of the COVID-19 outbreak on our business. The United States government has taken steps to attempt to mitigate some of the more severe anticipated economic effects of the virus, including the passage of the CARES Act, but there can be no assurance that such steps will be effective or achieve their desired results in a timely fashion. The extent of such impact from the COVID-19 outbreak and related mitigation efforts will depend on future developments, which are highly uncertain, including but not limited to, the duration and spread of the outbreak, its severity, the actions to contain the virus or treat its impact, and how quickly and to what extent normal economic and operating conditions can resume. As the result, we could be subject to any of the following risks, any of which could have a material, adverse effect on our business, financial condition, liquidity, and results of operations:</w:t>
      </w:r>
    </w:p>
    <w:p>
      <w:pPr>
        <w:spacing w:after="0" w:line="162" w:lineRule="exact"/>
        <w:rPr>
          <w:sz w:val="20"/>
          <w:szCs w:val="20"/>
          <w:color w:val="auto"/>
        </w:rPr>
      </w:pPr>
    </w:p>
    <w:p>
      <w:pPr>
        <w:ind w:left="1500" w:hanging="372"/>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may decline, making it difficult to grow assets and income;</w:t>
      </w:r>
    </w:p>
    <w:p>
      <w:pPr>
        <w:spacing w:after="0" w:line="15" w:lineRule="exact"/>
        <w:rPr>
          <w:rFonts w:ascii="Times New Roman" w:cs="Times New Roman" w:eastAsia="Times New Roman" w:hAnsi="Times New Roman"/>
          <w:sz w:val="18"/>
          <w:szCs w:val="18"/>
          <w:color w:val="auto"/>
        </w:rPr>
      </w:pPr>
    </w:p>
    <w:p>
      <w:pPr>
        <w:ind w:left="1500" w:hanging="372"/>
        <w:spacing w:after="0" w:line="258" w:lineRule="auto"/>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economy is unable to substantially reopen, and high levels of unemployment continue for an extended period of time, loan delinquencies, problem assets, and foreclosures may increase, resulting in increased charges and reduced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1500" w:hanging="372"/>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for loans, especially real estate, may decline in value, which could cause loan losses to increase;</w:t>
      </w:r>
    </w:p>
    <w:p>
      <w:pPr>
        <w:spacing w:after="0" w:line="27" w:lineRule="exact"/>
        <w:rPr>
          <w:rFonts w:ascii="Times New Roman" w:cs="Times New Roman" w:eastAsia="Times New Roman" w:hAnsi="Times New Roman"/>
          <w:sz w:val="18"/>
          <w:szCs w:val="18"/>
          <w:color w:val="auto"/>
        </w:rPr>
      </w:pPr>
    </w:p>
    <w:p>
      <w:pPr>
        <w:ind w:left="1500" w:hanging="372"/>
        <w:spacing w:after="0" w:line="250"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allowance for loan losses may have to be increased if borrowers experience financial difficulties beyond forbearance periods, which will adversely affect our net income;</w:t>
      </w:r>
    </w:p>
    <w:p>
      <w:pPr>
        <w:ind w:left="1500" w:hanging="372"/>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worth and liquidity of loan guarantors may decline, impairing their ability to honor commitments to us;</w:t>
      </w:r>
    </w:p>
    <w:p>
      <w:pPr>
        <w:spacing w:after="0" w:line="9" w:lineRule="exact"/>
        <w:rPr>
          <w:rFonts w:ascii="Times New Roman" w:cs="Times New Roman" w:eastAsia="Times New Roman" w:hAnsi="Times New Roman"/>
          <w:sz w:val="18"/>
          <w:szCs w:val="18"/>
          <w:color w:val="auto"/>
        </w:rPr>
      </w:pPr>
    </w:p>
    <w:p>
      <w:pPr>
        <w:ind w:left="1500" w:hanging="372"/>
        <w:spacing w:after="0" w:line="250"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result of the decline in the Federal Reserve Board’s target federal funds rate, the yield on our assets may decline to a greater extent than the decline in our cost of interest-bearing liabilities, reducing our net interest margin and spread and reducing net income;</w:t>
      </w:r>
    </w:p>
    <w:p>
      <w:pPr>
        <w:ind w:left="1500" w:hanging="372"/>
        <w:spacing w:after="0"/>
        <w:tabs>
          <w:tab w:leader="none" w:pos="15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decrease in net income or a net loss over several quarters could result in a decrease in the rate of our quarterly cash dividend;</w:t>
      </w:r>
    </w:p>
    <w:p>
      <w:pPr>
        <w:spacing w:after="0" w:line="20" w:lineRule="exact"/>
        <w:rPr>
          <w:rFonts w:ascii="Times New Roman" w:cs="Times New Roman" w:eastAsia="Times New Roman" w:hAnsi="Times New Roman"/>
          <w:sz w:val="17"/>
          <w:szCs w:val="17"/>
          <w:color w:val="auto"/>
        </w:rPr>
      </w:pPr>
    </w:p>
    <w:p>
      <w:pPr>
        <w:ind w:left="1500" w:right="20" w:hanging="372"/>
        <w:spacing w:after="0" w:line="250"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vendors for certain services and the unavailability of a critical service due to the COVID-19 outbreak could have an adverse effect on us; and</w:t>
      </w:r>
    </w:p>
    <w:p>
      <w:pPr>
        <w:ind w:left="1500" w:hanging="372"/>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Deposit Insurance Corporation premiums may increase if the agency experiences additional resolution costs.</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Any one or a combination of the factors identified above could negatively impact our business, financial condition and results of operations and prospects. Even after the COVID-19 outbreak has subsided, we may continue to experience materially adverse impacts to our business as a result of the virus’s global economic impact, including the availability of credit, adverse impacts on our liquidity and any recession that has occurred or may occur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Treasury stock repurchased the quarter ended September 30, 2020.</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 Total 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Shares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Purchased as Part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Publicly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w:t>
            </w:r>
          </w:p>
        </w:tc>
      </w:tr>
      <w:tr>
        <w:trPr>
          <w:trHeight w:val="216"/>
        </w:trPr>
        <w:tc>
          <w:tcPr>
            <w:tcW w:w="24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Total Number of</w:t>
            </w:r>
          </w:p>
        </w:tc>
        <w:tc>
          <w:tcPr>
            <w:tcW w:w="30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 Average Price</w:t>
            </w: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Announced Plan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Plans or</w:t>
            </w:r>
          </w:p>
        </w:tc>
      </w:tr>
      <w:tr>
        <w:trPr>
          <w:trHeight w:val="234"/>
        </w:trPr>
        <w:tc>
          <w:tcPr>
            <w:tcW w:w="2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Shares Purchased</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Paid per Share</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 xml:space="preserve">or Programs </w:t>
            </w:r>
            <w:r>
              <w:rPr>
                <w:rFonts w:ascii="Times New Roman" w:cs="Times New Roman" w:eastAsia="Times New Roman" w:hAnsi="Times New Roman"/>
                <w:sz w:val="15"/>
                <w:szCs w:val="15"/>
                <w:color w:val="auto"/>
                <w:w w:val="99"/>
              </w:rPr>
              <w:t>(1)</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p>
        </w:tc>
      </w:tr>
      <w:tr>
        <w:trPr>
          <w:trHeight w:val="22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7/1/2020 to 7/31/2020</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62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8/1/2020 to 8/31/2020</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62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9/1/2020 to 9/30/2020</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545,000</w:t>
            </w:r>
          </w:p>
        </w:tc>
      </w:tr>
      <w:tr>
        <w:trPr>
          <w:trHeight w:val="22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545,000</w:t>
            </w:r>
          </w:p>
        </w:tc>
      </w:tr>
    </w:tbl>
    <w:p>
      <w:pPr>
        <w:spacing w:after="0" w:line="225" w:lineRule="exact"/>
        <w:rPr>
          <w:sz w:val="20"/>
          <w:szCs w:val="20"/>
          <w:color w:val="auto"/>
        </w:rPr>
      </w:pPr>
    </w:p>
    <w:p>
      <w:pPr>
        <w:jc w:val="both"/>
        <w:ind w:left="1120" w:hanging="370"/>
        <w:spacing w:after="0" w:line="257"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17, 2020. On that date, the Board of Directors authorized the repurchase of 550,000 common shares between January 17, 2020 and December 31, 2020.</w:t>
      </w:r>
    </w:p>
    <w:p>
      <w:pPr>
        <w:spacing w:after="0" w:line="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were repurchased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52"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Articles of Incorporation of the Registrant (incorporated by reference to Exhibit 3.1 to Registrant’s Quarterly Report on Form 10-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Q filed with the Commission on October 25, 2017).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Amended and Restated Code of Regulations of the Registrant (incorporated by reference to Exhibit 3.2 to Registrant's Quarterly Report on</w:t>
              </w:r>
            </w:hyperlink>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r>
              <w:rPr>
                <w:rFonts w:ascii="Courier New" w:cs="Courier New" w:eastAsia="Courier New" w:hAnsi="Courier New"/>
                <w:sz w:val="18"/>
                <w:szCs w:val="18"/>
                <w:color w:val="auto"/>
              </w:rPr>
              <w:t>.1</w:t>
            </w:r>
          </w:p>
        </w:tc>
        <w:tc>
          <w:tcPr>
            <w:tcW w:w="4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10-Q filed with the Commission on July 26, 2017).</w:t>
              </w:r>
            </w:hyperlink>
          </w:p>
        </w:tc>
        <w:tc>
          <w:tcPr>
            <w:tcW w:w="5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Description of Registrant’s Common Stock (incorporated by reference to Exhibit 4.1 to Registrant's Annual Report on Form 10-K filed with</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the Commission on February 26, 2020).</w:t>
              </w:r>
            </w:hyperlink>
          </w:p>
        </w:tc>
        <w:tc>
          <w:tcPr>
            <w:tcW w:w="72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Rule 13-a-14(a) Certification - CEO</w:t>
              </w:r>
            </w:hyperlink>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Rule 13-a-14(a) Certification - CFO</w:t>
              </w:r>
            </w:hyperlink>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Section 1350 Certification - CEO</w:t>
              </w:r>
            </w:hyperlink>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Section 1350 Certification - CFO</w:t>
              </w:r>
            </w:hyperlink>
          </w:p>
        </w:tc>
        <w:tc>
          <w:tcPr>
            <w:tcW w:w="0" w:type="dxa"/>
            <w:vAlign w:val="bottom"/>
          </w:tcPr>
          <w:p>
            <w:pPr>
              <w:spacing w:after="0"/>
              <w:rPr>
                <w:sz w:val="1"/>
                <w:szCs w:val="1"/>
                <w:color w:val="auto"/>
              </w:rPr>
            </w:pPr>
          </w:p>
        </w:tc>
      </w:tr>
      <w:tr>
        <w:trPr>
          <w:trHeight w:val="46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within the Inline XBRL document.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hanging="1132"/>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2020,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8"/>
        <w:spacing w:after="0" w:line="266" w:lineRule="auto"/>
        <w:tabs>
          <w:tab w:leader="none" w:pos="23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28, 2020</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Lars B. Eller</w:t>
            </w:r>
          </w:p>
        </w:tc>
      </w:tr>
      <w:tr>
        <w:trPr>
          <w:trHeight w:val="218"/>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28, 2020</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Barbara J. Britenriker</w:t>
            </w:r>
          </w:p>
        </w:tc>
      </w:tr>
      <w:tr>
        <w:trPr>
          <w:trHeight w:val="218"/>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Barbara J. Britenriker</w:t>
            </w:r>
          </w:p>
        </w:tc>
      </w:t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36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740" w:right="20" w:hanging="436"/>
        <w:spacing w:after="0" w:line="266" w:lineRule="auto"/>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October 28, 2020</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740" w:right="20" w:hanging="436"/>
        <w:spacing w:after="0" w:line="266"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October 28, 2020</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18"/>
        </w:trPr>
        <w:tc>
          <w:tcPr>
            <w:tcW w:w="10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September 30, 2020,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880" w:hanging="440"/>
        <w:spacing w:after="0" w:line="260"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October 28, 2020</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September 30, 2020,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880" w:hanging="440"/>
        <w:spacing w:after="0" w:line="260"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October 28, 2020</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18"/>
        </w:trPr>
        <w:tc>
          <w:tcPr>
            <w:tcW w:w="10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3"/>
    </w:lvl>
    <w:lvl w:ilvl="1">
      <w:lvlJc w:val="left"/>
      <w:lvlText w:val="%2."/>
      <w:numFmt w:val="lowerLetter"/>
      <w:start w:val="1"/>
    </w:lvl>
  </w:abstractNum>
  <w:abstractNum w:abstractNumId="11">
    <w:nsid w:val="6763845E"/>
    <w:multiLevelType w:val="hybridMultilevel"/>
    <w:lvl w:ilvl="0">
      <w:lvlJc w:val="left"/>
      <w:lvlText w:val="%1."/>
      <w:numFmt w:val="decimal"/>
      <w:start w:val="8"/>
    </w:lvl>
    <w:lvl w:ilvl="1">
      <w:lvlJc w:val="left"/>
      <w:lvlText w:val="%2."/>
      <w:numFmt w:val="lowerLetter"/>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o"/>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04"/>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7" Type="http://schemas.openxmlformats.org/officeDocument/2006/relationships/image" Target="media/image97.png"/><Relationship Id="rId104" Type="http://schemas.openxmlformats.org/officeDocument/2006/relationships/hyperlink" Target="http://www.sec.gov/Archives/edgar/data/792966/000119312517318709/d447990dex31.htm" TargetMode="External"/><Relationship Id="rId105" Type="http://schemas.openxmlformats.org/officeDocument/2006/relationships/hyperlink" Target="http://www.sec.gov/Archives/edgar/data/792966/000119312517235925/d422994dex32.htm" TargetMode="External"/><Relationship Id="rId106" Type="http://schemas.openxmlformats.org/officeDocument/2006/relationships/hyperlink" Target="http://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2020-10-28T10:17:20Z</dcterms:created>
  <dcterms:modified xsi:type="dcterms:W3CDTF">2020-10-28T10:17:20Z</dcterms:modified>
</cp:coreProperties>
</file>