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81280</wp:posOffset>
            </wp:positionV>
            <wp:extent cx="1903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8" w:lineRule="exact"/>
        <w:rPr>
          <w:sz w:val="24"/>
          <w:szCs w:val="24"/>
          <w:color w:val="auto"/>
        </w:rPr>
      </w:pPr>
    </w:p>
    <w:p>
      <w:pPr>
        <w:jc w:val="center"/>
        <w:spacing w:after="0" w:line="334" w:lineRule="exact"/>
        <w:rPr>
          <w:sz w:val="20"/>
          <w:szCs w:val="20"/>
          <w:color w:val="auto"/>
        </w:rPr>
      </w:pPr>
      <w:r>
        <w:rPr>
          <w:rFonts w:ascii="Arial" w:cs="Arial" w:eastAsia="Arial" w:hAnsi="Arial"/>
          <w:sz w:val="29"/>
          <w:szCs w:val="29"/>
          <w:b w:val="1"/>
          <w:bCs w:val="1"/>
          <w:color w:val="auto"/>
        </w:rPr>
        <w:t>FORM 10</w:t>
      </w:r>
      <w:r>
        <w:rPr>
          <w:rFonts w:ascii="MS PGothic" w:cs="MS PGothic" w:eastAsia="MS PGothic" w:hAnsi="MS PGothic"/>
          <w:sz w:val="29"/>
          <w:szCs w:val="29"/>
          <w:b w:val="1"/>
          <w:bCs w:val="1"/>
          <w:color w:val="auto"/>
        </w:rPr>
        <w:t>‑</w:t>
      </w:r>
      <w:r>
        <w:rPr>
          <w:rFonts w:ascii="Arial" w:cs="Arial" w:eastAsia="Arial" w:hAnsi="Arial"/>
          <w:sz w:val="29"/>
          <w:szCs w:val="29"/>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117475</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-128270</wp:posOffset>
            </wp:positionV>
            <wp:extent cx="104140" cy="105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March 31,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-128270</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87" w:lineRule="exact"/>
        <w:rPr>
          <w:sz w:val="24"/>
          <w:szCs w:val="24"/>
          <w:color w:val="auto"/>
        </w:rPr>
      </w:pPr>
    </w:p>
    <w:p>
      <w:pPr>
        <w:ind w:left="420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4136390</wp:posOffset>
            </wp:positionH>
            <wp:positionV relativeFrom="paragraph">
              <wp:posOffset>-7620</wp:posOffset>
            </wp:positionV>
            <wp:extent cx="219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075"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91440</wp:posOffset>
            </wp:positionV>
            <wp:extent cx="1903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FARMERS &amp; MERCHANTS BANCORP,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90170</wp:posOffset>
            </wp:positionV>
            <wp:extent cx="1903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53" w:lineRule="exact"/>
        <w:rPr>
          <w:sz w:val="24"/>
          <w:szCs w:val="24"/>
          <w:color w:val="auto"/>
        </w:rPr>
      </w:pPr>
    </w:p>
    <w:tbl>
      <w:tblPr>
        <w:tblLayout w:type="fixed"/>
        <w:tblInd w:w="1200" w:type="dxa"/>
        <w:tblCellMar>
          <w:top w:w="0" w:type="dxa"/>
          <w:left w:w="0" w:type="dxa"/>
          <w:bottom w:w="0" w:type="dxa"/>
          <w:right w:w="0" w:type="dxa"/>
        </w:tblCellMar>
      </w:tblPr>
      <w:tr>
        <w:trPr>
          <w:trHeight w:val="225"/>
        </w:trPr>
        <w:tc>
          <w:tcPr>
            <w:tcW w:w="3540" w:type="dxa"/>
            <w:vAlign w:val="bottom"/>
          </w:tcPr>
          <w:p>
            <w:pPr>
              <w:jc w:val="center"/>
              <w:ind w:right="241"/>
              <w:spacing w:after="0"/>
              <w:rPr>
                <w:sz w:val="20"/>
                <w:szCs w:val="20"/>
                <w:color w:val="auto"/>
              </w:rPr>
            </w:pPr>
            <w:r>
              <w:rPr>
                <w:rFonts w:ascii="Arial" w:cs="Arial" w:eastAsia="Arial" w:hAnsi="Arial"/>
                <w:sz w:val="18"/>
                <w:szCs w:val="18"/>
                <w:b w:val="1"/>
                <w:bCs w:val="1"/>
                <w:color w:val="auto"/>
              </w:rPr>
              <w:t>OHIO</w:t>
            </w:r>
          </w:p>
        </w:tc>
        <w:tc>
          <w:tcPr>
            <w:tcW w:w="4240" w:type="dxa"/>
            <w:vAlign w:val="bottom"/>
          </w:tcPr>
          <w:p>
            <w:pPr>
              <w:jc w:val="right"/>
              <w:ind w:right="39"/>
              <w:spacing w:after="0"/>
              <w:rPr>
                <w:sz w:val="20"/>
                <w:szCs w:val="20"/>
                <w:color w:val="auto"/>
              </w:rPr>
            </w:pPr>
            <w:r>
              <w:rPr>
                <w:rFonts w:ascii="Arial" w:cs="Arial" w:eastAsia="Arial" w:hAnsi="Arial"/>
                <w:sz w:val="18"/>
                <w:szCs w:val="18"/>
                <w:b w:val="1"/>
                <w:bCs w:val="1"/>
                <w:color w:val="auto"/>
              </w:rPr>
              <w:t>34-1469491</w:t>
            </w:r>
          </w:p>
        </w:tc>
      </w:tr>
      <w:tr>
        <w:trPr>
          <w:trHeight w:val="149"/>
        </w:trPr>
        <w:tc>
          <w:tcPr>
            <w:tcW w:w="354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4240" w:type="dxa"/>
            <w:vAlign w:val="bottom"/>
          </w:tcPr>
          <w:p>
            <w:pPr>
              <w:jc w:val="center"/>
              <w:ind w:left="3059"/>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40" w:type="dxa"/>
            <w:vAlign w:val="bottom"/>
          </w:tcPr>
          <w:p>
            <w:pPr>
              <w:jc w:val="center"/>
              <w:ind w:right="241"/>
              <w:spacing w:after="0"/>
              <w:rPr>
                <w:sz w:val="20"/>
                <w:szCs w:val="20"/>
                <w:color w:val="auto"/>
              </w:rPr>
            </w:pPr>
            <w:r>
              <w:rPr>
                <w:rFonts w:ascii="Arial" w:cs="Arial" w:eastAsia="Arial" w:hAnsi="Arial"/>
                <w:sz w:val="14"/>
                <w:szCs w:val="14"/>
                <w:b w:val="1"/>
                <w:bCs w:val="1"/>
                <w:color w:val="auto"/>
                <w:w w:val="93"/>
              </w:rPr>
              <w:t>incorporation or organization)</w:t>
            </w:r>
          </w:p>
        </w:tc>
        <w:tc>
          <w:tcPr>
            <w:tcW w:w="4240" w:type="dxa"/>
            <w:vAlign w:val="bottom"/>
          </w:tcPr>
          <w:p>
            <w:pPr>
              <w:jc w:val="center"/>
              <w:ind w:left="3039"/>
              <w:spacing w:after="0"/>
              <w:rPr>
                <w:sz w:val="20"/>
                <w:szCs w:val="20"/>
                <w:color w:val="auto"/>
              </w:rPr>
            </w:pPr>
            <w:r>
              <w:rPr>
                <w:rFonts w:ascii="Arial" w:cs="Arial" w:eastAsia="Arial" w:hAnsi="Arial"/>
                <w:sz w:val="14"/>
                <w:szCs w:val="14"/>
                <w:b w:val="1"/>
                <w:bCs w:val="1"/>
                <w:color w:val="auto"/>
                <w:w w:val="94"/>
              </w:rPr>
              <w:t>Identification No.)</w:t>
            </w:r>
          </w:p>
        </w:tc>
      </w:tr>
      <w:tr>
        <w:trPr>
          <w:trHeight w:val="327"/>
        </w:trPr>
        <w:tc>
          <w:tcPr>
            <w:tcW w:w="3540" w:type="dxa"/>
            <w:vAlign w:val="bottom"/>
          </w:tcPr>
          <w:p>
            <w:pPr>
              <w:jc w:val="center"/>
              <w:ind w:right="241"/>
              <w:spacing w:after="0"/>
              <w:rPr>
                <w:sz w:val="20"/>
                <w:szCs w:val="20"/>
                <w:color w:val="auto"/>
              </w:rPr>
            </w:pPr>
            <w:r>
              <w:rPr>
                <w:rFonts w:ascii="Arial" w:cs="Arial" w:eastAsia="Arial" w:hAnsi="Arial"/>
                <w:sz w:val="18"/>
                <w:szCs w:val="18"/>
                <w:b w:val="1"/>
                <w:bCs w:val="1"/>
                <w:color w:val="auto"/>
                <w:w w:val="89"/>
              </w:rPr>
              <w:t>307 North Defiance Street, Archbold, Ohio</w:t>
            </w:r>
          </w:p>
        </w:tc>
        <w:tc>
          <w:tcPr>
            <w:tcW w:w="4240" w:type="dxa"/>
            <w:vAlign w:val="bottom"/>
          </w:tcPr>
          <w:p>
            <w:pPr>
              <w:jc w:val="right"/>
              <w:ind w:right="259"/>
              <w:spacing w:after="0"/>
              <w:rPr>
                <w:sz w:val="20"/>
                <w:szCs w:val="20"/>
                <w:color w:val="auto"/>
              </w:rPr>
            </w:pPr>
            <w:r>
              <w:rPr>
                <w:rFonts w:ascii="Arial" w:cs="Arial" w:eastAsia="Arial" w:hAnsi="Arial"/>
                <w:sz w:val="18"/>
                <w:szCs w:val="18"/>
                <w:b w:val="1"/>
                <w:bCs w:val="1"/>
                <w:color w:val="auto"/>
              </w:rPr>
              <w:t>43502</w:t>
            </w:r>
          </w:p>
        </w:tc>
      </w:tr>
      <w:tr>
        <w:trPr>
          <w:trHeight w:val="186"/>
        </w:trPr>
        <w:tc>
          <w:tcPr>
            <w:tcW w:w="3540" w:type="dxa"/>
            <w:vAlign w:val="bottom"/>
          </w:tcPr>
          <w:p>
            <w:pPr>
              <w:jc w:val="center"/>
              <w:ind w:right="24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4240" w:type="dxa"/>
            <w:vAlign w:val="bottom"/>
          </w:tcPr>
          <w:p>
            <w:pPr>
              <w:jc w:val="center"/>
              <w:ind w:left="3059"/>
              <w:spacing w:after="0"/>
              <w:rPr>
                <w:sz w:val="20"/>
                <w:szCs w:val="20"/>
                <w:color w:val="auto"/>
              </w:rPr>
            </w:pPr>
            <w:r>
              <w:rPr>
                <w:rFonts w:ascii="Arial" w:cs="Arial" w:eastAsia="Arial" w:hAnsi="Arial"/>
                <w:sz w:val="14"/>
                <w:szCs w:val="14"/>
                <w:b w:val="1"/>
                <w:bCs w:val="1"/>
                <w:color w:val="auto"/>
                <w:w w:val="95"/>
              </w:rPr>
              <w:t>(Zip Code)</w:t>
            </w:r>
          </w:p>
        </w:tc>
      </w:tr>
      <w:tr>
        <w:trPr>
          <w:trHeight w:val="316"/>
        </w:trPr>
        <w:tc>
          <w:tcPr>
            <w:tcW w:w="3540" w:type="dxa"/>
            <w:vAlign w:val="bottom"/>
          </w:tcPr>
          <w:p>
            <w:pPr>
              <w:spacing w:after="0"/>
              <w:rPr>
                <w:sz w:val="24"/>
                <w:szCs w:val="24"/>
                <w:color w:val="auto"/>
              </w:rPr>
            </w:pPr>
          </w:p>
        </w:tc>
        <w:tc>
          <w:tcPr>
            <w:tcW w:w="4240" w:type="dxa"/>
            <w:vAlign w:val="bottom"/>
          </w:tcPr>
          <w:p>
            <w:pPr>
              <w:jc w:val="right"/>
              <w:ind w:right="2719"/>
              <w:spacing w:after="0"/>
              <w:rPr>
                <w:sz w:val="20"/>
                <w:szCs w:val="20"/>
                <w:color w:val="auto"/>
              </w:rPr>
            </w:pPr>
            <w:r>
              <w:rPr>
                <w:rFonts w:ascii="Arial" w:cs="Arial" w:eastAsia="Arial" w:hAnsi="Arial"/>
                <w:sz w:val="18"/>
                <w:szCs w:val="18"/>
                <w:b w:val="1"/>
                <w:bCs w:val="1"/>
                <w:color w:val="auto"/>
              </w:rPr>
              <w:t>(419) 446-2501</w:t>
            </w:r>
          </w:p>
        </w:tc>
      </w:tr>
    </w:tbl>
    <w:p>
      <w:pPr>
        <w:jc w:val="center"/>
        <w:spacing w:after="0" w:line="187" w:lineRule="auto"/>
        <w:rPr>
          <w:sz w:val="20"/>
          <w:szCs w:val="20"/>
          <w:color w:val="auto"/>
        </w:rPr>
      </w:pPr>
      <w:r>
        <w:rPr>
          <w:rFonts w:ascii="Arial" w:cs="Arial" w:eastAsia="Arial" w:hAnsi="Arial"/>
          <w:sz w:val="12"/>
          <w:szCs w:val="12"/>
          <w:b w:val="1"/>
          <w:bCs w:val="1"/>
          <w:color w:val="auto"/>
        </w:rPr>
        <w:t>Registrant’s telephone number, including area code</w:t>
      </w: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47625</wp:posOffset>
            </wp:positionV>
            <wp:extent cx="1903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950" w:type="dxa"/>
        <w:tblCellMar>
          <w:top w:w="0" w:type="dxa"/>
          <w:left w:w="0" w:type="dxa"/>
          <w:bottom w:w="0" w:type="dxa"/>
          <w:right w:w="0" w:type="dxa"/>
        </w:tblCellMar>
      </w:tblPr>
      <w:tr>
        <w:trPr>
          <w:trHeight w:val="202"/>
        </w:trPr>
        <w:tc>
          <w:tcPr>
            <w:tcW w:w="2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244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Name of Each Exchange</w:t>
            </w:r>
          </w:p>
        </w:tc>
      </w:tr>
      <w:tr>
        <w:trPr>
          <w:trHeight w:val="205"/>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 No Par Value</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FMAO</w:t>
            </w: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NASDAQ Capital Market</w:t>
            </w:r>
          </w:p>
        </w:tc>
      </w:tr>
    </w:tbl>
    <w:p>
      <w:pPr>
        <w:spacing w:after="0" w:line="193" w:lineRule="exact"/>
        <w:rPr>
          <w:sz w:val="24"/>
          <w:szCs w:val="24"/>
          <w:color w:val="auto"/>
        </w:rPr>
      </w:pPr>
    </w:p>
    <w:p>
      <w:pPr>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340" w:hanging="332"/>
        <w:spacing w:after="0" w:line="184" w:lineRule="exact"/>
        <w:tabs>
          <w:tab w:leader="none" w:pos="3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ind w:right="20"/>
        <w:spacing w:after="0" w:line="3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9" w:lineRule="exact"/>
        <w:rPr>
          <w:sz w:val="24"/>
          <w:szCs w:val="24"/>
          <w:color w:val="auto"/>
        </w:rPr>
      </w:pPr>
    </w:p>
    <w:p>
      <w:pPr>
        <w:ind w:right="2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ectPr>
          <w:pgSz w:w="11900" w:h="16838" w:orient="portrait"/>
          <w:cols w:equalWidth="0" w:num="1">
            <w:col w:w="11240"/>
          </w:cols>
          <w:pgMar w:left="320" w:top="215" w:right="339" w:bottom="1440" w:gutter="0" w:footer="0" w:header="0"/>
        </w:sectPr>
      </w:pPr>
    </w:p>
    <w:p>
      <w:pPr>
        <w:spacing w:after="0" w:line="5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9" w:lineRule="exact"/>
        <w:rPr>
          <w:sz w:val="24"/>
          <w:szCs w:val="24"/>
          <w:color w:val="auto"/>
        </w:rPr>
      </w:pPr>
    </w:p>
    <w:p>
      <w:pPr>
        <w:sectPr>
          <w:pgSz w:w="11900" w:h="16838" w:orient="portrait"/>
          <w:cols w:equalWidth="0" w:num="2">
            <w:col w:w="420" w:space="160"/>
            <w:col w:w="10660"/>
          </w:cols>
          <w:pgMar w:left="320" w:top="215" w:right="339" w:bottom="1440" w:gutter="0" w:footer="0" w:header="0"/>
          <w:type w:val="continuous"/>
        </w:sectPr>
      </w:pPr>
    </w:p>
    <w:p>
      <w:pPr>
        <w:spacing w:after="0"/>
        <w:rPr>
          <w:sz w:val="20"/>
          <w:szCs w:val="20"/>
          <w:color w:val="auto"/>
        </w:rPr>
      </w:pPr>
      <w:r>
        <w:rPr>
          <w:rFonts w:ascii="Arial" w:cs="Arial" w:eastAsia="Arial" w:hAnsi="Arial"/>
          <w:sz w:val="14"/>
          <w:szCs w:val="14"/>
          <w:color w:val="auto"/>
        </w:rPr>
        <w:t>Indicate the number of shares of each of the issuers’ classes of common stock, as of the latest practicable date:</w:t>
      </w:r>
    </w:p>
    <w:p>
      <w:pPr>
        <w:sectPr>
          <w:pgSz w:w="11900" w:h="16838" w:orient="portrait"/>
          <w:cols w:equalWidth="0" w:num="1">
            <w:col w:w="11240"/>
          </w:cols>
          <w:pgMar w:left="320" w:top="215" w:right="339" w:bottom="1440" w:gutter="0" w:footer="0" w:header="0"/>
          <w:type w:val="continuous"/>
        </w:sectPr>
      </w:pPr>
    </w:p>
    <w:p>
      <w:pPr>
        <w:spacing w:after="0" w:line="123" w:lineRule="exact"/>
        <w:rPr>
          <w:sz w:val="24"/>
          <w:szCs w:val="24"/>
          <w:color w:val="auto"/>
        </w:rPr>
      </w:pPr>
    </w:p>
    <w:p>
      <w:pPr>
        <w:jc w:val="center"/>
        <w:ind w:right="960"/>
        <w:spacing w:after="0"/>
        <w:rPr>
          <w:sz w:val="20"/>
          <w:szCs w:val="20"/>
          <w:color w:val="auto"/>
        </w:rPr>
      </w:pPr>
      <w:r>
        <w:rPr>
          <w:rFonts w:ascii="Arial" w:cs="Arial" w:eastAsia="Arial" w:hAnsi="Arial"/>
          <w:sz w:val="14"/>
          <w:szCs w:val="14"/>
          <w:u w:val="single" w:color="auto"/>
          <w:color w:val="auto"/>
        </w:rPr>
        <w:t>Common Stock, No Par Value</w:t>
      </w:r>
    </w:p>
    <w:p>
      <w:pPr>
        <w:spacing w:after="0" w:line="45"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jc w:val="center"/>
        <w:ind w:right="1700"/>
        <w:spacing w:after="0"/>
        <w:rPr>
          <w:sz w:val="20"/>
          <w:szCs w:val="20"/>
          <w:color w:val="auto"/>
        </w:rPr>
      </w:pPr>
      <w:r>
        <w:rPr>
          <w:rFonts w:ascii="Arial" w:cs="Arial" w:eastAsia="Arial" w:hAnsi="Arial"/>
          <w:sz w:val="16"/>
          <w:szCs w:val="16"/>
          <w:u w:val="single" w:color="auto"/>
          <w:color w:val="auto"/>
        </w:rPr>
        <w:t>11,129,421</w:t>
      </w:r>
    </w:p>
    <w:p>
      <w:pPr>
        <w:spacing w:after="0" w:line="22" w:lineRule="exact"/>
        <w:rPr>
          <w:sz w:val="24"/>
          <w:szCs w:val="24"/>
          <w:color w:val="auto"/>
        </w:rPr>
      </w:pPr>
    </w:p>
    <w:p>
      <w:pPr>
        <w:jc w:val="center"/>
        <w:ind w:right="1700"/>
        <w:spacing w:after="0"/>
        <w:rPr>
          <w:sz w:val="20"/>
          <w:szCs w:val="20"/>
          <w:color w:val="auto"/>
        </w:rPr>
      </w:pPr>
      <w:r>
        <w:rPr>
          <w:rFonts w:ascii="Arial" w:cs="Arial" w:eastAsia="Arial" w:hAnsi="Arial"/>
          <w:sz w:val="14"/>
          <w:szCs w:val="14"/>
          <w:color w:val="auto"/>
        </w:rPr>
        <w:t>Outstanding as of April 24, 2020</w:t>
      </w:r>
    </w:p>
    <w:p>
      <w:pPr>
        <w:spacing w:after="0" w:line="222" w:lineRule="exact"/>
        <w:rPr>
          <w:sz w:val="24"/>
          <w:szCs w:val="24"/>
          <w:color w:val="auto"/>
        </w:rPr>
      </w:pPr>
    </w:p>
    <w:p>
      <w:pPr>
        <w:sectPr>
          <w:pgSz w:w="11900" w:h="16838" w:orient="portrait"/>
          <w:cols w:equalWidth="0" w:num="2">
            <w:col w:w="6740" w:space="720"/>
            <w:col w:w="3780"/>
          </w:cols>
          <w:pgMar w:left="320" w:top="215" w:right="339" w:bottom="1440" w:gutter="0" w:footer="0" w:header="0"/>
          <w:type w:val="continuous"/>
        </w:sectPr>
      </w:pP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gridSpan w:val="13"/>
          </w:tcPr>
          <w:p>
            <w:pPr>
              <w:spacing w:after="0"/>
              <w:rPr>
                <w:sz w:val="20"/>
                <w:szCs w:val="20"/>
                <w:color w:val="auto"/>
              </w:rPr>
            </w:pPr>
            <w:r>
              <w:rPr>
                <w:rFonts w:ascii="Arial" w:cs="Arial" w:eastAsia="Arial" w:hAnsi="Arial"/>
                <w:sz w:val="18"/>
                <w:szCs w:val="18"/>
                <w:color w:val="auto"/>
              </w:rPr>
              <w:t>FARMERS &amp; MERCHANTS BANCORP, INC.</w:t>
            </w:r>
          </w:p>
        </w:tc>
        <w:tc>
          <w:tcPr>
            <w:tcW w:w="2560" w:type="dxa"/>
            <w:vAlign w:val="bottom"/>
          </w:tcPr>
          <w:p>
            <w:pPr>
              <w:spacing w:after="0"/>
              <w:rPr>
                <w:sz w:val="18"/>
                <w:szCs w:val="18"/>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INDEX</w:t>
            </w: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203"/>
        </w:trPr>
        <w:tc>
          <w:tcPr>
            <w:tcW w:w="660" w:type="dxa"/>
            <w:vAlign w:val="bottom"/>
          </w:tcPr>
          <w:p>
            <w:pPr>
              <w:spacing w:after="0"/>
              <w:rPr>
                <w:sz w:val="17"/>
                <w:szCs w:val="17"/>
                <w:color w:val="auto"/>
              </w:rPr>
            </w:pPr>
          </w:p>
        </w:tc>
        <w:tc>
          <w:tcPr>
            <w:tcW w:w="2000" w:type="dxa"/>
            <w:vAlign w:val="bottom"/>
            <w:gridSpan w:val="3"/>
          </w:tcPr>
          <w:p>
            <w:pPr>
              <w:spacing w:after="0" w:line="202" w:lineRule="exact"/>
              <w:rPr>
                <w:sz w:val="20"/>
                <w:szCs w:val="20"/>
                <w:color w:val="auto"/>
              </w:rPr>
            </w:pPr>
            <w:r>
              <w:rPr>
                <w:rFonts w:ascii="Arial" w:cs="Arial" w:eastAsia="Arial" w:hAnsi="Arial"/>
                <w:sz w:val="18"/>
                <w:szCs w:val="18"/>
                <w:color w:val="auto"/>
              </w:rPr>
              <w:t>Form 10-Q Items</w:t>
            </w:r>
          </w:p>
        </w:tc>
        <w:tc>
          <w:tcPr>
            <w:tcW w:w="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560" w:type="dxa"/>
            <w:vAlign w:val="bottom"/>
          </w:tcPr>
          <w:p>
            <w:pPr>
              <w:ind w:left="2160"/>
              <w:spacing w:after="0" w:line="202" w:lineRule="exact"/>
              <w:rPr>
                <w:sz w:val="20"/>
                <w:szCs w:val="20"/>
                <w:color w:val="auto"/>
              </w:rPr>
            </w:pPr>
            <w:r>
              <w:rPr>
                <w:rFonts w:ascii="Arial" w:cs="Arial" w:eastAsia="Arial" w:hAnsi="Arial"/>
                <w:sz w:val="18"/>
                <w:szCs w:val="18"/>
                <w:color w:val="auto"/>
                <w:w w:val="90"/>
              </w:rPr>
              <w:t>Page</w:t>
            </w:r>
          </w:p>
        </w:tc>
      </w:tr>
      <w:tr>
        <w:trPr>
          <w:trHeight w:val="277"/>
        </w:trPr>
        <w:tc>
          <w:tcPr>
            <w:tcW w:w="660" w:type="dxa"/>
            <w:vAlign w:val="bottom"/>
          </w:tcPr>
          <w:p>
            <w:pPr>
              <w:spacing w:after="0"/>
              <w:rPr>
                <w:sz w:val="24"/>
                <w:szCs w:val="24"/>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PART I.</w:t>
            </w:r>
          </w:p>
        </w:tc>
        <w:tc>
          <w:tcPr>
            <w:tcW w:w="76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2560" w:type="dxa"/>
            <w:vAlign w:val="bottom"/>
          </w:tcPr>
          <w:p>
            <w:pPr>
              <w:spacing w:after="0"/>
              <w:rPr>
                <w:sz w:val="24"/>
                <w:szCs w:val="24"/>
                <w:color w:val="auto"/>
              </w:rPr>
            </w:pPr>
          </w:p>
        </w:tc>
      </w:tr>
      <w:tr>
        <w:trPr>
          <w:trHeight w:val="392"/>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2560" w:type="dxa"/>
            <w:vAlign w:val="bottom"/>
          </w:tcPr>
          <w:p>
            <w:pPr>
              <w:spacing w:after="0"/>
              <w:rPr>
                <w:sz w:val="24"/>
                <w:szCs w:val="24"/>
                <w:color w:val="auto"/>
              </w:rPr>
            </w:pPr>
          </w:p>
        </w:tc>
      </w:tr>
      <w:tr>
        <w:trPr>
          <w:trHeight w:val="32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w:t>
              </w:r>
            </w:hyperlink>
          </w:p>
        </w:tc>
        <w:tc>
          <w:tcPr>
            <w:tcW w:w="2340" w:type="dxa"/>
            <w:vAlign w:val="bottom"/>
            <w:gridSpan w:val="6"/>
          </w:tcPr>
          <w:p>
            <w:pPr>
              <w:spacing w:after="0"/>
              <w:rPr>
                <w:sz w:val="24"/>
                <w:szCs w:val="24"/>
                <w:color w:val="auto"/>
              </w:rPr>
            </w:pPr>
          </w:p>
        </w:tc>
        <w:tc>
          <w:tcPr>
            <w:tcW w:w="256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gridSpan w:val="8"/>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 xml:space="preserve">March 31, 2020 </w:t>
              </w:r>
              <w:r>
                <w:rPr>
                  <w:rFonts w:ascii="Arial" w:cs="Arial" w:eastAsia="Arial" w:hAnsi="Arial"/>
                  <w:sz w:val="18"/>
                  <w:szCs w:val="18"/>
                  <w:u w:val="single" w:color="auto"/>
                  <w:color w:val="000000"/>
                </w:rPr>
                <w:t>and December 31, 2019</w:t>
              </w:r>
            </w:hyperlink>
          </w:p>
        </w:tc>
        <w:tc>
          <w:tcPr>
            <w:tcW w:w="2560" w:type="dxa"/>
            <w:vAlign w:val="bottom"/>
          </w:tcPr>
          <w:p>
            <w:pPr>
              <w:jc w:val="center"/>
              <w:ind w:left="2030"/>
              <w:spacing w:after="0"/>
              <w:rPr>
                <w:sz w:val="20"/>
                <w:szCs w:val="20"/>
                <w:color w:val="auto"/>
              </w:rPr>
            </w:pPr>
            <w:r>
              <w:rPr>
                <w:rFonts w:ascii="Arial" w:cs="Arial" w:eastAsia="Arial" w:hAnsi="Arial"/>
                <w:sz w:val="18"/>
                <w:szCs w:val="18"/>
                <w:color w:val="auto"/>
                <w:w w:val="79"/>
              </w:rPr>
              <w:t>3</w:t>
            </w:r>
          </w:p>
        </w:tc>
      </w:tr>
      <w:tr>
        <w:trPr>
          <w:trHeight w:val="32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Income -</w:t>
              </w:r>
            </w:hyperlink>
          </w:p>
        </w:tc>
        <w:tc>
          <w:tcPr>
            <w:tcW w:w="1820" w:type="dxa"/>
            <w:vAlign w:val="bottom"/>
            <w:gridSpan w:val="5"/>
          </w:tcPr>
          <w:p>
            <w:pPr>
              <w:spacing w:after="0"/>
              <w:rPr>
                <w:sz w:val="24"/>
                <w:szCs w:val="24"/>
                <w:color w:val="auto"/>
              </w:rPr>
            </w:pPr>
          </w:p>
        </w:tc>
        <w:tc>
          <w:tcPr>
            <w:tcW w:w="256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gridSpan w:val="8"/>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Three Months Ended March 31, 2020 and March 31, 2019</w:t>
              </w:r>
            </w:hyperlink>
          </w:p>
        </w:tc>
        <w:tc>
          <w:tcPr>
            <w:tcW w:w="2560" w:type="dxa"/>
            <w:vAlign w:val="bottom"/>
          </w:tcPr>
          <w:p>
            <w:pPr>
              <w:jc w:val="center"/>
              <w:ind w:left="2030"/>
              <w:spacing w:after="0"/>
              <w:rPr>
                <w:sz w:val="20"/>
                <w:szCs w:val="20"/>
                <w:color w:val="auto"/>
              </w:rPr>
            </w:pPr>
            <w:r>
              <w:rPr>
                <w:rFonts w:ascii="Arial" w:cs="Arial" w:eastAsia="Arial" w:hAnsi="Arial"/>
                <w:sz w:val="18"/>
                <w:szCs w:val="18"/>
                <w:color w:val="auto"/>
                <w:w w:val="79"/>
              </w:rPr>
              <w:t>4</w:t>
            </w:r>
          </w:p>
        </w:tc>
      </w:tr>
      <w:tr>
        <w:trPr>
          <w:trHeight w:val="32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w:t>
              </w:r>
            </w:hyperlink>
          </w:p>
        </w:tc>
        <w:tc>
          <w:tcPr>
            <w:tcW w:w="6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gridSpan w:val="8"/>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Three Months Ended March 31, 2020 and March 31, 2019</w:t>
              </w:r>
            </w:hyperlink>
          </w:p>
        </w:tc>
        <w:tc>
          <w:tcPr>
            <w:tcW w:w="2560" w:type="dxa"/>
            <w:vAlign w:val="bottom"/>
          </w:tcPr>
          <w:p>
            <w:pPr>
              <w:jc w:val="center"/>
              <w:ind w:left="2030"/>
              <w:spacing w:after="0"/>
              <w:rPr>
                <w:sz w:val="20"/>
                <w:szCs w:val="20"/>
                <w:color w:val="auto"/>
              </w:rPr>
            </w:pPr>
            <w:r>
              <w:rPr>
                <w:rFonts w:ascii="Arial" w:cs="Arial" w:eastAsia="Arial" w:hAnsi="Arial"/>
                <w:sz w:val="18"/>
                <w:szCs w:val="18"/>
                <w:color w:val="auto"/>
                <w:w w:val="79"/>
              </w:rPr>
              <w:t>5</w:t>
            </w:r>
          </w:p>
        </w:tc>
      </w:tr>
      <w:tr>
        <w:trPr>
          <w:trHeight w:val="32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Changes to Stockholders’ Equity -</w:t>
              </w:r>
            </w:hyperlink>
          </w:p>
        </w:tc>
        <w:tc>
          <w:tcPr>
            <w:tcW w:w="25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gridSpan w:val="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Three Months Ended March 31, 2020 and March 31, 2019</w:t>
              </w:r>
            </w:hyperlink>
          </w:p>
        </w:tc>
        <w:tc>
          <w:tcPr>
            <w:tcW w:w="2560" w:type="dxa"/>
            <w:vAlign w:val="bottom"/>
          </w:tcPr>
          <w:p>
            <w:pPr>
              <w:jc w:val="center"/>
              <w:ind w:left="2030"/>
              <w:spacing w:after="0" w:line="196" w:lineRule="exact"/>
              <w:rPr>
                <w:sz w:val="20"/>
                <w:szCs w:val="20"/>
                <w:color w:val="auto"/>
              </w:rPr>
            </w:pPr>
            <w:r>
              <w:rPr>
                <w:rFonts w:ascii="Arial" w:cs="Arial" w:eastAsia="Arial" w:hAnsi="Arial"/>
                <w:sz w:val="18"/>
                <w:szCs w:val="18"/>
                <w:color w:val="auto"/>
                <w:w w:val="92"/>
              </w:rPr>
              <w:t>6-7</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39"/>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w:t>
              </w:r>
            </w:hyperlink>
          </w:p>
        </w:tc>
        <w:tc>
          <w:tcPr>
            <w:tcW w:w="1520" w:type="dxa"/>
            <w:vAlign w:val="bottom"/>
            <w:gridSpan w:val="4"/>
          </w:tcPr>
          <w:p>
            <w:pPr>
              <w:spacing w:after="0"/>
              <w:rPr>
                <w:sz w:val="24"/>
                <w:szCs w:val="24"/>
                <w:color w:val="auto"/>
              </w:rPr>
            </w:pPr>
          </w:p>
        </w:tc>
        <w:tc>
          <w:tcPr>
            <w:tcW w:w="256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gridSpan w:val="8"/>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Three Months Ended March 31, 2020 and March 31, 2019</w:t>
              </w:r>
            </w:hyperlink>
          </w:p>
        </w:tc>
        <w:tc>
          <w:tcPr>
            <w:tcW w:w="2560" w:type="dxa"/>
            <w:vAlign w:val="bottom"/>
          </w:tcPr>
          <w:p>
            <w:pPr>
              <w:jc w:val="center"/>
              <w:ind w:left="2030"/>
              <w:spacing w:after="0"/>
              <w:rPr>
                <w:sz w:val="20"/>
                <w:szCs w:val="20"/>
                <w:color w:val="auto"/>
              </w:rPr>
            </w:pPr>
            <w:r>
              <w:rPr>
                <w:rFonts w:ascii="Arial" w:cs="Arial" w:eastAsia="Arial" w:hAnsi="Arial"/>
                <w:sz w:val="18"/>
                <w:szCs w:val="18"/>
                <w:color w:val="auto"/>
                <w:w w:val="92"/>
              </w:rPr>
              <w:t>8-9</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Condensed Consolidated Financial Statements</w:t>
              </w:r>
            </w:hyperlink>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10</w:t>
            </w:r>
          </w:p>
        </w:tc>
      </w:tr>
      <w:tr>
        <w:trPr>
          <w:trHeight w:val="32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Management's Discussion and Analysis of Financial Condition</w:t>
              </w:r>
            </w:hyperlink>
          </w:p>
        </w:tc>
        <w:tc>
          <w:tcPr>
            <w:tcW w:w="820" w:type="dxa"/>
            <w:vAlign w:val="bottom"/>
            <w:gridSpan w:val="2"/>
          </w:tcPr>
          <w:p>
            <w:pPr>
              <w:spacing w:after="0"/>
              <w:rPr>
                <w:sz w:val="24"/>
                <w:szCs w:val="24"/>
                <w:color w:val="auto"/>
              </w:rPr>
            </w:pPr>
          </w:p>
        </w:tc>
        <w:tc>
          <w:tcPr>
            <w:tcW w:w="25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Arial" w:cs="Arial" w:eastAsia="Arial" w:hAnsi="Arial"/>
                <w:sz w:val="18"/>
                <w:szCs w:val="18"/>
                <w:color w:val="auto"/>
              </w:rPr>
              <w:t>Item</w:t>
            </w:r>
          </w:p>
        </w:tc>
        <w:tc>
          <w:tcPr>
            <w:tcW w:w="840" w:type="dxa"/>
            <w:vAlign w:val="bottom"/>
          </w:tcPr>
          <w:p>
            <w:pPr>
              <w:jc w:val="right"/>
              <w:ind w:right="550"/>
              <w:spacing w:after="0" w:line="196" w:lineRule="exact"/>
              <w:rPr>
                <w:sz w:val="20"/>
                <w:szCs w:val="20"/>
                <w:color w:val="auto"/>
              </w:rPr>
            </w:pPr>
            <w:r>
              <w:rPr>
                <w:rFonts w:ascii="Arial" w:cs="Arial" w:eastAsia="Arial" w:hAnsi="Arial"/>
                <w:sz w:val="18"/>
                <w:szCs w:val="18"/>
                <w:color w:val="auto"/>
              </w:rPr>
              <w:t>2.</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gridSpan w:val="8"/>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and Results of Operations</w:t>
              </w:r>
            </w:hyperlink>
          </w:p>
        </w:tc>
        <w:tc>
          <w:tcPr>
            <w:tcW w:w="2560" w:type="dxa"/>
            <w:vAlign w:val="bottom"/>
          </w:tcPr>
          <w:p>
            <w:pPr>
              <w:jc w:val="center"/>
              <w:ind w:left="2050"/>
              <w:spacing w:after="0" w:line="196" w:lineRule="exact"/>
              <w:rPr>
                <w:sz w:val="20"/>
                <w:szCs w:val="20"/>
                <w:color w:val="auto"/>
              </w:rPr>
            </w:pPr>
            <w:r>
              <w:rPr>
                <w:rFonts w:ascii="Arial" w:cs="Arial" w:eastAsia="Arial" w:hAnsi="Arial"/>
                <w:sz w:val="18"/>
                <w:szCs w:val="18"/>
                <w:color w:val="auto"/>
                <w:w w:val="91"/>
              </w:rPr>
              <w:t>41-57</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39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Qualitative and Quantitative Disclosures About Market Risk</w:t>
              </w:r>
            </w:hyperlink>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58</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Controls and Procedures</w:t>
              </w:r>
            </w:hyperlink>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59</w:t>
            </w:r>
          </w:p>
        </w:tc>
      </w:tr>
      <w:tr>
        <w:trPr>
          <w:trHeight w:val="378"/>
        </w:trPr>
        <w:tc>
          <w:tcPr>
            <w:tcW w:w="660" w:type="dxa"/>
            <w:vAlign w:val="bottom"/>
          </w:tcPr>
          <w:p>
            <w:pPr>
              <w:spacing w:after="0"/>
              <w:rPr>
                <w:sz w:val="24"/>
                <w:szCs w:val="24"/>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5380" w:type="dxa"/>
            <w:vAlign w:val="bottom"/>
            <w:gridSpan w:val="9"/>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OTHER INFORMATION</w:t>
              </w:r>
            </w:hyperlink>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59</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Legal Proceedings</w:t>
              </w:r>
            </w:hyperlink>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59</w:t>
            </w:r>
          </w:p>
        </w:tc>
      </w:tr>
      <w:tr>
        <w:trPr>
          <w:trHeight w:val="378"/>
        </w:trPr>
        <w:tc>
          <w:tcPr>
            <w:tcW w:w="660" w:type="dxa"/>
            <w:vAlign w:val="bottom"/>
          </w:tcPr>
          <w:p>
            <w:pPr>
              <w:spacing w:after="0"/>
              <w:rPr>
                <w:sz w:val="24"/>
                <w:szCs w:val="24"/>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5380" w:type="dxa"/>
            <w:vAlign w:val="bottom"/>
            <w:gridSpan w:val="9"/>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Risk Factors</w:t>
              </w:r>
            </w:hyperlink>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91"/>
              </w:rPr>
              <w:t>59-60</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Unregistered Sales of Equity Securities and Use of Proceeds</w:t>
              </w:r>
            </w:hyperlink>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60</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Defaults Upon Senior Securities</w:t>
              </w:r>
            </w:hyperlink>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60</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Mine Safety Disclosures</w:t>
              </w:r>
            </w:hyperlink>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60</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Other Information</w:t>
              </w:r>
            </w:hyperlink>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60</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6.</w:t>
            </w:r>
          </w:p>
        </w:tc>
        <w:tc>
          <w:tcPr>
            <w:tcW w:w="76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Exhibits</w:t>
              </w:r>
            </w:hyperlink>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61</w:t>
            </w:r>
          </w:p>
        </w:tc>
      </w:tr>
      <w:tr>
        <w:trPr>
          <w:trHeight w:val="378"/>
        </w:trPr>
        <w:tc>
          <w:tcPr>
            <w:tcW w:w="660" w:type="dxa"/>
            <w:vAlign w:val="bottom"/>
          </w:tcPr>
          <w:p>
            <w:pPr>
              <w:spacing w:after="0"/>
              <w:rPr>
                <w:sz w:val="24"/>
                <w:szCs w:val="24"/>
                <w:color w:val="auto"/>
              </w:rPr>
            </w:pPr>
          </w:p>
        </w:tc>
        <w:tc>
          <w:tcPr>
            <w:tcW w:w="2000" w:type="dxa"/>
            <w:vAlign w:val="bottom"/>
            <w:gridSpan w:val="3"/>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Signatures</w:t>
              </w:r>
            </w:hyperlink>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62</w:t>
            </w:r>
          </w:p>
        </w:tc>
      </w:tr>
      <w:tr>
        <w:trPr>
          <w:trHeight w:val="392"/>
        </w:trPr>
        <w:tc>
          <w:tcPr>
            <w:tcW w:w="660" w:type="dxa"/>
            <w:vAlign w:val="bottom"/>
          </w:tcPr>
          <w:p>
            <w:pPr>
              <w:spacing w:after="0"/>
              <w:rPr>
                <w:sz w:val="24"/>
                <w:szCs w:val="24"/>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5380" w:type="dxa"/>
            <w:vAlign w:val="bottom"/>
            <w:gridSpan w:val="9"/>
          </w:tcPr>
          <w:p>
            <w:pPr>
              <w:spacing w:after="0"/>
              <w:rPr>
                <w:sz w:val="20"/>
                <w:szCs w:val="20"/>
                <w:color w:val="auto"/>
              </w:rPr>
            </w:pPr>
            <w:r>
              <w:rPr>
                <w:rFonts w:ascii="Arial" w:cs="Arial" w:eastAsia="Arial" w:hAnsi="Arial"/>
                <w:sz w:val="18"/>
                <w:szCs w:val="18"/>
                <w:color w:val="auto"/>
              </w:rPr>
              <w:t>XBRL Instance Document (1)</w:t>
            </w:r>
          </w:p>
        </w:tc>
        <w:tc>
          <w:tcPr>
            <w:tcW w:w="2560" w:type="dxa"/>
            <w:vAlign w:val="bottom"/>
          </w:tcPr>
          <w:p>
            <w:pPr>
              <w:spacing w:after="0"/>
              <w:rPr>
                <w:sz w:val="24"/>
                <w:szCs w:val="24"/>
                <w:color w:val="auto"/>
              </w:rPr>
            </w:pPr>
          </w:p>
        </w:tc>
      </w:tr>
      <w:tr>
        <w:trPr>
          <w:trHeight w:val="256"/>
        </w:trPr>
        <w:tc>
          <w:tcPr>
            <w:tcW w:w="660" w:type="dxa"/>
            <w:vAlign w:val="bottom"/>
          </w:tcPr>
          <w:p>
            <w:pPr>
              <w:spacing w:after="0"/>
              <w:rPr>
                <w:sz w:val="22"/>
                <w:szCs w:val="22"/>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5380" w:type="dxa"/>
            <w:vAlign w:val="bottom"/>
            <w:gridSpan w:val="9"/>
          </w:tcPr>
          <w:p>
            <w:pPr>
              <w:spacing w:after="0"/>
              <w:rPr>
                <w:sz w:val="20"/>
                <w:szCs w:val="20"/>
                <w:color w:val="auto"/>
              </w:rPr>
            </w:pPr>
            <w:r>
              <w:rPr>
                <w:rFonts w:ascii="Arial" w:cs="Arial" w:eastAsia="Arial" w:hAnsi="Arial"/>
                <w:sz w:val="18"/>
                <w:szCs w:val="18"/>
                <w:color w:val="auto"/>
              </w:rPr>
              <w:t>XBRL Taxonomy Extension Scheme Document (1)</w:t>
            </w:r>
          </w:p>
        </w:tc>
        <w:tc>
          <w:tcPr>
            <w:tcW w:w="2560" w:type="dxa"/>
            <w:vAlign w:val="bottom"/>
          </w:tcPr>
          <w:p>
            <w:pPr>
              <w:spacing w:after="0"/>
              <w:rPr>
                <w:sz w:val="22"/>
                <w:szCs w:val="22"/>
                <w:color w:val="auto"/>
              </w:rPr>
            </w:pPr>
          </w:p>
        </w:tc>
      </w:tr>
      <w:tr>
        <w:trPr>
          <w:trHeight w:val="257"/>
        </w:trPr>
        <w:tc>
          <w:tcPr>
            <w:tcW w:w="660" w:type="dxa"/>
            <w:vAlign w:val="bottom"/>
          </w:tcPr>
          <w:p>
            <w:pPr>
              <w:spacing w:after="0"/>
              <w:rPr>
                <w:sz w:val="22"/>
                <w:szCs w:val="22"/>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538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 (1)</w:t>
            </w:r>
          </w:p>
        </w:tc>
        <w:tc>
          <w:tcPr>
            <w:tcW w:w="25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538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 (1)</w:t>
            </w:r>
          </w:p>
        </w:tc>
        <w:tc>
          <w:tcPr>
            <w:tcW w:w="25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538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 (1)</w:t>
            </w:r>
          </w:p>
        </w:tc>
        <w:tc>
          <w:tcPr>
            <w:tcW w:w="25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538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 (1)</w:t>
            </w:r>
          </w:p>
        </w:tc>
        <w:tc>
          <w:tcPr>
            <w:tcW w:w="2560" w:type="dxa"/>
            <w:vAlign w:val="bottom"/>
          </w:tcPr>
          <w:p>
            <w:pPr>
              <w:spacing w:after="0"/>
              <w:rPr>
                <w:sz w:val="22"/>
                <w:szCs w:val="22"/>
                <w:color w:val="auto"/>
              </w:rPr>
            </w:pPr>
          </w:p>
        </w:tc>
      </w:tr>
    </w:tbl>
    <w:p>
      <w:pPr>
        <w:spacing w:after="0" w:line="188" w:lineRule="exact"/>
        <w:rPr>
          <w:sz w:val="20"/>
          <w:szCs w:val="20"/>
          <w:color w:val="auto"/>
        </w:rPr>
      </w:pPr>
    </w:p>
    <w:p>
      <w:pPr>
        <w:jc w:val="both"/>
        <w:ind w:left="380" w:hanging="372"/>
        <w:spacing w:after="0" w:line="224"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60" w:type="dxa"/>
            <w:vAlign w:val="bottom"/>
            <w:gridSpan w:val="4"/>
          </w:tcPr>
          <w:p>
            <w:pPr>
              <w:jc w:val="right"/>
              <w:ind w:right="1190"/>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140"/>
              <w:spacing w:after="0"/>
              <w:rPr>
                <w:sz w:val="20"/>
                <w:szCs w:val="20"/>
                <w:color w:val="auto"/>
              </w:rPr>
            </w:pPr>
            <w:r>
              <w:rPr>
                <w:rFonts w:ascii="Arial" w:cs="Arial" w:eastAsia="Arial" w:hAnsi="Arial"/>
                <w:sz w:val="18"/>
                <w:szCs w:val="18"/>
                <w:color w:val="auto"/>
              </w:rPr>
              <w:t>March 31, 2020</w:t>
            </w:r>
          </w:p>
        </w:tc>
        <w:tc>
          <w:tcPr>
            <w:tcW w:w="160" w:type="dxa"/>
            <w:vAlign w:val="bottom"/>
          </w:tcPr>
          <w:p>
            <w:pPr>
              <w:spacing w:after="0"/>
              <w:rPr>
                <w:sz w:val="20"/>
                <w:szCs w:val="20"/>
                <w:color w:val="auto"/>
              </w:rPr>
            </w:pPr>
          </w:p>
        </w:tc>
        <w:tc>
          <w:tcPr>
            <w:tcW w:w="1860" w:type="dxa"/>
            <w:vAlign w:val="bottom"/>
          </w:tcPr>
          <w:p>
            <w:pPr>
              <w:jc w:val="right"/>
              <w:ind w:right="290"/>
              <w:spacing w:after="0"/>
              <w:rPr>
                <w:sz w:val="20"/>
                <w:szCs w:val="20"/>
                <w:color w:val="auto"/>
              </w:rPr>
            </w:pPr>
            <w:r>
              <w:rPr>
                <w:rFonts w:ascii="Arial" w:cs="Arial" w:eastAsia="Arial" w:hAnsi="Arial"/>
                <w:sz w:val="18"/>
                <w:szCs w:val="18"/>
                <w:color w:val="auto"/>
                <w:w w:val="92"/>
              </w:rPr>
              <w:t>December 31, 2019</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Cash and due from banks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49,844</w:t>
            </w:r>
          </w:p>
        </w:tc>
        <w:tc>
          <w:tcPr>
            <w:tcW w:w="1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50,137</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funds sold</w:t>
            </w:r>
          </w:p>
        </w:tc>
        <w:tc>
          <w:tcPr>
            <w:tcW w:w="2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40,993</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23"/>
        </w:trPr>
        <w:tc>
          <w:tcPr>
            <w:tcW w:w="7060" w:type="dxa"/>
            <w:vAlign w:val="bottom"/>
          </w:tcPr>
          <w:p>
            <w:pPr>
              <w:ind w:left="7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90,837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51,296</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Interest-bearing time deposits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4,869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Securities - available-for-sale</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204,121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222,293</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securities, at cost</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5,810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5,810</w:t>
            </w: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2,153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Loans, net</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1,239,108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1,211,771</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Premises and equipment</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26,120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26,283</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Construction in progress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47,340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47,340</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Mortgage servicing rights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2,672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Other real estate owned</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Bank owned life insurance</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15,313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15,235</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16,597</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15,834</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1,655,125</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1,607,330</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7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Noninterest-bearing</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261,786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265,156</w:t>
            </w:r>
          </w:p>
        </w:tc>
        <w:tc>
          <w:tcPr>
            <w:tcW w:w="0" w:type="dxa"/>
            <w:vAlign w:val="bottom"/>
          </w:tcPr>
          <w:p>
            <w:pPr>
              <w:spacing w:after="0"/>
              <w:rPr>
                <w:sz w:val="1"/>
                <w:szCs w:val="1"/>
                <w:color w:val="auto"/>
              </w:rPr>
            </w:pPr>
          </w:p>
        </w:tc>
      </w:tr>
      <w:tr>
        <w:trPr>
          <w:trHeight w:val="229"/>
        </w:trPr>
        <w:tc>
          <w:tcPr>
            <w:tcW w:w="7060" w:type="dxa"/>
            <w:vAlign w:val="bottom"/>
          </w:tcPr>
          <w:p>
            <w:pPr>
              <w:ind w:left="740"/>
              <w:spacing w:after="0"/>
              <w:rPr>
                <w:sz w:val="20"/>
                <w:szCs w:val="20"/>
                <w:color w:val="auto"/>
              </w:rPr>
            </w:pPr>
            <w:r>
              <w:rPr>
                <w:rFonts w:ascii="Arial" w:cs="Arial" w:eastAsia="Arial" w:hAnsi="Arial"/>
                <w:sz w:val="18"/>
                <w:szCs w:val="18"/>
                <w:color w:val="auto"/>
              </w:rPr>
              <w:t>Interest-bearing</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NOW accounts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463,734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423,655</w:t>
            </w:r>
          </w:p>
        </w:tc>
        <w:tc>
          <w:tcPr>
            <w:tcW w:w="0" w:type="dxa"/>
            <w:vAlign w:val="bottom"/>
          </w:tcPr>
          <w:p>
            <w:pPr>
              <w:spacing w:after="0"/>
              <w:rPr>
                <w:sz w:val="1"/>
                <w:szCs w:val="1"/>
                <w:color w:val="auto"/>
              </w:rPr>
            </w:pPr>
          </w:p>
        </w:tc>
      </w:tr>
      <w:tr>
        <w:trPr>
          <w:trHeight w:val="230"/>
        </w:trPr>
        <w:tc>
          <w:tcPr>
            <w:tcW w:w="7060" w:type="dxa"/>
            <w:vAlign w:val="bottom"/>
          </w:tcPr>
          <w:p>
            <w:pPr>
              <w:ind w:left="1000"/>
              <w:spacing w:after="0"/>
              <w:rPr>
                <w:sz w:val="20"/>
                <w:szCs w:val="20"/>
                <w:color w:val="auto"/>
              </w:rPr>
            </w:pPr>
            <w:r>
              <w:rPr>
                <w:rFonts w:ascii="Arial" w:cs="Arial" w:eastAsia="Arial" w:hAnsi="Arial"/>
                <w:sz w:val="18"/>
                <w:szCs w:val="18"/>
                <w:color w:val="auto"/>
              </w:rPr>
              <w:t>Savings</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341,256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322,973</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Time</w:t>
            </w:r>
          </w:p>
        </w:tc>
        <w:tc>
          <w:tcPr>
            <w:tcW w:w="2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281,931</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276,563</w:t>
            </w:r>
          </w:p>
        </w:tc>
        <w:tc>
          <w:tcPr>
            <w:tcW w:w="0" w:type="dxa"/>
            <w:vAlign w:val="bottom"/>
          </w:tcPr>
          <w:p>
            <w:pPr>
              <w:spacing w:after="0"/>
              <w:rPr>
                <w:sz w:val="1"/>
                <w:szCs w:val="1"/>
                <w:color w:val="auto"/>
              </w:rPr>
            </w:pPr>
          </w:p>
        </w:tc>
      </w:tr>
      <w:tr>
        <w:trPr>
          <w:trHeight w:val="223"/>
        </w:trPr>
        <w:tc>
          <w:tcPr>
            <w:tcW w:w="7060" w:type="dxa"/>
            <w:vAlign w:val="bottom"/>
          </w:tcPr>
          <w:p>
            <w:pPr>
              <w:ind w:left="1480"/>
              <w:spacing w:after="0"/>
              <w:rPr>
                <w:sz w:val="20"/>
                <w:szCs w:val="20"/>
                <w:color w:val="auto"/>
              </w:rPr>
            </w:pPr>
            <w:r>
              <w:rPr>
                <w:rFonts w:ascii="Arial" w:cs="Arial" w:eastAsia="Arial" w:hAnsi="Arial"/>
                <w:sz w:val="18"/>
                <w:szCs w:val="18"/>
                <w:color w:val="auto"/>
              </w:rPr>
              <w:t>Total deposits</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1,348,707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1,288,347</w:t>
            </w:r>
          </w:p>
        </w:tc>
        <w:tc>
          <w:tcPr>
            <w:tcW w:w="0" w:type="dxa"/>
            <w:vAlign w:val="bottom"/>
          </w:tcPr>
          <w:p>
            <w:pPr>
              <w:spacing w:after="0"/>
              <w:rPr>
                <w:sz w:val="1"/>
                <w:szCs w:val="1"/>
                <w:color w:val="auto"/>
              </w:rPr>
            </w:pPr>
          </w:p>
        </w:tc>
      </w:tr>
      <w:tr>
        <w:trPr>
          <w:trHeight w:val="215"/>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funds purchased and securities sold under agreements to</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repurchase</w:t>
            </w:r>
          </w:p>
        </w:tc>
        <w:tc>
          <w:tcPr>
            <w:tcW w:w="220" w:type="dxa"/>
            <w:vAlign w:val="bottom"/>
            <w:shd w:val="clear" w:color="auto" w:fill="CFF0FC"/>
          </w:tcPr>
          <w:p>
            <w:pPr>
              <w:spacing w:after="0"/>
              <w:rPr>
                <w:sz w:val="20"/>
                <w:szCs w:val="20"/>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30,585</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48,073</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Federal Home Loan Bank (FHLB) advances</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24,788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24,806</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Dividend payable</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1,768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12,820</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14,078</w:t>
            </w: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1,418,668</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1,377,072</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60" w:type="dxa"/>
            <w:vAlign w:val="bottom"/>
          </w:tcPr>
          <w:p>
            <w:pPr>
              <w:ind w:left="500"/>
              <w:spacing w:after="0"/>
              <w:rPr>
                <w:sz w:val="20"/>
                <w:szCs w:val="20"/>
                <w:color w:val="auto"/>
              </w:rPr>
            </w:pPr>
            <w:r>
              <w:rPr>
                <w:rFonts w:ascii="Arial" w:cs="Arial" w:eastAsia="Arial" w:hAnsi="Arial"/>
                <w:sz w:val="18"/>
                <w:szCs w:val="18"/>
                <w:color w:val="auto"/>
              </w:rPr>
              <w:t>Common stock - No par value 20,000,000 shares authorized; issued and</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640"/>
              <w:spacing w:after="0"/>
              <w:rPr>
                <w:sz w:val="20"/>
                <w:szCs w:val="20"/>
                <w:color w:val="auto"/>
              </w:rPr>
            </w:pPr>
            <w:r>
              <w:rPr>
                <w:rFonts w:ascii="Arial" w:cs="Arial" w:eastAsia="Arial" w:hAnsi="Arial"/>
                <w:sz w:val="18"/>
                <w:szCs w:val="18"/>
                <w:color w:val="auto"/>
              </w:rPr>
              <w:t>outstanding 12,230,000 shares 3/31/20 and 12/31/19</w:t>
            </w:r>
          </w:p>
        </w:tc>
        <w:tc>
          <w:tcPr>
            <w:tcW w:w="220" w:type="dxa"/>
            <w:vAlign w:val="bottom"/>
          </w:tcPr>
          <w:p>
            <w:pPr>
              <w:spacing w:after="0"/>
              <w:rPr>
                <w:sz w:val="20"/>
                <w:szCs w:val="20"/>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81,844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81,535</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Treasury stock - 1,100,579 shares 3/31/20, 1,093,065 shares 12/31/19</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(12,456)</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162,416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160,081</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4,833</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tcPr>
          <w:p>
            <w:pPr>
              <w:ind w:left="14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236,457</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230,258</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1,655,125</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1,607,330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Note: The December 31, 2019, Condensed Consolidated Balance Sheet has been derived from the audited Consolidated Balance Sheet as of that date.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80" w:type="dxa"/>
            <w:vAlign w:val="bottom"/>
            <w:gridSpan w:val="5"/>
          </w:tcPr>
          <w:p>
            <w:pPr>
              <w:jc w:val="right"/>
              <w:ind w:right="420"/>
              <w:spacing w:after="0"/>
              <w:rPr>
                <w:sz w:val="20"/>
                <w:szCs w:val="20"/>
                <w:color w:val="auto"/>
              </w:rPr>
            </w:pPr>
            <w:r>
              <w:rPr>
                <w:rFonts w:ascii="Arial" w:cs="Arial" w:eastAsia="Arial" w:hAnsi="Arial"/>
                <w:sz w:val="18"/>
                <w:szCs w:val="18"/>
                <w:color w:val="auto"/>
                <w:w w:val="91"/>
              </w:rPr>
              <w:t>(in thousands of dollars, except per share data)</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gridSpan w:val="5"/>
          </w:tcPr>
          <w:p>
            <w:pPr>
              <w:jc w:val="right"/>
              <w:ind w:right="13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March 31, 2020</w:t>
            </w:r>
          </w:p>
        </w:tc>
        <w:tc>
          <w:tcPr>
            <w:tcW w:w="2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March 31, 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 Income</w:t>
            </w:r>
          </w:p>
        </w:tc>
        <w:tc>
          <w:tcPr>
            <w:tcW w:w="20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Loans, including fees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15,883</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14,680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securities: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500"/>
              <w:spacing w:after="0"/>
              <w:rPr>
                <w:sz w:val="20"/>
                <w:szCs w:val="20"/>
                <w:color w:val="auto"/>
              </w:rPr>
            </w:pPr>
            <w:r>
              <w:rPr>
                <w:rFonts w:ascii="Arial" w:cs="Arial" w:eastAsia="Arial" w:hAnsi="Arial"/>
                <w:sz w:val="18"/>
                <w:szCs w:val="18"/>
                <w:color w:val="auto"/>
              </w:rPr>
              <w:t>U.S. Treasury and government agencies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1,146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Municipalities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funds sold</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interest income</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60" w:type="dxa"/>
            <w:vAlign w:val="bottom"/>
          </w:tcPr>
          <w:p>
            <w:pPr>
              <w:ind w:left="260"/>
              <w:spacing w:after="0"/>
              <w:rPr>
                <w:sz w:val="20"/>
                <w:szCs w:val="20"/>
                <w:color w:val="auto"/>
              </w:rPr>
            </w:pPr>
            <w:r>
              <w:rPr>
                <w:rFonts w:ascii="Arial" w:cs="Arial" w:eastAsia="Arial" w:hAnsi="Arial"/>
                <w:sz w:val="18"/>
                <w:szCs w:val="18"/>
                <w:color w:val="auto"/>
              </w:rPr>
              <w:t>Federal funds purchased and securities sold under</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380"/>
              <w:spacing w:after="0"/>
              <w:rPr>
                <w:sz w:val="20"/>
                <w:szCs w:val="20"/>
                <w:color w:val="auto"/>
              </w:rPr>
            </w:pPr>
            <w:r>
              <w:rPr>
                <w:rFonts w:ascii="Arial" w:cs="Arial" w:eastAsia="Arial" w:hAnsi="Arial"/>
                <w:sz w:val="18"/>
                <w:szCs w:val="18"/>
                <w:color w:val="auto"/>
              </w:rPr>
              <w:t>agreements to repurchase</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Borrowed funds</w:t>
            </w: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Interest Income - Before Provision for Loan Losses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Provision for Loan Losses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service fees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Other service charges and fees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1,039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on sale of loans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Net gain (loss) on sale of available-for-sale securities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71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noninterest income</w:t>
            </w:r>
          </w:p>
        </w:tc>
        <w:tc>
          <w:tcPr>
            <w:tcW w:w="20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3,122</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Salaries and wages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Employee benefits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1,677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occupancy expense</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Furniture and equipment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Data processing</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Franchise taxes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ATM expense</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Advertising</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on sale of other assets owned</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FDIC assessment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Mortgage servicing rights amortization</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Consulting fees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1,602</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noninterest expense</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10,695</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Income Taxes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Dividends Declared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ind w:right="4960"/>
        <w:spacing w:after="0" w:line="263" w:lineRule="auto"/>
        <w:rPr>
          <w:sz w:val="20"/>
          <w:szCs w:val="20"/>
          <w:color w:val="auto"/>
        </w:rPr>
      </w:pPr>
      <w:r>
        <w:rPr>
          <w:rFonts w:ascii="Arial" w:cs="Arial" w:eastAsia="Arial" w:hAnsi="Arial"/>
          <w:sz w:val="18"/>
          <w:szCs w:val="18"/>
          <w:color w:val="auto"/>
        </w:rPr>
        <w:t>FARMERS &amp; MERCHANTS BANCORP, INC. AND SUBSIDIARIES CONDENSED CONSOLIDATED STATEMENTS OF COMPREHENSIVE INCOME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40" w:type="dxa"/>
            <w:vAlign w:val="bottom"/>
            <w:gridSpan w:val="4"/>
          </w:tcPr>
          <w:p>
            <w:pPr>
              <w:jc w:val="right"/>
              <w:ind w:right="1070"/>
              <w:spacing w:after="0"/>
              <w:rPr>
                <w:sz w:val="20"/>
                <w:szCs w:val="20"/>
                <w:color w:val="auto"/>
              </w:rPr>
            </w:pPr>
            <w:r>
              <w:rPr>
                <w:rFonts w:ascii="Arial" w:cs="Arial" w:eastAsia="Arial" w:hAnsi="Arial"/>
                <w:sz w:val="18"/>
                <w:szCs w:val="18"/>
                <w:color w:val="auto"/>
              </w:rPr>
              <w:t>(in thousands of dollars)</w:t>
            </w:r>
          </w:p>
        </w:tc>
      </w:tr>
      <w:tr>
        <w:trPr>
          <w:trHeight w:val="230"/>
        </w:trPr>
        <w:tc>
          <w:tcPr>
            <w:tcW w:w="5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4"/>
          </w:tcPr>
          <w:p>
            <w:pPr>
              <w:jc w:val="right"/>
              <w:ind w:right="1190"/>
              <w:spacing w:after="0"/>
              <w:rPr>
                <w:sz w:val="20"/>
                <w:szCs w:val="20"/>
                <w:color w:val="auto"/>
              </w:rPr>
            </w:pPr>
            <w:r>
              <w:rPr>
                <w:rFonts w:ascii="Arial" w:cs="Arial" w:eastAsia="Arial" w:hAnsi="Arial"/>
                <w:sz w:val="18"/>
                <w:szCs w:val="18"/>
                <w:color w:val="auto"/>
              </w:rPr>
              <w:t>Three Months Ended</w:t>
            </w:r>
          </w:p>
        </w:tc>
      </w:tr>
      <w:tr>
        <w:trPr>
          <w:trHeight w:val="223"/>
        </w:trPr>
        <w:tc>
          <w:tcPr>
            <w:tcW w:w="56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March 31, 2020</w:t>
            </w:r>
          </w:p>
        </w:tc>
        <w:tc>
          <w:tcPr>
            <w:tcW w:w="200" w:type="dxa"/>
            <w:vAlign w:val="bottom"/>
          </w:tcPr>
          <w:p>
            <w:pPr>
              <w:spacing w:after="0"/>
              <w:rPr>
                <w:sz w:val="19"/>
                <w:szCs w:val="19"/>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color w:val="auto"/>
                <w:w w:val="99"/>
              </w:rPr>
              <w:t>March 31, 2019</w:t>
            </w: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6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4,105</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3,224</w:t>
            </w:r>
          </w:p>
        </w:tc>
      </w:tr>
      <w:tr>
        <w:trPr>
          <w:trHeight w:val="230"/>
        </w:trPr>
        <w:tc>
          <w:tcPr>
            <w:tcW w:w="568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5"/>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on available-for-sale</w:t>
            </w: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230"/>
        </w:trPr>
        <w:tc>
          <w:tcPr>
            <w:tcW w:w="5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1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4,998</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1,749</w:t>
            </w:r>
          </w:p>
        </w:tc>
      </w:tr>
      <w:tr>
        <w:trPr>
          <w:trHeight w:val="215"/>
        </w:trPr>
        <w:tc>
          <w:tcPr>
            <w:tcW w:w="5680" w:type="dxa"/>
            <w:vAlign w:val="bottom"/>
          </w:tcPr>
          <w:p>
            <w:pPr>
              <w:ind w:left="260"/>
              <w:spacing w:after="0"/>
              <w:rPr>
                <w:sz w:val="20"/>
                <w:szCs w:val="20"/>
                <w:color w:val="auto"/>
              </w:rPr>
            </w:pPr>
            <w:r>
              <w:rPr>
                <w:rFonts w:ascii="Arial" w:cs="Arial" w:eastAsia="Arial" w:hAnsi="Arial"/>
                <w:sz w:val="18"/>
                <w:szCs w:val="18"/>
                <w:color w:val="auto"/>
              </w:rPr>
              <w:t>Reclassification adjustment for (gain) loss on sale of</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56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available-for-sale securities</w:t>
            </w:r>
          </w:p>
        </w:tc>
        <w:tc>
          <w:tcPr>
            <w:tcW w:w="16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w:t>
            </w:r>
          </w:p>
        </w:tc>
      </w:tr>
      <w:tr>
        <w:trPr>
          <w:trHeight w:val="20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on available-for-sale</w:t>
            </w: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230"/>
        </w:trPr>
        <w:tc>
          <w:tcPr>
            <w:tcW w:w="5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1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4,728</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1,775</w:t>
            </w:r>
          </w:p>
        </w:tc>
      </w:tr>
      <w:tr>
        <w:trPr>
          <w:trHeight w:val="229"/>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Tax expense</w:t>
            </w:r>
          </w:p>
        </w:tc>
        <w:tc>
          <w:tcPr>
            <w:tcW w:w="16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993</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373</w:t>
            </w:r>
          </w:p>
        </w:tc>
      </w:tr>
      <w:tr>
        <w:trPr>
          <w:trHeight w:val="223"/>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16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3,735</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1,402</w:t>
            </w:r>
          </w:p>
        </w:tc>
      </w:tr>
      <w:tr>
        <w:trPr>
          <w:trHeight w:val="223"/>
        </w:trPr>
        <w:tc>
          <w:tcPr>
            <w:tcW w:w="56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6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7,840</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4,626</w:t>
            </w:r>
          </w:p>
        </w:tc>
      </w:tr>
      <w:tr>
        <w:trPr>
          <w:trHeight w:val="20"/>
        </w:trPr>
        <w:tc>
          <w:tcPr>
            <w:tcW w:w="5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80" w:right="3460" w:hanging="1365"/>
        <w:spacing w:after="0" w:line="778" w:lineRule="auto"/>
        <w:tabs>
          <w:tab w:leader="none" w:pos="4321"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Remainder of this page intentionally left blank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3860"/>
        <w:spacing w:after="0" w:line="250" w:lineRule="auto"/>
        <w:rPr>
          <w:sz w:val="20"/>
          <w:szCs w:val="20"/>
          <w:color w:val="auto"/>
        </w:rPr>
      </w:pPr>
      <w:r>
        <w:rPr>
          <w:rFonts w:ascii="Arial" w:cs="Arial" w:eastAsia="Arial" w:hAnsi="Arial"/>
          <w:sz w:val="18"/>
          <w:szCs w:val="18"/>
          <w:color w:val="auto"/>
        </w:rPr>
        <w:t>CONDENSED CONSOLIDATED STATEMENTS OF CHANGES TO STOCKHOLDERS’ EQUITY FOR THE THREE MONTHS ENDED MARCH 31, 20120 (000’S OMITTED, EXCEPT PER SHARE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Shares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29"/>
        </w:trPr>
        <w:tc>
          <w:tcPr>
            <w:tcW w:w="470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9"/>
                <w:szCs w:val="19"/>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Common</w:t>
            </w:r>
          </w:p>
        </w:tc>
        <w:tc>
          <w:tcPr>
            <w:tcW w:w="900" w:type="dxa"/>
            <w:vAlign w:val="bottom"/>
            <w:gridSpan w:val="3"/>
          </w:tcPr>
          <w:p>
            <w:pPr>
              <w:jc w:val="right"/>
              <w:ind w:right="121"/>
              <w:spacing w:after="0"/>
              <w:rPr>
                <w:sz w:val="20"/>
                <w:szCs w:val="20"/>
                <w:color w:val="auto"/>
              </w:rPr>
            </w:pPr>
            <w:r>
              <w:rPr>
                <w:rFonts w:ascii="Arial" w:cs="Arial" w:eastAsia="Arial" w:hAnsi="Arial"/>
                <w:sz w:val="18"/>
                <w:szCs w:val="18"/>
                <w:color w:val="auto"/>
                <w:w w:val="95"/>
              </w:rPr>
              <w:t>Treasury</w:t>
            </w: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Retained</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Comprehensive</w:t>
            </w: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Stockholders'</w:t>
            </w:r>
          </w:p>
        </w:tc>
      </w:tr>
      <w:tr>
        <w:trPr>
          <w:trHeight w:val="230"/>
        </w:trPr>
        <w:tc>
          <w:tcPr>
            <w:tcW w:w="470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760" w:type="dxa"/>
            <w:vAlign w:val="bottom"/>
            <w:gridSpan w:val="2"/>
          </w:tcPr>
          <w:p>
            <w:pPr>
              <w:jc w:val="right"/>
              <w:ind w:right="241"/>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Earnings</w:t>
            </w:r>
          </w:p>
        </w:tc>
        <w:tc>
          <w:tcPr>
            <w:tcW w:w="20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 January 1, 2020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11,136,935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81,535</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(12,456)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$ 160,081</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230,258</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(7,064)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(170)</w:t>
            </w: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Forfeiture of 450 shares of restricted stock</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(10)</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Cash dividends declared - $0.16 per share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(1,768)</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(1,768)</w:t>
            </w: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March 31,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11,129,421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(12,636</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$ 162,416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3860"/>
        <w:spacing w:after="0" w:line="250" w:lineRule="auto"/>
        <w:rPr>
          <w:sz w:val="20"/>
          <w:szCs w:val="20"/>
          <w:color w:val="auto"/>
        </w:rPr>
      </w:pPr>
      <w:r>
        <w:rPr>
          <w:rFonts w:ascii="Arial" w:cs="Arial" w:eastAsia="Arial" w:hAnsi="Arial"/>
          <w:sz w:val="18"/>
          <w:szCs w:val="18"/>
          <w:color w:val="auto"/>
        </w:rPr>
        <w:t>CONDENSED CONSOLIDATED STATEMENTS OF CHANGES TO STOCKHOLDERS’ EQUITY FOR THE THREE MONTHS ENDED MARCH 31, 2019 (000’S OMITTED, EXCEPT PER SHARE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Shares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29"/>
        </w:trPr>
        <w:tc>
          <w:tcPr>
            <w:tcW w:w="470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9"/>
                <w:szCs w:val="19"/>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Common</w:t>
            </w:r>
          </w:p>
        </w:tc>
        <w:tc>
          <w:tcPr>
            <w:tcW w:w="900" w:type="dxa"/>
            <w:vAlign w:val="bottom"/>
            <w:gridSpan w:val="3"/>
          </w:tcPr>
          <w:p>
            <w:pPr>
              <w:jc w:val="right"/>
              <w:ind w:right="121"/>
              <w:spacing w:after="0"/>
              <w:rPr>
                <w:sz w:val="20"/>
                <w:szCs w:val="20"/>
                <w:color w:val="auto"/>
              </w:rPr>
            </w:pPr>
            <w:r>
              <w:rPr>
                <w:rFonts w:ascii="Arial" w:cs="Arial" w:eastAsia="Arial" w:hAnsi="Arial"/>
                <w:sz w:val="18"/>
                <w:szCs w:val="18"/>
                <w:color w:val="auto"/>
                <w:w w:val="95"/>
              </w:rPr>
              <w:t>Treasury</w:t>
            </w: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Retained</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Comprehensive</w:t>
            </w: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Stockholders'</w:t>
            </w:r>
          </w:p>
        </w:tc>
      </w:tr>
      <w:tr>
        <w:trPr>
          <w:trHeight w:val="230"/>
        </w:trPr>
        <w:tc>
          <w:tcPr>
            <w:tcW w:w="470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760" w:type="dxa"/>
            <w:vAlign w:val="bottom"/>
            <w:gridSpan w:val="2"/>
          </w:tcPr>
          <w:p>
            <w:pPr>
              <w:jc w:val="right"/>
              <w:ind w:right="241"/>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Earnings</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Income (Loss)</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 January 1, 2019</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9,285,261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10,823</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(12,409)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$ 147,887</w:t>
            </w:r>
          </w:p>
        </w:tc>
        <w:tc>
          <w:tcPr>
            <w:tcW w:w="2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143,287</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9"/>
                <w:szCs w:val="19"/>
                <w:color w:val="auto"/>
              </w:rPr>
            </w:pPr>
          </w:p>
        </w:tc>
      </w:tr>
      <w:tr>
        <w:trPr>
          <w:trHeight w:val="215"/>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1,830,000  shares  of  common  stock  in</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1,830,000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70,437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70,437</w:t>
            </w:r>
          </w:p>
        </w:tc>
        <w:tc>
          <w:tcPr>
            <w:tcW w:w="100" w:type="dxa"/>
            <w:vAlign w:val="bottom"/>
            <w:shd w:val="clear" w:color="auto" w:fill="CFF0FC"/>
          </w:tcPr>
          <w:p>
            <w:pPr>
              <w:spacing w:after="0"/>
              <w:rPr>
                <w:sz w:val="20"/>
                <w:szCs w:val="20"/>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(6,558)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r>
      <w:tr>
        <w:trPr>
          <w:trHeight w:val="215"/>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400 shares of restricted stock</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forfeitures - 2,040)</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(1,640)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(58)</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20"/>
                <w:szCs w:val="20"/>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declared - $0.15 per share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(1,654)</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(1,654)</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 March 31,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11,107,063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81,760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(12,680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$ 149,466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216,934</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ind w:right="5180"/>
        <w:spacing w:after="0" w:line="308" w:lineRule="auto"/>
        <w:rPr>
          <w:sz w:val="20"/>
          <w:szCs w:val="20"/>
          <w:color w:val="auto"/>
        </w:rPr>
      </w:pPr>
      <w:r>
        <w:rPr>
          <w:rFonts w:ascii="Arial" w:cs="Arial" w:eastAsia="Arial" w:hAnsi="Arial"/>
          <w:sz w:val="17"/>
          <w:szCs w:val="17"/>
          <w:color w:val="auto"/>
        </w:rPr>
        <w:t>FARMERS &amp; MERCHANTS BANCORP, INC. AND SUBSIDIARIES CONDENSED CONSOLIDATED STATEMENTS OF CASH FLOWS (Unaudited)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60" w:type="dxa"/>
            <w:vAlign w:val="bottom"/>
            <w:gridSpan w:val="5"/>
          </w:tcPr>
          <w:p>
            <w:pPr>
              <w:jc w:val="right"/>
              <w:ind w:right="1280"/>
              <w:spacing w:after="0"/>
              <w:rPr>
                <w:sz w:val="20"/>
                <w:szCs w:val="20"/>
                <w:color w:val="auto"/>
              </w:rPr>
            </w:pPr>
            <w:r>
              <w:rPr>
                <w:rFonts w:ascii="Arial" w:cs="Arial" w:eastAsia="Arial" w:hAnsi="Arial"/>
                <w:sz w:val="18"/>
                <w:szCs w:val="18"/>
                <w:color w:val="auto"/>
              </w:rPr>
              <w:t>(in thousands of dollars)</w:t>
            </w:r>
          </w:p>
        </w:tc>
      </w:tr>
      <w:tr>
        <w:trPr>
          <w:trHeight w:val="230"/>
        </w:trPr>
        <w:tc>
          <w:tcPr>
            <w:tcW w:w="7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gridSpan w:val="5"/>
          </w:tcPr>
          <w:p>
            <w:pPr>
              <w:jc w:val="right"/>
              <w:ind w:right="1400"/>
              <w:spacing w:after="0"/>
              <w:rPr>
                <w:sz w:val="20"/>
                <w:szCs w:val="20"/>
                <w:color w:val="auto"/>
              </w:rPr>
            </w:pPr>
            <w:r>
              <w:rPr>
                <w:rFonts w:ascii="Arial" w:cs="Arial" w:eastAsia="Arial" w:hAnsi="Arial"/>
                <w:sz w:val="18"/>
                <w:szCs w:val="18"/>
                <w:color w:val="auto"/>
              </w:rPr>
              <w:t>Three Months Ended</w:t>
            </w:r>
          </w:p>
        </w:tc>
      </w:tr>
      <w:tr>
        <w:trPr>
          <w:trHeight w:val="223"/>
        </w:trPr>
        <w:tc>
          <w:tcPr>
            <w:tcW w:w="70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March 31, 2020</w:t>
            </w:r>
          </w:p>
        </w:tc>
        <w:tc>
          <w:tcPr>
            <w:tcW w:w="2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March 31, 2019</w:t>
            </w:r>
          </w:p>
        </w:tc>
        <w:tc>
          <w:tcPr>
            <w:tcW w:w="120" w:type="dxa"/>
            <w:vAlign w:val="bottom"/>
          </w:tcPr>
          <w:p>
            <w:pPr>
              <w:spacing w:after="0"/>
              <w:rPr>
                <w:sz w:val="19"/>
                <w:szCs w:val="19"/>
                <w:color w:val="auto"/>
              </w:rPr>
            </w:pP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4,105</w:t>
            </w:r>
          </w:p>
        </w:tc>
        <w:tc>
          <w:tcPr>
            <w:tcW w:w="2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3,224</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655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available-for-sale securities, net</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core deposit intangible</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Net amortization of fair value adjustments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loan loss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Gain on sale of loans held for sale</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Originations of loans held for sale</w:t>
            </w:r>
          </w:p>
        </w:tc>
        <w:tc>
          <w:tcPr>
            <w:tcW w:w="2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(17,302)</w:t>
            </w: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(8,340)</w:t>
            </w: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Proceeds from sale of loans held for sale</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18,690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7,764</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Loss on sale of other assets owned</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(Gain) loss on sales of securities available-for-sale</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Change in other assets and other liabilities, net</w:t>
            </w:r>
          </w:p>
        </w:tc>
        <w:tc>
          <w:tcPr>
            <w:tcW w:w="2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(3,431)</w:t>
            </w: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7,805</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Activity in available-for-sale securities:</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prepayments and calls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11,843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11,100</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w:t>
            </w:r>
          </w:p>
        </w:tc>
        <w:tc>
          <w:tcPr>
            <w:tcW w:w="2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(10,569)</w:t>
            </w: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Activity in other securities, at cost:</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Change in interest-bearing time deposits</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(490)</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other assets owned</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Additions to premises and equipment</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(706)</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Loan originations and principal collections, net</w:t>
            </w:r>
          </w:p>
        </w:tc>
        <w:tc>
          <w:tcPr>
            <w:tcW w:w="2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(27,773)</w:t>
            </w: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5,301</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Acquisition of Limberlost, net of cash received</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(2,089)</w:t>
            </w:r>
          </w:p>
        </w:tc>
      </w:tr>
      <w:tr>
        <w:trPr>
          <w:trHeight w:val="223"/>
        </w:trPr>
        <w:tc>
          <w:tcPr>
            <w:tcW w:w="70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(5,805)</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Net change in deposits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60,276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52,416</w:t>
            </w:r>
          </w:p>
        </w:tc>
        <w:tc>
          <w:tcPr>
            <w:tcW w:w="120" w:type="dxa"/>
            <w:vAlign w:val="bottom"/>
            <w:shd w:val="clear" w:color="auto" w:fill="CFF0FC"/>
          </w:tcPr>
          <w:p>
            <w:pPr>
              <w:spacing w:after="0"/>
              <w:rPr>
                <w:sz w:val="19"/>
                <w:szCs w:val="19"/>
                <w:color w:val="auto"/>
              </w:rPr>
            </w:pPr>
          </w:p>
        </w:tc>
      </w:tr>
      <w:tr>
        <w:trPr>
          <w:trHeight w:val="215"/>
        </w:trPr>
        <w:tc>
          <w:tcPr>
            <w:tcW w:w="7060" w:type="dxa"/>
            <w:vAlign w:val="bottom"/>
          </w:tcPr>
          <w:p>
            <w:pPr>
              <w:spacing w:after="0"/>
              <w:rPr>
                <w:sz w:val="20"/>
                <w:szCs w:val="20"/>
                <w:color w:val="auto"/>
              </w:rPr>
            </w:pPr>
            <w:r>
              <w:rPr>
                <w:rFonts w:ascii="Arial" w:cs="Arial" w:eastAsia="Arial" w:hAnsi="Arial"/>
                <w:sz w:val="18"/>
                <w:szCs w:val="18"/>
                <w:color w:val="auto"/>
              </w:rPr>
              <w:t>Net change in federal funds purchased and securities sold under agreements</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to repurchase</w:t>
            </w:r>
          </w:p>
        </w:tc>
        <w:tc>
          <w:tcPr>
            <w:tcW w:w="220" w:type="dxa"/>
            <w:vAlign w:val="bottom"/>
          </w:tcPr>
          <w:p>
            <w:pPr>
              <w:spacing w:after="0"/>
              <w:rPr>
                <w:sz w:val="20"/>
                <w:szCs w:val="20"/>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(17,488)</w:t>
            </w:r>
          </w:p>
        </w:tc>
        <w:tc>
          <w:tcPr>
            <w:tcW w:w="220" w:type="dxa"/>
            <w:vAlign w:val="bottom"/>
          </w:tcPr>
          <w:p>
            <w:pPr>
              <w:spacing w:after="0"/>
              <w:rPr>
                <w:sz w:val="20"/>
                <w:szCs w:val="20"/>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(6,660)</w:t>
            </w: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Repayment of FHLB advances</w:t>
            </w:r>
          </w:p>
        </w:tc>
        <w:tc>
          <w:tcPr>
            <w:tcW w:w="2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(23,651)</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paid on common stock</w:t>
            </w:r>
          </w:p>
        </w:tc>
        <w:tc>
          <w:tcPr>
            <w:tcW w:w="2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(1,768)</w:t>
            </w: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(1,379)</w:t>
            </w:r>
          </w:p>
        </w:tc>
      </w:tr>
      <w:tr>
        <w:trPr>
          <w:trHeight w:val="223"/>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40,695</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20,513</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39,541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43,484</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38,365</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90,837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81,849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(Continued)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60" w:type="dxa"/>
            <w:vAlign w:val="bottom"/>
            <w:gridSpan w:val="5"/>
          </w:tcPr>
          <w:p>
            <w:pPr>
              <w:jc w:val="center"/>
              <w:ind w:right="360"/>
              <w:spacing w:after="0"/>
              <w:rPr>
                <w:sz w:val="20"/>
                <w:szCs w:val="20"/>
                <w:color w:val="auto"/>
              </w:rPr>
            </w:pPr>
            <w:r>
              <w:rPr>
                <w:rFonts w:ascii="Arial" w:cs="Arial" w:eastAsia="Arial" w:hAnsi="Arial"/>
                <w:sz w:val="18"/>
                <w:szCs w:val="18"/>
                <w:color w:val="auto"/>
                <w:w w:val="91"/>
              </w:rPr>
              <w:t>(in thousands of dollars)</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March 31, 2020</w:t>
            </w:r>
          </w:p>
        </w:tc>
        <w:tc>
          <w:tcPr>
            <w:tcW w:w="2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March 31, 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2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Cash paid during the year for:</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3,217</w:t>
            </w:r>
          </w:p>
        </w:tc>
        <w:tc>
          <w:tcPr>
            <w:tcW w:w="28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2,655</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Noncash investing activities:</w:t>
            </w: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Transfer of loans to other real estate owned</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The Company purchased all of the capital stock of Limberlost for $78,902 on January 1,</w:t>
            </w: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2019. In conjunction with the acquisition, liabilities were assumed as follows:</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value of assets acquired</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Less: common stock issued</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the capital stock</w:t>
            </w: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260"/>
              <w:spacing w:after="0"/>
              <w:rPr>
                <w:sz w:val="20"/>
                <w:szCs w:val="20"/>
                <w:color w:val="auto"/>
              </w:rPr>
            </w:pPr>
            <w:r>
              <w:rPr>
                <w:rFonts w:ascii="Arial" w:cs="Arial" w:eastAsia="Arial" w:hAnsi="Arial"/>
                <w:sz w:val="18"/>
                <w:szCs w:val="18"/>
                <w:color w:val="auto"/>
              </w:rPr>
              <w:t>Liabilities assumed</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80" w:right="3460" w:hanging="1365"/>
        <w:spacing w:after="0" w:line="809" w:lineRule="auto"/>
        <w:tabs>
          <w:tab w:leader="none" w:pos="4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Remainder of this page intentionally left blank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ITEM 1 NOTES TO CONDENSED CONSOLIDATED UNAUDITED FINANCIAL STATEMENTS</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NOTE 1 BASIS OF PRESENTATION AND OTHER</w:t>
      </w:r>
    </w:p>
    <w:p>
      <w:pPr>
        <w:spacing w:after="0" w:line="198"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three months ended March 31, 2020 are not necessarily indicative of the results that are expected for the year ended December 31, 2020. The condensed consolidated balance sheet of the Company as of December 31, 2019, has been derived from the audited consolidated balance sheet of the Company as of that date. These condensed consolidated financial statements should be read in conjunction with the consolidated financial statements and footnotes thereto included in the Company's Annual Report on Form 10-K for the year ended December 31, 2019.</w:t>
      </w:r>
    </w:p>
    <w:p>
      <w:pPr>
        <w:spacing w:after="0" w:line="156"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Reclassification</w:t>
      </w:r>
    </w:p>
    <w:p>
      <w:pPr>
        <w:spacing w:after="0" w:line="19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Certain amounts in the 2019 condensed consolidated financial statements have been reclassified to conform with the 2020 presentation. These reclassifications had no effect on income.</w:t>
      </w:r>
    </w:p>
    <w:p>
      <w:pPr>
        <w:spacing w:after="0" w:line="3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2 BUSINESS COMBINATION AND ASSET PURCHASE</w:t>
      </w:r>
    </w:p>
    <w:p>
      <w:pPr>
        <w:spacing w:after="0" w:line="225"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Farmers &amp; Merchants Bancorp, Inc. (FMAO) stock on January 1, 2019 was $38.49. Total consideration for the acquisition was approximately $78.9 million consisting of $8.5 million in cash and $70.4 million in stock. As a result of the acquisition, the Company will have an opportunity to increase its deposit base and reduce transaction costs. The Company also expects to reduce costs through economies of scale.</w:t>
      </w:r>
    </w:p>
    <w:p>
      <w:pPr>
        <w:spacing w:after="0" w:line="123"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Under the acquisition method of accounting, the total purchase was allocated to net tangible and intangible assets based on their current estimated fair values on the date of acquisition. Of the total purchase price of $78.9 million, $3.9 million has been allocated to core deposit intangible included in other assets and is being amortized over seven years on a straight line basis. Goodwill of $43.3 million resulting from the acquisition consists largely of the synergies and economies of scale expected from combining the operations of the Company and Bank of Geneva. Of that total amount, none of the purchase price is deductible for tax purposes. The following table summarizes the consideration paid for Bank of Geneva and the amounts of the assets acquired and liabilities assumed recognized at the acquisition date.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vMerge w:val="restart"/>
          </w:tcPr>
          <w:p>
            <w:pPr>
              <w:ind w:left="14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9"/>
        </w:trPr>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Shares (1,830,000 shares)</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Securities - available-for-sale</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Other securities, at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Loans, net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Premises and equipment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 Purchased</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336,380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Deposits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Noninterest bearing</w:t>
            </w:r>
          </w:p>
        </w:tc>
        <w:tc>
          <w:tcPr>
            <w:tcW w:w="240" w:type="dxa"/>
            <w:vAlign w:val="bottom"/>
            <w:gridSpan w:val="2"/>
            <w:shd w:val="clear" w:color="auto" w:fill="CFF0FC"/>
          </w:tcPr>
          <w:p>
            <w:pPr>
              <w:jc w:val="right"/>
              <w:ind w:right="109"/>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Interest bearing</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deposits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Federal Home Loan Bank (FHLB) advances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60" w:type="dxa"/>
            <w:vAlign w:val="bottom"/>
          </w:tcPr>
          <w:p>
            <w:pPr>
              <w:spacing w:after="0"/>
              <w:rPr>
                <w:sz w:val="20"/>
                <w:szCs w:val="20"/>
                <w:color w:val="auto"/>
              </w:rPr>
            </w:pPr>
            <w:r>
              <w:rPr>
                <w:rFonts w:ascii="Arial" w:cs="Arial" w:eastAsia="Arial" w:hAnsi="Arial"/>
                <w:sz w:val="18"/>
                <w:szCs w:val="18"/>
                <w:b w:val="1"/>
                <w:bCs w:val="1"/>
                <w:color w:val="auto"/>
              </w:rPr>
              <w:t>Total Liabilities Assumed</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Company acquired loans in the acquisition that had evidence of deterioration of credit quality since origination and it was probable, at acquisition, that all contractually required payments would not be collected.</w:t>
      </w:r>
    </w:p>
    <w:p>
      <w:pPr>
        <w:spacing w:after="0" w:line="116"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Loans purchased with evidence of credit deterioration since origination and for which it is probable that all contractually required payments will not be collected are considered to be credit impaired. Evidence of credit quality deterioration as of the purchase date may include information such as past-due and nonaccrual status, borrower credit scores and recent loan to value percentages. Purchased credit-impaired loans are accounted for under the accounting guidance for loans and debt securities acquired with deteriorated credit quality (ASC 310-30) and initially measured at fair value, which includes estimated future credit losses expected to be incurred over the life of the loan. Accordingly, an allowance for credit losses related to these loans is not carried over and recorded at the acquisition date. Management estimated the cash flows expected to be collected at acquisition using our internal risk models, which incorporate the estimate of current key assumptions, such as default rates, severity and prepayment speeds.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00" w:lineRule="exact"/>
        <w:rPr>
          <w:sz w:val="20"/>
          <w:szCs w:val="20"/>
          <w:color w:val="auto"/>
        </w:rPr>
      </w:pPr>
    </w:p>
    <w:p>
      <w:pPr>
        <w:spacing w:after="0" w:line="213"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carrying amount of those loans is included in loans, net on the balance sheet as of December 31, 2019 and March 31, 2020. The amounts of loans at December 31, 2019 and March 31, 2020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40" w:type="dxa"/>
            <w:vAlign w:val="bottom"/>
          </w:tcPr>
          <w:p>
            <w:pPr>
              <w:jc w:val="right"/>
              <w:ind w:right="10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40" w:type="dxa"/>
            <w:vAlign w:val="bottom"/>
            <w:gridSpan w:val="2"/>
          </w:tcPr>
          <w:p>
            <w:pPr>
              <w:ind w:left="30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3"/>
        </w:trPr>
        <w:tc>
          <w:tcPr>
            <w:tcW w:w="8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January 1, 2019</w:t>
            </w:r>
          </w:p>
        </w:tc>
        <w:tc>
          <w:tcPr>
            <w:tcW w:w="400" w:type="dxa"/>
            <w:vAlign w:val="bottom"/>
            <w:tcBorders>
              <w:top w:val="single" w:sz="8" w:color="auto"/>
            </w:tcBorders>
            <w:shd w:val="clear" w:color="auto" w:fill="CFF0FC"/>
          </w:tcPr>
          <w:p>
            <w:pPr>
              <w:spacing w:after="0"/>
              <w:rPr>
                <w:sz w:val="19"/>
                <w:szCs w:val="19"/>
                <w:color w:val="auto"/>
              </w:rPr>
            </w:pPr>
          </w:p>
        </w:tc>
        <w:tc>
          <w:tcPr>
            <w:tcW w:w="2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w:t>
            </w:r>
          </w:p>
        </w:tc>
        <w:tc>
          <w:tcPr>
            <w:tcW w:w="40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4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Carrying amount, net of fair value adjustment of $2,118</w:t>
            </w: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Balance - December 31, 2019</w:t>
            </w:r>
          </w:p>
        </w:tc>
        <w:tc>
          <w:tcPr>
            <w:tcW w:w="40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w:t>
            </w:r>
          </w:p>
        </w:tc>
        <w:tc>
          <w:tcPr>
            <w:tcW w:w="40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4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Carrying amount, net of fair value adjustment of $62</w:t>
            </w: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Balance - March 31, 2020</w:t>
            </w:r>
          </w:p>
        </w:tc>
        <w:tc>
          <w:tcPr>
            <w:tcW w:w="4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6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60"/>
              <w:spacing w:after="0"/>
              <w:rPr>
                <w:sz w:val="20"/>
                <w:szCs w:val="20"/>
                <w:color w:val="auto"/>
              </w:rPr>
            </w:pPr>
            <w:r>
              <w:rPr>
                <w:rFonts w:ascii="Arial" w:cs="Arial" w:eastAsia="Arial" w:hAnsi="Arial"/>
                <w:sz w:val="18"/>
                <w:szCs w:val="18"/>
                <w:color w:val="auto"/>
              </w:rPr>
              <w:t>Consumer RE</w:t>
            </w:r>
          </w:p>
        </w:tc>
        <w:tc>
          <w:tcPr>
            <w:tcW w:w="4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400" w:type="dxa"/>
            <w:vAlign w:val="bottom"/>
            <w:tcBorders>
              <w:bottom w:val="single" w:sz="8" w:color="auto"/>
            </w:tcBorders>
            <w:shd w:val="clear" w:color="auto" w:fill="CFF0FC"/>
          </w:tcPr>
          <w:p>
            <w:pPr>
              <w:spacing w:after="0"/>
              <w:rPr>
                <w:sz w:val="19"/>
                <w:szCs w:val="19"/>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0" w:type="dxa"/>
            <w:vAlign w:val="bottom"/>
          </w:tcPr>
          <w:p>
            <w:pPr>
              <w:ind w:left="500"/>
              <w:spacing w:after="0"/>
              <w:rPr>
                <w:sz w:val="20"/>
                <w:szCs w:val="20"/>
                <w:color w:val="auto"/>
              </w:rPr>
            </w:pPr>
            <w:r>
              <w:rPr>
                <w:rFonts w:ascii="Arial" w:cs="Arial" w:eastAsia="Arial" w:hAnsi="Arial"/>
                <w:sz w:val="18"/>
                <w:szCs w:val="18"/>
                <w:color w:val="auto"/>
              </w:rPr>
              <w:t>Carrying amount, net of fair value adjustment of $0</w:t>
            </w: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Loans acquired during 2019 for which it was probable at acquisition that all contractually required payments would not be collected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(In Thousands)</w:t>
            </w:r>
          </w:p>
        </w:tc>
      </w:tr>
      <w:tr>
        <w:trPr>
          <w:trHeight w:val="223"/>
        </w:trPr>
        <w:tc>
          <w:tcPr>
            <w:tcW w:w="9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Contractually required payments receivable at acquisition</w:t>
            </w:r>
          </w:p>
        </w:tc>
        <w:tc>
          <w:tcPr>
            <w:tcW w:w="300" w:type="dxa"/>
            <w:vAlign w:val="bottom"/>
            <w:tcBorders>
              <w:top w:val="single" w:sz="8" w:color="auto"/>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00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19"/>
                <w:szCs w:val="19"/>
                <w:color w:val="auto"/>
              </w:rPr>
            </w:pPr>
          </w:p>
        </w:tc>
      </w:tr>
      <w:tr>
        <w:trPr>
          <w:trHeight w:val="230"/>
        </w:trPr>
        <w:tc>
          <w:tcPr>
            <w:tcW w:w="9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w:t>
            </w:r>
          </w:p>
        </w:tc>
        <w:tc>
          <w:tcPr>
            <w:tcW w:w="30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FF0FC"/>
          </w:tcPr>
          <w:p>
            <w:pPr>
              <w:spacing w:after="0"/>
              <w:rPr>
                <w:sz w:val="19"/>
                <w:szCs w:val="19"/>
                <w:color w:val="auto"/>
              </w:rPr>
            </w:pPr>
          </w:p>
        </w:tc>
      </w:tr>
      <w:tr>
        <w:trPr>
          <w:trHeight w:val="230"/>
        </w:trPr>
        <w:tc>
          <w:tcPr>
            <w:tcW w:w="9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FF0FC"/>
            </w:tcBorders>
          </w:tcPr>
          <w:p>
            <w:pPr>
              <w:spacing w:after="0"/>
              <w:rPr>
                <w:sz w:val="19"/>
                <w:szCs w:val="19"/>
                <w:color w:val="auto"/>
              </w:rPr>
            </w:pPr>
          </w:p>
        </w:tc>
      </w:tr>
      <w:tr>
        <w:trPr>
          <w:trHeight w:val="223"/>
        </w:trPr>
        <w:tc>
          <w:tcPr>
            <w:tcW w:w="90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required payments receivable</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9000" w:type="dxa"/>
            <w:vAlign w:val="bottom"/>
            <w:shd w:val="clear" w:color="auto" w:fill="CFF0FC"/>
          </w:tcPr>
          <w:p>
            <w:pPr>
              <w:spacing w:after="0"/>
              <w:rPr>
                <w:sz w:val="20"/>
                <w:szCs w:val="20"/>
                <w:color w:val="auto"/>
              </w:rPr>
            </w:pPr>
            <w:r>
              <w:rPr>
                <w:rFonts w:ascii="Arial" w:cs="Arial" w:eastAsia="Arial" w:hAnsi="Arial"/>
                <w:sz w:val="18"/>
                <w:szCs w:val="18"/>
                <w:color w:val="auto"/>
              </w:rPr>
              <w:t>Cash flows expected to be collected at acquisition</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FF0FC"/>
          </w:tcPr>
          <w:p>
            <w:pPr>
              <w:spacing w:after="0"/>
              <w:rPr>
                <w:sz w:val="19"/>
                <w:szCs w:val="19"/>
                <w:color w:val="auto"/>
              </w:rPr>
            </w:pPr>
          </w:p>
        </w:tc>
      </w:tr>
      <w:tr>
        <w:trPr>
          <w:trHeight w:val="230"/>
        </w:trPr>
        <w:tc>
          <w:tcPr>
            <w:tcW w:w="9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9000" w:type="dxa"/>
            <w:vAlign w:val="bottom"/>
            <w:shd w:val="clear" w:color="auto" w:fill="CFF0FC"/>
          </w:tcPr>
          <w:p>
            <w:pPr>
              <w:spacing w:after="0"/>
              <w:rPr>
                <w:sz w:val="20"/>
                <w:szCs w:val="20"/>
                <w:color w:val="auto"/>
              </w:rPr>
            </w:pPr>
            <w:r>
              <w:rPr>
                <w:rFonts w:ascii="Arial" w:cs="Arial" w:eastAsia="Arial" w:hAnsi="Arial"/>
                <w:sz w:val="18"/>
                <w:szCs w:val="18"/>
                <w:color w:val="auto"/>
              </w:rPr>
              <w:t>Basis in acquired loans at acquisition</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4,396</w:t>
            </w:r>
          </w:p>
        </w:tc>
        <w:tc>
          <w:tcPr>
            <w:tcW w:w="100" w:type="dxa"/>
            <w:vAlign w:val="bottom"/>
            <w:shd w:val="clear" w:color="auto" w:fill="CFF0FC"/>
          </w:tcPr>
          <w:p>
            <w:pPr>
              <w:spacing w:after="0"/>
              <w:rPr>
                <w:sz w:val="19"/>
                <w:szCs w:val="19"/>
                <w:color w:val="auto"/>
              </w:rPr>
            </w:pPr>
          </w:p>
        </w:tc>
      </w:tr>
    </w:tbl>
    <w:p>
      <w:pPr>
        <w:spacing w:after="0" w:line="161"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balance of the fair value adjustment for loans acquired and accounted for under this guidance (ASC 310-30) was $62 thousand at December 31, 2019, zero at March 31, 2020 and $2.118 million on January 1, 2019.</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accretable yield, or income expected to be collected,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Three Months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6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March 31, 2020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March 31, 2019</w:t>
            </w:r>
          </w:p>
        </w:tc>
      </w:tr>
      <w:tr>
        <w:trPr>
          <w:trHeight w:val="223"/>
        </w:trPr>
        <w:tc>
          <w:tcPr>
            <w:tcW w:w="67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(In Thousands)</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(In Thousands)</w:t>
            </w:r>
          </w:p>
        </w:tc>
        <w:tc>
          <w:tcPr>
            <w:tcW w:w="100" w:type="dxa"/>
            <w:vAlign w:val="bottom"/>
            <w:tcBorders>
              <w:bottom w:val="single" w:sz="8" w:color="CFF0FC"/>
            </w:tcBorders>
          </w:tcPr>
          <w:p>
            <w:pPr>
              <w:spacing w:after="0"/>
              <w:rPr>
                <w:sz w:val="19"/>
                <w:szCs w:val="19"/>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FF0FC"/>
          </w:tcPr>
          <w:p>
            <w:pPr>
              <w:spacing w:after="0"/>
              <w:rPr>
                <w:sz w:val="19"/>
                <w:szCs w:val="19"/>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w:t>
            </w:r>
          </w:p>
        </w:tc>
        <w:tc>
          <w:tcPr>
            <w:tcW w:w="16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w:t>
            </w:r>
          </w:p>
        </w:tc>
      </w:tr>
      <w:tr>
        <w:trPr>
          <w:trHeight w:val="229"/>
        </w:trPr>
        <w:tc>
          <w:tcPr>
            <w:tcW w:w="6700" w:type="dxa"/>
            <w:vAlign w:val="bottom"/>
          </w:tcPr>
          <w:p>
            <w:pPr>
              <w:ind w:left="260"/>
              <w:spacing w:after="0"/>
              <w:rPr>
                <w:sz w:val="20"/>
                <w:szCs w:val="20"/>
                <w:color w:val="auto"/>
              </w:rPr>
            </w:pPr>
            <w:r>
              <w:rPr>
                <w:rFonts w:ascii="Arial" w:cs="Arial" w:eastAsia="Arial" w:hAnsi="Arial"/>
                <w:sz w:val="18"/>
                <w:szCs w:val="18"/>
                <w:color w:val="auto"/>
              </w:rPr>
              <w:t>Reclassification from nonaccretable difference</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Disposals</w:t>
            </w:r>
          </w:p>
        </w:tc>
        <w:tc>
          <w:tcPr>
            <w:tcW w:w="1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38"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Company purchased an office on December 13, 2013 in Custar, Ohio. Core deposit intangible assets of $1.17 million were recognized and are being amortized over its remaining economic useful life of the deposits of 7 years on a straight line basis.</w:t>
      </w:r>
    </w:p>
    <w:p>
      <w:pPr>
        <w:spacing w:after="0" w:line="197"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As mentioned previously, the acquisition of Bank of Geneva resulted in the recognition of $3.9 million in core deposit intangible assets which are being amortized over its remaining life of 7 years on a straight line basis.</w:t>
      </w:r>
    </w:p>
    <w:p>
      <w:pPr>
        <w:spacing w:after="0" w:line="197" w:lineRule="exact"/>
        <w:rPr>
          <w:sz w:val="20"/>
          <w:szCs w:val="20"/>
          <w:color w:val="auto"/>
        </w:rPr>
      </w:pPr>
    </w:p>
    <w:p>
      <w:pPr>
        <w:ind w:left="760" w:right="20"/>
        <w:spacing w:after="0" w:line="342" w:lineRule="auto"/>
        <w:rPr>
          <w:sz w:val="20"/>
          <w:szCs w:val="20"/>
          <w:color w:val="auto"/>
        </w:rPr>
      </w:pPr>
      <w:r>
        <w:rPr>
          <w:rFonts w:ascii="Arial" w:cs="Arial" w:eastAsia="Arial" w:hAnsi="Arial"/>
          <w:sz w:val="16"/>
          <w:szCs w:val="16"/>
          <w:color w:val="auto"/>
        </w:rPr>
        <w:t>The amortization expense for the three months ended March 31, 2019 was $182 thousand. Of the $721 thousand to be expensed in 2020, $182 thousand has been expensed for the three months ended March 31, 2020. Annual amortization of core deposit intangible assets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0"/>
              </w:rPr>
              <w:t>(In Thousands)</w:t>
            </w:r>
          </w:p>
        </w:tc>
        <w:tc>
          <w:tcPr>
            <w:tcW w:w="2260" w:type="dxa"/>
            <w:vAlign w:val="bottom"/>
          </w:tcPr>
          <w:p>
            <w:pPr>
              <w:spacing w:after="0"/>
              <w:rPr>
                <w:sz w:val="20"/>
                <w:szCs w:val="20"/>
                <w:color w:val="auto"/>
              </w:rPr>
            </w:pPr>
          </w:p>
        </w:tc>
      </w:tr>
      <w:tr>
        <w:trPr>
          <w:trHeight w:val="223"/>
        </w:trPr>
        <w:tc>
          <w:tcPr>
            <w:tcW w:w="2260" w:type="dxa"/>
            <w:vAlign w:val="bottom"/>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Custar</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Geneva</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Total</w:t>
            </w:r>
          </w:p>
        </w:tc>
        <w:tc>
          <w:tcPr>
            <w:tcW w:w="226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118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84"/>
              </w:rPr>
              <w:t>2020</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226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1180" w:type="dxa"/>
            <w:vAlign w:val="bottom"/>
          </w:tcPr>
          <w:p>
            <w:pPr>
              <w:jc w:val="right"/>
              <w:ind w:right="730"/>
              <w:spacing w:after="0"/>
              <w:rPr>
                <w:sz w:val="20"/>
                <w:szCs w:val="20"/>
                <w:color w:val="auto"/>
              </w:rPr>
            </w:pPr>
            <w:r>
              <w:rPr>
                <w:rFonts w:ascii="Arial" w:cs="Arial" w:eastAsia="Arial" w:hAnsi="Arial"/>
                <w:sz w:val="18"/>
                <w:szCs w:val="18"/>
                <w:color w:val="auto"/>
                <w:w w:val="84"/>
              </w:rPr>
              <w:t>2021</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226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118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84"/>
              </w:rPr>
              <w:t>2022</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26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1180" w:type="dxa"/>
            <w:vAlign w:val="bottom"/>
          </w:tcPr>
          <w:p>
            <w:pPr>
              <w:jc w:val="right"/>
              <w:ind w:right="730"/>
              <w:spacing w:after="0"/>
              <w:rPr>
                <w:sz w:val="20"/>
                <w:szCs w:val="20"/>
                <w:color w:val="auto"/>
              </w:rPr>
            </w:pPr>
            <w:r>
              <w:rPr>
                <w:rFonts w:ascii="Arial" w:cs="Arial" w:eastAsia="Arial" w:hAnsi="Arial"/>
                <w:sz w:val="18"/>
                <w:szCs w:val="18"/>
                <w:color w:val="auto"/>
                <w:w w:val="84"/>
              </w:rPr>
              <w:t>2023</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226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118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84"/>
              </w:rPr>
              <w:t>2024</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26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1180" w:type="dxa"/>
            <w:vAlign w:val="bottom"/>
          </w:tcPr>
          <w:p>
            <w:pPr>
              <w:jc w:val="right"/>
              <w:ind w:right="730"/>
              <w:spacing w:after="0"/>
              <w:rPr>
                <w:sz w:val="20"/>
                <w:szCs w:val="20"/>
                <w:color w:val="auto"/>
              </w:rPr>
            </w:pPr>
            <w:r>
              <w:rPr>
                <w:rFonts w:ascii="Arial" w:cs="Arial" w:eastAsia="Arial" w:hAnsi="Arial"/>
                <w:sz w:val="18"/>
                <w:szCs w:val="18"/>
                <w:color w:val="auto"/>
                <w:w w:val="84"/>
              </w:rPr>
              <w:t>2025</w:t>
            </w: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226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226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750"/>
        </w:trPr>
        <w:tc>
          <w:tcPr>
            <w:tcW w:w="2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ITEM 1 NOTES TO CONDENSED CONSOLIDATED UNAUDITED FINANCIAL STATEMENTS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3 SECURITIES</w:t>
      </w:r>
    </w:p>
    <w:p>
      <w:pPr>
        <w:spacing w:after="0" w:line="25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Mortgage-backed securities, as shown in the following tables, are all government sponsored enterprises. The amortized cost and fair value of securities, with gross unrealized gains and losses at March 31, 2020 and December 31, 2019, are as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9"/>
              </w:rPr>
              <w:t>(In Thousands)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color w:val="auto"/>
                <w:w w:val="91"/>
              </w:rPr>
              <w:t>March 31, 2020</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09"/>
        </w:trPr>
        <w:tc>
          <w:tcPr>
            <w:tcW w:w="3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3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3800" w:type="dxa"/>
            <w:vAlign w:val="bottom"/>
            <w:tcBorders>
              <w:bottom w:val="single" w:sz="8" w:color="CFF0FC"/>
            </w:tcBorders>
          </w:tcPr>
          <w:p>
            <w:pPr>
              <w:spacing w:after="0"/>
              <w:rPr>
                <w:sz w:val="20"/>
                <w:szCs w:val="20"/>
                <w:color w:val="auto"/>
              </w:rPr>
            </w:pPr>
          </w:p>
        </w:tc>
        <w:tc>
          <w:tcPr>
            <w:tcW w:w="14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380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10,073</w:t>
            </w:r>
          </w:p>
        </w:tc>
      </w:tr>
      <w:tr>
        <w:trPr>
          <w:trHeight w:val="229"/>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47,869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1,880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49,749</w:t>
            </w:r>
          </w:p>
        </w:tc>
      </w:tr>
      <w:tr>
        <w:trPr>
          <w:trHeight w:val="229"/>
        </w:trPr>
        <w:tc>
          <w:tcPr>
            <w:tcW w:w="380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97,726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100,694</w:t>
            </w:r>
          </w:p>
        </w:tc>
      </w:tr>
      <w:tr>
        <w:trPr>
          <w:trHeight w:val="230"/>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4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42,393</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43,605</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198,004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6,120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204,121</w:t>
            </w:r>
          </w:p>
        </w:tc>
      </w:tr>
      <w:tr>
        <w:trPr>
          <w:trHeight w:val="20"/>
        </w:trPr>
        <w:tc>
          <w:tcPr>
            <w:tcW w:w="3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69"/>
        </w:trPr>
        <w:tc>
          <w:tcPr>
            <w:tcW w:w="3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9"/>
              </w:rPr>
              <w:t>(In Thousands)</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3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8"/>
              </w:rPr>
              <w:t>December 31, 2019</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09"/>
        </w:trPr>
        <w:tc>
          <w:tcPr>
            <w:tcW w:w="3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3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3800" w:type="dxa"/>
            <w:vAlign w:val="bottom"/>
            <w:tcBorders>
              <w:bottom w:val="single" w:sz="8" w:color="CFF0FC"/>
            </w:tcBorders>
          </w:tcPr>
          <w:p>
            <w:pPr>
              <w:spacing w:after="0"/>
              <w:rPr>
                <w:sz w:val="20"/>
                <w:szCs w:val="20"/>
                <w:color w:val="auto"/>
              </w:rPr>
            </w:pPr>
          </w:p>
        </w:tc>
        <w:tc>
          <w:tcPr>
            <w:tcW w:w="14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380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10,021</w:t>
            </w:r>
          </w:p>
        </w:tc>
      </w:tr>
      <w:tr>
        <w:trPr>
          <w:trHeight w:val="229"/>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61,882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62,445</w:t>
            </w:r>
          </w:p>
        </w:tc>
      </w:tr>
      <w:tr>
        <w:trPr>
          <w:trHeight w:val="230"/>
        </w:trPr>
        <w:tc>
          <w:tcPr>
            <w:tcW w:w="380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94,998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95,197</w:t>
            </w:r>
          </w:p>
        </w:tc>
      </w:tr>
      <w:tr>
        <w:trPr>
          <w:trHeight w:val="230"/>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4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54,001</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54,630</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220,904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222,293</w:t>
            </w:r>
          </w:p>
        </w:tc>
      </w:tr>
      <w:tr>
        <w:trPr>
          <w:trHeight w:val="20"/>
        </w:trPr>
        <w:tc>
          <w:tcPr>
            <w:tcW w:w="3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p>
    <w:p>
      <w:pPr>
        <w:spacing w:after="0" w:line="3" w:lineRule="exact"/>
        <w:rPr>
          <w:sz w:val="20"/>
          <w:szCs w:val="20"/>
          <w:color w:val="auto"/>
        </w:rPr>
      </w:pPr>
    </w:p>
    <w:p>
      <w:pPr>
        <w:ind w:left="2240" w:hanging="747"/>
        <w:spacing w:after="0"/>
        <w:tabs>
          <w:tab w:leader="none" w:pos="2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9" w:lineRule="exact"/>
        <w:rPr>
          <w:rFonts w:ascii="Arial" w:cs="Arial" w:eastAsia="Arial" w:hAnsi="Arial"/>
          <w:sz w:val="18"/>
          <w:szCs w:val="18"/>
          <w:color w:val="auto"/>
        </w:rPr>
      </w:pPr>
    </w:p>
    <w:p>
      <w:pPr>
        <w:ind w:left="2240" w:hanging="747"/>
        <w:spacing w:after="0" w:line="250" w:lineRule="auto"/>
        <w:tabs>
          <w:tab w:leader="none" w:pos="2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downgrade has occurred that lowered the credit rating to below investment grade (below Baa3 by Moody and BBB – by Standard and Poors.)</w:t>
      </w:r>
    </w:p>
    <w:p>
      <w:pPr>
        <w:ind w:left="2240" w:hanging="747"/>
        <w:spacing w:after="0"/>
        <w:tabs>
          <w:tab w:leader="none" w:pos="2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9" w:lineRule="exact"/>
        <w:rPr>
          <w:rFonts w:ascii="Arial" w:cs="Arial" w:eastAsia="Arial" w:hAnsi="Arial"/>
          <w:sz w:val="18"/>
          <w:szCs w:val="18"/>
          <w:color w:val="auto"/>
        </w:rPr>
      </w:pPr>
    </w:p>
    <w:p>
      <w:pPr>
        <w:ind w:left="2240" w:hanging="747"/>
        <w:spacing w:after="0"/>
        <w:tabs>
          <w:tab w:leader="none" w:pos="2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underwater security has longer than 10 years to maturity and the loss position had existed for more than 3 years.</w:t>
      </w:r>
    </w:p>
    <w:p>
      <w:pPr>
        <w:spacing w:after="0" w:line="20" w:lineRule="exact"/>
        <w:rPr>
          <w:rFonts w:ascii="Arial" w:cs="Arial" w:eastAsia="Arial" w:hAnsi="Arial"/>
          <w:sz w:val="17"/>
          <w:szCs w:val="17"/>
          <w:color w:val="auto"/>
        </w:rPr>
      </w:pPr>
    </w:p>
    <w:p>
      <w:pPr>
        <w:ind w:left="2240" w:hanging="747"/>
        <w:spacing w:after="0" w:line="260" w:lineRule="auto"/>
        <w:tabs>
          <w:tab w:leader="none" w:pos="2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14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Company currently does not hold any securities with other than temporary impairment.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3 SECURITIES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Information pertaining to securities with gross unrealized losses at March 31, 2020 and December 31, 2019, aggregated by investment category and length of time that individual securities have been in a continuous loss position follows:</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89"/>
              </w:rPr>
              <w:t>(In Thousands)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92"/>
              </w:rPr>
              <w:t>March 31, 2020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w w:val="92"/>
              </w:rPr>
              <w:t>Less Than Twelve Months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center"/>
              <w:ind w:right="90"/>
              <w:spacing w:after="0"/>
              <w:rPr>
                <w:sz w:val="20"/>
                <w:szCs w:val="20"/>
                <w:color w:val="auto"/>
              </w:rPr>
            </w:pPr>
            <w:r>
              <w:rPr>
                <w:rFonts w:ascii="Arial" w:cs="Arial" w:eastAsia="Arial" w:hAnsi="Arial"/>
                <w:sz w:val="18"/>
                <w:szCs w:val="18"/>
                <w:color w:val="auto"/>
                <w:w w:val="93"/>
              </w:rPr>
              <w:t>Twelve Months &amp; Over</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19"/>
                <w:szCs w:val="19"/>
                <w:color w:val="auto"/>
              </w:rPr>
            </w:pPr>
          </w:p>
        </w:tc>
      </w:tr>
      <w:tr>
        <w:trPr>
          <w:trHeight w:val="209"/>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180" w:type="dxa"/>
            <w:vAlign w:val="bottom"/>
          </w:tcPr>
          <w:p>
            <w:pPr>
              <w:spacing w:after="0"/>
              <w:rPr>
                <w:sz w:val="19"/>
                <w:szCs w:val="19"/>
                <w:color w:val="auto"/>
              </w:rPr>
            </w:pPr>
          </w:p>
        </w:tc>
        <w:tc>
          <w:tcPr>
            <w:tcW w:w="900" w:type="dxa"/>
            <w:vAlign w:val="bottom"/>
          </w:tcPr>
          <w:p>
            <w:pPr>
              <w:jc w:val="center"/>
              <w:ind w:right="19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9"/>
                <w:szCs w:val="19"/>
                <w:color w:val="auto"/>
              </w:rPr>
            </w:pPr>
          </w:p>
        </w:tc>
        <w:tc>
          <w:tcPr>
            <w:tcW w:w="900" w:type="dxa"/>
            <w:vAlign w:val="bottom"/>
          </w:tcPr>
          <w:p>
            <w:pPr>
              <w:jc w:val="center"/>
              <w:ind w:right="19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29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7"/>
              </w:rPr>
              <w:t>Losses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2,044</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2,557</w:t>
            </w:r>
          </w:p>
        </w:tc>
      </w:tr>
      <w:tr>
        <w:trPr>
          <w:trHeight w:val="223"/>
        </w:trPr>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2,044</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2,557</w:t>
            </w:r>
          </w:p>
        </w:tc>
      </w:tr>
      <w:tr>
        <w:trPr>
          <w:trHeight w:val="20"/>
        </w:trPr>
        <w:tc>
          <w:tcPr>
            <w:tcW w:w="2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53"/>
        </w:trPr>
        <w:tc>
          <w:tcPr>
            <w:tcW w:w="29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89"/>
              </w:rPr>
              <w:t>(In Thousands)</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88"/>
              </w:rPr>
              <w:t>December 31, 2019</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w w:val="92"/>
              </w:rPr>
              <w:t>Less Than Twelve Months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center"/>
              <w:ind w:right="90"/>
              <w:spacing w:after="0"/>
              <w:rPr>
                <w:sz w:val="20"/>
                <w:szCs w:val="20"/>
                <w:color w:val="auto"/>
              </w:rPr>
            </w:pPr>
            <w:r>
              <w:rPr>
                <w:rFonts w:ascii="Arial" w:cs="Arial" w:eastAsia="Arial" w:hAnsi="Arial"/>
                <w:sz w:val="18"/>
                <w:szCs w:val="18"/>
                <w:color w:val="auto"/>
                <w:w w:val="93"/>
              </w:rPr>
              <w:t>Twelve Months &amp; Over</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19"/>
                <w:szCs w:val="19"/>
                <w:color w:val="auto"/>
              </w:rPr>
            </w:pPr>
          </w:p>
        </w:tc>
      </w:tr>
      <w:tr>
        <w:trPr>
          <w:trHeight w:val="209"/>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180" w:type="dxa"/>
            <w:vAlign w:val="bottom"/>
          </w:tcPr>
          <w:p>
            <w:pPr>
              <w:spacing w:after="0"/>
              <w:rPr>
                <w:sz w:val="19"/>
                <w:szCs w:val="19"/>
                <w:color w:val="auto"/>
              </w:rPr>
            </w:pPr>
          </w:p>
        </w:tc>
        <w:tc>
          <w:tcPr>
            <w:tcW w:w="900" w:type="dxa"/>
            <w:vAlign w:val="bottom"/>
          </w:tcPr>
          <w:p>
            <w:pPr>
              <w:jc w:val="center"/>
              <w:ind w:right="19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9"/>
                <w:szCs w:val="19"/>
                <w:color w:val="auto"/>
              </w:rPr>
            </w:pPr>
          </w:p>
        </w:tc>
        <w:tc>
          <w:tcPr>
            <w:tcW w:w="900" w:type="dxa"/>
            <w:vAlign w:val="bottom"/>
          </w:tcPr>
          <w:p>
            <w:pPr>
              <w:jc w:val="center"/>
              <w:ind w:right="19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29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7"/>
              </w:rPr>
              <w:t>Losses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5,030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5,030</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10,745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21,294</w:t>
            </w:r>
          </w:p>
        </w:tc>
      </w:tr>
      <w:tr>
        <w:trPr>
          <w:trHeight w:val="229"/>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27,696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11,332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39,028</w:t>
            </w:r>
          </w:p>
        </w:tc>
      </w:tr>
      <w:tr>
        <w:trPr>
          <w:trHeight w:val="230"/>
        </w:trPr>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16,845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16,845</w:t>
            </w:r>
          </w:p>
        </w:tc>
      </w:tr>
      <w:tr>
        <w:trPr>
          <w:trHeight w:val="223"/>
        </w:trPr>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55,090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27,107</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82,197</w:t>
            </w:r>
          </w:p>
        </w:tc>
      </w:tr>
      <w:tr>
        <w:trPr>
          <w:trHeight w:val="20"/>
        </w:trPr>
        <w:tc>
          <w:tcPr>
            <w:tcW w:w="2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Additionally, the decline in value is primarily due to changes in interest rates since the securities were purchased. The fair value is expected to recover as the bonds approach the maturity date.</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are the gross realized gains and losses for the three months ended March 31, 2020 and March 31, 2019.</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gridSpan w:val="4"/>
          </w:tcPr>
          <w:p>
            <w:pPr>
              <w:jc w:val="right"/>
              <w:ind w:right="49"/>
              <w:spacing w:after="0"/>
              <w:rPr>
                <w:sz w:val="20"/>
                <w:szCs w:val="20"/>
                <w:color w:val="auto"/>
              </w:rPr>
            </w:pPr>
            <w:r>
              <w:rPr>
                <w:rFonts w:ascii="Arial" w:cs="Arial" w:eastAsia="Arial" w:hAnsi="Arial"/>
                <w:sz w:val="18"/>
                <w:szCs w:val="18"/>
                <w:color w:val="auto"/>
                <w:w w:val="97"/>
              </w:rPr>
              <w:t>Three Months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8"/>
                <w:szCs w:val="18"/>
                <w:color w:val="auto"/>
                <w:w w:val="92"/>
              </w:rPr>
              <w:t>(In Thousands)</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Gross realized gains</w:t>
            </w:r>
          </w:p>
        </w:tc>
        <w:tc>
          <w:tcPr>
            <w:tcW w:w="920" w:type="dxa"/>
            <w:vAlign w:val="bottom"/>
            <w:shd w:val="clear" w:color="auto" w:fill="CFF0FC"/>
          </w:tcPr>
          <w:p>
            <w:pPr>
              <w:jc w:val="right"/>
              <w:ind w:right="76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29"/>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Gross realized losses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realized gains (losses)</w:t>
            </w:r>
          </w:p>
        </w:tc>
        <w:tc>
          <w:tcPr>
            <w:tcW w:w="920" w:type="dxa"/>
            <w:vAlign w:val="bottom"/>
            <w:tcBorders>
              <w:bottom w:val="single" w:sz="8" w:color="auto"/>
            </w:tcBorders>
            <w:shd w:val="clear" w:color="auto" w:fill="CFF0FC"/>
          </w:tcPr>
          <w:p>
            <w:pPr>
              <w:jc w:val="right"/>
              <w:ind w:right="76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270</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2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Tax expense (benefit) related to net realized gains (losses)</w:t>
            </w: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920" w:type="dxa"/>
            <w:vAlign w:val="bottom"/>
            <w:tcBorders>
              <w:top w:val="single" w:sz="8" w:color="auto"/>
              <w:bottom w:val="single" w:sz="8" w:color="auto"/>
            </w:tcBorders>
          </w:tcPr>
          <w:p>
            <w:pPr>
              <w:jc w:val="right"/>
              <w:ind w:right="76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net realized losses on sales and related tax expense is a reclassification out of accumulated other comprehensive income (loss). The net realized gains (losses) is included in net gains (losses) on sale of available-for-sale securities and the related tax expense (benefit) is included in income taxes in the condensed consolidated statements of income and comprehensive income.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3 SECURITIES (Continued)</w:t>
      </w:r>
    </w:p>
    <w:p>
      <w:pPr>
        <w:spacing w:after="0" w:line="200" w:lineRule="exact"/>
        <w:rPr>
          <w:sz w:val="20"/>
          <w:szCs w:val="20"/>
          <w:color w:val="auto"/>
        </w:rPr>
      </w:pPr>
    </w:p>
    <w:p>
      <w:pPr>
        <w:spacing w:after="0" w:line="213"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color w:val="auto"/>
        </w:rPr>
        <w:t>The amortized cost and fair value of debt securities at March 31, 2020, by contractual maturity, are shown below. Expected maturities will differ from contractual maturities because borrowers may have the right to call or prepay obligations with or without call or prepayment penalties.</w:t>
      </w:r>
    </w:p>
    <w:p>
      <w:pPr>
        <w:spacing w:after="0" w:line="164"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(In Thousands)</w:t>
            </w:r>
          </w:p>
        </w:tc>
      </w:tr>
      <w:tr>
        <w:trPr>
          <w:trHeight w:val="222"/>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8"/>
              </w:rPr>
              <w:t>Amortized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One year or less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16,766</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20,130</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After five years through ten years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59,816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62,399</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After ten years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4,132</w:t>
            </w: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100,278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103,427</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97,726</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100,694</w:t>
            </w:r>
          </w:p>
        </w:tc>
      </w:tr>
      <w:tr>
        <w:trPr>
          <w:trHeight w:val="223"/>
        </w:trPr>
        <w:tc>
          <w:tcPr>
            <w:tcW w:w="53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198,004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204,121</w:t>
            </w: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Investments with a carrying value of $88.7 million and $88.8 million at March 31, 2020 and December 31, 2019, respectively, were pledged to secure public deposits and securities sold under repurchase agreements.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securities includes Federal Home Loan Bank of Cincinnati and Indianapolis stock as of March 31,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40" w:right="3460" w:hanging="1325"/>
        <w:spacing w:after="0" w:line="668" w:lineRule="auto"/>
        <w:tabs>
          <w:tab w:leader="none" w:pos="4326" w:val="left"/>
        </w:tabs>
        <w:numPr>
          <w:ilvl w:val="0"/>
          <w:numId w:val="8"/>
        </w:numPr>
        <w:rPr>
          <w:rFonts w:ascii="Arial" w:cs="Arial" w:eastAsia="Arial" w:hAnsi="Arial"/>
          <w:sz w:val="18"/>
          <w:szCs w:val="18"/>
          <w:color w:val="auto"/>
        </w:rPr>
      </w:pPr>
      <w:r>
        <w:rPr>
          <w:rFonts w:ascii="Arial" w:cs="Arial" w:eastAsia="Arial" w:hAnsi="Arial"/>
          <w:sz w:val="18"/>
          <w:szCs w:val="18"/>
          <w:color w:val="auto"/>
        </w:rPr>
        <w:t>Remainder of this page intentionally left blank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4 LOANS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Loan balances as of March 31, 2020 and December 31, 2019 are summarized below:</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9"/>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March 31,</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82"/>
        </w:trPr>
        <w:tc>
          <w:tcPr>
            <w:tcW w:w="5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restart"/>
          </w:tcPr>
          <w:p>
            <w:pPr>
              <w:jc w:val="right"/>
              <w:ind w:right="37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28"/>
        </w:trPr>
        <w:tc>
          <w:tcPr>
            <w:tcW w:w="480" w:type="dxa"/>
            <w:vAlign w:val="bottom"/>
            <w:tcBorders>
              <w:top w:val="single" w:sz="8" w:color="auto"/>
              <w:bottom w:val="single" w:sz="8" w:color="CFF0FC"/>
            </w:tcBorders>
          </w:tcPr>
          <w:p>
            <w:pPr>
              <w:spacing w:after="0"/>
              <w:rPr>
                <w:sz w:val="11"/>
                <w:szCs w:val="11"/>
                <w:color w:val="auto"/>
              </w:rPr>
            </w:pPr>
          </w:p>
        </w:tc>
        <w:tc>
          <w:tcPr>
            <w:tcW w:w="484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174,731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1"/>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165,349</w:t>
            </w:r>
          </w:p>
        </w:tc>
        <w:tc>
          <w:tcPr>
            <w:tcW w:w="0" w:type="dxa"/>
            <w:vAlign w:val="bottom"/>
          </w:tcPr>
          <w:p>
            <w:pPr>
              <w:spacing w:after="0"/>
              <w:rPr>
                <w:sz w:val="1"/>
                <w:szCs w:val="1"/>
                <w:color w:val="auto"/>
              </w:rPr>
            </w:pPr>
          </w:p>
        </w:tc>
      </w:tr>
      <w:tr>
        <w:trPr>
          <w:trHeight w:val="229"/>
        </w:trPr>
        <w:tc>
          <w:tcPr>
            <w:tcW w:w="5320" w:type="dxa"/>
            <w:vAlign w:val="bottom"/>
            <w:gridSpan w:val="2"/>
          </w:tcPr>
          <w:p>
            <w:pPr>
              <w:ind w:left="240"/>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194,383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199,105</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109,584</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111,820</w:t>
            </w:r>
          </w:p>
        </w:tc>
        <w:tc>
          <w:tcPr>
            <w:tcW w:w="0" w:type="dxa"/>
            <w:vAlign w:val="bottom"/>
          </w:tcPr>
          <w:p>
            <w:pPr>
              <w:spacing w:after="0"/>
              <w:rPr>
                <w:sz w:val="1"/>
                <w:szCs w:val="1"/>
                <w:color w:val="auto"/>
              </w:rPr>
            </w:pPr>
          </w:p>
        </w:tc>
      </w:tr>
      <w:tr>
        <w:trPr>
          <w:trHeight w:val="229"/>
        </w:trPr>
        <w:tc>
          <w:tcPr>
            <w:tcW w:w="5320" w:type="dxa"/>
            <w:vAlign w:val="bottom"/>
            <w:gridSpan w:val="2"/>
          </w:tcPr>
          <w:p>
            <w:pPr>
              <w:ind w:left="24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570,217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551,309</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143,261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135,631</w:t>
            </w:r>
          </w:p>
        </w:tc>
        <w:tc>
          <w:tcPr>
            <w:tcW w:w="0" w:type="dxa"/>
            <w:vAlign w:val="bottom"/>
          </w:tcPr>
          <w:p>
            <w:pPr>
              <w:spacing w:after="0"/>
              <w:rPr>
                <w:sz w:val="1"/>
                <w:szCs w:val="1"/>
                <w:color w:val="auto"/>
              </w:rPr>
            </w:pPr>
          </w:p>
        </w:tc>
      </w:tr>
      <w:tr>
        <w:trPr>
          <w:trHeight w:val="230"/>
        </w:trPr>
        <w:tc>
          <w:tcPr>
            <w:tcW w:w="5320" w:type="dxa"/>
            <w:vAlign w:val="bottom"/>
            <w:gridSpan w:val="2"/>
          </w:tcPr>
          <w:p>
            <w:pPr>
              <w:ind w:left="24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49,022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49,237</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8,336</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8,314</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1,249,534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1,220,765</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Net deferred loan fees and costs</w:t>
            </w: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1,247,641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1,218,999</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Allowance for loan losses</w:t>
            </w: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(8,533)</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(7,228)</w:t>
            </w:r>
          </w:p>
        </w:tc>
        <w:tc>
          <w:tcPr>
            <w:tcW w:w="0" w:type="dxa"/>
            <w:vAlign w:val="bottom"/>
          </w:tcPr>
          <w:p>
            <w:pPr>
              <w:spacing w:after="0"/>
              <w:rPr>
                <w:sz w:val="1"/>
                <w:szCs w:val="1"/>
                <w:color w:val="auto"/>
              </w:rPr>
            </w:pPr>
          </w:p>
        </w:tc>
      </w:tr>
      <w:tr>
        <w:trPr>
          <w:trHeight w:val="223"/>
        </w:trPr>
        <w:tc>
          <w:tcPr>
            <w:tcW w:w="5320" w:type="dxa"/>
            <w:vAlign w:val="bottom"/>
            <w:gridSpan w:val="2"/>
          </w:tcPr>
          <w:p>
            <w:pPr>
              <w:ind w:left="240"/>
              <w:spacing w:after="0"/>
              <w:rPr>
                <w:sz w:val="20"/>
                <w:szCs w:val="20"/>
                <w:color w:val="auto"/>
              </w:rPr>
            </w:pPr>
            <w:r>
              <w:rPr>
                <w:rFonts w:ascii="Arial" w:cs="Arial" w:eastAsia="Arial" w:hAnsi="Arial"/>
                <w:sz w:val="18"/>
                <w:szCs w:val="18"/>
                <w:color w:val="auto"/>
              </w:rPr>
              <w:t>Loans -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1,239,108</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1,211,771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loans primarily fund public improvement in the Bank’s service area.</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March 31, 2020:</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(In Thousands)</w:t>
            </w:r>
          </w:p>
        </w:tc>
      </w:tr>
      <w:tr>
        <w:trPr>
          <w:trHeight w:val="222"/>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Fixed</w:t>
            </w:r>
          </w:p>
        </w:tc>
        <w:tc>
          <w:tcPr>
            <w:tcW w:w="28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w w:val="99"/>
              </w:rPr>
              <w:t>Variable</w:t>
            </w:r>
          </w:p>
        </w:tc>
      </w:tr>
      <w:tr>
        <w:trPr>
          <w:trHeight w:val="230"/>
        </w:trPr>
        <w:tc>
          <w:tcPr>
            <w:tcW w:w="53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Rate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Rate</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116,954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57,777</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93,095</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101,288</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105,065</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4,519</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419,430</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150,787</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126,434</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16,827</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45,055</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3,967</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8,277</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r>
    </w:tbl>
    <w:p>
      <w:pPr>
        <w:spacing w:after="0" w:line="229"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color w:val="auto"/>
        </w:rPr>
        <w:t>As of March 31, 2020 and December 31, 2019 one to four family residential mortgage loans amounting to $42.7 million and $42.1 million, respectively, have been pledged as security for future loans and existing loans the Bank has received from the Federal Home Loan Bank.</w:t>
      </w:r>
    </w:p>
    <w:p>
      <w:pPr>
        <w:spacing w:after="0" w:line="11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Unless listed separately, Other loans are included in the Commercial and Industrial category for the remainder of the tables in this Note 4.</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620" w:right="20"/>
        <w:spacing w:after="0" w:line="277" w:lineRule="auto"/>
        <w:rPr>
          <w:sz w:val="20"/>
          <w:szCs w:val="20"/>
          <w:color w:val="auto"/>
        </w:rPr>
      </w:pPr>
      <w:r>
        <w:rPr>
          <w:rFonts w:ascii="Arial" w:cs="Arial" w:eastAsia="Arial" w:hAnsi="Arial"/>
          <w:sz w:val="18"/>
          <w:szCs w:val="18"/>
          <w:color w:val="auto"/>
        </w:rPr>
        <w:t>The following table represents the contractual aging of the recorded investment (in thousands) in past due loans by portfolio classification of loans as of March 31, 2020 and December 31, 2019, net of deferred loan fees and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auto"/>
              <w:right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87"/>
              </w:rPr>
              <w:t>Recorded</w:t>
            </w:r>
          </w:p>
        </w:tc>
        <w:tc>
          <w:tcPr>
            <w:tcW w:w="200" w:type="dxa"/>
            <w:vAlign w:val="bottom"/>
            <w:tcBorders>
              <w:top w:val="single" w:sz="8" w:color="auto"/>
            </w:tcBorders>
          </w:tcPr>
          <w:p>
            <w:pPr>
              <w:spacing w:after="0"/>
              <w:rPr>
                <w:sz w:val="19"/>
                <w:szCs w:val="19"/>
                <w:color w:val="auto"/>
              </w:rPr>
            </w:pPr>
          </w:p>
        </w:tc>
      </w:tr>
      <w:tr>
        <w:trPr>
          <w:trHeight w:val="216"/>
        </w:trPr>
        <w:tc>
          <w:tcPr>
            <w:tcW w:w="4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1"/>
              </w:rPr>
              <w:t>30-59</w:t>
            </w:r>
          </w:p>
        </w:tc>
        <w:tc>
          <w:tcPr>
            <w:tcW w:w="200" w:type="dxa"/>
            <w:vAlign w:val="bottom"/>
          </w:tcPr>
          <w:p>
            <w:pPr>
              <w:spacing w:after="0"/>
              <w:rPr>
                <w:sz w:val="18"/>
                <w:szCs w:val="18"/>
                <w:color w:val="auto"/>
              </w:rPr>
            </w:pPr>
          </w:p>
        </w:tc>
        <w:tc>
          <w:tcPr>
            <w:tcW w:w="7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1"/>
              </w:rPr>
              <w:t>60-89</w:t>
            </w:r>
          </w:p>
        </w:tc>
        <w:tc>
          <w:tcPr>
            <w:tcW w:w="780" w:type="dxa"/>
            <w:vAlign w:val="bottom"/>
          </w:tcPr>
          <w:p>
            <w:pPr>
              <w:jc w:val="center"/>
              <w:ind w:left="70"/>
              <w:spacing w:after="0"/>
              <w:rPr>
                <w:sz w:val="20"/>
                <w:szCs w:val="20"/>
                <w:color w:val="auto"/>
              </w:rPr>
            </w:pPr>
            <w:r>
              <w:rPr>
                <w:rFonts w:ascii="Arial" w:cs="Arial" w:eastAsia="Arial" w:hAnsi="Arial"/>
                <w:sz w:val="18"/>
                <w:szCs w:val="18"/>
                <w:color w:val="auto"/>
                <w:w w:val="88"/>
              </w:rPr>
              <w:t>Greater</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Total</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w w:val="96"/>
              </w:rPr>
              <w:t>Investment &gt;</w:t>
            </w:r>
          </w:p>
        </w:tc>
      </w:tr>
      <w:tr>
        <w:trPr>
          <w:trHeight w:val="216"/>
        </w:trPr>
        <w:tc>
          <w:tcPr>
            <w:tcW w:w="4040" w:type="dxa"/>
            <w:vAlign w:val="bottom"/>
          </w:tcPr>
          <w:p>
            <w:pPr>
              <w:spacing w:after="0"/>
              <w:rPr>
                <w:sz w:val="18"/>
                <w:szCs w:val="18"/>
                <w:color w:val="auto"/>
              </w:rPr>
            </w:pPr>
          </w:p>
        </w:tc>
        <w:tc>
          <w:tcPr>
            <w:tcW w:w="940" w:type="dxa"/>
            <w:vAlign w:val="bottom"/>
            <w:tcBorders>
              <w:right w:val="single" w:sz="8" w:color="auto"/>
            </w:tcBorders>
            <w:gridSpan w:val="4"/>
          </w:tcPr>
          <w:p>
            <w:pPr>
              <w:jc w:val="center"/>
              <w:ind w:right="90"/>
              <w:spacing w:after="0"/>
              <w:rPr>
                <w:sz w:val="20"/>
                <w:szCs w:val="20"/>
                <w:color w:val="auto"/>
              </w:rPr>
            </w:pPr>
            <w:r>
              <w:rPr>
                <w:rFonts w:ascii="Arial" w:cs="Arial" w:eastAsia="Arial" w:hAnsi="Arial"/>
                <w:sz w:val="18"/>
                <w:szCs w:val="18"/>
                <w:color w:val="auto"/>
                <w:w w:val="87"/>
              </w:rPr>
              <w:t>Days Past</w:t>
            </w:r>
          </w:p>
        </w:tc>
        <w:tc>
          <w:tcPr>
            <w:tcW w:w="9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Days Past</w:t>
            </w:r>
          </w:p>
        </w:tc>
        <w:tc>
          <w:tcPr>
            <w:tcW w:w="780" w:type="dxa"/>
            <w:vAlign w:val="bottom"/>
          </w:tcPr>
          <w:p>
            <w:pPr>
              <w:jc w:val="center"/>
              <w:ind w:left="50"/>
              <w:spacing w:after="0"/>
              <w:rPr>
                <w:sz w:val="20"/>
                <w:szCs w:val="20"/>
                <w:color w:val="auto"/>
              </w:rPr>
            </w:pPr>
            <w:r>
              <w:rPr>
                <w:rFonts w:ascii="Arial" w:cs="Arial" w:eastAsia="Arial" w:hAnsi="Arial"/>
                <w:sz w:val="18"/>
                <w:szCs w:val="18"/>
                <w:color w:val="auto"/>
                <w:w w:val="90"/>
              </w:rPr>
              <w:t>Than 90</w:t>
            </w:r>
          </w:p>
        </w:tc>
        <w:tc>
          <w:tcPr>
            <w:tcW w:w="2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6"/>
              </w:rPr>
              <w:t>Total Past</w:t>
            </w:r>
          </w:p>
        </w:tc>
        <w:tc>
          <w:tcPr>
            <w:tcW w:w="2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Financing</w:t>
            </w: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w w:val="96"/>
              </w:rPr>
              <w:t>90 Days and</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March 31, 2020</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90"/>
              </w:rPr>
              <w:t>Due</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Due</w:t>
            </w:r>
          </w:p>
        </w:tc>
        <w:tc>
          <w:tcPr>
            <w:tcW w:w="7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7"/>
              </w:rPr>
              <w:t>Days</w:t>
            </w:r>
          </w:p>
        </w:tc>
        <w:tc>
          <w:tcPr>
            <w:tcW w:w="2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0"/>
              </w:rPr>
              <w:t>Due</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w w:val="93"/>
              </w:rPr>
              <w:t>Current</w:t>
            </w:r>
          </w:p>
        </w:tc>
        <w:tc>
          <w:tcPr>
            <w:tcW w:w="10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Receivables</w:t>
            </w: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4"/>
              </w:rPr>
              <w:t>Accruing</w:t>
            </w:r>
          </w:p>
        </w:tc>
        <w:tc>
          <w:tcPr>
            <w:tcW w:w="200" w:type="dxa"/>
            <w:vAlign w:val="bottom"/>
            <w:tcBorders>
              <w:bottom w:val="single" w:sz="8" w:color="auto"/>
            </w:tcBorders>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842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w:t>
            </w:r>
          </w:p>
        </w:tc>
        <w:tc>
          <w:tcPr>
            <w:tcW w:w="78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846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173,130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173,976</w:t>
            </w:r>
          </w:p>
        </w:tc>
        <w:tc>
          <w:tcPr>
            <w:tcW w:w="9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505</w:t>
            </w:r>
          </w:p>
        </w:tc>
        <w:tc>
          <w:tcPr>
            <w:tcW w:w="200" w:type="dxa"/>
            <w:vAlign w:val="bottom"/>
          </w:tcPr>
          <w:p>
            <w:pPr>
              <w:spacing w:after="0"/>
              <w:rPr>
                <w:sz w:val="19"/>
                <w:szCs w:val="19"/>
                <w:color w:val="auto"/>
              </w:rPr>
            </w:pP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2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505</w:t>
            </w:r>
          </w:p>
        </w:tc>
        <w:tc>
          <w:tcPr>
            <w:tcW w:w="2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193,625</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194,130</w:t>
            </w:r>
          </w:p>
        </w:tc>
        <w:tc>
          <w:tcPr>
            <w:tcW w:w="9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1,403</w:t>
            </w:r>
          </w:p>
        </w:tc>
        <w:tc>
          <w:tcPr>
            <w:tcW w:w="20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1,403</w:t>
            </w:r>
          </w:p>
        </w:tc>
        <w:tc>
          <w:tcPr>
            <w:tcW w:w="2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108,304</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109,707</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9"/>
                <w:szCs w:val="19"/>
                <w:color w:val="auto"/>
              </w:rPr>
            </w:pP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2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568,805</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568,991</w:t>
            </w:r>
          </w:p>
        </w:tc>
        <w:tc>
          <w:tcPr>
            <w:tcW w:w="9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823</w:t>
            </w:r>
          </w:p>
        </w:tc>
        <w:tc>
          <w:tcPr>
            <w:tcW w:w="20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298</w:t>
            </w:r>
          </w:p>
        </w:tc>
        <w:tc>
          <w:tcPr>
            <w:tcW w:w="780" w:type="dxa"/>
            <w:vAlign w:val="bottom"/>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1,121</w:t>
            </w:r>
          </w:p>
        </w:tc>
        <w:tc>
          <w:tcPr>
            <w:tcW w:w="2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150,526</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151,647</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Consumer</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9"/>
                <w:szCs w:val="19"/>
                <w:color w:val="auto"/>
              </w:rPr>
            </w:pP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13</w:t>
            </w:r>
          </w:p>
        </w:tc>
        <w:tc>
          <w:tcPr>
            <w:tcW w:w="780" w:type="dxa"/>
            <w:vAlign w:val="bottom"/>
          </w:tcPr>
          <w:p>
            <w:pPr>
              <w:spacing w:after="0"/>
              <w:rPr>
                <w:sz w:val="19"/>
                <w:szCs w:val="19"/>
                <w:color w:val="auto"/>
              </w:rPr>
            </w:pPr>
          </w:p>
        </w:tc>
        <w:tc>
          <w:tcPr>
            <w:tcW w:w="2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49,088</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49,190</w:t>
            </w:r>
          </w:p>
        </w:tc>
        <w:tc>
          <w:tcPr>
            <w:tcW w:w="9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right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right w:val="single" w:sz="8" w:color="auto"/>
            </w:tcBorders>
            <w:shd w:val="clear" w:color="auto" w:fill="CFF0FC"/>
          </w:tcPr>
          <w:p>
            <w:pPr>
              <w:spacing w:after="0"/>
              <w:rPr>
                <w:sz w:val="19"/>
                <w:szCs w:val="19"/>
                <w:color w:val="auto"/>
              </w:rPr>
            </w:pPr>
          </w:p>
        </w:tc>
        <w:tc>
          <w:tcPr>
            <w:tcW w:w="1080" w:type="dxa"/>
            <w:vAlign w:val="bottom"/>
            <w:tcBorders>
              <w:bottom w:val="single" w:sz="8" w:color="auto"/>
              <w:right w:val="single" w:sz="8" w:color="auto"/>
            </w:tcBorders>
            <w:gridSpan w:val="2"/>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r>
      <w:tr>
        <w:trPr>
          <w:trHeight w:val="223"/>
        </w:trPr>
        <w:tc>
          <w:tcPr>
            <w:tcW w:w="4040" w:type="dxa"/>
            <w:vAlign w:val="bottom"/>
          </w:tcPr>
          <w:p>
            <w:pPr>
              <w:ind w:left="17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3,848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315</w:t>
            </w:r>
          </w:p>
        </w:tc>
        <w:tc>
          <w:tcPr>
            <w:tcW w:w="7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4,163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w w:val="89"/>
              </w:rPr>
              <w:t>1,243,478</w:t>
            </w:r>
          </w:p>
        </w:tc>
        <w:tc>
          <w:tcPr>
            <w:tcW w:w="108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$ 1,247,641</w:t>
            </w: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4"/>
        </w:trPr>
        <w:tc>
          <w:tcPr>
            <w:tcW w:w="4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r>
      <w:tr>
        <w:trPr>
          <w:trHeight w:val="209"/>
        </w:trPr>
        <w:tc>
          <w:tcPr>
            <w:tcW w:w="4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20" w:type="dxa"/>
            <w:vAlign w:val="bottom"/>
          </w:tcPr>
          <w:p>
            <w:pPr>
              <w:jc w:val="center"/>
              <w:ind w:left="50"/>
              <w:spacing w:after="0"/>
              <w:rPr>
                <w:sz w:val="20"/>
                <w:szCs w:val="20"/>
                <w:color w:val="auto"/>
              </w:rPr>
            </w:pPr>
            <w:r>
              <w:rPr>
                <w:rFonts w:ascii="Arial" w:cs="Arial" w:eastAsia="Arial" w:hAnsi="Arial"/>
                <w:sz w:val="18"/>
                <w:szCs w:val="18"/>
                <w:color w:val="auto"/>
                <w:w w:val="89"/>
              </w:rPr>
              <w:t>Recorded</w:t>
            </w:r>
          </w:p>
        </w:tc>
        <w:tc>
          <w:tcPr>
            <w:tcW w:w="2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1"/>
              </w:rPr>
              <w:t>30-59</w:t>
            </w:r>
          </w:p>
        </w:tc>
        <w:tc>
          <w:tcPr>
            <w:tcW w:w="200" w:type="dxa"/>
            <w:vAlign w:val="bottom"/>
          </w:tcPr>
          <w:p>
            <w:pPr>
              <w:spacing w:after="0"/>
              <w:rPr>
                <w:sz w:val="18"/>
                <w:szCs w:val="18"/>
                <w:color w:val="auto"/>
              </w:rPr>
            </w:pPr>
          </w:p>
        </w:tc>
        <w:tc>
          <w:tcPr>
            <w:tcW w:w="7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1"/>
              </w:rPr>
              <w:t>60-89</w:t>
            </w:r>
          </w:p>
        </w:tc>
        <w:tc>
          <w:tcPr>
            <w:tcW w:w="780" w:type="dxa"/>
            <w:vAlign w:val="bottom"/>
          </w:tcPr>
          <w:p>
            <w:pPr>
              <w:jc w:val="center"/>
              <w:ind w:left="70"/>
              <w:spacing w:after="0"/>
              <w:rPr>
                <w:sz w:val="20"/>
                <w:szCs w:val="20"/>
                <w:color w:val="auto"/>
              </w:rPr>
            </w:pPr>
            <w:r>
              <w:rPr>
                <w:rFonts w:ascii="Arial" w:cs="Arial" w:eastAsia="Arial" w:hAnsi="Arial"/>
                <w:sz w:val="18"/>
                <w:szCs w:val="18"/>
                <w:color w:val="auto"/>
                <w:w w:val="88"/>
              </w:rPr>
              <w:t>Greater</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89"/>
              </w:rPr>
              <w:t>Total</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0"/>
              </w:rPr>
              <w:t>Investment &gt;</w:t>
            </w:r>
          </w:p>
        </w:tc>
      </w:tr>
      <w:tr>
        <w:trPr>
          <w:trHeight w:val="216"/>
        </w:trPr>
        <w:tc>
          <w:tcPr>
            <w:tcW w:w="4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right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87"/>
              </w:rPr>
              <w:t>Days Past</w:t>
            </w:r>
          </w:p>
        </w:tc>
        <w:tc>
          <w:tcPr>
            <w:tcW w:w="9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Days Past</w:t>
            </w:r>
          </w:p>
        </w:tc>
        <w:tc>
          <w:tcPr>
            <w:tcW w:w="780" w:type="dxa"/>
            <w:vAlign w:val="bottom"/>
          </w:tcPr>
          <w:p>
            <w:pPr>
              <w:jc w:val="center"/>
              <w:ind w:left="90"/>
              <w:spacing w:after="0"/>
              <w:rPr>
                <w:sz w:val="20"/>
                <w:szCs w:val="20"/>
                <w:color w:val="auto"/>
              </w:rPr>
            </w:pPr>
            <w:r>
              <w:rPr>
                <w:rFonts w:ascii="Arial" w:cs="Arial" w:eastAsia="Arial" w:hAnsi="Arial"/>
                <w:sz w:val="18"/>
                <w:szCs w:val="18"/>
                <w:color w:val="auto"/>
                <w:w w:val="90"/>
              </w:rPr>
              <w:t>Than 90</w:t>
            </w:r>
          </w:p>
        </w:tc>
        <w:tc>
          <w:tcPr>
            <w:tcW w:w="2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6"/>
              </w:rPr>
              <w:t>Total Past</w:t>
            </w:r>
          </w:p>
        </w:tc>
        <w:tc>
          <w:tcPr>
            <w:tcW w:w="2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2"/>
              </w:rPr>
              <w:t>Financing</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90 Days and</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December 31, 2019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90"/>
              </w:rPr>
              <w:t>Due</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Due</w:t>
            </w:r>
          </w:p>
        </w:tc>
        <w:tc>
          <w:tcPr>
            <w:tcW w:w="7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2"/>
              </w:rPr>
              <w:t>Days</w:t>
            </w:r>
          </w:p>
        </w:tc>
        <w:tc>
          <w:tcPr>
            <w:tcW w:w="2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0"/>
              </w:rPr>
              <w:t>Due</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w w:val="93"/>
              </w:rPr>
              <w:t>Current</w:t>
            </w:r>
          </w:p>
        </w:tc>
        <w:tc>
          <w:tcPr>
            <w:tcW w:w="1080" w:type="dxa"/>
            <w:vAlign w:val="bottom"/>
            <w:tcBorders>
              <w:bottom w:val="single" w:sz="8" w:color="auto"/>
              <w:right w:val="single" w:sz="8" w:color="auto"/>
            </w:tcBorders>
            <w:gridSpan w:val="2"/>
          </w:tcPr>
          <w:p>
            <w:pPr>
              <w:jc w:val="center"/>
              <w:ind w:right="10"/>
              <w:spacing w:after="0"/>
              <w:rPr>
                <w:sz w:val="20"/>
                <w:szCs w:val="20"/>
                <w:color w:val="auto"/>
              </w:rPr>
            </w:pPr>
            <w:r>
              <w:rPr>
                <w:rFonts w:ascii="Arial" w:cs="Arial" w:eastAsia="Arial" w:hAnsi="Arial"/>
                <w:sz w:val="18"/>
                <w:szCs w:val="18"/>
                <w:color w:val="auto"/>
                <w:w w:val="87"/>
              </w:rPr>
              <w:t>Receivables</w:t>
            </w:r>
          </w:p>
        </w:tc>
        <w:tc>
          <w:tcPr>
            <w:tcW w:w="9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4"/>
              </w:rPr>
              <w:t>Accruing</w:t>
            </w:r>
          </w:p>
        </w:tc>
        <w:tc>
          <w:tcPr>
            <w:tcW w:w="200" w:type="dxa"/>
            <w:vAlign w:val="bottom"/>
            <w:tcBorders>
              <w:bottom w:val="single" w:sz="8" w:color="auto"/>
            </w:tcBorders>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70</w:t>
            </w:r>
          </w:p>
        </w:tc>
        <w:tc>
          <w:tcPr>
            <w:tcW w:w="78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164,266</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164,691</w:t>
            </w:r>
          </w:p>
        </w:tc>
        <w:tc>
          <w:tcPr>
            <w:tcW w:w="9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107</w:t>
            </w:r>
          </w:p>
        </w:tc>
        <w:tc>
          <w:tcPr>
            <w:tcW w:w="780" w:type="dxa"/>
            <w:vAlign w:val="bottom"/>
          </w:tcPr>
          <w:p>
            <w:pPr>
              <w:spacing w:after="0"/>
              <w:rPr>
                <w:sz w:val="19"/>
                <w:szCs w:val="19"/>
                <w:color w:val="auto"/>
              </w:rPr>
            </w:pPr>
          </w:p>
        </w:tc>
        <w:tc>
          <w:tcPr>
            <w:tcW w:w="2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9"/>
                <w:szCs w:val="19"/>
                <w:color w:val="auto"/>
              </w:rPr>
            </w:pPr>
          </w:p>
        </w:tc>
        <w:tc>
          <w:tcPr>
            <w:tcW w:w="8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198,752</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198,859</w:t>
            </w:r>
          </w:p>
        </w:tc>
        <w:tc>
          <w:tcPr>
            <w:tcW w:w="920" w:type="dxa"/>
            <w:vAlign w:val="bottom"/>
          </w:tcPr>
          <w:p>
            <w:pPr>
              <w:spacing w:after="0"/>
              <w:rPr>
                <w:sz w:val="19"/>
                <w:szCs w:val="19"/>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780" w:type="dxa"/>
            <w:vAlign w:val="bottom"/>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111,864</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111,949</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2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550,082</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550,082</w:t>
            </w:r>
          </w:p>
        </w:tc>
        <w:tc>
          <w:tcPr>
            <w:tcW w:w="920" w:type="dxa"/>
            <w:vAlign w:val="bottom"/>
          </w:tcPr>
          <w:p>
            <w:pPr>
              <w:spacing w:after="0"/>
              <w:rPr>
                <w:sz w:val="19"/>
                <w:szCs w:val="19"/>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267</w:t>
            </w:r>
          </w:p>
        </w:tc>
        <w:tc>
          <w:tcPr>
            <w:tcW w:w="780" w:type="dxa"/>
            <w:vAlign w:val="bottom"/>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143,541</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144,009</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Consumer</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2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8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49,355</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49,409</w:t>
            </w:r>
          </w:p>
        </w:tc>
        <w:tc>
          <w:tcPr>
            <w:tcW w:w="920" w:type="dxa"/>
            <w:vAlign w:val="bottom"/>
          </w:tcPr>
          <w:p>
            <w:pPr>
              <w:spacing w:after="0"/>
              <w:rPr>
                <w:sz w:val="19"/>
                <w:szCs w:val="19"/>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r>
      <w:tr>
        <w:trPr>
          <w:trHeight w:val="230"/>
        </w:trPr>
        <w:tc>
          <w:tcPr>
            <w:tcW w:w="4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right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right w:val="single" w:sz="8" w:color="auto"/>
            </w:tcBorders>
            <w:shd w:val="clear" w:color="auto" w:fill="CFF0FC"/>
          </w:tcPr>
          <w:p>
            <w:pPr>
              <w:spacing w:after="0"/>
              <w:rPr>
                <w:sz w:val="19"/>
                <w:szCs w:val="19"/>
                <w:color w:val="auto"/>
              </w:rPr>
            </w:pPr>
          </w:p>
        </w:tc>
        <w:tc>
          <w:tcPr>
            <w:tcW w:w="1080" w:type="dxa"/>
            <w:vAlign w:val="bottom"/>
            <w:tcBorders>
              <w:bottom w:val="single" w:sz="8" w:color="auto"/>
              <w:right w:val="single" w:sz="8" w:color="auto"/>
            </w:tcBorders>
            <w:gridSpan w:val="2"/>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r>
      <w:tr>
        <w:trPr>
          <w:trHeight w:val="223"/>
        </w:trPr>
        <w:tc>
          <w:tcPr>
            <w:tcW w:w="4040" w:type="dxa"/>
            <w:vAlign w:val="bottom"/>
          </w:tcPr>
          <w:p>
            <w:pPr>
              <w:ind w:left="1800"/>
              <w:spacing w:after="0"/>
              <w:rPr>
                <w:sz w:val="20"/>
                <w:szCs w:val="20"/>
                <w:color w:val="auto"/>
              </w:rPr>
            </w:pPr>
            <w:r>
              <w:rPr>
                <w:rFonts w:ascii="Arial" w:cs="Arial" w:eastAsia="Arial" w:hAnsi="Arial"/>
                <w:sz w:val="18"/>
                <w:szCs w:val="18"/>
                <w:color w:val="auto"/>
              </w:rPr>
              <w:t>Total</w:t>
            </w:r>
          </w:p>
        </w:tc>
        <w:tc>
          <w:tcPr>
            <w:tcW w:w="6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688</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451</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87"/>
              </w:rPr>
              <w:t>1,217,860</w:t>
            </w:r>
          </w:p>
        </w:tc>
        <w:tc>
          <w:tcPr>
            <w:tcW w:w="108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4"/>
              </w:rPr>
              <w:t>$ 1,218,999</w:t>
            </w:r>
          </w:p>
        </w:tc>
        <w:tc>
          <w:tcPr>
            <w:tcW w:w="92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r>
      <w:tr>
        <w:trPr>
          <w:trHeight w:val="20"/>
        </w:trPr>
        <w:tc>
          <w:tcPr>
            <w:tcW w:w="4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presents the recorded investment in nonaccrual loans by class of loans as of March 31, 2020 and December 31, 2019:</w:t>
      </w:r>
    </w:p>
    <w:p>
      <w:pPr>
        <w:spacing w:after="0" w:line="277"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4"/>
              </w:rPr>
              <w:t>March 31,</w:t>
            </w:r>
          </w:p>
        </w:tc>
        <w:tc>
          <w:tcPr>
            <w:tcW w:w="12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Commercial &amp; Industrial</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ind w:left="24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3,344</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4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30"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future contracts. The risk related to weather is often mitigated by requiring crop insurance.</w:t>
      </w:r>
    </w:p>
    <w:p>
      <w:pPr>
        <w:spacing w:after="0" w:line="146"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60" w:lineRule="exact"/>
        <w:rPr>
          <w:sz w:val="20"/>
          <w:szCs w:val="20"/>
          <w:color w:val="auto"/>
        </w:rPr>
      </w:pPr>
    </w:p>
    <w:p>
      <w:pPr>
        <w:jc w:val="both"/>
        <w:ind w:left="760"/>
        <w:spacing w:after="0" w:line="301" w:lineRule="auto"/>
        <w:rPr>
          <w:sz w:val="20"/>
          <w:szCs w:val="20"/>
          <w:color w:val="auto"/>
        </w:rPr>
      </w:pPr>
      <w:r>
        <w:rPr>
          <w:rFonts w:ascii="Arial" w:cs="Arial" w:eastAsia="Arial" w:hAnsi="Arial"/>
          <w:sz w:val="16"/>
          <w:szCs w:val="16"/>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17"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Other: Primarily funds public improvements in the Bank’s service area. Repayment ability is based on the continuance of the taxation revenue as the source of repayment.</w:t>
      </w:r>
    </w:p>
    <w:p>
      <w:pPr>
        <w:spacing w:after="0" w:line="13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risk ratings are described as follows.</w:t>
      </w:r>
    </w:p>
    <w:p>
      <w:pPr>
        <w:spacing w:after="0" w:line="23" w:lineRule="exact"/>
        <w:rPr>
          <w:sz w:val="20"/>
          <w:szCs w:val="20"/>
          <w:color w:val="auto"/>
        </w:rPr>
      </w:pPr>
    </w:p>
    <w:p>
      <w:pPr>
        <w:ind w:left="2240" w:hanging="747"/>
        <w:spacing w:after="0"/>
        <w:tabs>
          <w:tab w:leader="none" w:pos="2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9" w:lineRule="exact"/>
        <w:rPr>
          <w:rFonts w:ascii="Arial" w:cs="Arial" w:eastAsia="Arial" w:hAnsi="Arial"/>
          <w:sz w:val="18"/>
          <w:szCs w:val="18"/>
          <w:color w:val="auto"/>
        </w:rPr>
      </w:pPr>
    </w:p>
    <w:p>
      <w:pPr>
        <w:jc w:val="both"/>
        <w:ind w:left="2240" w:hanging="747"/>
        <w:spacing w:after="0" w:line="251" w:lineRule="auto"/>
        <w:tabs>
          <w:tab w:leader="none" w:pos="2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(1) Excellent. Credit to premier customers having the highest credit rating based on an extremely strong financial condition, which compares favorably with industry standards (upper quartile of Risk Management Association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grade is summarized by high liquidity, minimum risk, strong ratios, and low handling costs.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jc w:val="both"/>
        <w:ind w:left="2240" w:hanging="747"/>
        <w:spacing w:after="0" w:line="253" w:lineRule="auto"/>
        <w:tabs>
          <w:tab w:leader="none" w:pos="2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(2) Good. Desirable loans of somewhat less stature than Grade 1, but with strong financial statements. Loan supported by financial statements containing strong balance sheets, generally with a leverage position less than 1.50,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3" w:lineRule="exact"/>
        <w:rPr>
          <w:rFonts w:ascii="Arial" w:cs="Arial" w:eastAsia="Arial" w:hAnsi="Arial"/>
          <w:sz w:val="18"/>
          <w:szCs w:val="18"/>
          <w:color w:val="auto"/>
        </w:rPr>
      </w:pPr>
    </w:p>
    <w:p>
      <w:pPr>
        <w:jc w:val="both"/>
        <w:ind w:left="2240" w:hanging="747"/>
        <w:spacing w:after="0" w:line="265" w:lineRule="auto"/>
        <w:tabs>
          <w:tab w:leader="none" w:pos="2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Three (3) Satisfactory. Satisfactory loans of average or slightly above average risk – having some deficiency or vulnerability to changing economic conditions, but still fully collectible. Projects should normally demonstrate acceptable debt service coverage. Generally, customers should have a leverage position less than 2.00. May be some weakness but with offsetting features of other support readily available. Loans that are meeting the terms of repayment.</w:t>
      </w:r>
    </w:p>
    <w:p>
      <w:pPr>
        <w:ind w:left="2260" w:right="20"/>
        <w:spacing w:after="0" w:line="250" w:lineRule="auto"/>
        <w:rPr>
          <w:rFonts w:ascii="Arial" w:cs="Arial" w:eastAsia="Arial" w:hAnsi="Arial"/>
          <w:sz w:val="17"/>
          <w:szCs w:val="17"/>
          <w:color w:val="auto"/>
        </w:rPr>
      </w:pPr>
      <w:r>
        <w:rPr>
          <w:rFonts w:ascii="Arial" w:cs="Arial" w:eastAsia="Arial" w:hAnsi="Arial"/>
          <w:sz w:val="18"/>
          <w:szCs w:val="18"/>
          <w:color w:val="auto"/>
        </w:rPr>
        <w:t>Loans may be graded 3 when there is no recent information on which to base a current risk evaluation and the following conditions apply:</w:t>
      </w:r>
    </w:p>
    <w:p>
      <w:pPr>
        <w:ind w:left="2260"/>
        <w:spacing w:after="0"/>
        <w:rPr>
          <w:rFonts w:ascii="Arial" w:cs="Arial" w:eastAsia="Arial" w:hAnsi="Arial"/>
          <w:sz w:val="17"/>
          <w:szCs w:val="17"/>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9" w:lineRule="exact"/>
        <w:rPr>
          <w:rFonts w:ascii="Arial" w:cs="Arial" w:eastAsia="Arial" w:hAnsi="Arial"/>
          <w:sz w:val="17"/>
          <w:szCs w:val="17"/>
          <w:color w:val="auto"/>
        </w:rPr>
      </w:pPr>
    </w:p>
    <w:p>
      <w:pPr>
        <w:ind w:left="2620" w:hanging="371"/>
        <w:spacing w:after="0"/>
        <w:tabs>
          <w:tab w:leader="none" w:pos="26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At inception, the loan was secured with collateral possessing a loan-to-value adequate to protect the Bank from loss;</w:t>
      </w:r>
    </w:p>
    <w:p>
      <w:pPr>
        <w:spacing w:after="0" w:line="32" w:lineRule="exact"/>
        <w:rPr>
          <w:rFonts w:ascii="Arial" w:cs="Arial" w:eastAsia="Arial" w:hAnsi="Arial"/>
          <w:sz w:val="16"/>
          <w:szCs w:val="16"/>
          <w:color w:val="auto"/>
        </w:rPr>
      </w:pPr>
    </w:p>
    <w:p>
      <w:pPr>
        <w:ind w:left="2620" w:hanging="371"/>
        <w:spacing w:after="0"/>
        <w:tabs>
          <w:tab w:leader="none" w:pos="26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loan exhibited two or more years of satisfactory repayment with a reasonable reduction of the principal balance;</w:t>
      </w:r>
    </w:p>
    <w:p>
      <w:pPr>
        <w:spacing w:after="0" w:line="32" w:lineRule="exact"/>
        <w:rPr>
          <w:rFonts w:ascii="Arial" w:cs="Arial" w:eastAsia="Arial" w:hAnsi="Arial"/>
          <w:sz w:val="16"/>
          <w:szCs w:val="16"/>
          <w:color w:val="auto"/>
        </w:rPr>
      </w:pPr>
    </w:p>
    <w:p>
      <w:pPr>
        <w:jc w:val="both"/>
        <w:ind w:left="2620" w:hanging="371"/>
        <w:spacing w:after="0" w:line="250" w:lineRule="auto"/>
        <w:tabs>
          <w:tab w:leader="none" w:pos="2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are observed, a lower risk grade is warranted.</w:t>
      </w:r>
    </w:p>
    <w:p>
      <w:pPr>
        <w:spacing w:after="0" w:line="1" w:lineRule="exact"/>
        <w:rPr>
          <w:rFonts w:ascii="Arial" w:cs="Arial" w:eastAsia="Arial" w:hAnsi="Arial"/>
          <w:sz w:val="18"/>
          <w:szCs w:val="18"/>
          <w:color w:val="auto"/>
        </w:rPr>
      </w:pPr>
    </w:p>
    <w:p>
      <w:pPr>
        <w:jc w:val="both"/>
        <w:ind w:left="2240" w:hanging="747"/>
        <w:spacing w:after="0" w:line="250" w:lineRule="auto"/>
        <w:tabs>
          <w:tab w:leader="none" w:pos="2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Four (4) Satisfactory / Monitored. A “4” (Satisfactory/Monitored) risk grade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1" w:lineRule="exact"/>
        <w:rPr>
          <w:rFonts w:ascii="Arial" w:cs="Arial" w:eastAsia="Arial" w:hAnsi="Arial"/>
          <w:sz w:val="18"/>
          <w:szCs w:val="18"/>
          <w:color w:val="auto"/>
        </w:rPr>
      </w:pPr>
    </w:p>
    <w:p>
      <w:pPr>
        <w:jc w:val="both"/>
        <w:ind w:left="2240" w:hanging="747"/>
        <w:spacing w:after="0" w:line="250" w:lineRule="auto"/>
        <w:tabs>
          <w:tab w:leader="none" w:pos="2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Five (5) Special Mention. Loans that possess some credit deficiency or potential weakness which deserve close attention but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1" w:lineRule="exact"/>
        <w:rPr>
          <w:rFonts w:ascii="Arial" w:cs="Arial" w:eastAsia="Arial" w:hAnsi="Arial"/>
          <w:sz w:val="18"/>
          <w:szCs w:val="18"/>
          <w:color w:val="auto"/>
        </w:rPr>
      </w:pPr>
    </w:p>
    <w:p>
      <w:pPr>
        <w:ind w:left="2240" w:hanging="747"/>
        <w:spacing w:after="0"/>
        <w:tabs>
          <w:tab w:leader="none" w:pos="2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Six (6) Substandard. One or more of the following characteristics may be exhibited in loans classified substandard:</w:t>
      </w:r>
    </w:p>
    <w:p>
      <w:pPr>
        <w:spacing w:after="0" w:line="20" w:lineRule="exact"/>
        <w:rPr>
          <w:rFonts w:ascii="Arial" w:cs="Arial" w:eastAsia="Arial" w:hAnsi="Arial"/>
          <w:sz w:val="17"/>
          <w:szCs w:val="17"/>
          <w:color w:val="auto"/>
        </w:rPr>
      </w:pPr>
    </w:p>
    <w:p>
      <w:pPr>
        <w:jc w:val="both"/>
        <w:ind w:left="2620" w:hanging="371"/>
        <w:spacing w:after="0" w:line="250" w:lineRule="auto"/>
        <w:tabs>
          <w:tab w:leader="none" w:pos="2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Loans which possess a defined credit weakness and the likelihood that a loan will be paid from the primary source and are uncertain. Financial deterioration is underway and very close attention is warranted to ensure that the loan is collected without loss.</w:t>
      </w:r>
    </w:p>
    <w:p>
      <w:pPr>
        <w:spacing w:after="0" w:line="1" w:lineRule="exact"/>
        <w:rPr>
          <w:rFonts w:ascii="Arial" w:cs="Arial" w:eastAsia="Arial" w:hAnsi="Arial"/>
          <w:sz w:val="18"/>
          <w:szCs w:val="18"/>
          <w:color w:val="auto"/>
        </w:rPr>
      </w:pPr>
    </w:p>
    <w:p>
      <w:pPr>
        <w:ind w:left="2620" w:hanging="371"/>
        <w:spacing w:after="0"/>
        <w:tabs>
          <w:tab w:leader="none" w:pos="2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9" w:lineRule="exact"/>
        <w:rPr>
          <w:rFonts w:ascii="Arial" w:cs="Arial" w:eastAsia="Arial" w:hAnsi="Arial"/>
          <w:sz w:val="18"/>
          <w:szCs w:val="18"/>
          <w:color w:val="auto"/>
        </w:rPr>
      </w:pPr>
    </w:p>
    <w:p>
      <w:pPr>
        <w:ind w:left="2620" w:hanging="371"/>
        <w:spacing w:after="0" w:line="250" w:lineRule="auto"/>
        <w:tabs>
          <w:tab w:leader="none" w:pos="2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ind w:left="2620" w:hanging="371"/>
        <w:spacing w:after="0"/>
        <w:tabs>
          <w:tab w:leader="none" w:pos="26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Loans are characterized by the distinct possibility that the Bank will sustain some loss if deficiencies are not corrected.</w:t>
      </w:r>
    </w:p>
    <w:p>
      <w:pPr>
        <w:spacing w:after="0" w:line="32" w:lineRule="exact"/>
        <w:rPr>
          <w:rFonts w:ascii="Arial" w:cs="Arial" w:eastAsia="Arial" w:hAnsi="Arial"/>
          <w:sz w:val="16"/>
          <w:szCs w:val="16"/>
          <w:color w:val="auto"/>
        </w:rPr>
      </w:pPr>
    </w:p>
    <w:p>
      <w:pPr>
        <w:ind w:left="2620" w:hanging="371"/>
        <w:spacing w:after="0"/>
        <w:tabs>
          <w:tab w:leader="none" w:pos="2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9" w:lineRule="exact"/>
        <w:rPr>
          <w:rFonts w:ascii="Arial" w:cs="Arial" w:eastAsia="Arial" w:hAnsi="Arial"/>
          <w:sz w:val="18"/>
          <w:szCs w:val="18"/>
          <w:color w:val="auto"/>
        </w:rPr>
      </w:pPr>
    </w:p>
    <w:p>
      <w:pPr>
        <w:ind w:left="2620" w:hanging="371"/>
        <w:spacing w:after="0"/>
        <w:tabs>
          <w:tab w:leader="none" w:pos="2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borrower is not generating enough cash flow to repay loan principal but continues to make interest payments.</w:t>
      </w:r>
    </w:p>
    <w:p>
      <w:pPr>
        <w:spacing w:after="0" w:line="20" w:lineRule="exact"/>
        <w:rPr>
          <w:rFonts w:ascii="Arial" w:cs="Arial" w:eastAsia="Arial" w:hAnsi="Arial"/>
          <w:sz w:val="17"/>
          <w:szCs w:val="17"/>
          <w:color w:val="auto"/>
        </w:rPr>
      </w:pPr>
    </w:p>
    <w:p>
      <w:pPr>
        <w:ind w:left="2620" w:hanging="371"/>
        <w:spacing w:after="0"/>
        <w:tabs>
          <w:tab w:leader="none" w:pos="2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lender is forced into a subordinate position or unsecured collateral position due to flaws in documentation.</w:t>
      </w:r>
    </w:p>
    <w:p>
      <w:pPr>
        <w:spacing w:after="0" w:line="20" w:lineRule="exact"/>
        <w:rPr>
          <w:rFonts w:ascii="Arial" w:cs="Arial" w:eastAsia="Arial" w:hAnsi="Arial"/>
          <w:sz w:val="17"/>
          <w:szCs w:val="17"/>
          <w:color w:val="auto"/>
        </w:rPr>
      </w:pPr>
    </w:p>
    <w:p>
      <w:pPr>
        <w:ind w:left="2620" w:hanging="371"/>
        <w:spacing w:after="0" w:line="250" w:lineRule="auto"/>
        <w:tabs>
          <w:tab w:leader="none" w:pos="2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ind w:left="2620" w:hanging="371"/>
        <w:spacing w:after="0"/>
        <w:tabs>
          <w:tab w:leader="none" w:pos="2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lender is seriously contemplating foreclosure or legal action due to the apparent deterioration in the loan.</w:t>
      </w:r>
    </w:p>
    <w:p>
      <w:pPr>
        <w:spacing w:after="0" w:line="20" w:lineRule="exact"/>
        <w:rPr>
          <w:rFonts w:ascii="Arial" w:cs="Arial" w:eastAsia="Arial" w:hAnsi="Arial"/>
          <w:sz w:val="17"/>
          <w:szCs w:val="17"/>
          <w:color w:val="auto"/>
        </w:rPr>
      </w:pPr>
    </w:p>
    <w:p>
      <w:pPr>
        <w:ind w:left="2620" w:hanging="371"/>
        <w:spacing w:after="0"/>
        <w:tabs>
          <w:tab w:leader="none" w:pos="2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There is significant deterioration in the market conditions and the borrower is highly vulnerable to these conditions.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2240" w:hanging="747"/>
        <w:spacing w:after="0"/>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23" w:lineRule="exact"/>
        <w:rPr>
          <w:rFonts w:ascii="Arial" w:cs="Arial" w:eastAsia="Arial" w:hAnsi="Arial"/>
          <w:sz w:val="18"/>
          <w:szCs w:val="18"/>
          <w:color w:val="auto"/>
        </w:rPr>
      </w:pPr>
    </w:p>
    <w:p>
      <w:pPr>
        <w:ind w:left="2620" w:hanging="371"/>
        <w:spacing w:after="0" w:line="250" w:lineRule="auto"/>
        <w:tabs>
          <w:tab w:leader="none" w:pos="2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these weaknesses make collection or liquidation in full based on existing conditions improbable.</w:t>
      </w:r>
    </w:p>
    <w:p>
      <w:pPr>
        <w:ind w:left="2620" w:hanging="371"/>
        <w:spacing w:after="0" w:line="250" w:lineRule="auto"/>
        <w:tabs>
          <w:tab w:leader="none" w:pos="2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primary source of repayment is gone, and there is considerable doubt as to the quality of the secondary source of repayment.</w:t>
      </w:r>
    </w:p>
    <w:p>
      <w:pPr>
        <w:jc w:val="both"/>
        <w:ind w:left="2620" w:hanging="371"/>
        <w:spacing w:after="0" w:line="250" w:lineRule="auto"/>
        <w:tabs>
          <w:tab w:leader="none" w:pos="2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1" w:lineRule="exact"/>
        <w:rPr>
          <w:rFonts w:ascii="Arial" w:cs="Arial" w:eastAsia="Arial" w:hAnsi="Arial"/>
          <w:sz w:val="18"/>
          <w:szCs w:val="18"/>
          <w:color w:val="auto"/>
        </w:rPr>
      </w:pPr>
    </w:p>
    <w:p>
      <w:pPr>
        <w:jc w:val="both"/>
        <w:ind w:left="2240" w:hanging="747"/>
        <w:spacing w:after="0" w:line="253" w:lineRule="auto"/>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40" w:right="3460" w:hanging="1325"/>
        <w:spacing w:after="0" w:line="809" w:lineRule="auto"/>
        <w:tabs>
          <w:tab w:leader="none" w:pos="4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Remainder of this page intentionally left blank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51" w:lineRule="exact"/>
        <w:rPr>
          <w:sz w:val="20"/>
          <w:szCs w:val="20"/>
          <w:color w:val="auto"/>
        </w:rPr>
      </w:pPr>
    </w:p>
    <w:p>
      <w:pPr>
        <w:ind w:left="620" w:right="20"/>
        <w:spacing w:after="0" w:line="277" w:lineRule="auto"/>
        <w:rPr>
          <w:sz w:val="20"/>
          <w:szCs w:val="20"/>
          <w:color w:val="auto"/>
        </w:rPr>
      </w:pPr>
      <w:r>
        <w:rPr>
          <w:rFonts w:ascii="Arial" w:cs="Arial" w:eastAsia="Arial" w:hAnsi="Arial"/>
          <w:sz w:val="18"/>
          <w:szCs w:val="18"/>
          <w:color w:val="auto"/>
        </w:rPr>
        <w:t>The following table represents the risk category of loans by portfolio class, net of deferred fees and costs, based on the most recent analysis performed as of March 31, 2020 and December 31,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(In Thousands)</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3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Agricultural</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8"/>
                <w:szCs w:val="18"/>
                <w:color w:val="auto"/>
                <w:w w:val="91"/>
              </w:rPr>
              <w:t>Commercial</w:t>
            </w:r>
          </w:p>
        </w:tc>
        <w:tc>
          <w:tcPr>
            <w:tcW w:w="120" w:type="dxa"/>
            <w:vAlign w:val="bottom"/>
          </w:tcPr>
          <w:p>
            <w:pPr>
              <w:spacing w:after="0"/>
              <w:rPr>
                <w:sz w:val="19"/>
                <w:szCs w:val="19"/>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94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March 31, 2020</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940" w:type="dxa"/>
            <w:vAlign w:val="bottom"/>
          </w:tcPr>
          <w:p>
            <w:pPr>
              <w:jc w:val="center"/>
              <w:ind w:left="1010"/>
              <w:spacing w:after="0"/>
              <w:rPr>
                <w:sz w:val="20"/>
                <w:szCs w:val="20"/>
                <w:color w:val="auto"/>
              </w:rPr>
            </w:pPr>
            <w:r>
              <w:rPr>
                <w:rFonts w:ascii="Arial" w:cs="Arial" w:eastAsia="Arial" w:hAnsi="Arial"/>
                <w:sz w:val="18"/>
                <w:szCs w:val="18"/>
                <w:color w:val="auto"/>
                <w:w w:val="92"/>
              </w:rPr>
              <w:t>1-2</w:t>
            </w:r>
          </w:p>
        </w:tc>
        <w:tc>
          <w:tcPr>
            <w:tcW w:w="146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13,407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7,684</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4,124</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32,710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36,033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147,559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24,329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3,344</w:t>
            </w:r>
          </w:p>
        </w:tc>
        <w:tc>
          <w:tcPr>
            <w:tcW w:w="20" w:type="dxa"/>
            <w:vAlign w:val="bottom"/>
          </w:tcPr>
          <w:p>
            <w:pPr>
              <w:spacing w:after="0"/>
              <w:rPr>
                <w:sz w:val="19"/>
                <w:szCs w:val="19"/>
                <w:color w:val="auto"/>
              </w:rPr>
            </w:pPr>
          </w:p>
        </w:tc>
      </w:tr>
      <w:tr>
        <w:trPr>
          <w:trHeight w:val="230"/>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117,824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67,419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404,548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103,357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4,992</w:t>
            </w:r>
          </w:p>
        </w:tc>
        <w:tc>
          <w:tcPr>
            <w:tcW w:w="20" w:type="dxa"/>
            <w:vAlign w:val="bottom"/>
          </w:tcPr>
          <w:p>
            <w:pPr>
              <w:spacing w:after="0"/>
              <w:rPr>
                <w:sz w:val="19"/>
                <w:szCs w:val="19"/>
                <w:color w:val="auto"/>
              </w:rPr>
            </w:pPr>
          </w:p>
        </w:tc>
      </w:tr>
      <w:tr>
        <w:trPr>
          <w:trHeight w:val="229"/>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15,492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3,191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5,166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14,697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394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3940" w:type="dxa"/>
            <w:vAlign w:val="bottom"/>
            <w:tcBorders>
              <w:bottom w:val="single" w:sz="8" w:color="CFF0FC"/>
            </w:tcBorders>
            <w:shd w:val="clear" w:color="auto" w:fill="CFF0FC"/>
          </w:tcPr>
          <w:p>
            <w:pPr>
              <w:ind w:left="23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194,130</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109,707</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568,991</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143,311</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8,336</w:t>
            </w:r>
          </w:p>
        </w:tc>
        <w:tc>
          <w:tcPr>
            <w:tcW w:w="2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2"/>
        </w:trPr>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Agricultural</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8"/>
                <w:szCs w:val="18"/>
                <w:color w:val="auto"/>
                <w:w w:val="91"/>
              </w:rPr>
              <w:t>Commercial</w:t>
            </w:r>
          </w:p>
        </w:tc>
        <w:tc>
          <w:tcPr>
            <w:tcW w:w="120" w:type="dxa"/>
            <w:vAlign w:val="bottom"/>
          </w:tcPr>
          <w:p>
            <w:pPr>
              <w:spacing w:after="0"/>
              <w:rPr>
                <w:sz w:val="24"/>
                <w:szCs w:val="24"/>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94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940" w:type="dxa"/>
            <w:vAlign w:val="bottom"/>
          </w:tcPr>
          <w:p>
            <w:pPr>
              <w:jc w:val="center"/>
              <w:ind w:left="1010"/>
              <w:spacing w:after="0"/>
              <w:rPr>
                <w:sz w:val="20"/>
                <w:szCs w:val="20"/>
                <w:color w:val="auto"/>
              </w:rPr>
            </w:pPr>
            <w:r>
              <w:rPr>
                <w:rFonts w:ascii="Arial" w:cs="Arial" w:eastAsia="Arial" w:hAnsi="Arial"/>
                <w:sz w:val="18"/>
                <w:szCs w:val="18"/>
                <w:color w:val="auto"/>
                <w:w w:val="92"/>
              </w:rPr>
              <w:t>1-2</w:t>
            </w:r>
          </w:p>
        </w:tc>
        <w:tc>
          <w:tcPr>
            <w:tcW w:w="146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14,655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4,093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7,860</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3,844</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33,951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36,913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131,780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19,790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3,168</w:t>
            </w:r>
          </w:p>
        </w:tc>
        <w:tc>
          <w:tcPr>
            <w:tcW w:w="20" w:type="dxa"/>
            <w:vAlign w:val="bottom"/>
          </w:tcPr>
          <w:p>
            <w:pPr>
              <w:spacing w:after="0"/>
              <w:rPr>
                <w:sz w:val="19"/>
                <w:szCs w:val="19"/>
                <w:color w:val="auto"/>
              </w:rPr>
            </w:pPr>
          </w:p>
        </w:tc>
      </w:tr>
      <w:tr>
        <w:trPr>
          <w:trHeight w:val="230"/>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116,834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65,414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401,404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103,527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5,146</w:t>
            </w:r>
          </w:p>
        </w:tc>
        <w:tc>
          <w:tcPr>
            <w:tcW w:w="20" w:type="dxa"/>
            <w:vAlign w:val="bottom"/>
          </w:tcPr>
          <w:p>
            <w:pPr>
              <w:spacing w:after="0"/>
              <w:rPr>
                <w:sz w:val="19"/>
                <w:szCs w:val="19"/>
                <w:color w:val="auto"/>
              </w:rPr>
            </w:pPr>
          </w:p>
        </w:tc>
      </w:tr>
      <w:tr>
        <w:trPr>
          <w:trHeight w:val="229"/>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14,836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3,699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2,465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18,583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3,229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4,983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394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3940" w:type="dxa"/>
            <w:vAlign w:val="bottom"/>
            <w:tcBorders>
              <w:bottom w:val="single" w:sz="8" w:color="CFF0FC"/>
            </w:tcBorders>
            <w:shd w:val="clear" w:color="auto" w:fill="CFF0FC"/>
          </w:tcPr>
          <w:p>
            <w:pPr>
              <w:ind w:left="23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198,859</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111,949</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550,082</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135,695</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8,314</w:t>
            </w:r>
          </w:p>
        </w:tc>
        <w:tc>
          <w:tcPr>
            <w:tcW w:w="2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9"/>
        </w:trPr>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47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jc w:val="both"/>
        <w:ind w:left="760" w:right="20"/>
        <w:spacing w:after="0" w:line="263"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March 31, 2020 and December 31, 2019.</w:t>
      </w:r>
    </w:p>
    <w:p>
      <w:pPr>
        <w:spacing w:after="0" w:line="224"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color w:val="auto"/>
              </w:rPr>
              <w:t>(In Thousands)</w:t>
            </w:r>
          </w:p>
        </w:tc>
      </w:tr>
      <w:tr>
        <w:trPr>
          <w:trHeight w:val="222"/>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Consumer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89"/>
              </w:rPr>
              <w:t>Consumer</w:t>
            </w:r>
          </w:p>
        </w:tc>
      </w:tr>
      <w:tr>
        <w:trPr>
          <w:trHeight w:val="230"/>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8"/>
              </w:rPr>
              <w:t>Real Estate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5"/>
              </w:rPr>
              <w:t>Real Estate</w:t>
            </w:r>
          </w:p>
        </w:tc>
      </w:tr>
      <w:tr>
        <w:trPr>
          <w:trHeight w:val="209"/>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31,</w:t>
            </w:r>
          </w:p>
        </w:tc>
        <w:tc>
          <w:tcPr>
            <w:tcW w:w="20" w:type="dxa"/>
            <w:vAlign w:val="bottom"/>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88"/>
              </w:rPr>
              <w:t>December 31,</w:t>
            </w:r>
          </w:p>
        </w:tc>
      </w:tr>
      <w:tr>
        <w:trPr>
          <w:trHeight w:val="230"/>
        </w:trPr>
        <w:tc>
          <w:tcPr>
            <w:tcW w:w="53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2019</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Grade</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Pass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170,812</w:t>
            </w: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160,930</w:t>
            </w: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Special Mention (5)</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Substandard (6)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3,346</w:t>
            </w: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Doubtful (7)</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Pr>
          <w:p>
            <w:pPr>
              <w:ind w:left="24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173,976</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164,691</w:t>
            </w: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color w:val="auto"/>
              </w:rPr>
              <w:t>Consumer - Credit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Consumer - Other</w:t>
            </w:r>
          </w:p>
        </w:tc>
      </w:tr>
      <w:tr>
        <w:trPr>
          <w:trHeight w:val="209"/>
        </w:trPr>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w w:val="92"/>
              </w:rPr>
              <w:t>March 31,</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7"/>
              </w:rPr>
              <w:t>December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March 31,</w:t>
            </w: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December 31,</w:t>
            </w:r>
          </w:p>
        </w:tc>
      </w:tr>
      <w:tr>
        <w:trPr>
          <w:trHeight w:val="230"/>
        </w:trPr>
        <w:tc>
          <w:tcPr>
            <w:tcW w:w="5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3,576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4,076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45,424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44,831</w:t>
            </w:r>
          </w:p>
        </w:tc>
      </w:tr>
      <w:tr>
        <w:trPr>
          <w:trHeight w:val="229"/>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Nonperforming</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487</w:t>
            </w:r>
          </w:p>
        </w:tc>
      </w:tr>
      <w:tr>
        <w:trPr>
          <w:trHeight w:val="223"/>
        </w:trPr>
        <w:tc>
          <w:tcPr>
            <w:tcW w:w="52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3,611</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4,091</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45,579</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45,318</w:t>
            </w:r>
          </w:p>
        </w:tc>
      </w:tr>
      <w:tr>
        <w:trPr>
          <w:trHeight w:val="20"/>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impaired loans as of March 31, 2020, December 31, 2019 and March 31, 2019 are as follows: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color w:val="auto"/>
                <w:w w:val="89"/>
              </w:rPr>
              <w:t>(In Thousands)</w:t>
            </w: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4"/>
              </w:rPr>
              <w:t>March 31, 2020</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2"/>
              </w:rPr>
              <w:t>March 31, 2019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Impaired loans without a valuation allowance</w:t>
            </w:r>
          </w:p>
        </w:tc>
        <w:tc>
          <w:tcPr>
            <w:tcW w:w="1140" w:type="dxa"/>
            <w:vAlign w:val="bottom"/>
            <w:gridSpan w:val="2"/>
            <w:shd w:val="clear" w:color="auto" w:fill="CFF0FC"/>
          </w:tcPr>
          <w:p>
            <w:pPr>
              <w:jc w:val="right"/>
              <w:ind w:right="303"/>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1,393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2,420</w:t>
            </w:r>
          </w:p>
        </w:tc>
        <w:tc>
          <w:tcPr>
            <w:tcW w:w="580" w:type="dxa"/>
            <w:vAlign w:val="bottom"/>
            <w:gridSpan w:val="2"/>
            <w:shd w:val="clear" w:color="auto" w:fill="CFF0FC"/>
          </w:tcPr>
          <w:p>
            <w:pPr>
              <w:jc w:val="right"/>
              <w:ind w:right="30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Impaired loans with a valuation allowance</w:t>
            </w:r>
          </w:p>
        </w:tc>
        <w:tc>
          <w:tcPr>
            <w:tcW w:w="6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4,795</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impaired loans</w:t>
            </w:r>
          </w:p>
        </w:tc>
        <w:tc>
          <w:tcPr>
            <w:tcW w:w="6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6,188</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3,061</w:t>
            </w: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Valuation allowance related to impaired loans</w:t>
            </w: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gridSpan w:val="2"/>
            <w:vMerge w:val="continue"/>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non-accrual loans</w:t>
            </w:r>
          </w:p>
        </w:tc>
        <w:tc>
          <w:tcPr>
            <w:tcW w:w="68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jc w:val="right"/>
              <w:ind w:right="3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3,344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3,400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jc w:val="right"/>
              <w:ind w:right="3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Total loans past-due ninety days or more and</w:t>
            </w:r>
          </w:p>
        </w:tc>
        <w:tc>
          <w:tcPr>
            <w:tcW w:w="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still accruing</w:t>
            </w:r>
          </w:p>
        </w:tc>
        <w:tc>
          <w:tcPr>
            <w:tcW w:w="114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Quarter ended average investment in impaired</w:t>
            </w:r>
          </w:p>
        </w:tc>
        <w:tc>
          <w:tcPr>
            <w:tcW w:w="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loans</w:t>
            </w:r>
          </w:p>
        </w:tc>
        <w:tc>
          <w:tcPr>
            <w:tcW w:w="1140" w:type="dxa"/>
            <w:vAlign w:val="bottom"/>
            <w:gridSpan w:val="2"/>
            <w:shd w:val="clear" w:color="auto" w:fill="CFF0FC"/>
          </w:tcPr>
          <w:p>
            <w:pPr>
              <w:jc w:val="right"/>
              <w:ind w:right="303"/>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4,314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3,120</w:t>
            </w:r>
          </w:p>
        </w:tc>
        <w:tc>
          <w:tcPr>
            <w:tcW w:w="580" w:type="dxa"/>
            <w:vAlign w:val="bottom"/>
            <w:gridSpan w:val="2"/>
            <w:shd w:val="clear" w:color="auto" w:fill="CFF0FC"/>
          </w:tcPr>
          <w:p>
            <w:pPr>
              <w:jc w:val="right"/>
              <w:ind w:right="30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Year to date average investment in impaired</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loans</w:t>
            </w:r>
          </w:p>
        </w:tc>
        <w:tc>
          <w:tcPr>
            <w:tcW w:w="114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2,649</w:t>
            </w:r>
          </w:p>
        </w:tc>
        <w:tc>
          <w:tcPr>
            <w:tcW w:w="58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$45 thousand additional funds available to be advanced in connection with impaired loans.</w:t>
      </w:r>
    </w:p>
    <w:p>
      <w:pPr>
        <w:spacing w:after="0" w:line="18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Bank had approximately $1.9 million of its impaired loans classified as troubled debt restructured (TDR) as of March 31, 2020, $1.0 million as of December 31, 2019 and $173 thousand as of March 31, 2019.</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Modification programs focused on payment pattern changes and/or modified maturity dates with most receiving a combination of the two concessions. The modifications did not result in the contractual forgiveness of principal. In 2020, two of the loans resulted in payment changes from a monthly payment to principal and interest at maturity on June 19, 2020. Interest was paid current at the time of the modification. The properties involved are to be sold by the loan maturity date. Consequently, the financial impact of the modifications was immaterial. During the year to date 2020, there were 2 new loans considered TDR. There were no new loans considered TDR year to date 2019. The following tables represents three months ended March 31, 2020 and 2019:</w:t>
      </w:r>
    </w:p>
    <w:p>
      <w:pPr>
        <w:spacing w:after="0" w:line="200" w:lineRule="exact"/>
        <w:rPr>
          <w:sz w:val="20"/>
          <w:szCs w:val="20"/>
          <w:color w:val="auto"/>
        </w:rPr>
      </w:pP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Pre-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Post-</w:t>
            </w:r>
          </w:p>
        </w:tc>
        <w:tc>
          <w:tcPr>
            <w:tcW w:w="0" w:type="dxa"/>
            <w:vAlign w:val="bottom"/>
          </w:tcPr>
          <w:p>
            <w:pPr>
              <w:spacing w:after="0"/>
              <w:rPr>
                <w:sz w:val="1"/>
                <w:szCs w:val="1"/>
                <w:color w:val="auto"/>
              </w:rPr>
            </w:pPr>
          </w:p>
        </w:tc>
      </w:tr>
      <w:tr>
        <w:trPr>
          <w:trHeight w:val="230"/>
        </w:trPr>
        <w:tc>
          <w:tcPr>
            <w:tcW w:w="3860" w:type="dxa"/>
            <w:vAlign w:val="bottom"/>
            <w:gridSpan w:val="3"/>
          </w:tcPr>
          <w:p>
            <w:pPr>
              <w:spacing w:after="0"/>
              <w:rPr>
                <w:sz w:val="20"/>
                <w:szCs w:val="20"/>
                <w:color w:val="auto"/>
              </w:rPr>
            </w:pPr>
            <w:r>
              <w:rPr>
                <w:rFonts w:ascii="Arial" w:cs="Arial" w:eastAsia="Arial" w:hAnsi="Arial"/>
                <w:sz w:val="18"/>
                <w:szCs w:val="18"/>
                <w:color w:val="auto"/>
              </w:rPr>
              <w:t>Three Months</w:t>
            </w: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Number of</w:t>
            </w:r>
          </w:p>
        </w:tc>
        <w:tc>
          <w:tcPr>
            <w:tcW w:w="500" w:type="dxa"/>
            <w:vAlign w:val="bottom"/>
          </w:tcPr>
          <w:p>
            <w:pPr>
              <w:spacing w:after="0"/>
              <w:rPr>
                <w:sz w:val="19"/>
                <w:szCs w:val="19"/>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8"/>
                <w:szCs w:val="18"/>
                <w:color w:val="auto"/>
                <w:w w:val="97"/>
              </w:rPr>
              <w:t>Modification</w:t>
            </w:r>
          </w:p>
        </w:tc>
        <w:tc>
          <w:tcPr>
            <w:tcW w:w="280" w:type="dxa"/>
            <w:vAlign w:val="bottom"/>
          </w:tcPr>
          <w:p>
            <w:pPr>
              <w:spacing w:after="0"/>
              <w:rPr>
                <w:sz w:val="19"/>
                <w:szCs w:val="19"/>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Modification</w:t>
            </w:r>
          </w:p>
        </w:tc>
        <w:tc>
          <w:tcPr>
            <w:tcW w:w="0" w:type="dxa"/>
            <w:vAlign w:val="bottom"/>
          </w:tcPr>
          <w:p>
            <w:pPr>
              <w:spacing w:after="0"/>
              <w:rPr>
                <w:sz w:val="1"/>
                <w:szCs w:val="1"/>
                <w:color w:val="auto"/>
              </w:rPr>
            </w:pPr>
          </w:p>
        </w:tc>
      </w:tr>
      <w:tr>
        <w:trPr>
          <w:trHeight w:val="229"/>
        </w:trPr>
        <w:tc>
          <w:tcPr>
            <w:tcW w:w="3860" w:type="dxa"/>
            <w:vAlign w:val="bottom"/>
            <w:gridSpan w:val="3"/>
          </w:tcPr>
          <w:p>
            <w:pPr>
              <w:spacing w:after="0"/>
              <w:rPr>
                <w:sz w:val="20"/>
                <w:szCs w:val="20"/>
                <w:color w:val="auto"/>
              </w:rPr>
            </w:pPr>
            <w:r>
              <w:rPr>
                <w:rFonts w:ascii="Arial" w:cs="Arial" w:eastAsia="Arial" w:hAnsi="Arial"/>
                <w:sz w:val="18"/>
                <w:szCs w:val="18"/>
                <w:color w:val="auto"/>
              </w:rPr>
              <w:t>March 31, 2020</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Contracts</w:t>
            </w:r>
          </w:p>
        </w:tc>
        <w:tc>
          <w:tcPr>
            <w:tcW w:w="500" w:type="dxa"/>
            <w:vAlign w:val="bottom"/>
          </w:tcPr>
          <w:p>
            <w:pPr>
              <w:spacing w:after="0"/>
              <w:rPr>
                <w:sz w:val="19"/>
                <w:szCs w:val="19"/>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8"/>
                <w:szCs w:val="18"/>
                <w:color w:val="auto"/>
                <w:w w:val="88"/>
              </w:rPr>
              <w:t>Outstanding</w:t>
            </w:r>
          </w:p>
        </w:tc>
        <w:tc>
          <w:tcPr>
            <w:tcW w:w="280" w:type="dxa"/>
            <w:vAlign w:val="bottom"/>
          </w:tcPr>
          <w:p>
            <w:pPr>
              <w:spacing w:after="0"/>
              <w:rPr>
                <w:sz w:val="19"/>
                <w:szCs w:val="19"/>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Outstanding</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ind w:left="1220"/>
              <w:spacing w:after="0"/>
              <w:rPr>
                <w:sz w:val="20"/>
                <w:szCs w:val="20"/>
                <w:color w:val="auto"/>
              </w:rPr>
            </w:pPr>
            <w:r>
              <w:rPr>
                <w:rFonts w:ascii="Arial" w:cs="Arial" w:eastAsia="Arial" w:hAnsi="Arial"/>
                <w:sz w:val="18"/>
                <w:szCs w:val="18"/>
                <w:color w:val="auto"/>
              </w:rPr>
              <w:t>(in thousands)</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Modified in the</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Recorded</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Recorded</w:t>
            </w:r>
          </w:p>
        </w:tc>
        <w:tc>
          <w:tcPr>
            <w:tcW w:w="0" w:type="dxa"/>
            <w:vAlign w:val="bottom"/>
          </w:tcPr>
          <w:p>
            <w:pPr>
              <w:spacing w:after="0"/>
              <w:rPr>
                <w:sz w:val="1"/>
                <w:szCs w:val="1"/>
                <w:color w:val="auto"/>
              </w:rPr>
            </w:pPr>
          </w:p>
        </w:tc>
      </w:tr>
      <w:tr>
        <w:trPr>
          <w:trHeight w:val="190"/>
        </w:trPr>
        <w:tc>
          <w:tcPr>
            <w:tcW w:w="3860" w:type="dxa"/>
            <w:vAlign w:val="bottom"/>
            <w:gridSpan w:val="3"/>
          </w:tcPr>
          <w:p>
            <w:pPr>
              <w:spacing w:after="0" w:line="190" w:lineRule="exact"/>
              <w:rPr>
                <w:sz w:val="20"/>
                <w:szCs w:val="20"/>
                <w:color w:val="auto"/>
              </w:rPr>
            </w:pPr>
            <w:r>
              <w:rPr>
                <w:rFonts w:ascii="Arial" w:cs="Arial" w:eastAsia="Arial" w:hAnsi="Arial"/>
                <w:sz w:val="18"/>
                <w:szCs w:val="18"/>
                <w:color w:val="auto"/>
              </w:rPr>
              <w:t>Troubled Debt Restructurings</w:t>
            </w:r>
          </w:p>
        </w:tc>
        <w:tc>
          <w:tcPr>
            <w:tcW w:w="1680" w:type="dxa"/>
            <w:vAlign w:val="bottom"/>
            <w:gridSpan w:val="2"/>
          </w:tcPr>
          <w:p>
            <w:pPr>
              <w:jc w:val="center"/>
              <w:ind w:right="320"/>
              <w:spacing w:after="0" w:line="190" w:lineRule="exact"/>
              <w:rPr>
                <w:sz w:val="20"/>
                <w:szCs w:val="20"/>
                <w:color w:val="auto"/>
              </w:rPr>
            </w:pPr>
            <w:r>
              <w:rPr>
                <w:rFonts w:ascii="Arial" w:cs="Arial" w:eastAsia="Arial" w:hAnsi="Arial"/>
                <w:sz w:val="18"/>
                <w:szCs w:val="18"/>
                <w:color w:val="auto"/>
                <w:w w:val="90"/>
              </w:rPr>
              <w:t>Last Three Months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420"/>
              <w:spacing w:after="0" w:line="190" w:lineRule="exact"/>
              <w:rPr>
                <w:sz w:val="20"/>
                <w:szCs w:val="20"/>
                <w:color w:val="auto"/>
              </w:rPr>
            </w:pPr>
            <w:r>
              <w:rPr>
                <w:rFonts w:ascii="Arial" w:cs="Arial" w:eastAsia="Arial" w:hAnsi="Arial"/>
                <w:sz w:val="18"/>
                <w:szCs w:val="18"/>
                <w:color w:val="auto"/>
                <w:w w:val="88"/>
              </w:rPr>
              <w:t>Investment</w:t>
            </w:r>
          </w:p>
        </w:tc>
        <w:tc>
          <w:tcPr>
            <w:tcW w:w="280" w:type="dxa"/>
            <w:vAlign w:val="bottom"/>
          </w:tcPr>
          <w:p>
            <w:pPr>
              <w:spacing w:after="0"/>
              <w:rPr>
                <w:sz w:val="16"/>
                <w:szCs w:val="16"/>
                <w:color w:val="auto"/>
              </w:rPr>
            </w:pPr>
          </w:p>
        </w:tc>
        <w:tc>
          <w:tcPr>
            <w:tcW w:w="1300" w:type="dxa"/>
            <w:vAlign w:val="bottom"/>
            <w:gridSpan w:val="3"/>
          </w:tcPr>
          <w:p>
            <w:pPr>
              <w:jc w:val="center"/>
              <w:ind w:right="240"/>
              <w:spacing w:after="0" w:line="190" w:lineRule="exact"/>
              <w:rPr>
                <w:sz w:val="20"/>
                <w:szCs w:val="20"/>
                <w:color w:val="auto"/>
              </w:rPr>
            </w:pPr>
            <w:r>
              <w:rPr>
                <w:rFonts w:ascii="Arial" w:cs="Arial" w:eastAsia="Arial" w:hAnsi="Arial"/>
                <w:sz w:val="18"/>
                <w:szCs w:val="18"/>
                <w:color w:val="auto"/>
                <w:w w:val="88"/>
              </w:rPr>
              <w:t>Investment</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3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13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981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Pre-</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Post-</w:t>
            </w:r>
          </w:p>
        </w:tc>
        <w:tc>
          <w:tcPr>
            <w:tcW w:w="0" w:type="dxa"/>
            <w:vAlign w:val="bottom"/>
          </w:tcPr>
          <w:p>
            <w:pPr>
              <w:spacing w:after="0"/>
              <w:rPr>
                <w:sz w:val="1"/>
                <w:szCs w:val="1"/>
                <w:color w:val="auto"/>
              </w:rPr>
            </w:pPr>
          </w:p>
        </w:tc>
      </w:tr>
      <w:tr>
        <w:trPr>
          <w:trHeight w:val="230"/>
        </w:trPr>
        <w:tc>
          <w:tcPr>
            <w:tcW w:w="3860" w:type="dxa"/>
            <w:vAlign w:val="bottom"/>
            <w:gridSpan w:val="3"/>
          </w:tcPr>
          <w:p>
            <w:pPr>
              <w:spacing w:after="0"/>
              <w:rPr>
                <w:sz w:val="20"/>
                <w:szCs w:val="20"/>
                <w:color w:val="auto"/>
              </w:rPr>
            </w:pPr>
            <w:r>
              <w:rPr>
                <w:rFonts w:ascii="Arial" w:cs="Arial" w:eastAsia="Arial" w:hAnsi="Arial"/>
                <w:sz w:val="18"/>
                <w:szCs w:val="18"/>
                <w:color w:val="auto"/>
              </w:rPr>
              <w:t>Three Months</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Number of</w:t>
            </w:r>
          </w:p>
        </w:tc>
        <w:tc>
          <w:tcPr>
            <w:tcW w:w="500" w:type="dxa"/>
            <w:vAlign w:val="bottom"/>
          </w:tcPr>
          <w:p>
            <w:pPr>
              <w:spacing w:after="0"/>
              <w:rPr>
                <w:sz w:val="19"/>
                <w:szCs w:val="19"/>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8"/>
                <w:szCs w:val="18"/>
                <w:color w:val="auto"/>
                <w:w w:val="97"/>
              </w:rPr>
              <w:t>Modification</w:t>
            </w:r>
          </w:p>
        </w:tc>
        <w:tc>
          <w:tcPr>
            <w:tcW w:w="280" w:type="dxa"/>
            <w:vAlign w:val="bottom"/>
          </w:tcPr>
          <w:p>
            <w:pPr>
              <w:spacing w:after="0"/>
              <w:rPr>
                <w:sz w:val="19"/>
                <w:szCs w:val="19"/>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Modification</w:t>
            </w:r>
          </w:p>
        </w:tc>
        <w:tc>
          <w:tcPr>
            <w:tcW w:w="0" w:type="dxa"/>
            <w:vAlign w:val="bottom"/>
          </w:tcPr>
          <w:p>
            <w:pPr>
              <w:spacing w:after="0"/>
              <w:rPr>
                <w:sz w:val="1"/>
                <w:szCs w:val="1"/>
                <w:color w:val="auto"/>
              </w:rPr>
            </w:pPr>
          </w:p>
        </w:tc>
      </w:tr>
      <w:tr>
        <w:trPr>
          <w:trHeight w:val="229"/>
        </w:trPr>
        <w:tc>
          <w:tcPr>
            <w:tcW w:w="3860" w:type="dxa"/>
            <w:vAlign w:val="bottom"/>
            <w:gridSpan w:val="3"/>
          </w:tcPr>
          <w:p>
            <w:pPr>
              <w:spacing w:after="0"/>
              <w:rPr>
                <w:sz w:val="20"/>
                <w:szCs w:val="20"/>
                <w:color w:val="auto"/>
              </w:rPr>
            </w:pPr>
            <w:r>
              <w:rPr>
                <w:rFonts w:ascii="Arial" w:cs="Arial" w:eastAsia="Arial" w:hAnsi="Arial"/>
                <w:sz w:val="18"/>
                <w:szCs w:val="18"/>
                <w:color w:val="auto"/>
              </w:rPr>
              <w:t>March 31, 2019</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Contracts</w:t>
            </w:r>
          </w:p>
        </w:tc>
        <w:tc>
          <w:tcPr>
            <w:tcW w:w="500" w:type="dxa"/>
            <w:vAlign w:val="bottom"/>
          </w:tcPr>
          <w:p>
            <w:pPr>
              <w:spacing w:after="0"/>
              <w:rPr>
                <w:sz w:val="19"/>
                <w:szCs w:val="19"/>
                <w:color w:val="auto"/>
              </w:rPr>
            </w:pPr>
          </w:p>
        </w:tc>
        <w:tc>
          <w:tcPr>
            <w:tcW w:w="136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Outstanding</w:t>
            </w:r>
          </w:p>
        </w:tc>
        <w:tc>
          <w:tcPr>
            <w:tcW w:w="280" w:type="dxa"/>
            <w:vAlign w:val="bottom"/>
          </w:tcPr>
          <w:p>
            <w:pPr>
              <w:spacing w:after="0"/>
              <w:rPr>
                <w:sz w:val="19"/>
                <w:szCs w:val="19"/>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Outstanding</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ind w:left="1220"/>
              <w:spacing w:after="0"/>
              <w:rPr>
                <w:sz w:val="20"/>
                <w:szCs w:val="20"/>
                <w:color w:val="auto"/>
              </w:rPr>
            </w:pPr>
            <w:r>
              <w:rPr>
                <w:rFonts w:ascii="Arial" w:cs="Arial" w:eastAsia="Arial" w:hAnsi="Arial"/>
                <w:sz w:val="18"/>
                <w:szCs w:val="18"/>
                <w:color w:val="auto"/>
              </w:rPr>
              <w:t>(in thousands)</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Modified in the</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Recorded</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Recorded</w:t>
            </w:r>
          </w:p>
        </w:tc>
        <w:tc>
          <w:tcPr>
            <w:tcW w:w="0" w:type="dxa"/>
            <w:vAlign w:val="bottom"/>
          </w:tcPr>
          <w:p>
            <w:pPr>
              <w:spacing w:after="0"/>
              <w:rPr>
                <w:sz w:val="1"/>
                <w:szCs w:val="1"/>
                <w:color w:val="auto"/>
              </w:rPr>
            </w:pPr>
          </w:p>
        </w:tc>
      </w:tr>
      <w:tr>
        <w:trPr>
          <w:trHeight w:val="190"/>
        </w:trPr>
        <w:tc>
          <w:tcPr>
            <w:tcW w:w="3860" w:type="dxa"/>
            <w:vAlign w:val="bottom"/>
            <w:gridSpan w:val="3"/>
          </w:tcPr>
          <w:p>
            <w:pPr>
              <w:spacing w:after="0" w:line="190" w:lineRule="exact"/>
              <w:rPr>
                <w:sz w:val="20"/>
                <w:szCs w:val="20"/>
                <w:color w:val="auto"/>
              </w:rPr>
            </w:pPr>
            <w:r>
              <w:rPr>
                <w:rFonts w:ascii="Arial" w:cs="Arial" w:eastAsia="Arial" w:hAnsi="Arial"/>
                <w:sz w:val="18"/>
                <w:szCs w:val="18"/>
                <w:color w:val="auto"/>
              </w:rPr>
              <w:t>Troubled Debt Restructurings</w:t>
            </w:r>
          </w:p>
        </w:tc>
        <w:tc>
          <w:tcPr>
            <w:tcW w:w="1680" w:type="dxa"/>
            <w:vAlign w:val="bottom"/>
            <w:gridSpan w:val="2"/>
          </w:tcPr>
          <w:p>
            <w:pPr>
              <w:jc w:val="center"/>
              <w:ind w:right="320"/>
              <w:spacing w:after="0" w:line="190" w:lineRule="exact"/>
              <w:rPr>
                <w:sz w:val="20"/>
                <w:szCs w:val="20"/>
                <w:color w:val="auto"/>
              </w:rPr>
            </w:pPr>
            <w:r>
              <w:rPr>
                <w:rFonts w:ascii="Arial" w:cs="Arial" w:eastAsia="Arial" w:hAnsi="Arial"/>
                <w:sz w:val="18"/>
                <w:szCs w:val="18"/>
                <w:color w:val="auto"/>
                <w:w w:val="90"/>
              </w:rPr>
              <w:t>Last Three Months</w:t>
            </w:r>
          </w:p>
        </w:tc>
        <w:tc>
          <w:tcPr>
            <w:tcW w:w="500" w:type="dxa"/>
            <w:vAlign w:val="bottom"/>
          </w:tcPr>
          <w:p>
            <w:pPr>
              <w:spacing w:after="0"/>
              <w:rPr>
                <w:sz w:val="16"/>
                <w:szCs w:val="16"/>
                <w:color w:val="auto"/>
              </w:rPr>
            </w:pPr>
          </w:p>
        </w:tc>
        <w:tc>
          <w:tcPr>
            <w:tcW w:w="1360" w:type="dxa"/>
            <w:vAlign w:val="bottom"/>
            <w:gridSpan w:val="4"/>
          </w:tcPr>
          <w:p>
            <w:pPr>
              <w:jc w:val="center"/>
              <w:ind w:right="320"/>
              <w:spacing w:after="0" w:line="190" w:lineRule="exact"/>
              <w:rPr>
                <w:sz w:val="20"/>
                <w:szCs w:val="20"/>
                <w:color w:val="auto"/>
              </w:rPr>
            </w:pPr>
            <w:r>
              <w:rPr>
                <w:rFonts w:ascii="Arial" w:cs="Arial" w:eastAsia="Arial" w:hAnsi="Arial"/>
                <w:sz w:val="18"/>
                <w:szCs w:val="18"/>
                <w:color w:val="auto"/>
                <w:w w:val="90"/>
              </w:rPr>
              <w:t>Investment</w:t>
            </w:r>
          </w:p>
        </w:tc>
        <w:tc>
          <w:tcPr>
            <w:tcW w:w="280" w:type="dxa"/>
            <w:vAlign w:val="bottom"/>
          </w:tcPr>
          <w:p>
            <w:pPr>
              <w:spacing w:after="0"/>
              <w:rPr>
                <w:sz w:val="16"/>
                <w:szCs w:val="16"/>
                <w:color w:val="auto"/>
              </w:rPr>
            </w:pPr>
          </w:p>
        </w:tc>
        <w:tc>
          <w:tcPr>
            <w:tcW w:w="1300" w:type="dxa"/>
            <w:vAlign w:val="bottom"/>
            <w:gridSpan w:val="3"/>
          </w:tcPr>
          <w:p>
            <w:pPr>
              <w:jc w:val="center"/>
              <w:ind w:right="240"/>
              <w:spacing w:after="0" w:line="190" w:lineRule="exact"/>
              <w:rPr>
                <w:sz w:val="20"/>
                <w:szCs w:val="20"/>
                <w:color w:val="auto"/>
              </w:rPr>
            </w:pPr>
            <w:r>
              <w:rPr>
                <w:rFonts w:ascii="Arial" w:cs="Arial" w:eastAsia="Arial" w:hAnsi="Arial"/>
                <w:sz w:val="18"/>
                <w:szCs w:val="18"/>
                <w:color w:val="auto"/>
                <w:w w:val="88"/>
              </w:rPr>
              <w:t>Investment</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136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three month period ended March 31, 2020 and 2019, there were no TDRs that subsequently defaulted after modification.</w:t>
      </w:r>
    </w:p>
    <w:p>
      <w:pPr>
        <w:spacing w:after="0" w:line="18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For the three month period ended March 31, 2020, there was one impaired loan that was classified as TDR paid off. There were no impaired loans classified as TDR paid off for the three month period ended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Remainder of this page intentionally left blank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13"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61" w:lineRule="exact"/>
        <w:rPr>
          <w:sz w:val="20"/>
          <w:szCs w:val="20"/>
          <w:color w:val="auto"/>
        </w:rPr>
      </w:pPr>
    </w:p>
    <w:p>
      <w:pPr>
        <w:jc w:val="both"/>
        <w:ind w:left="760" w:right="20"/>
        <w:spacing w:after="0" w:line="291"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whether a partial or full loan balance. A charge-off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26"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the three months ended March 31, 2020 and March 31, 2019 and for the year ended December 31,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color w:val="auto"/>
                <w:w w:val="99"/>
              </w:rPr>
              <w:t>QTD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4"/>
              </w:rPr>
              <w:t>QTD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9"/>
              </w:rPr>
              <w:t>QTD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Three Months Ended March 31, 2020</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Recognized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Cash Basis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0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2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644</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3,109</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3,109</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2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838</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1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3,295</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3,295</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1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ind w:left="1500"/>
              <w:spacing w:after="0"/>
              <w:rPr>
                <w:sz w:val="20"/>
                <w:szCs w:val="20"/>
                <w:color w:val="auto"/>
              </w:rPr>
            </w:pPr>
            <w:r>
              <w:rPr>
                <w:rFonts w:ascii="Arial" w:cs="Arial" w:eastAsia="Arial" w:hAnsi="Arial"/>
                <w:sz w:val="18"/>
                <w:szCs w:val="18"/>
                <w:color w:val="auto"/>
              </w:rPr>
              <w:t>NOTE 4 LOANS (Continued)</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1"/>
        </w:trPr>
        <w:tc>
          <w:tcPr>
            <w:tcW w:w="4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9"/>
              </w:rPr>
              <w:t>QTD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4"/>
              </w:rPr>
              <w:t>QTD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9"/>
              </w:rPr>
              <w:t>QTD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Three Months Ended March 31, 2019</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Recognized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Cash Basis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5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78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648</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1,075</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18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78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902</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ind w:left="1500"/>
              <w:spacing w:after="0"/>
              <w:rPr>
                <w:sz w:val="20"/>
                <w:szCs w:val="20"/>
                <w:color w:val="auto"/>
              </w:rPr>
            </w:pPr>
            <w:r>
              <w:rPr>
                <w:rFonts w:ascii="Arial" w:cs="Arial" w:eastAsia="Arial" w:hAnsi="Arial"/>
                <w:sz w:val="18"/>
                <w:szCs w:val="18"/>
                <w:color w:val="auto"/>
              </w:rPr>
              <w:t>NOTE 4 LOANS (Continued)</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1"/>
        </w:trPr>
        <w:tc>
          <w:tcPr>
            <w:tcW w:w="4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Year Ended December 31, 2019</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7"/>
              </w:rPr>
              <w:t>Recorded</w:t>
            </w: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Income</w:t>
            </w:r>
          </w:p>
        </w:tc>
        <w:tc>
          <w:tcPr>
            <w:tcW w:w="8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0"/>
              </w:rPr>
              <w:t>Investment</w:t>
            </w:r>
          </w:p>
        </w:tc>
        <w:tc>
          <w:tcPr>
            <w:tcW w:w="16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80" w:type="dxa"/>
            <w:vAlign w:val="bottom"/>
          </w:tcPr>
          <w:p>
            <w:pPr>
              <w:spacing w:after="0"/>
              <w:rPr>
                <w:sz w:val="20"/>
                <w:szCs w:val="20"/>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5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vMerge w:val="restart"/>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vMerge w:val="restart"/>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520" w:type="dxa"/>
            <w:vAlign w:val="bottom"/>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760" w:type="dxa"/>
            <w:vAlign w:val="bottom"/>
            <w:vMerge w:val="continue"/>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760" w:type="dxa"/>
            <w:vAlign w:val="bottom"/>
            <w:vMerge w:val="continue"/>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gridSpan w:val="2"/>
            <w:vMerge w:val="continue"/>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520" w:type="dxa"/>
            <w:vAlign w:val="bottom"/>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520" w:type="dxa"/>
            <w:vAlign w:val="bottom"/>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520" w:type="dxa"/>
            <w:vAlign w:val="bottom"/>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 Real Estate</w:t>
            </w:r>
          </w:p>
        </w:tc>
        <w:tc>
          <w:tcPr>
            <w:tcW w:w="52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w:t>
            </w:r>
          </w:p>
        </w:tc>
        <w:tc>
          <w:tcPr>
            <w:tcW w:w="160" w:type="dxa"/>
            <w:vAlign w:val="bottom"/>
            <w:tcBorders>
              <w:bottom w:val="single" w:sz="8" w:color="CFF0FC"/>
              <w:right w:val="single" w:sz="8" w:color="auto"/>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FF0FC"/>
              <w:right w:val="single" w:sz="8" w:color="auto"/>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FF0FC"/>
              <w:right w:val="single" w:sz="8" w:color="auto"/>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FF0FC"/>
              <w:right w:val="single" w:sz="8" w:color="auto"/>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FF0FC"/>
              <w:right w:val="single" w:sz="8" w:color="auto"/>
            </w:tcBorders>
            <w:shd w:val="clear" w:color="auto" w:fill="CFF0FC"/>
          </w:tcPr>
          <w:p>
            <w:pPr>
              <w:spacing w:after="0"/>
              <w:rPr>
                <w:sz w:val="23"/>
                <w:szCs w:val="23"/>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60" w:type="dxa"/>
            <w:vAlign w:val="bottom"/>
            <w:tcBorders>
              <w:bottom w:val="single" w:sz="8" w:color="CFF0FC"/>
              <w:right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160" w:type="dxa"/>
            <w:vAlign w:val="bottom"/>
            <w:tcBorders>
              <w:bottom w:val="single" w:sz="8" w:color="CFF0FC"/>
              <w:right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right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right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8"/>
                <w:szCs w:val="18"/>
                <w:color w:val="auto"/>
              </w:rPr>
            </w:pP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As of March 31, 2020, the Company had $50 thousand of foreclosed residential real estate property obtained by physical possession and $292 thousand of consumer mortgage loans secured by residential real estate properties for which foreclosure proceedings are in process according to local jurisdictions. As of March 31, 2019, the Company had no foreclosed residential real estate property obtained by physical possession and $639 thousand of consumer mortgage loans secured by residential real estate properties for which foreclosure proceedings were in process according to local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13"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Allowance for Loan and Lease Losses (ALLL) has a direct impact on the provision expense. An increase in the ALLL is funded through recoveries and provision expense. The following tables summarize the activities in the allowance for credit losses.</w:t>
      </w:r>
    </w:p>
    <w:p>
      <w:pPr>
        <w:spacing w:after="0" w:line="211"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color w:val="auto"/>
              </w:rPr>
              <w:t>(In Thousands)</w:t>
            </w:r>
          </w:p>
        </w:tc>
      </w:tr>
      <w:tr>
        <w:trPr>
          <w:trHeight w:val="209"/>
        </w:trPr>
        <w:tc>
          <w:tcPr>
            <w:tcW w:w="5220" w:type="dxa"/>
            <w:vAlign w:val="bottom"/>
          </w:tcPr>
          <w:p>
            <w:pPr>
              <w:spacing w:after="0"/>
              <w:rPr>
                <w:sz w:val="18"/>
                <w:szCs w:val="18"/>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Three Months</w:t>
            </w:r>
          </w:p>
        </w:tc>
        <w:tc>
          <w:tcPr>
            <w:tcW w:w="1300" w:type="dxa"/>
            <w:vAlign w:val="bottom"/>
            <w:gridSpan w:val="2"/>
          </w:tcPr>
          <w:p>
            <w:pPr>
              <w:jc w:val="center"/>
              <w:ind w:right="10"/>
              <w:spacing w:after="0"/>
              <w:rPr>
                <w:sz w:val="20"/>
                <w:szCs w:val="20"/>
                <w:color w:val="auto"/>
              </w:rPr>
            </w:pPr>
            <w:r>
              <w:rPr>
                <w:rFonts w:ascii="Arial" w:cs="Arial" w:eastAsia="Arial" w:hAnsi="Arial"/>
                <w:sz w:val="18"/>
                <w:szCs w:val="18"/>
                <w:color w:val="auto"/>
                <w:w w:val="92"/>
              </w:rPr>
              <w:t>Twelve Months</w:t>
            </w:r>
          </w:p>
        </w:tc>
      </w:tr>
      <w:tr>
        <w:trPr>
          <w:trHeight w:val="230"/>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8"/>
              </w:rPr>
              <w:t>Ended</w:t>
            </w:r>
          </w:p>
        </w:tc>
      </w:tr>
      <w:tr>
        <w:trPr>
          <w:trHeight w:val="216"/>
        </w:trPr>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color w:val="auto"/>
                <w:w w:val="88"/>
              </w:rPr>
              <w:t>December 31,</w:t>
            </w:r>
          </w:p>
        </w:tc>
      </w:tr>
      <w:tr>
        <w:trPr>
          <w:trHeight w:val="230"/>
        </w:trPr>
        <w:tc>
          <w:tcPr>
            <w:tcW w:w="5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c>
          <w:tcPr>
            <w:tcW w:w="1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2019</w:t>
            </w: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Allowance for Loan &amp; Lease Losses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29"/>
        </w:trPr>
        <w:tc>
          <w:tcPr>
            <w:tcW w:w="5220" w:type="dxa"/>
            <w:vAlign w:val="bottom"/>
          </w:tcPr>
          <w:p>
            <w:pPr>
              <w:ind w:left="240"/>
              <w:spacing w:after="0"/>
              <w:rPr>
                <w:sz w:val="20"/>
                <w:szCs w:val="20"/>
                <w:color w:val="auto"/>
              </w:rPr>
            </w:pPr>
            <w:r>
              <w:rPr>
                <w:rFonts w:ascii="Arial" w:cs="Arial" w:eastAsia="Arial" w:hAnsi="Arial"/>
                <w:sz w:val="18"/>
                <w:szCs w:val="18"/>
                <w:color w:val="auto"/>
              </w:rPr>
              <w:t>Balance at beginning of year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7,228</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6,775</w:t>
            </w:r>
          </w:p>
        </w:tc>
      </w:tr>
      <w:tr>
        <w:trPr>
          <w:trHeight w:val="229"/>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loan loss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1,430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1,138</w:t>
            </w: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Loans charged off</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229"/>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156</w:t>
            </w:r>
          </w:p>
        </w:tc>
      </w:tr>
      <w:tr>
        <w:trPr>
          <w:trHeight w:val="223"/>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Allowance for Loan &amp; Lease Losses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8,533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7,228</w:t>
            </w:r>
          </w:p>
        </w:tc>
      </w:tr>
      <w:tr>
        <w:trPr>
          <w:trHeight w:val="20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 &amp;</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Letters of Credit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470</w:t>
            </w: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479</w:t>
            </w: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Allowance for Credit Losses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9,003</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7,707</w:t>
            </w:r>
          </w:p>
        </w:tc>
      </w:tr>
      <w:tr>
        <w:trPr>
          <w:trHeight w:val="20"/>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Company segregates its ALLL into two reserves: The ALLL and the Allowance for Unfunded Loan Commitments and Letters of Credit (AULC). When combined, these reserves constitute the total Allowance for Credit Losses (ACL).</w:t>
      </w:r>
    </w:p>
    <w:p>
      <w:pPr>
        <w:spacing w:after="0" w:line="14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net asset line. The ACL presented above represents the full amount of reserves available to absorb possible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40" w:right="3460" w:hanging="1325"/>
        <w:spacing w:after="0" w:line="809" w:lineRule="auto"/>
        <w:tabs>
          <w:tab w:leader="none" w:pos="4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Remainder of this page intentionally left blank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The following table breaks down the activity within ACL for each loan portfolio classification and shows the contribution provided by both the recoveries and the provision along with the reduction of the allowance caused by charge-offs.</w:t>
      </w:r>
    </w:p>
    <w:p>
      <w:pPr>
        <w:spacing w:after="0" w:line="197" w:lineRule="exact"/>
        <w:rPr>
          <w:sz w:val="20"/>
          <w:szCs w:val="20"/>
          <w:color w:val="auto"/>
        </w:rPr>
      </w:pPr>
    </w:p>
    <w:p>
      <w:pPr>
        <w:ind w:left="620" w:right="20"/>
        <w:spacing w:after="0" w:line="277" w:lineRule="auto"/>
        <w:rPr>
          <w:sz w:val="20"/>
          <w:szCs w:val="20"/>
          <w:color w:val="auto"/>
        </w:rPr>
      </w:pPr>
      <w:r>
        <w:rPr>
          <w:rFonts w:ascii="Arial" w:cs="Arial" w:eastAsia="Arial" w:hAnsi="Arial"/>
          <w:sz w:val="18"/>
          <w:szCs w:val="18"/>
          <w:color w:val="auto"/>
        </w:rPr>
        <w:t>Additional analysis, presented in thousands, related to the allowance for credit losses for three months ended March 31, 2020 and March 31, 2019 in addition to the ending balances as of December 31, 2019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2"/>
              </w:rPr>
              <w:t>Unfunded</w:t>
            </w:r>
          </w:p>
        </w:tc>
        <w:tc>
          <w:tcPr>
            <w:tcW w:w="4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9"/>
              </w:rPr>
              <w:t>Loan</w:t>
            </w:r>
          </w:p>
        </w:tc>
        <w:tc>
          <w:tcPr>
            <w:tcW w:w="4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Commitment</w:t>
            </w:r>
          </w:p>
        </w:tc>
        <w:tc>
          <w:tcPr>
            <w:tcW w:w="4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Consumer</w:t>
            </w: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7"/>
              </w:rPr>
              <w:t>Commercial</w:t>
            </w:r>
          </w:p>
        </w:tc>
        <w:tc>
          <w:tcPr>
            <w:tcW w:w="118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Real Estate</w:t>
            </w:r>
          </w:p>
        </w:tc>
        <w:tc>
          <w:tcPr>
            <w:tcW w:w="10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Agricultural</w:t>
            </w:r>
          </w:p>
        </w:tc>
        <w:tc>
          <w:tcPr>
            <w:tcW w:w="106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Real Estate</w:t>
            </w:r>
          </w:p>
        </w:tc>
        <w:tc>
          <w:tcPr>
            <w:tcW w:w="1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and Industrial</w:t>
            </w:r>
          </w:p>
        </w:tc>
        <w:tc>
          <w:tcPr>
            <w:tcW w:w="9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Consumer</w:t>
            </w:r>
          </w:p>
        </w:tc>
        <w:tc>
          <w:tcPr>
            <w:tcW w:w="160" w:type="dxa"/>
            <w:vAlign w:val="bottom"/>
          </w:tcPr>
          <w:p>
            <w:pPr>
              <w:spacing w:after="0"/>
              <w:rPr>
                <w:sz w:val="20"/>
                <w:szCs w:val="20"/>
                <w:color w:val="auto"/>
              </w:rPr>
            </w:pPr>
          </w:p>
        </w:tc>
        <w:tc>
          <w:tcPr>
            <w:tcW w:w="9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1"/>
              </w:rPr>
              <w:t>Credit</w:t>
            </w:r>
          </w:p>
        </w:tc>
        <w:tc>
          <w:tcPr>
            <w:tcW w:w="10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Unallocated</w:t>
            </w:r>
          </w:p>
        </w:tc>
        <w:tc>
          <w:tcPr>
            <w:tcW w:w="1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72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5"/>
              </w:rPr>
              <w:t>Three Months Ended</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right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March 31, 2020</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tcBorders>
              <w:right w:val="single" w:sz="8" w:color="auto"/>
            </w:tcBorders>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6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ALLOWANCE FOR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CREDIT LOSSES: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311</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314</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691</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3,634</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1,727</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551</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479</w:t>
            </w:r>
          </w:p>
        </w:tc>
        <w:tc>
          <w:tcPr>
            <w:tcW w:w="4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7,707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6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60"/>
              <w:spacing w:after="0"/>
              <w:rPr>
                <w:sz w:val="20"/>
                <w:szCs w:val="20"/>
                <w:color w:val="auto"/>
              </w:rPr>
            </w:pPr>
            <w:r>
              <w:rPr>
                <w:rFonts w:ascii="Arial" w:cs="Arial" w:eastAsia="Arial" w:hAnsi="Arial"/>
                <w:sz w:val="18"/>
                <w:szCs w:val="18"/>
                <w:color w:val="auto"/>
              </w:rPr>
              <w:t>Provision (Credit)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236</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19"/>
                <w:szCs w:val="19"/>
                <w:color w:val="auto"/>
              </w:rPr>
            </w:pP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Other</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Non-interest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7"/>
              </w:rPr>
              <w:t>expense related to</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4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345</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327</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665</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3,873</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2,750</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533</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470</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0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balance:</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individually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610</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10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w w:val="99"/>
              </w:rPr>
              <w:t>collectively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311</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312</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653</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3,778</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2,140</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533</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470</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8,237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720" w:type="dxa"/>
            <w:vAlign w:val="bottom"/>
            <w:tcBorders>
              <w:top w:val="single" w:sz="8" w:color="CFF0FC"/>
            </w:tcBorders>
            <w:gridSpan w:val="2"/>
            <w:shd w:val="clear" w:color="auto" w:fill="CFF0FC"/>
          </w:tcPr>
          <w:p>
            <w:pPr>
              <w:spacing w:after="0" w:line="195" w:lineRule="exact"/>
              <w:rPr>
                <w:sz w:val="20"/>
                <w:szCs w:val="20"/>
                <w:color w:val="auto"/>
              </w:rPr>
            </w:pPr>
            <w:r>
              <w:rPr>
                <w:rFonts w:ascii="Arial" w:cs="Arial" w:eastAsia="Arial" w:hAnsi="Arial"/>
                <w:sz w:val="18"/>
                <w:szCs w:val="18"/>
                <w:color w:val="auto"/>
                <w:w w:val="95"/>
              </w:rPr>
              <w:t>Ending balance: loans</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right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deteriorated credit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10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5"/>
              </w:rPr>
              <w:t>173,976</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194,130</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109,707</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568,991</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151,647</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49,190</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1,247,641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10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w w:val="99"/>
              </w:rPr>
              <w:t>individually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838</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122</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469</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3,295</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1,433</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31</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6,188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000" w:type="dxa"/>
            <w:vAlign w:val="bottom"/>
            <w:tcBorders>
              <w:top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balance:</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right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collectively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5"/>
              </w:rPr>
              <w:t>173,093</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194,008</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109,238</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565,695</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150,111</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49,159</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1,241,304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w w:val="95"/>
              </w:rPr>
              <w:t>Ending balance: loans</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spacing w:after="0"/>
              <w:rPr>
                <w:sz w:val="20"/>
                <w:szCs w:val="20"/>
                <w:color w:val="auto"/>
              </w:rPr>
            </w:pPr>
            <w:r>
              <w:rPr>
                <w:rFonts w:ascii="Arial" w:cs="Arial" w:eastAsia="Arial" w:hAnsi="Arial"/>
                <w:sz w:val="18"/>
                <w:szCs w:val="18"/>
                <w:color w:val="auto"/>
              </w:rPr>
              <w:t>deteriorated credit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quality</w:t>
            </w:r>
          </w:p>
        </w:tc>
        <w:tc>
          <w:tcPr>
            <w:tcW w:w="100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45</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103</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6"/>
          </w:tcPr>
          <w:p>
            <w:pPr>
              <w:jc w:val="right"/>
              <w:ind w:right="250"/>
              <w:spacing w:after="0"/>
              <w:rPr>
                <w:sz w:val="20"/>
                <w:szCs w:val="20"/>
                <w:color w:val="auto"/>
              </w:rPr>
            </w:pPr>
            <w:r>
              <w:rPr>
                <w:rFonts w:ascii="Arial" w:cs="Arial" w:eastAsia="Arial" w:hAnsi="Arial"/>
                <w:sz w:val="18"/>
                <w:szCs w:val="18"/>
                <w:color w:val="auto"/>
                <w:w w:val="93"/>
              </w:rPr>
              <w:t>NOTE 4 LOANS (Continued)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2"/>
              </w:rPr>
              <w:t>Unfunded</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4"/>
              </w:rPr>
              <w:t>Loan</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w w:val="92"/>
              </w:rPr>
              <w:t>Commitment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December 31, 2019</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3"/>
              </w:rPr>
              <w:t>Consumer</w:t>
            </w: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w w:val="95"/>
              </w:rPr>
              <w:t>Agricultural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5"/>
              </w:rPr>
              <w:t>Commercial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gridSpan w:val="4"/>
            <w:vMerge w:val="continue"/>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85"/>
              </w:rPr>
              <w:t>Real Estate</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Real Estate</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Agricultural</w:t>
            </w:r>
          </w:p>
        </w:tc>
        <w:tc>
          <w:tcPr>
            <w:tcW w:w="1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Real Estate</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w w:val="90"/>
              </w:rPr>
              <w:t>and Industrial</w:t>
            </w:r>
          </w:p>
        </w:tc>
        <w:tc>
          <w:tcPr>
            <w:tcW w:w="1060" w:type="dxa"/>
            <w:vAlign w:val="bottom"/>
            <w:gridSpan w:val="4"/>
          </w:tcPr>
          <w:p>
            <w:pPr>
              <w:ind w:left="16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Credit</w:t>
            </w:r>
          </w:p>
        </w:tc>
        <w:tc>
          <w:tcPr>
            <w:tcW w:w="1200" w:type="dxa"/>
            <w:vAlign w:val="bottom"/>
            <w:gridSpan w:val="4"/>
          </w:tcPr>
          <w:p>
            <w:pPr>
              <w:ind w:left="16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300" w:type="dxa"/>
            <w:vAlign w:val="bottom"/>
            <w:tcBorders>
              <w:top w:val="single" w:sz="8" w:color="CFF0FC"/>
            </w:tcBorders>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ALLOWANCE</w:t>
            </w:r>
          </w:p>
        </w:tc>
        <w:tc>
          <w:tcPr>
            <w:tcW w:w="660" w:type="dxa"/>
            <w:vAlign w:val="bottom"/>
            <w:tcBorders>
              <w:top w:val="single" w:sz="8" w:color="CFF0FC"/>
            </w:tcBorders>
            <w:shd w:val="clear" w:color="auto" w:fill="CFF0FC"/>
          </w:tcPr>
          <w:p>
            <w:pPr>
              <w:jc w:val="right"/>
              <w:ind w:right="10"/>
              <w:spacing w:after="0" w:line="205" w:lineRule="exact"/>
              <w:rPr>
                <w:sz w:val="20"/>
                <w:szCs w:val="20"/>
                <w:color w:val="auto"/>
              </w:rPr>
            </w:pPr>
            <w:r>
              <w:rPr>
                <w:rFonts w:ascii="Arial" w:cs="Arial" w:eastAsia="Arial" w:hAnsi="Arial"/>
                <w:sz w:val="18"/>
                <w:szCs w:val="18"/>
                <w:b w:val="1"/>
                <w:bCs w:val="1"/>
                <w:color w:val="auto"/>
              </w:rPr>
              <w:t>FOR</w:t>
            </w: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rPr>
              <w:t>CREDIT LOSSES:</w:t>
            </w: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right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1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w w:val="90"/>
              </w:rPr>
              <w:t>Ending Balance</w:t>
            </w:r>
          </w:p>
        </w:tc>
        <w:tc>
          <w:tcPr>
            <w:tcW w:w="140" w:type="dxa"/>
            <w:vAlign w:val="bottom"/>
            <w:tcBorders>
              <w:bottom w:val="single" w:sz="8" w:color="CFF0FC"/>
            </w:tcBorders>
          </w:tcPr>
          <w:p>
            <w:pPr>
              <w:spacing w:after="0"/>
              <w:rPr>
                <w:sz w:val="22"/>
                <w:szCs w:val="22"/>
                <w:color w:val="auto"/>
              </w:rPr>
            </w:pPr>
          </w:p>
        </w:tc>
        <w:tc>
          <w:tcPr>
            <w:tcW w:w="6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w:t>
            </w:r>
          </w:p>
        </w:tc>
        <w:tc>
          <w:tcPr>
            <w:tcW w:w="1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5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w w:val="96"/>
              </w:rPr>
              <w:t>balance:</w:t>
            </w: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individually</w:t>
            </w:r>
          </w:p>
        </w:tc>
        <w:tc>
          <w:tcPr>
            <w:tcW w:w="8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87"/>
              </w:rPr>
              <w:t>evaluated</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for</w:t>
            </w: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5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CFF0FC"/>
            </w:tcBorders>
            <w:gridSpan w:val="2"/>
            <w:vMerge w:val="restart"/>
          </w:tcPr>
          <w:p>
            <w:pPr>
              <w:jc w:val="right"/>
              <w:ind w:right="30"/>
              <w:spacing w:after="0"/>
              <w:rPr>
                <w:sz w:val="20"/>
                <w:szCs w:val="20"/>
                <w:color w:val="auto"/>
              </w:rPr>
            </w:pPr>
            <w:r>
              <w:rPr>
                <w:rFonts w:ascii="Arial" w:cs="Arial" w:eastAsia="Arial" w:hAnsi="Arial"/>
                <w:sz w:val="18"/>
                <w:szCs w:val="18"/>
                <w:color w:val="auto"/>
                <w:w w:val="96"/>
              </w:rPr>
              <w:t>balance: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4"/>
          </w:tcPr>
          <w:p>
            <w:pPr>
              <w:spacing w:after="0"/>
              <w:rPr>
                <w:sz w:val="20"/>
                <w:szCs w:val="20"/>
                <w:color w:val="auto"/>
              </w:rPr>
            </w:pPr>
            <w:r>
              <w:rPr>
                <w:rFonts w:ascii="Arial" w:cs="Arial" w:eastAsia="Arial" w:hAnsi="Arial"/>
                <w:sz w:val="18"/>
                <w:szCs w:val="18"/>
                <w:color w:val="auto"/>
                <w:w w:val="98"/>
              </w:rPr>
              <w:t>collectively evaluated for</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14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281</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314</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670</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3,634</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1,585</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479</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640" w:type="dxa"/>
            <w:vAlign w:val="bottom"/>
            <w:tcBorders>
              <w:top w:val="single" w:sz="8" w:color="CFF0FC"/>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w w:val="91"/>
              </w:rPr>
              <w:t>balance:</w:t>
            </w:r>
          </w:p>
        </w:tc>
        <w:tc>
          <w:tcPr>
            <w:tcW w:w="660" w:type="dxa"/>
            <w:vAlign w:val="bottom"/>
            <w:tcBorders>
              <w:top w:val="single" w:sz="8" w:color="CFF0FC"/>
            </w:tcBorders>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loans</w:t>
            </w: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w w:val="92"/>
              </w:rPr>
              <w:t>acquired</w:t>
            </w: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with</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deteriorated</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8"/>
              </w:rPr>
              <w:t>credit quality</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1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60" w:type="dxa"/>
            <w:vAlign w:val="bottom"/>
            <w:gridSpan w:val="4"/>
          </w:tcPr>
          <w:p>
            <w:pPr>
              <w:spacing w:after="0"/>
              <w:rPr>
                <w:sz w:val="20"/>
                <w:szCs w:val="20"/>
                <w:color w:val="auto"/>
              </w:rPr>
            </w:pPr>
            <w:r>
              <w:rPr>
                <w:rFonts w:ascii="Arial" w:cs="Arial" w:eastAsia="Arial" w:hAnsi="Arial"/>
                <w:sz w:val="18"/>
                <w:szCs w:val="18"/>
                <w:b w:val="1"/>
                <w:bCs w:val="1"/>
                <w:color w:val="auto"/>
              </w:rPr>
              <w:t>RECEIVABLES: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Ending balance</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164,691</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198,859</w:t>
            </w:r>
          </w:p>
        </w:tc>
        <w:tc>
          <w:tcPr>
            <w:tcW w:w="3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111,949</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550,082</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144,009</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49,409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1,218,999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5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CFF0FC"/>
            </w:tcBorders>
            <w:gridSpan w:val="2"/>
            <w:vMerge w:val="restart"/>
          </w:tcPr>
          <w:p>
            <w:pPr>
              <w:jc w:val="right"/>
              <w:ind w:right="30"/>
              <w:spacing w:after="0"/>
              <w:rPr>
                <w:sz w:val="20"/>
                <w:szCs w:val="20"/>
                <w:color w:val="auto"/>
              </w:rPr>
            </w:pPr>
            <w:r>
              <w:rPr>
                <w:rFonts w:ascii="Arial" w:cs="Arial" w:eastAsia="Arial" w:hAnsi="Arial"/>
                <w:sz w:val="18"/>
                <w:szCs w:val="18"/>
                <w:color w:val="auto"/>
                <w:w w:val="96"/>
              </w:rPr>
              <w:t>balance: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individually</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w w:val="87"/>
              </w:rPr>
              <w:t>evaluated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for</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14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829</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691</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299</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1,209</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5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CFF0FC"/>
            </w:tcBorders>
            <w:gridSpan w:val="2"/>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w w:val="96"/>
              </w:rPr>
              <w:t>balance:</w:t>
            </w: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4"/>
            <w:shd w:val="clear" w:color="auto" w:fill="CFF0FC"/>
          </w:tcPr>
          <w:p>
            <w:pPr>
              <w:spacing w:after="0"/>
              <w:rPr>
                <w:sz w:val="20"/>
                <w:szCs w:val="20"/>
                <w:color w:val="auto"/>
              </w:rPr>
            </w:pPr>
            <w:r>
              <w:rPr>
                <w:rFonts w:ascii="Arial" w:cs="Arial" w:eastAsia="Arial" w:hAnsi="Arial"/>
                <w:sz w:val="18"/>
                <w:szCs w:val="18"/>
                <w:color w:val="auto"/>
                <w:w w:val="98"/>
              </w:rPr>
              <w:t>collectively evaluated for</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163,816</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198,859</w:t>
            </w:r>
          </w:p>
        </w:tc>
        <w:tc>
          <w:tcPr>
            <w:tcW w:w="3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111,258</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549,783</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142,694</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49,376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1,215,786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64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Arial" w:cs="Arial" w:eastAsia="Arial" w:hAnsi="Arial"/>
                <w:sz w:val="18"/>
                <w:szCs w:val="18"/>
                <w:color w:val="auto"/>
                <w:w w:val="91"/>
              </w:rPr>
              <w:t>balance:</w:t>
            </w:r>
          </w:p>
        </w:tc>
        <w:tc>
          <w:tcPr>
            <w:tcW w:w="66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rPr>
              <w:t>loans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3"/>
          </w:tcPr>
          <w:p>
            <w:pPr>
              <w:jc w:val="right"/>
              <w:spacing w:after="0"/>
              <w:rPr>
                <w:sz w:val="20"/>
                <w:szCs w:val="20"/>
                <w:color w:val="auto"/>
              </w:rPr>
            </w:pPr>
            <w:r>
              <w:rPr>
                <w:rFonts w:ascii="Arial" w:cs="Arial" w:eastAsia="Arial" w:hAnsi="Arial"/>
                <w:sz w:val="18"/>
                <w:szCs w:val="18"/>
                <w:color w:val="auto"/>
              </w:rPr>
              <w:t>deteriorated</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credit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quality</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60" w:type="dxa"/>
            <w:vAlign w:val="bottom"/>
            <w:gridSpan w:val="6"/>
          </w:tcPr>
          <w:p>
            <w:pPr>
              <w:jc w:val="right"/>
              <w:ind w:right="270"/>
              <w:spacing w:after="0"/>
              <w:rPr>
                <w:sz w:val="20"/>
                <w:szCs w:val="20"/>
                <w:color w:val="auto"/>
              </w:rPr>
            </w:pPr>
            <w:r>
              <w:rPr>
                <w:rFonts w:ascii="Arial" w:cs="Arial" w:eastAsia="Arial" w:hAnsi="Arial"/>
                <w:sz w:val="18"/>
                <w:szCs w:val="18"/>
                <w:color w:val="auto"/>
                <w:w w:val="94"/>
              </w:rPr>
              <w:t>NOTE 4 LOANS (Continued)</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Unfunded</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Loan</w:t>
            </w:r>
          </w:p>
        </w:tc>
        <w:tc>
          <w:tcPr>
            <w:tcW w:w="4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w w:val="97"/>
              </w:rPr>
              <w:t>Commitment</w:t>
            </w:r>
          </w:p>
        </w:tc>
        <w:tc>
          <w:tcPr>
            <w:tcW w:w="4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Consumer</w:t>
            </w:r>
          </w:p>
        </w:tc>
        <w:tc>
          <w:tcPr>
            <w:tcW w:w="10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Commercial</w:t>
            </w:r>
          </w:p>
        </w:tc>
        <w:tc>
          <w:tcPr>
            <w:tcW w:w="11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Commercial</w:t>
            </w: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6"/>
              </w:rPr>
              <w:t>Real Estate</w:t>
            </w:r>
          </w:p>
        </w:tc>
        <w:tc>
          <w:tcPr>
            <w:tcW w:w="104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4"/>
              </w:rPr>
              <w:t>Real Estate</w:t>
            </w:r>
          </w:p>
        </w:tc>
        <w:tc>
          <w:tcPr>
            <w:tcW w:w="10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10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4"/>
              </w:rPr>
              <w:t>Real Estate</w:t>
            </w:r>
          </w:p>
        </w:tc>
        <w:tc>
          <w:tcPr>
            <w:tcW w:w="1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and Industrial</w:t>
            </w:r>
          </w:p>
        </w:tc>
        <w:tc>
          <w:tcPr>
            <w:tcW w:w="9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Consumer</w:t>
            </w:r>
          </w:p>
        </w:tc>
        <w:tc>
          <w:tcPr>
            <w:tcW w:w="16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5"/>
              </w:rPr>
              <w:t>Credit</w:t>
            </w:r>
          </w:p>
        </w:tc>
        <w:tc>
          <w:tcPr>
            <w:tcW w:w="110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Unallocated</w:t>
            </w:r>
          </w:p>
        </w:tc>
        <w:tc>
          <w:tcPr>
            <w:tcW w:w="1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800" w:type="dxa"/>
            <w:vAlign w:val="bottom"/>
            <w:tcBorders>
              <w:top w:val="single" w:sz="8" w:color="CFF0FC"/>
            </w:tcBorders>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9"/>
              </w:rPr>
              <w:t>Three Months Ended</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left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w w:val="98"/>
              </w:rPr>
              <w:t>March 31, 2019</w:t>
            </w:r>
          </w:p>
        </w:tc>
        <w:tc>
          <w:tcPr>
            <w:tcW w:w="5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0" w:type="dxa"/>
            <w:vAlign w:val="bottom"/>
            <w:tcBorders>
              <w:left w:val="single" w:sz="8" w:color="auto"/>
            </w:tcBorders>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ALLOWANCE</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FOR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CREDIT LOSSES: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768</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3,217</w:t>
            </w:r>
          </w:p>
        </w:tc>
        <w:tc>
          <w:tcPr>
            <w:tcW w:w="2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1,305</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274</w:t>
            </w:r>
          </w:p>
        </w:tc>
        <w:tc>
          <w:tcPr>
            <w:tcW w:w="40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504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7,049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8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auto"/>
            </w:tcBorders>
          </w:tcPr>
          <w:p>
            <w:pPr>
              <w:spacing w:after="0"/>
              <w:rPr>
                <w:sz w:val="19"/>
                <w:szCs w:val="19"/>
                <w:color w:val="auto"/>
              </w:rPr>
            </w:pPr>
          </w:p>
        </w:tc>
        <w:tc>
          <w:tcPr>
            <w:tcW w:w="7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auto"/>
            </w:tcBorders>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0" w:type="dxa"/>
            <w:vAlign w:val="bottom"/>
            <w:gridSpan w:val="3"/>
          </w:tcPr>
          <w:p>
            <w:pPr>
              <w:ind w:left="260"/>
              <w:spacing w:after="0"/>
              <w:rPr>
                <w:sz w:val="20"/>
                <w:szCs w:val="20"/>
                <w:color w:val="auto"/>
              </w:rPr>
            </w:pPr>
            <w:r>
              <w:rPr>
                <w:rFonts w:ascii="Arial" w:cs="Arial" w:eastAsia="Arial" w:hAnsi="Arial"/>
                <w:sz w:val="18"/>
                <w:szCs w:val="18"/>
                <w:color w:val="auto"/>
              </w:rPr>
              <w:t>Provision (Credit)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9"/>
                <w:szCs w:val="19"/>
                <w:color w:val="auto"/>
              </w:rPr>
            </w:pPr>
          </w:p>
        </w:tc>
        <w:tc>
          <w:tcPr>
            <w:tcW w:w="7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auto"/>
            </w:tcBorders>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8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w w:val="99"/>
              </w:rPr>
              <w:t>Other  Non-interest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tcBorders>
              <w:left w:val="single" w:sz="8" w:color="auto"/>
            </w:tcBorders>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expense related to</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tcBorders>
              <w:left w:val="single" w:sz="8" w:color="auto"/>
            </w:tcBorders>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5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72</w:t>
            </w:r>
          </w:p>
        </w:tc>
        <w:tc>
          <w:tcPr>
            <w:tcW w:w="400" w:type="dxa"/>
            <w:vAlign w:val="bottom"/>
            <w:tcBorders>
              <w:left w:val="single" w:sz="8" w:color="auto"/>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w w:val="99"/>
              </w:rPr>
              <w:t>Ending Balance</w:t>
            </w:r>
          </w:p>
        </w:tc>
        <w:tc>
          <w:tcPr>
            <w:tcW w:w="5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268</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270</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706</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3,203</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1,490</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496</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w:t>
            </w:r>
          </w:p>
        </w:tc>
        <w:tc>
          <w:tcPr>
            <w:tcW w:w="4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203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200" w:type="dxa"/>
            <w:vAlign w:val="bottom"/>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rPr>
              <w:t>balance:</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tcBorders>
              <w:left w:val="single" w:sz="8" w:color="auto"/>
            </w:tcBorders>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tcBorders>
              <w:left w:val="single" w:sz="8" w:color="auto"/>
            </w:tcBorders>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for impairment</w:t>
            </w:r>
          </w:p>
        </w:tc>
        <w:tc>
          <w:tcPr>
            <w:tcW w:w="5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120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Arial" w:cs="Arial" w:eastAsia="Arial" w:hAnsi="Arial"/>
                <w:sz w:val="18"/>
                <w:szCs w:val="18"/>
                <w:color w:val="auto"/>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Borders>
              <w:lef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gridSpan w:val="3"/>
          </w:tcPr>
          <w:p>
            <w:pPr>
              <w:spacing w:after="0"/>
              <w:rPr>
                <w:sz w:val="20"/>
                <w:szCs w:val="20"/>
                <w:color w:val="auto"/>
              </w:rPr>
            </w:pPr>
            <w:r>
              <w:rPr>
                <w:rFonts w:ascii="Arial" w:cs="Arial" w:eastAsia="Arial" w:hAnsi="Arial"/>
                <w:sz w:val="18"/>
                <w:szCs w:val="18"/>
                <w:color w:val="auto"/>
              </w:rPr>
              <w:t>collectively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for impairment</w:t>
            </w:r>
          </w:p>
        </w:tc>
        <w:tc>
          <w:tcPr>
            <w:tcW w:w="520" w:type="dxa"/>
            <w:vAlign w:val="bottom"/>
          </w:tcPr>
          <w:p>
            <w:pPr>
              <w:spacing w:after="0"/>
              <w:rPr>
                <w:sz w:val="23"/>
                <w:szCs w:val="23"/>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209</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270</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706</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3,203</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1,490</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496</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4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203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6,923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680" w:type="dxa"/>
            <w:vAlign w:val="bottom"/>
            <w:tcBorders>
              <w:top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3"/>
              </w:rPr>
              <w:t>balance:</w:t>
            </w:r>
          </w:p>
        </w:tc>
        <w:tc>
          <w:tcPr>
            <w:tcW w:w="520" w:type="dxa"/>
            <w:vAlign w:val="bottom"/>
            <w:tcBorders>
              <w:top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loans</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left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tcBorders>
              <w:left w:val="single" w:sz="8" w:color="auto"/>
            </w:tcBorders>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deteriorated</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credit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tcBorders>
              <w:left w:val="single" w:sz="8" w:color="auto"/>
            </w:tcBorders>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6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5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8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Borders>
              <w:lef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RECEIVABLES: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5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5"/>
              </w:rPr>
              <w:t>160,276</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191,736</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113,021</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440,281</w:t>
            </w:r>
          </w:p>
        </w:tc>
        <w:tc>
          <w:tcPr>
            <w:tcW w:w="2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145,381</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47,770</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1,098,465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120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Arial" w:cs="Arial" w:eastAsia="Arial" w:hAnsi="Arial"/>
                <w:sz w:val="18"/>
                <w:szCs w:val="18"/>
                <w:color w:val="auto"/>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Borders>
              <w:lef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gridSpan w:val="3"/>
          </w:tcPr>
          <w:p>
            <w:pPr>
              <w:spacing w:after="0"/>
              <w:rPr>
                <w:sz w:val="20"/>
                <w:szCs w:val="20"/>
                <w:color w:val="auto"/>
              </w:rPr>
            </w:pPr>
            <w:r>
              <w:rPr>
                <w:rFonts w:ascii="Arial" w:cs="Arial" w:eastAsia="Arial" w:hAnsi="Arial"/>
                <w:sz w:val="18"/>
                <w:szCs w:val="18"/>
                <w:color w:val="auto"/>
              </w:rPr>
              <w:t>individually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for impairment</w:t>
            </w:r>
          </w:p>
        </w:tc>
        <w:tc>
          <w:tcPr>
            <w:tcW w:w="520" w:type="dxa"/>
            <w:vAlign w:val="bottom"/>
          </w:tcPr>
          <w:p>
            <w:pPr>
              <w:spacing w:after="0"/>
              <w:rPr>
                <w:sz w:val="23"/>
                <w:szCs w:val="23"/>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902</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192</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1,075</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200" w:type="dxa"/>
            <w:vAlign w:val="bottom"/>
            <w:tcBorders>
              <w:top w:val="single" w:sz="8" w:color="CFF0FC"/>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rPr>
              <w:t>balance:</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left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tcBorders>
              <w:left w:val="single" w:sz="8" w:color="auto"/>
            </w:tcBorders>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for impairment</w:t>
            </w:r>
          </w:p>
        </w:tc>
        <w:tc>
          <w:tcPr>
            <w:tcW w:w="5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5"/>
              </w:rPr>
              <w:t>159,028</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191,736</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113,021</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440,089</w:t>
            </w:r>
          </w:p>
        </w:tc>
        <w:tc>
          <w:tcPr>
            <w:tcW w:w="2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142,263</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47,770</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1,093,907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6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w w:val="93"/>
              </w:rPr>
              <w:t>balance:</w:t>
            </w:r>
          </w:p>
        </w:tc>
        <w:tc>
          <w:tcPr>
            <w:tcW w:w="5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loans</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Borders>
              <w:lef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deteriorated</w:t>
            </w:r>
          </w:p>
        </w:tc>
        <w:tc>
          <w:tcPr>
            <w:tcW w:w="520" w:type="dxa"/>
            <w:vAlign w:val="bottom"/>
          </w:tcPr>
          <w:p>
            <w:pPr>
              <w:jc w:val="right"/>
              <w:spacing w:after="0"/>
              <w:rPr>
                <w:sz w:val="20"/>
                <w:szCs w:val="20"/>
                <w:color w:val="auto"/>
              </w:rPr>
            </w:pPr>
            <w:r>
              <w:rPr>
                <w:rFonts w:ascii="Arial" w:cs="Arial" w:eastAsia="Arial" w:hAnsi="Arial"/>
                <w:sz w:val="18"/>
                <w:szCs w:val="18"/>
                <w:color w:val="auto"/>
              </w:rPr>
              <w:t>credit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quality</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346</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2,043</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2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 5 EARNINGS PER SHARE</w:t>
      </w:r>
    </w:p>
    <w:p>
      <w:pPr>
        <w:spacing w:after="0" w:line="252" w:lineRule="exact"/>
        <w:rPr>
          <w:sz w:val="20"/>
          <w:szCs w:val="20"/>
          <w:color w:val="auto"/>
        </w:rPr>
      </w:pPr>
    </w:p>
    <w:p>
      <w:pPr>
        <w:jc w:val="both"/>
        <w:ind w:left="620"/>
        <w:spacing w:after="0" w:line="269" w:lineRule="auto"/>
        <w:rPr>
          <w:sz w:val="20"/>
          <w:szCs w:val="20"/>
          <w:color w:val="auto"/>
        </w:rPr>
      </w:pPr>
      <w:r>
        <w:rPr>
          <w:rFonts w:ascii="Arial" w:cs="Arial" w:eastAsia="Arial" w:hAnsi="Arial"/>
          <w:sz w:val="17"/>
          <w:szCs w:val="17"/>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6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0" w:type="dxa"/>
            <w:vAlign w:val="bottom"/>
            <w:gridSpan w:val="5"/>
          </w:tcPr>
          <w:p>
            <w:pPr>
              <w:jc w:val="right"/>
              <w:ind w:right="990"/>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0" w:type="dxa"/>
            <w:vAlign w:val="bottom"/>
            <w:gridSpan w:val="5"/>
          </w:tcPr>
          <w:p>
            <w:pPr>
              <w:jc w:val="right"/>
              <w:ind w:right="111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March 31, 2020</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7"/>
              </w:rPr>
              <w:t>March 31, 2019</w:t>
            </w:r>
          </w:p>
        </w:tc>
        <w:tc>
          <w:tcPr>
            <w:tcW w:w="0" w:type="dxa"/>
            <w:vAlign w:val="bottom"/>
          </w:tcPr>
          <w:p>
            <w:pPr>
              <w:spacing w:after="0"/>
              <w:rPr>
                <w:sz w:val="1"/>
                <w:szCs w:val="1"/>
                <w:color w:val="auto"/>
              </w:rPr>
            </w:pPr>
          </w:p>
        </w:tc>
      </w:tr>
      <w:tr>
        <w:trPr>
          <w:trHeight w:val="223"/>
        </w:trPr>
        <w:tc>
          <w:tcPr>
            <w:tcW w:w="6320" w:type="dxa"/>
            <w:vAlign w:val="bottom"/>
            <w:shd w:val="clear" w:color="auto" w:fill="CFF0FC"/>
          </w:tcPr>
          <w:p>
            <w:pPr>
              <w:ind w:left="2340"/>
              <w:spacing w:after="0"/>
              <w:rPr>
                <w:sz w:val="20"/>
                <w:szCs w:val="20"/>
                <w:color w:val="auto"/>
              </w:rPr>
            </w:pPr>
            <w:r>
              <w:rPr>
                <w:rFonts w:ascii="Arial" w:cs="Arial" w:eastAsia="Arial" w:hAnsi="Arial"/>
                <w:sz w:val="18"/>
                <w:szCs w:val="18"/>
                <w:b w:val="1"/>
                <w:bCs w:val="1"/>
                <w:color w:val="auto"/>
              </w:rPr>
              <w:t>Earnings per share</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4,105</w:t>
            </w:r>
          </w:p>
        </w:tc>
        <w:tc>
          <w:tcPr>
            <w:tcW w:w="160" w:type="dxa"/>
            <w:vAlign w:val="bottom"/>
          </w:tcPr>
          <w:p>
            <w:pPr>
              <w:spacing w:after="0"/>
              <w:rPr>
                <w:sz w:val="19"/>
                <w:szCs w:val="19"/>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15"/>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Less: distributed earnings allocated to participating</w:t>
            </w:r>
          </w:p>
        </w:tc>
        <w:tc>
          <w:tcPr>
            <w:tcW w:w="180" w:type="dxa"/>
            <w:vAlign w:val="bottom"/>
            <w:shd w:val="clear" w:color="auto" w:fill="CFF0FC"/>
          </w:tcPr>
          <w:p>
            <w:pPr>
              <w:spacing w:after="0"/>
              <w:rPr>
                <w:sz w:val="18"/>
                <w:szCs w:val="18"/>
                <w:color w:val="auto"/>
              </w:rPr>
            </w:pPr>
          </w:p>
        </w:tc>
        <w:tc>
          <w:tcPr>
            <w:tcW w:w="1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22"/>
        </w:trPr>
        <w:tc>
          <w:tcPr>
            <w:tcW w:w="632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securities</w:t>
            </w:r>
          </w:p>
        </w:tc>
        <w:tc>
          <w:tcPr>
            <w:tcW w:w="180" w:type="dxa"/>
            <w:vAlign w:val="bottom"/>
            <w:shd w:val="clear" w:color="auto" w:fill="CFF0FC"/>
          </w:tcPr>
          <w:p>
            <w:pPr>
              <w:spacing w:after="0"/>
              <w:rPr>
                <w:sz w:val="10"/>
                <w:szCs w:val="10"/>
                <w:color w:val="auto"/>
              </w:rPr>
            </w:pPr>
          </w:p>
        </w:tc>
        <w:tc>
          <w:tcPr>
            <w:tcW w:w="162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4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320" w:type="dxa"/>
            <w:vAlign w:val="bottom"/>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6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320" w:type="dxa"/>
            <w:vAlign w:val="bottom"/>
          </w:tcPr>
          <w:p>
            <w:pPr>
              <w:spacing w:after="0"/>
              <w:rPr>
                <w:sz w:val="20"/>
                <w:szCs w:val="20"/>
                <w:color w:val="auto"/>
              </w:rPr>
            </w:pPr>
            <w:r>
              <w:rPr>
                <w:rFonts w:ascii="Arial" w:cs="Arial" w:eastAsia="Arial" w:hAnsi="Arial"/>
                <w:sz w:val="18"/>
                <w:szCs w:val="18"/>
                <w:color w:val="auto"/>
              </w:rPr>
              <w:t>Less: undistributed earnings allocated to participating</w:t>
            </w:r>
          </w:p>
        </w:tc>
        <w:tc>
          <w:tcPr>
            <w:tcW w:w="180" w:type="dxa"/>
            <w:vAlign w:val="bottom"/>
          </w:tcPr>
          <w:p>
            <w:pPr>
              <w:spacing w:after="0"/>
              <w:rPr>
                <w:sz w:val="18"/>
                <w:szCs w:val="18"/>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22"/>
        </w:trPr>
        <w:tc>
          <w:tcPr>
            <w:tcW w:w="6320" w:type="dxa"/>
            <w:vAlign w:val="bottom"/>
            <w:vMerge w:val="restart"/>
          </w:tcPr>
          <w:p>
            <w:pPr>
              <w:ind w:left="140"/>
              <w:spacing w:after="0"/>
              <w:rPr>
                <w:sz w:val="20"/>
                <w:szCs w:val="20"/>
                <w:color w:val="auto"/>
              </w:rPr>
            </w:pPr>
            <w:r>
              <w:rPr>
                <w:rFonts w:ascii="Arial" w:cs="Arial" w:eastAsia="Arial" w:hAnsi="Arial"/>
                <w:sz w:val="18"/>
                <w:szCs w:val="18"/>
                <w:color w:val="auto"/>
              </w:rPr>
              <w:t>securities</w:t>
            </w:r>
          </w:p>
        </w:tc>
        <w:tc>
          <w:tcPr>
            <w:tcW w:w="18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320" w:type="dxa"/>
            <w:vAlign w:val="bottom"/>
            <w:tcBorders>
              <w:bottom w:val="single" w:sz="8" w:color="CFF0FC"/>
            </w:tcBorders>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4,072</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including</w:t>
            </w:r>
          </w:p>
        </w:tc>
        <w:tc>
          <w:tcPr>
            <w:tcW w:w="180" w:type="dxa"/>
            <w:vAlign w:val="bottom"/>
            <w:shd w:val="clear" w:color="auto" w:fill="CFF0FC"/>
          </w:tcPr>
          <w:p>
            <w:pPr>
              <w:spacing w:after="0"/>
              <w:rPr>
                <w:sz w:val="18"/>
                <w:szCs w:val="18"/>
                <w:color w:val="auto"/>
              </w:rPr>
            </w:pPr>
          </w:p>
        </w:tc>
        <w:tc>
          <w:tcPr>
            <w:tcW w:w="16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11,134,870</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11,089,839</w:t>
            </w:r>
          </w:p>
        </w:tc>
        <w:tc>
          <w:tcPr>
            <w:tcW w:w="0" w:type="dxa"/>
            <w:vAlign w:val="bottom"/>
          </w:tcPr>
          <w:p>
            <w:pPr>
              <w:spacing w:after="0"/>
              <w:rPr>
                <w:sz w:val="1"/>
                <w:szCs w:val="1"/>
                <w:color w:val="auto"/>
              </w:rPr>
            </w:pPr>
          </w:p>
        </w:tc>
      </w:tr>
      <w:tr>
        <w:trPr>
          <w:trHeight w:val="122"/>
        </w:trPr>
        <w:tc>
          <w:tcPr>
            <w:tcW w:w="632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participating securities</w:t>
            </w:r>
          </w:p>
        </w:tc>
        <w:tc>
          <w:tcPr>
            <w:tcW w:w="180" w:type="dxa"/>
            <w:vAlign w:val="bottom"/>
            <w:shd w:val="clear" w:color="auto" w:fill="CFF0FC"/>
          </w:tcPr>
          <w:p>
            <w:pPr>
              <w:spacing w:after="0"/>
              <w:rPr>
                <w:sz w:val="10"/>
                <w:szCs w:val="10"/>
                <w:color w:val="auto"/>
              </w:rPr>
            </w:pPr>
          </w:p>
        </w:tc>
        <w:tc>
          <w:tcPr>
            <w:tcW w:w="162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4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320" w:type="dxa"/>
            <w:vAlign w:val="bottom"/>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6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average unvested restricted shares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(84,732)</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(83,417)</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11,050,138</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11,006,422</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Basic earnings and diluted per share</w:t>
            </w: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40" w:right="3560" w:hanging="1419"/>
        <w:spacing w:after="0" w:line="809" w:lineRule="auto"/>
        <w:tabs>
          <w:tab w:leader="none" w:pos="42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Remainder of this page intentionally left blank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6 FAIR VALUE OF FINANCIAL INSTRUMENTS</w:t>
      </w:r>
    </w:p>
    <w:p>
      <w:pPr>
        <w:spacing w:after="0" w:line="18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assumptions and methods were used in estimating the fair value for financial instruments: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Cash and Cash Equivalents</w:t>
      </w:r>
    </w:p>
    <w:p>
      <w:pPr>
        <w:spacing w:after="0" w:line="185" w:lineRule="exact"/>
        <w:rPr>
          <w:sz w:val="20"/>
          <w:szCs w:val="20"/>
          <w:color w:val="auto"/>
        </w:rPr>
      </w:pPr>
    </w:p>
    <w:p>
      <w:pPr>
        <w:jc w:val="both"/>
        <w:ind w:left="760"/>
        <w:spacing w:after="0" w:line="311" w:lineRule="auto"/>
        <w:rPr>
          <w:sz w:val="20"/>
          <w:szCs w:val="20"/>
          <w:color w:val="auto"/>
        </w:rPr>
      </w:pPr>
      <w:r>
        <w:rPr>
          <w:rFonts w:ascii="Arial" w:cs="Arial" w:eastAsia="Arial" w:hAnsi="Arial"/>
          <w:sz w:val="16"/>
          <w:szCs w:val="16"/>
          <w:color w:val="auto"/>
        </w:rPr>
        <w:t>The carrying amounts reported in the balance sheet for cash, cash equivalents and federal funds sold approximate their fair values. Also included in this line item are the carrying amounts of interest-bearing deposits maturing within ninety days which approximate their fair values. Fair values of other interest-bearing deposits are estimated using discounted cash flow analyses based on current rates for similar types of deposits.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Interest Bearing Time Deposits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Fair values for fixed-rate certificates of deposit are estimated using a discounted cash flow analysis that applies interest rates currently being offered on certificates to a schedule of aggregated expected monthly maturities on time deposits.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Securities – Available-for-sale</w:t>
      </w:r>
    </w:p>
    <w:p>
      <w:pPr>
        <w:spacing w:after="0" w:line="198"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Fair values for securities, excluding Federal Home Loan Bank are based on quoted market price, where available. If quoted market prices are not available, fair values are based on quoted market prices of comparable instruments.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Securities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carrying value of Federal Home Loan Bank stock of Cincinnati and Indianapolis, approximates fair value based on the redemption provisions of the respective Federal Home Loan Bank.</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Loans Held for Sale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amount approximates fair value due to insignificant amount of time between origination and date of sale.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Loans, net</w:t>
      </w:r>
    </w:p>
    <w:p>
      <w:pPr>
        <w:spacing w:after="0" w:line="198"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The fair values of the loans are estimated using a credit mark adjustment along with discounted cash flow analysis, using interest rates currently being offered for loans with similar terms to borrowers with similar credit quality. The credit mark adjustment was estimated using merger and acquisition analysis of nationwide bank and thrift deals and/or the Bank’s most recent acquisition experience.</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Deposits</w:t>
      </w:r>
    </w:p>
    <w:p>
      <w:pPr>
        <w:spacing w:after="0" w:line="185"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The fair values disclosed for deposits with no defined maturities are equal to their carrying amounts, which represent the amount payable on demand. The carrying amounts for variable-rate, fixed term money market accounts and certificates of deposit approximate their fair value at the reporting date. Fair value for fixed-rate certificates of deposit are estimated using a discounted cash flow analysis that applies interest rates currently being offered on certificates to a schedule of aggregated expected monthly maturities on time deposits.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Federal Funds Purchased and Securities Sold Under Agreements to Repurchase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value of federal funds purchased and securities sold under agreements to repurchase approximates fair values.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FHLB Advances</w:t>
      </w:r>
    </w:p>
    <w:p>
      <w:pPr>
        <w:spacing w:after="0" w:line="198"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Fair values or FHLB advances are estimated using discounted cash flow analysis based on the Company’s current incremental borrowing rates for similar types or borrowing arrangements.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Interest Receivable and Payable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amounts of accrued interest approximate their fair values.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Off Balance Sheet Financial Instruments</w:t>
      </w:r>
    </w:p>
    <w:p>
      <w:pPr>
        <w:spacing w:after="0" w:line="18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Fair values for off-balance sheet, credit related financial instruments are based on fees currently charged to enter into similar agreements, taking into account the remaining terms of the agreements and the counter-parties' credit standing.</w:t>
      </w:r>
    </w:p>
    <w:p>
      <w:pPr>
        <w:spacing w:after="0" w:line="14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March 31, 2020 and December 31, 2019 are reflected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Interest-bearing time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Securities - available-for-sale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securities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Loans held for sale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Loans, net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receivable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Financial Liabilities: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bearing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Non-interest bearing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Time deposits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Deposits</w:t>
      </w:r>
    </w:p>
    <w:p>
      <w:pPr>
        <w:spacing w:after="0" w:line="252" w:lineRule="exact"/>
        <w:rPr>
          <w:sz w:val="20"/>
          <w:szCs w:val="20"/>
          <w:color w:val="auto"/>
        </w:rPr>
      </w:pPr>
    </w:p>
    <w:p>
      <w:pPr>
        <w:ind w:left="380" w:right="620" w:hanging="134"/>
        <w:spacing w:after="0" w:line="258" w:lineRule="auto"/>
        <w:rPr>
          <w:sz w:val="20"/>
          <w:szCs w:val="20"/>
          <w:color w:val="auto"/>
        </w:rPr>
      </w:pPr>
      <w:r>
        <w:rPr>
          <w:rFonts w:ascii="Arial" w:cs="Arial" w:eastAsia="Arial" w:hAnsi="Arial"/>
          <w:sz w:val="18"/>
          <w:szCs w:val="18"/>
          <w:color w:val="auto"/>
        </w:rPr>
        <w:t>Federal funds purchased and securities sold under agreement to repurchase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Federal Home Loan Bank advances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payable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8487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March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4"/>
              </w:rPr>
              <w:t>Carrying</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Level 1</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Level 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r>
      <w:tr>
        <w:trPr>
          <w:trHeight w:val="452"/>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90,837</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90,837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90,837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4,834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4,834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204,121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204,121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10,073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192,511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1,537</w:t>
            </w:r>
          </w:p>
        </w:tc>
      </w:tr>
      <w:tr>
        <w:trPr>
          <w:trHeight w:val="229"/>
        </w:trPr>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5,810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5,810</w:t>
            </w:r>
          </w:p>
        </w:tc>
      </w:tr>
      <w:tr>
        <w:trPr>
          <w:trHeight w:val="230"/>
        </w:trPr>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2,153</w:t>
            </w:r>
          </w:p>
        </w:tc>
      </w:tr>
      <w:tr>
        <w:trPr>
          <w:trHeight w:val="229"/>
        </w:trPr>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1,239,108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1,216,038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1,216,038</w:t>
            </w:r>
          </w:p>
        </w:tc>
      </w:tr>
      <w:tr>
        <w:trPr>
          <w:trHeight w:val="230"/>
        </w:trPr>
        <w:tc>
          <w:tcPr>
            <w:tcW w:w="1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7,114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7,114</w:t>
            </w:r>
          </w:p>
        </w:tc>
      </w:tr>
      <w:tr>
        <w:trPr>
          <w:trHeight w:val="688"/>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804,990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805,033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805,033</w:t>
            </w:r>
          </w:p>
        </w:tc>
      </w:tr>
      <w:tr>
        <w:trPr>
          <w:trHeight w:val="230"/>
        </w:trPr>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261,786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261,786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261,786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281,931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284,636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284,636</w:t>
            </w:r>
          </w:p>
        </w:tc>
      </w:tr>
      <w:tr>
        <w:trPr>
          <w:trHeight w:val="224"/>
        </w:trPr>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1,348,707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1,351,455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261,786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1,089,669</w:t>
            </w:r>
          </w:p>
        </w:tc>
      </w:tr>
      <w:tr>
        <w:trPr>
          <w:trHeight w:val="673"/>
        </w:trPr>
        <w:tc>
          <w:tcPr>
            <w:tcW w:w="1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30,585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30,585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30,585</w:t>
            </w:r>
          </w:p>
        </w:tc>
      </w:tr>
      <w:tr>
        <w:trPr>
          <w:trHeight w:val="230"/>
        </w:trPr>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24,788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24,858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24,858</w:t>
            </w:r>
          </w:p>
        </w:tc>
      </w:tr>
      <w:tr>
        <w:trPr>
          <w:trHeight w:val="230"/>
        </w:trPr>
        <w:tc>
          <w:tcPr>
            <w:tcW w:w="1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727</w:t>
            </w:r>
          </w:p>
        </w:tc>
      </w:tr>
      <w:tr>
        <w:trPr>
          <w:trHeight w:val="432"/>
        </w:trPr>
        <w:tc>
          <w:tcPr>
            <w:tcW w:w="120" w:type="dxa"/>
            <w:vAlign w:val="bottom"/>
          </w:tcPr>
          <w:p>
            <w:pPr>
              <w:spacing w:after="0"/>
              <w:rPr>
                <w:sz w:val="24"/>
                <w:szCs w:val="24"/>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-3051175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-2750820</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-2459355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-2167890</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-1877060</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-1585595</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-1293495</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-993775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-565150</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68580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2">
            <w:col w:w="4460" w:space="720"/>
            <w:col w:w="6060"/>
          </w:cols>
          <w:pgMar w:left="320" w:top="12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7"/>
          </w:tcPr>
          <w:p>
            <w:pPr>
              <w:ind w:left="1500"/>
              <w:spacing w:after="0"/>
              <w:rPr>
                <w:sz w:val="20"/>
                <w:szCs w:val="20"/>
                <w:color w:val="auto"/>
              </w:rPr>
            </w:pPr>
            <w:r>
              <w:rPr>
                <w:rFonts w:ascii="Arial" w:cs="Arial" w:eastAsia="Arial" w:hAnsi="Arial"/>
                <w:sz w:val="18"/>
                <w:szCs w:val="18"/>
                <w:color w:val="auto"/>
              </w:rPr>
              <w:t>NOTE 6 FAIR VALUE OF FINANCIAL INSTRUMENTS (Continued)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701"/>
        </w:trPr>
        <w:tc>
          <w:tcPr>
            <w:tcW w:w="4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4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9"/>
              </w:rPr>
              <w:t>December 31, 2019</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2"/>
        </w:trPr>
        <w:tc>
          <w:tcPr>
            <w:tcW w:w="4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Carrying</w:t>
            </w:r>
          </w:p>
        </w:tc>
        <w:tc>
          <w:tcPr>
            <w:tcW w:w="180" w:type="dxa"/>
            <w:vAlign w:val="bottom"/>
          </w:tcPr>
          <w:p>
            <w:pPr>
              <w:spacing w:after="0"/>
              <w:rPr>
                <w:sz w:val="19"/>
                <w:szCs w:val="19"/>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Fair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520" w:type="dxa"/>
            <w:vAlign w:val="bottom"/>
            <w:tcBorders>
              <w:bottom w:val="single" w:sz="8" w:color="CFF0FC"/>
            </w:tcBorders>
          </w:tcPr>
          <w:p>
            <w:pPr>
              <w:spacing w:after="0"/>
              <w:rPr>
                <w:sz w:val="20"/>
                <w:szCs w:val="20"/>
                <w:color w:val="auto"/>
              </w:rPr>
            </w:pPr>
          </w:p>
        </w:tc>
        <w:tc>
          <w:tcPr>
            <w:tcW w:w="6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2"/>
              </w:rPr>
              <w:t>Level 1</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Level 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51,296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51,296</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51,296</w:t>
            </w:r>
          </w:p>
        </w:tc>
        <w:tc>
          <w:tcPr>
            <w:tcW w:w="1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time deposits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4,309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4,331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Securities - available-for-sale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222,293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222,293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210,782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1,490</w:t>
            </w: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securities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5,810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5,810</w:t>
            </w: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Loans held for sale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4,248</w:t>
            </w: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Loans, net</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1,211,771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1,188,014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1,188,014</w:t>
            </w: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Interest receivable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6,769</w:t>
            </w:r>
          </w:p>
        </w:tc>
      </w:tr>
      <w:tr>
        <w:trPr>
          <w:trHeight w:val="229"/>
        </w:trPr>
        <w:tc>
          <w:tcPr>
            <w:tcW w:w="45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Financial Liabilities: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bearing deposits</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746,628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746,691</w:t>
            </w:r>
          </w:p>
        </w:tc>
        <w:tc>
          <w:tcPr>
            <w:tcW w:w="3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746,691</w:t>
            </w: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Non-interest bearing deposits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265,156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265,156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265,156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6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276,563</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277,008</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277,008</w:t>
            </w: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Total Deposits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1,288,347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1,288,855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265,156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1,023,699</w:t>
            </w:r>
          </w:p>
        </w:tc>
      </w:tr>
      <w:tr>
        <w:trPr>
          <w:trHeight w:val="230"/>
        </w:trPr>
        <w:tc>
          <w:tcPr>
            <w:tcW w:w="45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15"/>
        </w:trPr>
        <w:tc>
          <w:tcPr>
            <w:tcW w:w="4520" w:type="dxa"/>
            <w:vAlign w:val="bottom"/>
          </w:tcPr>
          <w:p>
            <w:pPr>
              <w:ind w:left="260"/>
              <w:spacing w:after="0"/>
              <w:rPr>
                <w:sz w:val="20"/>
                <w:szCs w:val="20"/>
                <w:color w:val="auto"/>
              </w:rPr>
            </w:pPr>
            <w:r>
              <w:rPr>
                <w:rFonts w:ascii="Arial" w:cs="Arial" w:eastAsia="Arial" w:hAnsi="Arial"/>
                <w:sz w:val="18"/>
                <w:szCs w:val="18"/>
                <w:color w:val="auto"/>
              </w:rPr>
              <w:t>Federal funds purchased and securities sold under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520" w:type="dxa"/>
            <w:vAlign w:val="bottom"/>
          </w:tcPr>
          <w:p>
            <w:pPr>
              <w:ind w:left="380"/>
              <w:spacing w:after="0"/>
              <w:rPr>
                <w:sz w:val="20"/>
                <w:szCs w:val="20"/>
                <w:color w:val="auto"/>
              </w:rPr>
            </w:pPr>
            <w:r>
              <w:rPr>
                <w:rFonts w:ascii="Arial" w:cs="Arial" w:eastAsia="Arial" w:hAnsi="Arial"/>
                <w:sz w:val="18"/>
                <w:szCs w:val="18"/>
                <w:color w:val="auto"/>
              </w:rPr>
              <w:t>agreement to repurchase</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48,073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48,073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48,073</w:t>
            </w: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Home Loan Bank advances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24,806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24,811</w:t>
            </w: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Interest payable</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754</w:t>
            </w:r>
          </w:p>
        </w:tc>
      </w:tr>
    </w:tbl>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Fair Value Measurements</w:t>
      </w:r>
    </w:p>
    <w:p>
      <w:pPr>
        <w:spacing w:after="0" w:line="185"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14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Available-for-sale securities, when quoted prices are available in an active market, securities are valued using the quoted price and are classified as Level 1.</w:t>
      </w:r>
    </w:p>
    <w:p>
      <w:pPr>
        <w:spacing w:after="0" w:line="130"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4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61"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43"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6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1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following summarizes financial assets measured at fair value on a recurring basis as of March 31, 2020 and December 31, 2019, segregated by level or the valuation inputs within the fair value hierarchy utilized to measure fair value:</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Assets and Liabilities Measured at Fair Value on a Recurring Basis (In Thousands)</w:t>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50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w w:val="90"/>
              </w:rPr>
              <w:t>Quoted Prices in</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6"/>
              </w:rPr>
              <w:t>Significant</w:t>
            </w: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4"/>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Observable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Unobservable</w:t>
            </w: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4"/>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Inputs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Inputs</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March 31, 2020</w:t>
            </w: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91"/>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(Level 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r>
      <w:tr>
        <w:trPr>
          <w:trHeight w:val="223"/>
        </w:trPr>
        <w:tc>
          <w:tcPr>
            <w:tcW w:w="5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U.S. Treasury</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49,749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100,694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42,068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80" w:type="dxa"/>
            <w:vAlign w:val="bottom"/>
            <w:shd w:val="clear" w:color="auto" w:fill="CFF0FC"/>
          </w:tcPr>
          <w:p>
            <w:pPr>
              <w:spacing w:after="0"/>
              <w:rPr>
                <w:sz w:val="19"/>
                <w:szCs w:val="19"/>
                <w:color w:val="auto"/>
              </w:rPr>
            </w:pPr>
          </w:p>
        </w:tc>
      </w:tr>
      <w:tr>
        <w:trPr>
          <w:trHeight w:val="223"/>
        </w:trPr>
        <w:tc>
          <w:tcPr>
            <w:tcW w:w="502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10,073</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5020" w:type="dxa"/>
            <w:vAlign w:val="bottom"/>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w w:val="90"/>
              </w:rPr>
              <w:t>Quoted Prices in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6"/>
              </w:rPr>
              <w:t>Significant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4"/>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Observable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Unobservable</w:t>
            </w: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4"/>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Inputs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Inputs</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December 31, 2019</w:t>
            </w: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91"/>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(Level 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r>
      <w:tr>
        <w:trPr>
          <w:trHeight w:val="223"/>
        </w:trPr>
        <w:tc>
          <w:tcPr>
            <w:tcW w:w="5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U.S. Treasury</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62,445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95,197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80" w:type="dxa"/>
            <w:vAlign w:val="bottom"/>
            <w:shd w:val="clear" w:color="auto" w:fill="CFF0FC"/>
          </w:tcPr>
          <w:p>
            <w:pPr>
              <w:spacing w:after="0"/>
              <w:rPr>
                <w:sz w:val="19"/>
                <w:szCs w:val="19"/>
                <w:color w:val="auto"/>
              </w:rPr>
            </w:pPr>
          </w:p>
        </w:tc>
      </w:tr>
      <w:tr>
        <w:trPr>
          <w:trHeight w:val="223"/>
        </w:trPr>
        <w:tc>
          <w:tcPr>
            <w:tcW w:w="502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10,021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210,782</w:t>
            </w:r>
          </w:p>
        </w:tc>
        <w:tc>
          <w:tcPr>
            <w:tcW w:w="22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1,490</w:t>
            </w: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following tables represent the changes in the Level 3 fair-value category of which unobservable inputs are relied upon as of the three month periods ended March 31, 2020 and March 31, 2019.</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color w:val="auto"/>
                <w:w w:val="91"/>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86"/>
              </w:rPr>
              <w:t>State and Local</w:t>
            </w:r>
          </w:p>
        </w:tc>
        <w:tc>
          <w:tcPr>
            <w:tcW w:w="134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State and Local</w:t>
            </w: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Governments</w:t>
            </w:r>
          </w:p>
        </w:tc>
        <w:tc>
          <w:tcPr>
            <w:tcW w:w="2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Governments</w:t>
            </w:r>
          </w:p>
        </w:tc>
        <w:tc>
          <w:tcPr>
            <w:tcW w:w="2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Governments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0"/>
              </w:rPr>
              <w:t>Tax-Exempt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Taxable</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2020</w:t>
            </w:r>
          </w:p>
        </w:tc>
        <w:tc>
          <w:tcPr>
            <w:tcW w:w="15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5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 6 FAIR VALUE OF FINANCIAL INSTRUMENTS (Continued)</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color w:val="auto"/>
                <w:w w:val="91"/>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86"/>
              </w:rPr>
              <w:t>State and Local</w:t>
            </w:r>
          </w:p>
        </w:tc>
        <w:tc>
          <w:tcPr>
            <w:tcW w:w="134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State and Local</w:t>
            </w: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Governments</w:t>
            </w:r>
          </w:p>
        </w:tc>
        <w:tc>
          <w:tcPr>
            <w:tcW w:w="2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Governments</w:t>
            </w:r>
          </w:p>
        </w:tc>
        <w:tc>
          <w:tcPr>
            <w:tcW w:w="2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Governments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0"/>
              </w:rPr>
              <w:t>Tax-Exempt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Taxable</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2019</w:t>
            </w:r>
          </w:p>
        </w:tc>
        <w:tc>
          <w:tcPr>
            <w:tcW w:w="15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5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2019</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30" w:lineRule="exact"/>
        <w:rPr>
          <w:sz w:val="20"/>
          <w:szCs w:val="20"/>
          <w:color w:val="auto"/>
        </w:rPr>
      </w:pPr>
    </w:p>
    <w:p>
      <w:pPr>
        <w:jc w:val="both"/>
        <w:ind w:left="760" w:right="20"/>
        <w:spacing w:after="0" w:line="296" w:lineRule="auto"/>
        <w:rPr>
          <w:sz w:val="20"/>
          <w:szCs w:val="20"/>
          <w:color w:val="auto"/>
        </w:rPr>
      </w:pPr>
      <w:r>
        <w:rPr>
          <w:rFonts w:ascii="Arial" w:cs="Arial" w:eastAsia="Arial" w:hAnsi="Arial"/>
          <w:sz w:val="16"/>
          <w:szCs w:val="16"/>
          <w:color w:val="auto"/>
        </w:rPr>
        <w:t>The Company also has assets that, under certain conditions, are subject to measurement at fair value on a non-recurring basis. At March 31, 2020 and December 31, 2019,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34" w:lineRule="exact"/>
        <w:rPr>
          <w:sz w:val="20"/>
          <w:szCs w:val="20"/>
          <w:color w:val="auto"/>
        </w:rPr>
      </w:pPr>
    </w:p>
    <w:p>
      <w:pPr>
        <w:jc w:val="both"/>
        <w:ind w:left="760" w:right="20"/>
        <w:spacing w:after="0" w:line="263" w:lineRule="auto"/>
        <w:rPr>
          <w:sz w:val="20"/>
          <w:szCs w:val="20"/>
          <w:color w:val="auto"/>
        </w:rPr>
      </w:pPr>
      <w:r>
        <w:rPr>
          <w:rFonts w:ascii="Arial" w:cs="Arial" w:eastAsia="Arial" w:hAnsi="Arial"/>
          <w:sz w:val="18"/>
          <w:szCs w:val="18"/>
          <w:color w:val="auto"/>
        </w:rPr>
        <w:t>At March 31, 2020 and December 31, 2019, fair value of collateral dependent impaired loans categorized as Level 3 was $3.3 million and $444 thousand, respectively. The specific allocation for impaired loans was $145 and $197 thousand as of March 31, 2020 and December 31, 2019, respectively, which are accounted for in the allowance for loan losses (see Note 4).</w:t>
      </w:r>
    </w:p>
    <w:p>
      <w:pPr>
        <w:spacing w:after="0" w:line="143"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18"/>
          <w:szCs w:val="18"/>
          <w:color w:val="auto"/>
        </w:rPr>
        <w:t>Other real estate is reported at either the lower of the fair value of the real estate minus the estimated costs to sell the asset or the cost of the asset. The determination of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47"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following table presents quantitative information about unobservable inputs used in recurring and nonrecurring Level 3 fair value measurements: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0"/>
              </w:rPr>
              <w:t>(In Thousands)</w:t>
            </w: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Range</w:t>
            </w:r>
          </w:p>
        </w:tc>
        <w:tc>
          <w:tcPr>
            <w:tcW w:w="20" w:type="dxa"/>
            <w:vAlign w:val="bottom"/>
          </w:tcPr>
          <w:p>
            <w:pPr>
              <w:spacing w:after="0"/>
              <w:rPr>
                <w:sz w:val="20"/>
                <w:szCs w:val="20"/>
                <w:color w:val="auto"/>
              </w:rPr>
            </w:pPr>
          </w:p>
        </w:tc>
      </w:tr>
      <w:tr>
        <w:trPr>
          <w:trHeight w:val="222"/>
        </w:trPr>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color w:val="auto"/>
                <w:w w:val="90"/>
              </w:rPr>
              <w:t>Fair Value at</w:t>
            </w: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20" w:type="dxa"/>
            <w:vAlign w:val="bottom"/>
          </w:tcPr>
          <w:p>
            <w:pPr>
              <w:spacing w:after="0"/>
              <w:rPr>
                <w:sz w:val="19"/>
                <w:szCs w:val="19"/>
                <w:color w:val="auto"/>
              </w:rPr>
            </w:pPr>
          </w:p>
        </w:tc>
      </w:tr>
      <w:tr>
        <w:trPr>
          <w:trHeight w:val="230"/>
        </w:trPr>
        <w:tc>
          <w:tcPr>
            <w:tcW w:w="22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March 31, 2020</w:t>
            </w:r>
          </w:p>
        </w:tc>
        <w:tc>
          <w:tcPr>
            <w:tcW w:w="240" w:type="dxa"/>
            <w:vAlign w:val="bottom"/>
            <w:tcBorders>
              <w:bottom w:val="single" w:sz="8" w:color="CFF0FC"/>
            </w:tcBorders>
          </w:tcPr>
          <w:p>
            <w:pPr>
              <w:spacing w:after="0"/>
              <w:rPr>
                <w:sz w:val="20"/>
                <w:szCs w:val="20"/>
                <w:color w:val="auto"/>
              </w:rPr>
            </w:pPr>
          </w:p>
        </w:tc>
        <w:tc>
          <w:tcPr>
            <w:tcW w:w="1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Valuation Technique</w:t>
            </w:r>
          </w:p>
        </w:tc>
        <w:tc>
          <w:tcPr>
            <w:tcW w:w="120" w:type="dxa"/>
            <w:vAlign w:val="bottom"/>
            <w:tcBorders>
              <w:bottom w:val="single" w:sz="8" w:color="CFF0FC"/>
            </w:tcBorders>
          </w:tcPr>
          <w:p>
            <w:pPr>
              <w:spacing w:after="0"/>
              <w:rPr>
                <w:sz w:val="20"/>
                <w:szCs w:val="20"/>
                <w:color w:val="auto"/>
              </w:rPr>
            </w:pPr>
          </w:p>
        </w:tc>
        <w:tc>
          <w:tcPr>
            <w:tcW w:w="35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Unobservable Inputs</w:t>
            </w:r>
          </w:p>
        </w:tc>
        <w:tc>
          <w:tcPr>
            <w:tcW w:w="12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Average)</w:t>
            </w:r>
          </w:p>
        </w:tc>
        <w:tc>
          <w:tcPr>
            <w:tcW w:w="20" w:type="dxa"/>
            <w:vAlign w:val="bottom"/>
          </w:tcPr>
          <w:p>
            <w:pPr>
              <w:spacing w:after="0"/>
              <w:rPr>
                <w:sz w:val="20"/>
                <w:szCs w:val="20"/>
                <w:color w:val="auto"/>
              </w:rPr>
            </w:pPr>
          </w:p>
        </w:tc>
      </w:tr>
      <w:tr>
        <w:trPr>
          <w:trHeight w:val="209"/>
        </w:trPr>
        <w:tc>
          <w:tcPr>
            <w:tcW w:w="2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Discounted Cash Flow</w:t>
            </w:r>
          </w:p>
        </w:tc>
        <w:tc>
          <w:tcPr>
            <w:tcW w:w="3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entity / Discount rate</w:t>
            </w:r>
          </w:p>
        </w:tc>
        <w:tc>
          <w:tcPr>
            <w:tcW w:w="9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20"/>
                <w:szCs w:val="20"/>
                <w:color w:val="auto"/>
              </w:rPr>
            </w:pPr>
          </w:p>
        </w:tc>
      </w:tr>
      <w:tr>
        <w:trPr>
          <w:trHeight w:val="230"/>
        </w:trPr>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Collateral based</w:t>
            </w:r>
          </w:p>
        </w:tc>
        <w:tc>
          <w:tcPr>
            <w:tcW w:w="3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Discount to reflect current market</w:t>
            </w:r>
          </w:p>
        </w:tc>
        <w:tc>
          <w:tcPr>
            <w:tcW w:w="9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w:t>
            </w: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measurements</w:t>
            </w:r>
          </w:p>
        </w:tc>
        <w:tc>
          <w:tcPr>
            <w:tcW w:w="3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conditions and ultimate collectability</w:t>
            </w:r>
          </w:p>
        </w:tc>
        <w:tc>
          <w:tcPr>
            <w:tcW w:w="9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20"/>
                <w:szCs w:val="20"/>
                <w:color w:val="auto"/>
              </w:rPr>
            </w:pPr>
          </w:p>
        </w:tc>
      </w:tr>
      <w:tr>
        <w:trPr>
          <w:trHeight w:val="230"/>
        </w:trPr>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3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Discount to reflect current</w:t>
            </w:r>
          </w:p>
        </w:tc>
        <w:tc>
          <w:tcPr>
            <w:tcW w:w="9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Appraisals</w:t>
            </w:r>
          </w:p>
        </w:tc>
        <w:tc>
          <w:tcPr>
            <w:tcW w:w="3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market</w:t>
            </w:r>
          </w:p>
        </w:tc>
        <w:tc>
          <w:tcPr>
            <w:tcW w:w="9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 — )</w:t>
            </w:r>
          </w:p>
        </w:tc>
        <w:tc>
          <w:tcPr>
            <w:tcW w:w="2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20" w:type="dxa"/>
            <w:vAlign w:val="bottom"/>
            <w:gridSpan w:val="2"/>
          </w:tcPr>
          <w:p>
            <w:pPr>
              <w:ind w:left="116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gridSpan w:val="7"/>
          </w:tcPr>
          <w:p>
            <w:pPr>
              <w:ind w:left="1500"/>
              <w:spacing w:after="0"/>
              <w:rPr>
                <w:sz w:val="20"/>
                <w:szCs w:val="20"/>
                <w:color w:val="auto"/>
              </w:rPr>
            </w:pPr>
            <w:r>
              <w:rPr>
                <w:rFonts w:ascii="Arial" w:cs="Arial" w:eastAsia="Arial" w:hAnsi="Arial"/>
                <w:sz w:val="18"/>
                <w:szCs w:val="18"/>
                <w:color w:val="auto"/>
                <w:w w:val="96"/>
              </w:rPr>
              <w:t>NOTE 6 FAIR VALUE OF FINANCIAL INSTRUMENTS (Continued)</w:t>
            </w:r>
          </w:p>
        </w:tc>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701"/>
        </w:trPr>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(In Thousands)</w:t>
            </w: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Range</w:t>
            </w:r>
          </w:p>
        </w:tc>
      </w:tr>
      <w:tr>
        <w:trPr>
          <w:trHeight w:val="222"/>
        </w:trPr>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90"/>
              </w:rPr>
              <w:t>Fair Value at</w:t>
            </w: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r>
      <w:tr>
        <w:trPr>
          <w:trHeight w:val="230"/>
        </w:trPr>
        <w:tc>
          <w:tcPr>
            <w:tcW w:w="2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88"/>
              </w:rPr>
              <w:t>December 31, 2019</w:t>
            </w:r>
          </w:p>
        </w:tc>
        <w:tc>
          <w:tcPr>
            <w:tcW w:w="240" w:type="dxa"/>
            <w:vAlign w:val="bottom"/>
          </w:tcPr>
          <w:p>
            <w:pPr>
              <w:spacing w:after="0"/>
              <w:rPr>
                <w:sz w:val="20"/>
                <w:szCs w:val="20"/>
                <w:color w:val="auto"/>
              </w:rPr>
            </w:pPr>
          </w:p>
        </w:tc>
        <w:tc>
          <w:tcPr>
            <w:tcW w:w="2080" w:type="dxa"/>
            <w:vAlign w:val="bottom"/>
            <w:gridSpan w:val="2"/>
          </w:tcPr>
          <w:p>
            <w:pPr>
              <w:ind w:left="240"/>
              <w:spacing w:after="0"/>
              <w:rPr>
                <w:sz w:val="20"/>
                <w:szCs w:val="20"/>
                <w:color w:val="auto"/>
              </w:rPr>
            </w:pPr>
            <w:r>
              <w:rPr>
                <w:rFonts w:ascii="Arial" w:cs="Arial" w:eastAsia="Arial" w:hAnsi="Arial"/>
                <w:sz w:val="18"/>
                <w:szCs w:val="18"/>
                <w:color w:val="auto"/>
              </w:rPr>
              <w:t>Valuation Technique</w:t>
            </w:r>
          </w:p>
        </w:tc>
        <w:tc>
          <w:tcPr>
            <w:tcW w:w="20" w:type="dxa"/>
            <w:vAlign w:val="bottom"/>
          </w:tcPr>
          <w:p>
            <w:pPr>
              <w:spacing w:after="0"/>
              <w:rPr>
                <w:sz w:val="20"/>
                <w:szCs w:val="20"/>
                <w:color w:val="auto"/>
              </w:rPr>
            </w:pPr>
          </w:p>
        </w:tc>
        <w:tc>
          <w:tcPr>
            <w:tcW w:w="3540" w:type="dxa"/>
            <w:vAlign w:val="bottom"/>
          </w:tcPr>
          <w:p>
            <w:pPr>
              <w:ind w:left="1020"/>
              <w:spacing w:after="0"/>
              <w:rPr>
                <w:sz w:val="20"/>
                <w:szCs w:val="20"/>
                <w:color w:val="auto"/>
              </w:rPr>
            </w:pPr>
            <w:r>
              <w:rPr>
                <w:rFonts w:ascii="Arial" w:cs="Arial" w:eastAsia="Arial" w:hAnsi="Arial"/>
                <w:sz w:val="18"/>
                <w:szCs w:val="18"/>
                <w:color w:val="auto"/>
              </w:rPr>
              <w:t>Unobservable Inputs</w:t>
            </w: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Average)</w:t>
            </w:r>
          </w:p>
        </w:tc>
      </w:tr>
      <w:tr>
        <w:trPr>
          <w:trHeight w:val="209"/>
        </w:trPr>
        <w:tc>
          <w:tcPr>
            <w:tcW w:w="2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0-5%</w:t>
            </w: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23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Discounted Cash Flow</w:t>
            </w:r>
          </w:p>
        </w:tc>
        <w:tc>
          <w:tcPr>
            <w:tcW w:w="35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entity / Discount rate</w:t>
            </w:r>
          </w:p>
        </w:tc>
        <w:tc>
          <w:tcPr>
            <w:tcW w:w="9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(2.52%)</w:t>
            </w:r>
          </w:p>
        </w:tc>
      </w:tr>
      <w:tr>
        <w:trPr>
          <w:trHeight w:val="229"/>
        </w:trPr>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3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Collateral based</w:t>
            </w:r>
          </w:p>
        </w:tc>
        <w:tc>
          <w:tcPr>
            <w:tcW w:w="35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Discount to reflect current market</w:t>
            </w:r>
          </w:p>
        </w:tc>
        <w:tc>
          <w:tcPr>
            <w:tcW w:w="9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0-50%</w:t>
            </w:r>
          </w:p>
        </w:tc>
      </w:tr>
      <w:tr>
        <w:trPr>
          <w:trHeight w:val="230"/>
        </w:trPr>
        <w:tc>
          <w:tcPr>
            <w:tcW w:w="2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3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measurements</w:t>
            </w:r>
          </w:p>
        </w:tc>
        <w:tc>
          <w:tcPr>
            <w:tcW w:w="35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conditions and ultimate collectability</w:t>
            </w:r>
          </w:p>
        </w:tc>
        <w:tc>
          <w:tcPr>
            <w:tcW w:w="9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(30.73%)</w:t>
            </w:r>
          </w:p>
        </w:tc>
      </w:tr>
      <w:tr>
        <w:trPr>
          <w:trHeight w:val="229"/>
        </w:trPr>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5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Discount to reflect current</w:t>
            </w:r>
          </w:p>
        </w:tc>
        <w:tc>
          <w:tcPr>
            <w:tcW w:w="9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0-20%</w:t>
            </w:r>
          </w:p>
        </w:tc>
      </w:tr>
      <w:tr>
        <w:trPr>
          <w:trHeight w:val="230"/>
        </w:trPr>
        <w:tc>
          <w:tcPr>
            <w:tcW w:w="2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3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Appraisals</w:t>
            </w:r>
          </w:p>
        </w:tc>
        <w:tc>
          <w:tcPr>
            <w:tcW w:w="35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market</w:t>
            </w:r>
          </w:p>
        </w:tc>
        <w:tc>
          <w:tcPr>
            <w:tcW w:w="9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(23.31% )</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impaired loans and other real estate owned as recorded at fair value on March 31, 2020 and December 31, 2019:</w:t>
      </w:r>
    </w:p>
    <w:p>
      <w:pPr>
        <w:spacing w:after="0" w:line="27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940" w:type="dxa"/>
            <w:vAlign w:val="bottom"/>
            <w:gridSpan w:val="11"/>
          </w:tcPr>
          <w:p>
            <w:pPr>
              <w:jc w:val="center"/>
              <w:ind w:right="260"/>
              <w:spacing w:after="0"/>
              <w:rPr>
                <w:sz w:val="20"/>
                <w:szCs w:val="20"/>
                <w:color w:val="auto"/>
              </w:rPr>
            </w:pPr>
            <w:r>
              <w:rPr>
                <w:rFonts w:ascii="Arial" w:cs="Arial" w:eastAsia="Arial" w:hAnsi="Arial"/>
                <w:sz w:val="18"/>
                <w:szCs w:val="18"/>
                <w:color w:val="auto"/>
                <w:w w:val="90"/>
              </w:rPr>
              <w:t>Assets Measured at Fair Value on a Nonrecurring Basis at March 31, 2020</w:t>
            </w:r>
          </w:p>
        </w:tc>
      </w:tr>
      <w:tr>
        <w:trPr>
          <w:trHeight w:val="222"/>
        </w:trPr>
        <w:tc>
          <w:tcPr>
            <w:tcW w:w="3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260" w:type="dxa"/>
            <w:vAlign w:val="bottom"/>
            <w:tcBorders>
              <w:top w:val="single" w:sz="8" w:color="auto"/>
            </w:tcBorders>
            <w:gridSpan w:val="4"/>
          </w:tcPr>
          <w:p>
            <w:pPr>
              <w:jc w:val="center"/>
              <w:ind w:left="10"/>
              <w:spacing w:after="0"/>
              <w:rPr>
                <w:sz w:val="20"/>
                <w:szCs w:val="20"/>
                <w:color w:val="auto"/>
              </w:rPr>
            </w:pPr>
            <w:r>
              <w:rPr>
                <w:rFonts w:ascii="Arial" w:cs="Arial" w:eastAsia="Arial" w:hAnsi="Arial"/>
                <w:sz w:val="18"/>
                <w:szCs w:val="18"/>
                <w:color w:val="auto"/>
                <w:w w:val="89"/>
              </w:rPr>
              <w:t>(In Thousands)</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5"/>
              </w:rPr>
              <w:t>Markets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3"/>
              </w:rPr>
              <w:t>Significant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Significant</w:t>
            </w:r>
          </w:p>
        </w:tc>
      </w:tr>
      <w:tr>
        <w:trPr>
          <w:trHeight w:val="216"/>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89"/>
              </w:rPr>
              <w:t>Balance at</w:t>
            </w: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90"/>
              </w:rPr>
              <w:t>Observable Inputs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Unobservable Inputs</w:t>
            </w:r>
          </w:p>
        </w:tc>
      </w:tr>
      <w:tr>
        <w:trPr>
          <w:trHeight w:val="230"/>
        </w:trPr>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91"/>
              </w:rPr>
              <w:t>March 31, 2020</w:t>
            </w:r>
          </w:p>
        </w:tc>
        <w:tc>
          <w:tcPr>
            <w:tcW w:w="240" w:type="dxa"/>
            <w:vAlign w:val="bottom"/>
          </w:tcPr>
          <w:p>
            <w:pPr>
              <w:spacing w:after="0"/>
              <w:rPr>
                <w:sz w:val="20"/>
                <w:szCs w:val="20"/>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1"/>
              </w:rPr>
              <w:t>Assets (Level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4"/>
              </w:rPr>
              <w:t>(Level 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(Level 3)</w:t>
            </w:r>
          </w:p>
        </w:tc>
      </w:tr>
      <w:tr>
        <w:trPr>
          <w:trHeight w:val="209"/>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3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w:t>
            </w:r>
          </w:p>
        </w:tc>
        <w:tc>
          <w:tcPr>
            <w:tcW w:w="1660" w:type="dxa"/>
            <w:vAlign w:val="bottom"/>
            <w:gridSpan w:val="2"/>
            <w:shd w:val="clear" w:color="auto" w:fill="CFF0FC"/>
          </w:tcPr>
          <w:p>
            <w:pPr>
              <w:jc w:val="right"/>
              <w:ind w:right="12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129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8"/>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w:t>
            </w:r>
          </w:p>
        </w:tc>
        <w:tc>
          <w:tcPr>
            <w:tcW w:w="100" w:type="dxa"/>
            <w:vAlign w:val="bottom"/>
            <w:shd w:val="clear" w:color="auto" w:fill="CFF0FC"/>
          </w:tcPr>
          <w:p>
            <w:pPr>
              <w:spacing w:after="0"/>
              <w:rPr>
                <w:sz w:val="20"/>
                <w:szCs w:val="20"/>
                <w:color w:val="auto"/>
              </w:rPr>
            </w:pPr>
          </w:p>
        </w:tc>
      </w:tr>
      <w:tr>
        <w:trPr>
          <w:trHeight w:val="215"/>
        </w:trPr>
        <w:tc>
          <w:tcPr>
            <w:tcW w:w="3020" w:type="dxa"/>
            <w:vAlign w:val="bottom"/>
          </w:tcPr>
          <w:p>
            <w:pPr>
              <w:spacing w:after="0"/>
              <w:rPr>
                <w:sz w:val="20"/>
                <w:szCs w:val="20"/>
                <w:color w:val="auto"/>
              </w:rPr>
            </w:pPr>
            <w:r>
              <w:rPr>
                <w:rFonts w:ascii="Arial" w:cs="Arial" w:eastAsia="Arial" w:hAnsi="Arial"/>
                <w:sz w:val="18"/>
                <w:szCs w:val="18"/>
                <w:color w:val="auto"/>
              </w:rPr>
              <w:t>Other real estate</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020" w:type="dxa"/>
            <w:vAlign w:val="bottom"/>
          </w:tcPr>
          <w:p>
            <w:pPr>
              <w:ind w:left="140"/>
              <w:spacing w:after="0"/>
              <w:rPr>
                <w:sz w:val="20"/>
                <w:szCs w:val="20"/>
                <w:color w:val="auto"/>
              </w:rPr>
            </w:pPr>
            <w:r>
              <w:rPr>
                <w:rFonts w:ascii="Arial" w:cs="Arial" w:eastAsia="Arial" w:hAnsi="Arial"/>
                <w:sz w:val="18"/>
                <w:szCs w:val="18"/>
                <w:color w:val="auto"/>
              </w:rPr>
              <w:t>owned - commercial</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472"/>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gridSpan w:val="11"/>
          </w:tcPr>
          <w:p>
            <w:pPr>
              <w:jc w:val="center"/>
              <w:ind w:right="240"/>
              <w:spacing w:after="0"/>
              <w:rPr>
                <w:sz w:val="20"/>
                <w:szCs w:val="20"/>
                <w:color w:val="auto"/>
              </w:rPr>
            </w:pPr>
            <w:r>
              <w:rPr>
                <w:rFonts w:ascii="Arial" w:cs="Arial" w:eastAsia="Arial" w:hAnsi="Arial"/>
                <w:sz w:val="18"/>
                <w:szCs w:val="18"/>
                <w:color w:val="auto"/>
                <w:w w:val="89"/>
              </w:rPr>
              <w:t>Assets Measured at Fair Value on a Nonrecurring Basis at December 31, 2019</w:t>
            </w:r>
          </w:p>
        </w:tc>
      </w:tr>
      <w:tr>
        <w:trPr>
          <w:trHeight w:val="222"/>
        </w:trPr>
        <w:tc>
          <w:tcPr>
            <w:tcW w:w="3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260" w:type="dxa"/>
            <w:vAlign w:val="bottom"/>
            <w:tcBorders>
              <w:top w:val="single" w:sz="8" w:color="auto"/>
            </w:tcBorders>
            <w:gridSpan w:val="4"/>
          </w:tcPr>
          <w:p>
            <w:pPr>
              <w:jc w:val="center"/>
              <w:ind w:left="10"/>
              <w:spacing w:after="0"/>
              <w:rPr>
                <w:sz w:val="20"/>
                <w:szCs w:val="20"/>
                <w:color w:val="auto"/>
              </w:rPr>
            </w:pPr>
            <w:r>
              <w:rPr>
                <w:rFonts w:ascii="Arial" w:cs="Arial" w:eastAsia="Arial" w:hAnsi="Arial"/>
                <w:sz w:val="18"/>
                <w:szCs w:val="18"/>
                <w:color w:val="auto"/>
                <w:w w:val="89"/>
              </w:rPr>
              <w:t>(In Thousands)</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5"/>
              </w:rPr>
              <w:t>Markets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3"/>
              </w:rPr>
              <w:t>Significant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Significant</w:t>
            </w:r>
          </w:p>
        </w:tc>
      </w:tr>
      <w:tr>
        <w:trPr>
          <w:trHeight w:val="216"/>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89"/>
              </w:rPr>
              <w:t>Balance at</w:t>
            </w: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90"/>
              </w:rPr>
              <w:t>Observable Inputs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Unobservable Inputs</w:t>
            </w:r>
          </w:p>
        </w:tc>
      </w:tr>
      <w:tr>
        <w:trPr>
          <w:trHeight w:val="230"/>
        </w:trPr>
        <w:tc>
          <w:tcPr>
            <w:tcW w:w="302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9"/>
              </w:rPr>
              <w:t>December 31, 2019</w:t>
            </w:r>
          </w:p>
        </w:tc>
        <w:tc>
          <w:tcPr>
            <w:tcW w:w="240" w:type="dxa"/>
            <w:vAlign w:val="bottom"/>
          </w:tcPr>
          <w:p>
            <w:pPr>
              <w:spacing w:after="0"/>
              <w:rPr>
                <w:sz w:val="20"/>
                <w:szCs w:val="20"/>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1"/>
              </w:rPr>
              <w:t>Assets (Level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4"/>
              </w:rPr>
              <w:t>(Level 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(Level 3)</w:t>
            </w:r>
          </w:p>
        </w:tc>
      </w:tr>
      <w:tr>
        <w:trPr>
          <w:trHeight w:val="209"/>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3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660" w:type="dxa"/>
            <w:vAlign w:val="bottom"/>
            <w:gridSpan w:val="2"/>
            <w:shd w:val="clear" w:color="auto" w:fill="CFF0FC"/>
          </w:tcPr>
          <w:p>
            <w:pPr>
              <w:jc w:val="right"/>
              <w:ind w:right="12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129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8"/>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FF0FC"/>
          </w:tcPr>
          <w:p>
            <w:pPr>
              <w:spacing w:after="0"/>
              <w:rPr>
                <w:sz w:val="20"/>
                <w:szCs w:val="20"/>
                <w:color w:val="auto"/>
              </w:rPr>
            </w:pPr>
          </w:p>
        </w:tc>
      </w:tr>
      <w:tr>
        <w:trPr>
          <w:trHeight w:val="215"/>
        </w:trPr>
        <w:tc>
          <w:tcPr>
            <w:tcW w:w="3020" w:type="dxa"/>
            <w:vAlign w:val="bottom"/>
          </w:tcPr>
          <w:p>
            <w:pPr>
              <w:spacing w:after="0"/>
              <w:rPr>
                <w:sz w:val="20"/>
                <w:szCs w:val="20"/>
                <w:color w:val="auto"/>
              </w:rPr>
            </w:pPr>
            <w:r>
              <w:rPr>
                <w:rFonts w:ascii="Arial" w:cs="Arial" w:eastAsia="Arial" w:hAnsi="Arial"/>
                <w:sz w:val="18"/>
                <w:szCs w:val="18"/>
                <w:color w:val="auto"/>
              </w:rPr>
              <w:t>Other real estate</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020" w:type="dxa"/>
            <w:vAlign w:val="bottom"/>
          </w:tcPr>
          <w:p>
            <w:pPr>
              <w:ind w:left="140"/>
              <w:spacing w:after="0"/>
              <w:rPr>
                <w:sz w:val="20"/>
                <w:szCs w:val="20"/>
                <w:color w:val="auto"/>
              </w:rPr>
            </w:pPr>
            <w:r>
              <w:rPr>
                <w:rFonts w:ascii="Arial" w:cs="Arial" w:eastAsia="Arial" w:hAnsi="Arial"/>
                <w:sz w:val="18"/>
                <w:szCs w:val="18"/>
                <w:color w:val="auto"/>
              </w:rPr>
              <w:t>owned - commercial</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7 FEDERAL FUNDS PURCHASED AND SECURITIES SOLD UNDER AGREEMENTS TO REPURCHASE</w:t>
      </w:r>
    </w:p>
    <w:p>
      <w:pPr>
        <w:spacing w:after="0" w:line="252" w:lineRule="exact"/>
        <w:rPr>
          <w:sz w:val="20"/>
          <w:szCs w:val="20"/>
          <w:color w:val="auto"/>
        </w:rPr>
      </w:pPr>
    </w:p>
    <w:p>
      <w:pPr>
        <w:ind w:left="760" w:right="20"/>
        <w:spacing w:after="0" w:line="308" w:lineRule="auto"/>
        <w:rPr>
          <w:sz w:val="20"/>
          <w:szCs w:val="20"/>
          <w:color w:val="auto"/>
        </w:rPr>
      </w:pPr>
      <w:r>
        <w:rPr>
          <w:rFonts w:ascii="Arial" w:cs="Arial" w:eastAsia="Arial" w:hAnsi="Arial"/>
          <w:sz w:val="17"/>
          <w:szCs w:val="17"/>
          <w:color w:val="auto"/>
        </w:rPr>
        <w:t>The Company had no Federal Funds purchased as of March 31, 2020 and $17.8 million as of December 31, 2019, respectively. During the same time periods, the Company also had $30.6 million and $30.2 million in securities sold under agreement to repurchase.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1"/>
              </w:rPr>
              <w:t>March 31, 2020</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gridSpan w:val="18"/>
          </w:tcPr>
          <w:p>
            <w:pPr>
              <w:jc w:val="center"/>
              <w:ind w:right="10"/>
              <w:spacing w:after="0"/>
              <w:rPr>
                <w:sz w:val="20"/>
                <w:szCs w:val="20"/>
                <w:color w:val="auto"/>
              </w:rPr>
            </w:pPr>
            <w:r>
              <w:rPr>
                <w:rFonts w:ascii="Arial" w:cs="Arial" w:eastAsia="Arial" w:hAnsi="Arial"/>
                <w:sz w:val="18"/>
                <w:szCs w:val="18"/>
                <w:color w:val="auto"/>
                <w:w w:val="91"/>
              </w:rPr>
              <w:t>Remaining Contractual Maturity of the Agreements (In Thousands)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8"/>
        </w:trPr>
        <w:tc>
          <w:tcPr>
            <w:tcW w:w="48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Overnight &amp;</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center"/>
              <w:ind w:right="240"/>
              <w:spacing w:after="0"/>
              <w:rPr>
                <w:sz w:val="20"/>
                <w:szCs w:val="20"/>
                <w:color w:val="auto"/>
              </w:rPr>
            </w:pPr>
            <w:r>
              <w:rPr>
                <w:rFonts w:ascii="Arial" w:cs="Arial" w:eastAsia="Arial" w:hAnsi="Arial"/>
                <w:sz w:val="18"/>
                <w:szCs w:val="18"/>
                <w:color w:val="auto"/>
                <w:w w:val="89"/>
              </w:rPr>
              <w:t>Greater Than</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Continuous</w:t>
            </w:r>
          </w:p>
        </w:tc>
        <w:tc>
          <w:tcPr>
            <w:tcW w:w="22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color w:val="auto"/>
                <w:w w:val="93"/>
              </w:rPr>
              <w:t>Up to 30 days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30-90 days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8"/>
                <w:szCs w:val="18"/>
                <w:color w:val="auto"/>
                <w:w w:val="88"/>
              </w:rPr>
              <w:t>90 days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funds purchased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Repurchase agreements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&amp; agency securities</w:t>
            </w: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w:t>
            </w:r>
          </w:p>
        </w:tc>
        <w:tc>
          <w:tcPr>
            <w:tcW w:w="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29,261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30,585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22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4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9"/>
              </w:rPr>
              <w:t>December 31, 2019</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180" w:type="dxa"/>
            <w:vAlign w:val="bottom"/>
            <w:tcBorders>
              <w:bottom w:val="single" w:sz="8" w:color="auto"/>
            </w:tcBorders>
            <w:gridSpan w:val="19"/>
          </w:tcPr>
          <w:p>
            <w:pPr>
              <w:jc w:val="center"/>
              <w:ind w:right="120"/>
              <w:spacing w:after="0"/>
              <w:rPr>
                <w:sz w:val="20"/>
                <w:szCs w:val="20"/>
                <w:color w:val="auto"/>
              </w:rPr>
            </w:pPr>
            <w:r>
              <w:rPr>
                <w:rFonts w:ascii="Arial" w:cs="Arial" w:eastAsia="Arial" w:hAnsi="Arial"/>
                <w:sz w:val="18"/>
                <w:szCs w:val="18"/>
                <w:color w:val="auto"/>
                <w:w w:val="91"/>
              </w:rPr>
              <w:t>Remaining Contractual Maturity of the Agreements (In Thousands)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8"/>
        </w:trPr>
        <w:tc>
          <w:tcPr>
            <w:tcW w:w="48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Overnight &amp;</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center"/>
              <w:ind w:right="200"/>
              <w:spacing w:after="0"/>
              <w:rPr>
                <w:sz w:val="20"/>
                <w:szCs w:val="20"/>
                <w:color w:val="auto"/>
              </w:rPr>
            </w:pPr>
            <w:r>
              <w:rPr>
                <w:rFonts w:ascii="Arial" w:cs="Arial" w:eastAsia="Arial" w:hAnsi="Arial"/>
                <w:sz w:val="18"/>
                <w:szCs w:val="18"/>
                <w:color w:val="auto"/>
                <w:w w:val="89"/>
              </w:rPr>
              <w:t>Greater Than</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Continuous</w:t>
            </w:r>
          </w:p>
        </w:tc>
        <w:tc>
          <w:tcPr>
            <w:tcW w:w="22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color w:val="auto"/>
                <w:w w:val="93"/>
              </w:rPr>
              <w:t>Up to 30 days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30-90 days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8"/>
                <w:szCs w:val="18"/>
                <w:color w:val="auto"/>
                <w:w w:val="88"/>
              </w:rPr>
              <w:t>90 days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funds purchased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17,843</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17,843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Repurchase agreements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&amp; agency securities</w:t>
            </w: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1,814</w:t>
            </w:r>
          </w:p>
        </w:tc>
        <w:tc>
          <w:tcPr>
            <w:tcW w:w="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24,451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30,230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19,657</w:t>
            </w:r>
          </w:p>
        </w:tc>
        <w:tc>
          <w:tcPr>
            <w:tcW w:w="22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24,451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48,073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5"/>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8 RECENT ACCOUNTING PRONOUNCEMENTS</w:t>
      </w:r>
    </w:p>
    <w:p>
      <w:pPr>
        <w:spacing w:after="0" w:line="360" w:lineRule="exact"/>
        <w:rPr>
          <w:sz w:val="20"/>
          <w:szCs w:val="20"/>
          <w:color w:val="auto"/>
        </w:rPr>
      </w:pPr>
    </w:p>
    <w:p>
      <w:pPr>
        <w:jc w:val="both"/>
        <w:ind w:left="760"/>
        <w:spacing w:after="0" w:line="288" w:lineRule="auto"/>
        <w:rPr>
          <w:sz w:val="20"/>
          <w:szCs w:val="20"/>
          <w:color w:val="auto"/>
        </w:rPr>
      </w:pPr>
      <w:r>
        <w:rPr>
          <w:rFonts w:ascii="Arial" w:cs="Arial" w:eastAsia="Arial" w:hAnsi="Arial"/>
          <w:sz w:val="16"/>
          <w:szCs w:val="16"/>
          <w:color w:val="auto"/>
        </w:rPr>
        <w:t>In June 2016, FASB issued ASU No. 2016-13 “Financial Instruments - Credit Losses (Topic 326): Measurement of Credit Losses on Financial Instruments.” The ASU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60"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The ASU is effective for SEC filers for fiscal years, and interim periods within those fiscal years, beginning after December 15, 2019 (i.e., January 1, 2020, for calendar year entities). FASB recently approved a delay in adoption for Smaller Reporting Companies. The Company has completed an analysis to determine that it qualifies as a Smaller Reporting Company. As such, adoption can be postponed until periods beginning after December 15, 2022 (i.e., January 1, 2023, for calendar year entities). Early application will be permitted for all organizations for fiscal years, and interim periods within those fiscal years, beginning after December 15, 2018.</w:t>
      </w:r>
    </w:p>
    <w:p>
      <w:pPr>
        <w:spacing w:after="0" w:line="80" w:lineRule="exact"/>
        <w:rPr>
          <w:sz w:val="20"/>
          <w:szCs w:val="20"/>
          <w:color w:val="auto"/>
        </w:rPr>
      </w:pPr>
    </w:p>
    <w:p>
      <w:pPr>
        <w:jc w:val="both"/>
        <w:ind w:left="760"/>
        <w:spacing w:after="0" w:line="301" w:lineRule="auto"/>
        <w:rPr>
          <w:sz w:val="20"/>
          <w:szCs w:val="20"/>
          <w:color w:val="auto"/>
        </w:rPr>
      </w:pPr>
      <w:r>
        <w:rPr>
          <w:rFonts w:ascii="Arial" w:cs="Arial" w:eastAsia="Arial" w:hAnsi="Arial"/>
          <w:sz w:val="16"/>
          <w:szCs w:val="16"/>
          <w:color w:val="auto"/>
        </w:rPr>
        <w:t>The Company has contracted with an external advisor and has formed a committee to determine the methodology to be used. Most importantly, the Company is gathering as much data as possible to enable review scenarios and determine which calculations will produce the most reliable results. The Company began working with the third party service provider to review parallel reports starting in June 2019. The Company will not adopt ASU 2016-13 in calendar year 2020 and management is currently evaluating when or if they would elect to early adopt ASU 2016-13.</w:t>
      </w:r>
    </w:p>
    <w:p>
      <w:pPr>
        <w:spacing w:after="0" w:line="49"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In January 2017, the FASB issued ASU No. 2017-04 “Intangibles – Goodwill and other (Topic 350) – Simplifying the Test for Goodwill Impairment.” These amendments eliminate Step 2 from the goodwill impairment test. The amendments also eliminate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guidance is effective for annual or any interim goodwill impairment tests in fiscal years beginning after December 15, 2019. Early adoption is permitted for interim or annual goodwill impairment tests performed on testing dates after January 1, 2017. ASU 2017-04 should be adopted on a prospective basis. The Company has adopted ASU 2017-04 effective January 1, 2020, as require, and does not expect the ASU to have a material impact on its financial statements. Goodwill testing is scheduled to be completed during the fourth quarter.</w:t>
      </w:r>
    </w:p>
    <w:p>
      <w:pPr>
        <w:spacing w:after="0" w:line="88"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In August 2018, the FASB issued ASU No. 2018-13 “Fair Value Measurement (Topic 820) - Disclosure Framework-Changes to the Disclosure Requirements for Fair Value Measurement.” ASU 2018-13 modifies the disclosure requirements on fair value measurements in Topic 820. The amendments in this update remove disclosures that no longer are considered cost beneficial, modify/clarify the specific requirements of certain disclosures, and add disclosure requirements identified as relevant. ASU 2018-13 is effective for years beginning after December 15, 2019, with early adoption permitted. The Company adopted ASU 2018-13 effective January 1, 2020, as required, without material effect on its accounting disclosures.</w:t>
      </w:r>
    </w:p>
    <w:p>
      <w:pPr>
        <w:spacing w:after="0" w:line="84"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In March 2020 in connection with the implementation of the CARES Act and related provisions, we have elected the temporary relief in the Coronavirus Aid, Relief and Economic Security Act (CARES Act) not to apply the guidance in ASC 310-40 on accounting for troubled debt restructurings (TDRs) to loan modifications related to COVID-19 made between March 1, 2020 and the earlier of (1) December 31, 2020 or (2) 60 days after the end of the COVID-19 national emergency. The relief was only applied to modifications for borrowers that were not more than 30 days past due as of December 31, 2019.</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6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700"/>
        <w:spacing w:after="0" w:line="293" w:lineRule="auto"/>
        <w:rPr>
          <w:sz w:val="20"/>
          <w:szCs w:val="20"/>
          <w:color w:val="auto"/>
        </w:rPr>
      </w:pPr>
      <w:r>
        <w:rPr>
          <w:rFonts w:ascii="Arial" w:cs="Arial" w:eastAsia="Arial" w:hAnsi="Arial"/>
          <w:sz w:val="16"/>
          <w:szCs w:val="16"/>
          <w:color w:val="auto"/>
        </w:rPr>
        <w:t>2020 started out to be the year of execution. After a good beginning in terms of loan growth and initiatives the first two months, March brought the year of unprecedented change. The Federal Reserve decreased its overnight rate by fifty basis points on March 3rd. As we were adjusting to that change, they again decreased the rate on March 15</w:t>
      </w:r>
      <w:r>
        <w:rPr>
          <w:rFonts w:ascii="Arial" w:cs="Arial" w:eastAsia="Arial" w:hAnsi="Arial"/>
          <w:sz w:val="13"/>
          <w:szCs w:val="13"/>
          <w:color w:val="auto"/>
        </w:rPr>
        <w:t>th</w:t>
      </w:r>
      <w:r>
        <w:rPr>
          <w:rFonts w:ascii="Arial" w:cs="Arial" w:eastAsia="Arial" w:hAnsi="Arial"/>
          <w:sz w:val="16"/>
          <w:szCs w:val="16"/>
          <w:color w:val="auto"/>
        </w:rPr>
        <w:t xml:space="preserve"> by a before unseen 100 basis points. We began to see the disruption caused by COVID-19 and the focus of the Bank quickly changed. Execution took on a new meaning related to following the actions governed by the Bank’s pandemic flu plan. The Bank took immediate measures to protect its customers and employees from risk of spread while continuing to provide financial services. </w:t>
      </w:r>
      <w:r>
        <w:rPr>
          <w:rFonts w:ascii="Arial" w:cs="Arial" w:eastAsia="Arial" w:hAnsi="Arial"/>
          <w:sz w:val="16"/>
          <w:szCs w:val="16"/>
          <w:b w:val="1"/>
          <w:bCs w:val="1"/>
          <w:color w:val="auto"/>
        </w:rPr>
        <w:t>Please see section titled COVID-19 for additional information related to actions taken.</w:t>
      </w:r>
    </w:p>
    <w:p>
      <w:pPr>
        <w:spacing w:after="0" w:line="137" w:lineRule="exact"/>
        <w:rPr>
          <w:sz w:val="20"/>
          <w:szCs w:val="20"/>
          <w:color w:val="auto"/>
        </w:rPr>
      </w:pPr>
    </w:p>
    <w:p>
      <w:pPr>
        <w:jc w:val="both"/>
        <w:ind w:left="700"/>
        <w:spacing w:after="0" w:line="279" w:lineRule="auto"/>
        <w:rPr>
          <w:sz w:val="20"/>
          <w:szCs w:val="20"/>
          <w:color w:val="auto"/>
        </w:rPr>
      </w:pPr>
      <w:r>
        <w:rPr>
          <w:rFonts w:ascii="Arial" w:cs="Arial" w:eastAsia="Arial" w:hAnsi="Arial"/>
          <w:sz w:val="17"/>
          <w:szCs w:val="17"/>
          <w:color w:val="auto"/>
        </w:rPr>
        <w:t>During the first quarter, the Bank continued to grow loans by 13.58% or $149.2 million over March 31, 2019 and 2.35% or $28.6 million over December 31, 2019. In comparison for the same time periods, deposits grew 13.58% or $161.3 million over March 31, 2019 and 4.69% or $60.4 million over December 31, 2019. Home loan activity was robust, and the activity id expected to continue into second quarter as our applications continued to grow. Deposit growth correlated to a flight to safety as the stock market experienced great volatility.</w:t>
      </w:r>
    </w:p>
    <w:p>
      <w:pPr>
        <w:spacing w:after="0" w:line="131" w:lineRule="exact"/>
        <w:rPr>
          <w:sz w:val="20"/>
          <w:szCs w:val="20"/>
          <w:color w:val="auto"/>
        </w:rPr>
      </w:pPr>
    </w:p>
    <w:p>
      <w:pPr>
        <w:jc w:val="both"/>
        <w:ind w:left="700"/>
        <w:spacing w:after="0" w:line="273" w:lineRule="auto"/>
        <w:rPr>
          <w:sz w:val="20"/>
          <w:szCs w:val="20"/>
          <w:color w:val="auto"/>
        </w:rPr>
      </w:pPr>
      <w:r>
        <w:rPr>
          <w:rFonts w:ascii="Arial" w:cs="Arial" w:eastAsia="Arial" w:hAnsi="Arial"/>
          <w:sz w:val="17"/>
          <w:szCs w:val="17"/>
          <w:color w:val="auto"/>
        </w:rPr>
        <w:t>Our strategic initiative of attracting and cultivating talent was explored with the retirements of our Chief Lending Officer and Marketing Manager in the first quarter. Todd Graham’s duties were assumed by Rex Rice who had been our Senior Commercial Banking Manager. The shift in the commercial team was completed with David Gerken promoted to Sr. VP/Commercial Banking Manager and we added Brett Baumeister as our Sr. VP/Commercial Banking Manager in Eastern Ohio. Mr. Gerken was an existing team member and Mr. Baumeister was a new addition within the last year. Marty Filogamo was replaced by Amy Cover, who had been the Assistant Marketing Manager. The management team is experienced, and we are confident of their ability to lead the Bank in the years to come.</w:t>
      </w:r>
    </w:p>
    <w:p>
      <w:pPr>
        <w:spacing w:after="0" w:line="137" w:lineRule="exact"/>
        <w:rPr>
          <w:sz w:val="20"/>
          <w:szCs w:val="20"/>
          <w:color w:val="auto"/>
        </w:rPr>
      </w:pPr>
    </w:p>
    <w:p>
      <w:pPr>
        <w:jc w:val="both"/>
        <w:ind w:left="700"/>
        <w:spacing w:after="0" w:line="273" w:lineRule="auto"/>
        <w:rPr>
          <w:sz w:val="20"/>
          <w:szCs w:val="20"/>
          <w:color w:val="auto"/>
        </w:rPr>
      </w:pPr>
      <w:r>
        <w:rPr>
          <w:rFonts w:ascii="Arial" w:cs="Arial" w:eastAsia="Arial" w:hAnsi="Arial"/>
          <w:sz w:val="17"/>
          <w:szCs w:val="17"/>
          <w:color w:val="auto"/>
        </w:rPr>
        <w:t>The Company remains well capitalized and prepared to face the new challenges coming our way in 2020. Our history shows we weathered the 2008-2009 financial crisis and recession. We did so without taking Troubled Asset Relief Program (TARP) funds and our performance over the time frame was significantly higher than our peers. It is the character of the communities we serve that contributed to that success. It is not just what is done during the storm but how well prepared for the storm you are. F&amp;M has prepared well with historically low troubled loans the last few years due to having strong credit quality controls in place. Additional loan provision was taken in the first quarter in view of the unknown length and breadth of the declining economic situation and its potential effect on our loan portfolio.</w:t>
      </w:r>
    </w:p>
    <w:p>
      <w:pPr>
        <w:spacing w:after="0" w:line="151" w:lineRule="exact"/>
        <w:rPr>
          <w:sz w:val="20"/>
          <w:szCs w:val="20"/>
          <w:color w:val="auto"/>
        </w:rPr>
      </w:pPr>
    </w:p>
    <w:p>
      <w:pPr>
        <w:jc w:val="both"/>
        <w:ind w:left="700" w:right="20"/>
        <w:spacing w:after="0" w:line="342" w:lineRule="auto"/>
        <w:rPr>
          <w:sz w:val="20"/>
          <w:szCs w:val="20"/>
          <w:color w:val="auto"/>
        </w:rPr>
      </w:pPr>
      <w:r>
        <w:rPr>
          <w:rFonts w:ascii="Arial" w:cs="Arial" w:eastAsia="Arial" w:hAnsi="Arial"/>
          <w:sz w:val="16"/>
          <w:szCs w:val="16"/>
          <w:color w:val="auto"/>
        </w:rPr>
        <w:t>F&amp;M will continue to focus on serving our shareholders, communities, and customers while protecting our employees. Investigating solutions will be our focus for the second quarter and for as long as it takes. Please see below for what we have accomplished so far in 2020.</w:t>
      </w:r>
    </w:p>
    <w:p>
      <w:pPr>
        <w:spacing w:after="0" w:line="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COVID-19: What the Company knows and what steps have been taken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Shareholders</w:t>
      </w:r>
    </w:p>
    <w:p>
      <w:pPr>
        <w:spacing w:after="0" w:line="198"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Dividend declaration</w:t>
      </w:r>
    </w:p>
    <w:p>
      <w:pPr>
        <w:spacing w:after="0" w:line="189" w:lineRule="exact"/>
        <w:rPr>
          <w:sz w:val="20"/>
          <w:szCs w:val="20"/>
          <w:color w:val="auto"/>
        </w:rPr>
      </w:pPr>
    </w:p>
    <w:p>
      <w:pPr>
        <w:jc w:val="both"/>
        <w:ind w:left="700"/>
        <w:spacing w:after="0" w:line="342" w:lineRule="auto"/>
        <w:rPr>
          <w:sz w:val="20"/>
          <w:szCs w:val="20"/>
          <w:color w:val="auto"/>
        </w:rPr>
      </w:pPr>
      <w:r>
        <w:rPr>
          <w:rFonts w:ascii="Arial" w:cs="Arial" w:eastAsia="Arial" w:hAnsi="Arial"/>
          <w:sz w:val="16"/>
          <w:szCs w:val="16"/>
          <w:color w:val="auto"/>
        </w:rPr>
        <w:t>The Company expects to continue to maintain the payment of its quarterly dividend consistent with its past practices. We are sensitive to the needs of our long-time shareholders that utilize these funds to supplement their living expenses, especially in this low interest rate environment.</w:t>
      </w:r>
    </w:p>
    <w:p>
      <w:pPr>
        <w:spacing w:after="0" w:line="79"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Annual Meeting</w:t>
      </w:r>
    </w:p>
    <w:p>
      <w:pPr>
        <w:spacing w:after="0" w:line="202"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The Company held its Annual Meeting on April 16</w:t>
      </w:r>
      <w:r>
        <w:rPr>
          <w:rFonts w:ascii="Arial" w:cs="Arial" w:eastAsia="Arial" w:hAnsi="Arial"/>
          <w:sz w:val="15"/>
          <w:szCs w:val="15"/>
          <w:color w:val="auto"/>
        </w:rPr>
        <w:t>th</w:t>
      </w:r>
      <w:r>
        <w:rPr>
          <w:rFonts w:ascii="Arial" w:cs="Arial" w:eastAsia="Arial" w:hAnsi="Arial"/>
          <w:sz w:val="18"/>
          <w:szCs w:val="18"/>
          <w:color w:val="auto"/>
        </w:rPr>
        <w:t>; however, in light of the governmental restrictions the meeting was significantly different than in the past. There was no dinner, no presentation of 2019 or an outlook for 2020 and only a small group of directors and officers present. For the three items to be considered at the meeting, shareholders were asked to seriously consider not attending and vote by proxy. Over 80% of the shareholders voted by proxy.</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Communities</w:t>
      </w:r>
    </w:p>
    <w:p>
      <w:pPr>
        <w:spacing w:after="0" w:line="185"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Offices</w:t>
      </w:r>
    </w:p>
    <w:p>
      <w:pPr>
        <w:spacing w:after="0" w:line="202" w:lineRule="exact"/>
        <w:rPr>
          <w:sz w:val="20"/>
          <w:szCs w:val="20"/>
          <w:color w:val="auto"/>
        </w:rPr>
      </w:pPr>
    </w:p>
    <w:p>
      <w:pPr>
        <w:jc w:val="both"/>
        <w:ind w:left="700"/>
        <w:spacing w:after="0" w:line="263" w:lineRule="auto"/>
        <w:rPr>
          <w:sz w:val="20"/>
          <w:szCs w:val="20"/>
          <w:color w:val="auto"/>
        </w:rPr>
      </w:pPr>
      <w:r>
        <w:rPr>
          <w:rFonts w:ascii="Arial" w:cs="Arial" w:eastAsia="Arial" w:hAnsi="Arial"/>
          <w:sz w:val="18"/>
          <w:szCs w:val="18"/>
          <w:color w:val="auto"/>
        </w:rPr>
        <w:t>With the health of our employees and customers being our top concern, as of March 20</w:t>
      </w:r>
      <w:r>
        <w:rPr>
          <w:rFonts w:ascii="Arial" w:cs="Arial" w:eastAsia="Arial" w:hAnsi="Arial"/>
          <w:sz w:val="15"/>
          <w:szCs w:val="15"/>
          <w:color w:val="auto"/>
        </w:rPr>
        <w:t>th</w:t>
      </w:r>
      <w:r>
        <w:rPr>
          <w:rFonts w:ascii="Arial" w:cs="Arial" w:eastAsia="Arial" w:hAnsi="Arial"/>
          <w:sz w:val="18"/>
          <w:szCs w:val="18"/>
          <w:color w:val="auto"/>
        </w:rPr>
        <w:t>, the Bank temporarily suspended branch lobby hours to the public for walk-in transactions. Appointments can be made at branches to complete all needed paperwork and transactions. Drive-thru services remain open as well as all ATM’s and ITM’s to complete needed</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80" w:top="125" w:right="339" w:bottom="1440" w:gutter="0" w:footer="0" w:header="0"/>
        </w:sectPr>
      </w:pPr>
    </w:p>
    <w:bookmarkStart w:id="41" w:name="page42"/>
    <w:bookmarkEnd w:id="41"/>
    <w:p>
      <w:pPr>
        <w:ind w:right="1680" w:firstLine="49"/>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spacing w:after="0" w:line="342" w:lineRule="auto"/>
        <w:rPr>
          <w:sz w:val="20"/>
          <w:szCs w:val="20"/>
          <w:color w:val="auto"/>
        </w:rPr>
      </w:pPr>
      <w:r>
        <w:rPr>
          <w:rFonts w:ascii="Arial" w:cs="Arial" w:eastAsia="Arial" w:hAnsi="Arial"/>
          <w:sz w:val="16"/>
          <w:szCs w:val="16"/>
          <w:color w:val="auto"/>
        </w:rPr>
        <w:t>transactions. To assure branches remain open, employees have been divided into teams who rotate every three days to two weeks as a means to practice social distancing while limiting any possible exposure. Internal controls have not been significantly modified due to COVID-19.</w:t>
      </w:r>
    </w:p>
    <w:p>
      <w:pPr>
        <w:spacing w:after="0" w:line="93"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Small Business</w:t>
      </w:r>
    </w:p>
    <w:p>
      <w:pPr>
        <w:spacing w:after="0" w:line="189" w:lineRule="exact"/>
        <w:rPr>
          <w:sz w:val="20"/>
          <w:szCs w:val="20"/>
          <w:color w:val="auto"/>
        </w:rPr>
      </w:pPr>
    </w:p>
    <w:p>
      <w:pPr>
        <w:jc w:val="both"/>
        <w:ind w:left="760"/>
        <w:spacing w:after="0" w:line="291" w:lineRule="auto"/>
        <w:rPr>
          <w:sz w:val="20"/>
          <w:szCs w:val="20"/>
          <w:color w:val="auto"/>
        </w:rPr>
      </w:pPr>
      <w:r>
        <w:rPr>
          <w:rFonts w:ascii="Arial" w:cs="Arial" w:eastAsia="Arial" w:hAnsi="Arial"/>
          <w:sz w:val="16"/>
          <w:szCs w:val="16"/>
          <w:color w:val="auto"/>
        </w:rPr>
        <w:t>As a Small Business Administration (SBA) approved provider, the Bank was able to immediately participate in the SBA Paycheck Protection Program (PPP) established under the CARES Act, which was signed into law on March 27, 2020. The PPP will provide much needed assistance to businesses in our communities. The Bank has been able to present applications for around 496 small businesses which will provide approximately $69 million in needed funding. We are proud of the work our team has been able to do in a very short window. As of this writing, a second round of funding has become available and the Bank is working to submit applications. The Bank will continue to assist small businesses in applying for these funds. A final number is not yet available as it is a very fluid process. These forgivable loans to cover employee payroll, utilities and rent or interest on mortgage payments, will provide significant benefits to the communities we serve.</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Consumers</w:t>
      </w:r>
    </w:p>
    <w:p>
      <w:pPr>
        <w:spacing w:after="0" w:line="19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Home Loan</w:t>
      </w:r>
    </w:p>
    <w:p>
      <w:pPr>
        <w:spacing w:after="0" w:line="189"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With the Federal Reserve rate drops of 150 basis points in March (100 basis points of which was directly related to the effects of the virus on the economy), a surge in home loan activity has occurred. Much of the activity is refinance related and the Bank has experienced the highest amount of applications in its history, both in number of and dollar amount. Given the nature of the programs, the results will mostly be recorded in the second quarter. The Bank sells most of its home loans into the secondary market through Freddie Mac.</w:t>
      </w:r>
    </w:p>
    <w:p>
      <w:pPr>
        <w:spacing w:after="0" w:line="131"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Existing loans on our books for which the Bank has received inquiries into forbearance agreements, totaled over 100 as of April 15</w:t>
      </w:r>
      <w:r>
        <w:rPr>
          <w:rFonts w:ascii="Arial" w:cs="Arial" w:eastAsia="Arial" w:hAnsi="Arial"/>
          <w:sz w:val="14"/>
          <w:szCs w:val="14"/>
          <w:color w:val="auto"/>
        </w:rPr>
        <w:t>th</w:t>
      </w:r>
      <w:r>
        <w:rPr>
          <w:rFonts w:ascii="Arial" w:cs="Arial" w:eastAsia="Arial" w:hAnsi="Arial"/>
          <w:sz w:val="17"/>
          <w:szCs w:val="17"/>
          <w:color w:val="auto"/>
        </w:rPr>
        <w:t>. Of these inquiries, 78 customers entered into agreements totaling just over $7.65 million. 24 loans are in-house making up $1.86 million in principal balance and 54 are secondary market loans which we service with balances totaling $5.8 million. Some inquiries were only for possible future requests. We remain ready to assist our customers through this difficult time in the best manner possible.</w:t>
      </w:r>
    </w:p>
    <w:p>
      <w:pPr>
        <w:spacing w:after="0" w:line="140"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Retail Loans</w:t>
      </w:r>
    </w:p>
    <w:p>
      <w:pPr>
        <w:spacing w:after="0" w:line="189"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The Bank is offering its “Skip-a-pay” program to consumers with installment loans, which allows the customer to skip the payment and extend the maturity of the contract for the payment period. We are allowing two payments to be skipped upon request with an additional one possible at the end of the initial request upon review. Normally, the Bank would charge a fee for this program – the fee has been waived. The Bank would also normally require the interest for the period to be collected and that requirement is currently waived. Interest is a part of the extended maturity payments. We have assisted 101 customers currently with loan balances totaling almost $1.4 million. 73 of those customers have returned the extension documents representing over $1.0 million and 141 extended months.</w:t>
      </w:r>
    </w:p>
    <w:p>
      <w:pPr>
        <w:spacing w:after="0" w:line="137"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Waiving of late payment fees for our customers was instigated on March 16, 2020. As of April 15</w:t>
      </w:r>
      <w:r>
        <w:rPr>
          <w:rFonts w:ascii="Arial" w:cs="Arial" w:eastAsia="Arial" w:hAnsi="Arial"/>
          <w:sz w:val="15"/>
          <w:szCs w:val="15"/>
          <w:color w:val="auto"/>
        </w:rPr>
        <w:t>th</w:t>
      </w:r>
      <w:r>
        <w:rPr>
          <w:rFonts w:ascii="Arial" w:cs="Arial" w:eastAsia="Arial" w:hAnsi="Arial"/>
          <w:sz w:val="18"/>
          <w:szCs w:val="18"/>
          <w:color w:val="auto"/>
        </w:rPr>
        <w:t>, the Bank has foregone fees of $63.3 thousand on loans to help our customers. As a community bank, it is by definition what we should do.</w:t>
      </w:r>
    </w:p>
    <w:p>
      <w:pPr>
        <w:spacing w:after="0" w:line="13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Depositors</w:t>
      </w:r>
    </w:p>
    <w:p>
      <w:pPr>
        <w:spacing w:after="0" w:line="189" w:lineRule="exact"/>
        <w:rPr>
          <w:sz w:val="20"/>
          <w:szCs w:val="20"/>
          <w:color w:val="auto"/>
        </w:rPr>
      </w:pPr>
    </w:p>
    <w:p>
      <w:pPr>
        <w:jc w:val="both"/>
        <w:ind w:left="760"/>
        <w:spacing w:after="0" w:line="290" w:lineRule="auto"/>
        <w:rPr>
          <w:sz w:val="20"/>
          <w:szCs w:val="20"/>
          <w:color w:val="auto"/>
        </w:rPr>
      </w:pPr>
      <w:r>
        <w:rPr>
          <w:rFonts w:ascii="Arial" w:cs="Arial" w:eastAsia="Arial" w:hAnsi="Arial"/>
          <w:sz w:val="16"/>
          <w:szCs w:val="16"/>
          <w:color w:val="auto"/>
        </w:rPr>
        <w:t>The Bank’s most popular checking account, which includes requirements to earn a reward, has removed the requirement of debit card transactions to be completed during a cycle. In the Bank’s geographical area, the states have issued “stay at home” guidelines and many of our customers were concerned with being able to complete the requirement. The debit card transaction requirement has been waived for the cycles representing the activity for April and May. This impacted almost 11.5 thousand accounts and representing over $90.8 million in average account balances. The product includes the option of attaching a savings account for which the same requirements have been waived and impacts an additional almost 7 thousand accounts and $107.7 million in average account balances, calculated as of the cycle ended March 31</w:t>
      </w:r>
      <w:r>
        <w:rPr>
          <w:rFonts w:ascii="Arial" w:cs="Arial" w:eastAsia="Arial" w:hAnsi="Arial"/>
          <w:sz w:val="13"/>
          <w:szCs w:val="13"/>
          <w:color w:val="auto"/>
        </w:rPr>
        <w:t>st</w:t>
      </w:r>
      <w:r>
        <w:rPr>
          <w:rFonts w:ascii="Arial" w:cs="Arial" w:eastAsia="Arial" w:hAnsi="Arial"/>
          <w:sz w:val="16"/>
          <w:szCs w:val="16"/>
          <w:color w:val="auto"/>
        </w:rPr>
        <w:t>. Overall, typically 80-85% of our customers meet all the requirements. The waiving of the debit card transactions will likely allow those customers to receive the reward and possibly an additional 77.5% of the previous non-qualifiers that represented the other 15-20% in total.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69"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Employees</w:t>
      </w:r>
    </w:p>
    <w:p>
      <w:pPr>
        <w:spacing w:after="0" w:line="202"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The Bank has committed to continue paying employees their full pay during this unprecedented time. Accumulated PTO and vacation time have been frozen and are not required to be used to receive full pay. The Bank continues to promote social distancing by encouraging employees who can work remotely to do so and in other cases, departments have been dispersed to keep the team separated. As of April 1</w:t>
      </w:r>
      <w:r>
        <w:rPr>
          <w:rFonts w:ascii="Arial" w:cs="Arial" w:eastAsia="Arial" w:hAnsi="Arial"/>
          <w:sz w:val="14"/>
          <w:szCs w:val="14"/>
          <w:color w:val="auto"/>
        </w:rPr>
        <w:t>st</w:t>
      </w:r>
      <w:r>
        <w:rPr>
          <w:rFonts w:ascii="Arial" w:cs="Arial" w:eastAsia="Arial" w:hAnsi="Arial"/>
          <w:sz w:val="17"/>
          <w:szCs w:val="17"/>
          <w:color w:val="auto"/>
        </w:rPr>
        <w:t>, the Bank is following The Families First Coronavirus Response Act (FFCRA) which requires employers to provide their employees with paid sick leave and extended family and medical leave for specified reasons related to COVID-19. These provisions are in effect until December 31, 2020. Qualifying reasons for leave related to COVID-19 include the employee: (1) being subject to a quarantine order, (2) being advised by a healthcare provider to self-quarantine, (3) experiencing COVID-19 systems and is seeking a medical diagnosis, (4) caring for an individual subject to a quarantine order, (5) caring for his or her child whose school or place of care is closed or (6) experiencing any other substantially-similar condition specified by the U.S. Department of Health and Human Services. All time off related to the above reasons is being separately documented within our time and attendance system. The Bank will be able to reduce its employer tax for up to two weeks (80 hours, or a part-time employee’s two-week equivalent).</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Financial – Exposures</w:t>
      </w:r>
    </w:p>
    <w:p>
      <w:pPr>
        <w:spacing w:after="0" w:line="189" w:lineRule="exact"/>
        <w:rPr>
          <w:sz w:val="20"/>
          <w:szCs w:val="20"/>
          <w:color w:val="auto"/>
        </w:rPr>
      </w:pPr>
    </w:p>
    <w:p>
      <w:pPr>
        <w:jc w:val="both"/>
        <w:ind w:left="760"/>
        <w:spacing w:after="0" w:line="287" w:lineRule="auto"/>
        <w:rPr>
          <w:sz w:val="20"/>
          <w:szCs w:val="20"/>
          <w:color w:val="auto"/>
        </w:rPr>
      </w:pPr>
      <w:r>
        <w:rPr>
          <w:rFonts w:ascii="Arial" w:cs="Arial" w:eastAsia="Arial" w:hAnsi="Arial"/>
          <w:sz w:val="16"/>
          <w:szCs w:val="16"/>
          <w:color w:val="333333"/>
        </w:rPr>
        <w:t xml:space="preserve">Given the timing of the outbreak in the United States of the COVID-19 pandemic, management believes that the main impact on the Company’s first quarter performance </w:t>
      </w:r>
      <w:r>
        <w:rPr>
          <w:rFonts w:ascii="Arial" w:cs="Arial" w:eastAsia="Arial" w:hAnsi="Arial"/>
          <w:sz w:val="16"/>
          <w:szCs w:val="16"/>
          <w:color w:val="000000"/>
        </w:rPr>
        <w:t>was a factor in the economic qualitative adjustment for the calculation of the allowance for loan loss. Subsequently the</w:t>
      </w:r>
      <w:r>
        <w:rPr>
          <w:rFonts w:ascii="Arial" w:cs="Arial" w:eastAsia="Arial" w:hAnsi="Arial"/>
          <w:sz w:val="16"/>
          <w:szCs w:val="16"/>
          <w:color w:val="333333"/>
        </w:rPr>
        <w:t xml:space="preserve"> </w:t>
      </w:r>
      <w:r>
        <w:rPr>
          <w:rFonts w:ascii="Arial" w:cs="Arial" w:eastAsia="Arial" w:hAnsi="Arial"/>
          <w:sz w:val="16"/>
          <w:szCs w:val="16"/>
          <w:color w:val="000000"/>
        </w:rPr>
        <w:t xml:space="preserve">loan loss </w:t>
      </w:r>
      <w:r>
        <w:rPr>
          <w:rFonts w:ascii="Arial" w:cs="Arial" w:eastAsia="Arial" w:hAnsi="Arial"/>
          <w:sz w:val="16"/>
          <w:szCs w:val="16"/>
          <w:color w:val="333333"/>
        </w:rPr>
        <w:t>provision</w:t>
      </w:r>
      <w:r>
        <w:rPr>
          <w:rFonts w:ascii="Arial" w:cs="Arial" w:eastAsia="Arial" w:hAnsi="Arial"/>
          <w:sz w:val="16"/>
          <w:szCs w:val="16"/>
          <w:color w:val="000000"/>
        </w:rPr>
        <w:t xml:space="preserve"> was increased which also included an increase due to loan growth</w:t>
      </w:r>
      <w:r>
        <w:rPr>
          <w:rFonts w:ascii="Arial" w:cs="Arial" w:eastAsia="Arial" w:hAnsi="Arial"/>
          <w:sz w:val="16"/>
          <w:szCs w:val="16"/>
          <w:color w:val="333333"/>
        </w:rPr>
        <w:t>. The COVID-19 pandemic represents an unprecedented</w:t>
      </w:r>
      <w:r>
        <w:rPr>
          <w:rFonts w:ascii="Arial" w:cs="Arial" w:eastAsia="Arial" w:hAnsi="Arial"/>
          <w:sz w:val="16"/>
          <w:szCs w:val="16"/>
          <w:color w:val="000000"/>
        </w:rPr>
        <w:t xml:space="preserve"> </w:t>
      </w:r>
      <w:r>
        <w:rPr>
          <w:rFonts w:ascii="Arial" w:cs="Arial" w:eastAsia="Arial" w:hAnsi="Arial"/>
          <w:sz w:val="16"/>
          <w:szCs w:val="16"/>
          <w:color w:val="333333"/>
        </w:rPr>
        <w:t xml:space="preserve">challenge to the global economy in general and the financial services sector in particular. However, there is still significant uncertainty regarding the overall length of the pandemic and the aggregate impact that it will have on global and regional economies, including uncertainties regarding the potential positive effects of governmental actions taken in response to the pandemic during the latter portion of the first quarter of 2020 and into April. With so much uncertainty, it is impossible for the Bank to accurately predict the impact that the pandemic will have on the Company’s primary markets and the overall extent to which it will affect the Company’s financial condition and results of operations during the remainder of the current fiscal year. At a minimum, the actions taken by the Company to assist its customers experiencing challenges from the pandemic, such as through the Bank’s </w:t>
      </w:r>
      <w:r>
        <w:rPr>
          <w:rFonts w:ascii="Arial" w:cs="Arial" w:eastAsia="Arial" w:hAnsi="Arial"/>
          <w:sz w:val="16"/>
          <w:szCs w:val="16"/>
          <w:color w:val="000000"/>
        </w:rPr>
        <w:t>“Skip-a-pay” program, the waiver of late payment fees, and the entry into loan forbearance agreements,</w:t>
      </w:r>
      <w:r>
        <w:rPr>
          <w:rFonts w:ascii="Arial" w:cs="Arial" w:eastAsia="Arial" w:hAnsi="Arial"/>
          <w:sz w:val="16"/>
          <w:szCs w:val="16"/>
          <w:color w:val="333333"/>
        </w:rPr>
        <w:t xml:space="preserve"> </w:t>
      </w:r>
      <w:r>
        <w:rPr>
          <w:rFonts w:ascii="Arial" w:cs="Arial" w:eastAsia="Arial" w:hAnsi="Arial"/>
          <w:sz w:val="16"/>
          <w:szCs w:val="16"/>
          <w:color w:val="000000"/>
        </w:rPr>
        <w:t>will likely have a material impact on the Company’s second quarter performance. Nonetheless, management believes that the Company’s current regulatory capital position is adequate to face the coming challenges</w:t>
      </w:r>
    </w:p>
    <w:p>
      <w:pPr>
        <w:spacing w:after="0" w:line="141"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333333"/>
        </w:rPr>
        <w:t>The Company has a limited exposure to many sectors of the economy that will likely be impacted for an extended period such as the travel, restaurant, hospitality, energy and retail industries. The Bank does not have any direct exposure to the energy industry and hotels and food related businesses are less than 10% of our overall loan portfolio as shown in the chart which follows. In addition, the Bank’s hotel customers are financially strong business owners, operating brand name hotels in compelling locations. The Bank has increased its provision for loan losses in the current quarter by over $1 million, as have many other financial institutions. The Bank is fully prepared to make additional provisions as warranted by the COVID-19 situation.</w:t>
      </w:r>
    </w:p>
    <w:p>
      <w:pPr>
        <w:spacing w:after="0" w:line="15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333333"/>
        </w:rPr>
        <w:t>The Company’s management team has evaluated its exposure to increased loan losses related to the COVID-19 pandemic and has identified the following industry segments most impacted by the pandemic as of March 31, 2020: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ind w:right="172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Percent of</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Total Loans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Percent of</w:t>
            </w: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Three Months</w:t>
            </w: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Adjusted with</w:t>
            </w:r>
          </w:p>
        </w:tc>
        <w:tc>
          <w:tcPr>
            <w:tcW w:w="10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Three Months</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Total Loans</w:t>
            </w:r>
          </w:p>
        </w:tc>
        <w:tc>
          <w:tcPr>
            <w:tcW w:w="0" w:type="dxa"/>
            <w:vAlign w:val="bottom"/>
          </w:tcPr>
          <w:p>
            <w:pPr>
              <w:spacing w:after="0"/>
              <w:rPr>
                <w:sz w:val="1"/>
                <w:szCs w:val="1"/>
                <w:color w:val="auto"/>
              </w:rPr>
            </w:pPr>
          </w:p>
        </w:tc>
      </w:tr>
      <w:tr>
        <w:trPr>
          <w:trHeight w:val="216"/>
        </w:trPr>
        <w:tc>
          <w:tcPr>
            <w:tcW w:w="2420" w:type="dxa"/>
            <w:vAlign w:val="bottom"/>
            <w:gridSpan w:val="2"/>
          </w:tcPr>
          <w:p>
            <w:pPr>
              <w:ind w:left="440"/>
              <w:spacing w:after="0"/>
              <w:rPr>
                <w:sz w:val="20"/>
                <w:szCs w:val="20"/>
                <w:color w:val="auto"/>
              </w:rPr>
            </w:pPr>
            <w:r>
              <w:rPr>
                <w:rFonts w:ascii="Arial" w:cs="Arial" w:eastAsia="Arial" w:hAnsi="Arial"/>
                <w:sz w:val="18"/>
                <w:szCs w:val="18"/>
                <w:color w:val="auto"/>
              </w:rPr>
              <w:t>Industry Segments</w:t>
            </w:r>
          </w:p>
        </w:tc>
        <w:tc>
          <w:tcPr>
            <w:tcW w:w="20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color w:val="auto"/>
              </w:rPr>
              <w:t>Outstanding</w:t>
            </w: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Total Loan</w:t>
            </w: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Full Payment</w:t>
            </w: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rPr>
              <w:t>Full</w:t>
            </w:r>
          </w:p>
        </w:tc>
        <w:tc>
          <w:tcPr>
            <w:tcW w:w="10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Interest Only</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Adjusted with</w:t>
            </w:r>
          </w:p>
        </w:tc>
        <w:tc>
          <w:tcPr>
            <w:tcW w:w="0" w:type="dxa"/>
            <w:vAlign w:val="bottom"/>
          </w:tcPr>
          <w:p>
            <w:pPr>
              <w:spacing w:after="0"/>
              <w:rPr>
                <w:sz w:val="1"/>
                <w:szCs w:val="1"/>
                <w:color w:val="auto"/>
              </w:rPr>
            </w:pPr>
          </w:p>
        </w:tc>
      </w:tr>
      <w:tr>
        <w:trPr>
          <w:trHeight w:val="230"/>
        </w:trPr>
        <w:tc>
          <w:tcPr>
            <w:tcW w:w="22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(Dollars in Thousands)</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Loan Balance</w:t>
            </w:r>
          </w:p>
        </w:tc>
        <w:tc>
          <w:tcPr>
            <w:tcW w:w="3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Portfolio</w:t>
            </w:r>
          </w:p>
        </w:tc>
        <w:tc>
          <w:tcPr>
            <w:tcW w:w="3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Deferment</w:t>
            </w:r>
          </w:p>
        </w:tc>
        <w:tc>
          <w:tcPr>
            <w:tcW w:w="28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Deferment</w:t>
            </w:r>
          </w:p>
        </w:tc>
        <w:tc>
          <w:tcPr>
            <w:tcW w:w="3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7"/>
              </w:rPr>
              <w:t>Modifications</w:t>
            </w:r>
          </w:p>
        </w:tc>
        <w:tc>
          <w:tcPr>
            <w:tcW w:w="3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Interest Only</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Hospitality (Hotels)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69,313</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22,468</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29"/>
        </w:trPr>
        <w:tc>
          <w:tcPr>
            <w:tcW w:w="2420" w:type="dxa"/>
            <w:vAlign w:val="bottom"/>
            <w:gridSpan w:val="2"/>
          </w:tcPr>
          <w:p>
            <w:pPr>
              <w:spacing w:after="0"/>
              <w:rPr>
                <w:sz w:val="20"/>
                <w:szCs w:val="20"/>
                <w:color w:val="auto"/>
              </w:rPr>
            </w:pPr>
            <w:r>
              <w:rPr>
                <w:rFonts w:ascii="Arial" w:cs="Arial" w:eastAsia="Arial" w:hAnsi="Arial"/>
                <w:sz w:val="18"/>
                <w:szCs w:val="18"/>
                <w:color w:val="auto"/>
              </w:rPr>
              <w:t>Restaurants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16,286</w:t>
            </w: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2,065</w:t>
            </w: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2,892</w:t>
            </w:r>
          </w:p>
        </w:tc>
        <w:tc>
          <w:tcPr>
            <w:tcW w:w="3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5"/>
        </w:trPr>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Retail Commercial</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Real Estate *</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108,050</w:t>
            </w: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5,468</w:t>
            </w:r>
          </w:p>
        </w:tc>
        <w:tc>
          <w:tcPr>
            <w:tcW w:w="2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40.85%</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28,096</w:t>
            </w: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29"/>
        </w:trPr>
        <w:tc>
          <w:tcPr>
            <w:tcW w:w="242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22,680</w:t>
            </w: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1,303</w:t>
            </w: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Car Dealers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25,823</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9"/>
        </w:trPr>
        <w:tc>
          <w:tcPr>
            <w:tcW w:w="2420" w:type="dxa"/>
            <w:vAlign w:val="bottom"/>
            <w:gridSpan w:val="2"/>
          </w:tcPr>
          <w:p>
            <w:pPr>
              <w:spacing w:after="0"/>
              <w:rPr>
                <w:sz w:val="20"/>
                <w:szCs w:val="20"/>
                <w:color w:val="auto"/>
              </w:rPr>
            </w:pPr>
            <w:r>
              <w:rPr>
                <w:rFonts w:ascii="Arial" w:cs="Arial" w:eastAsia="Arial" w:hAnsi="Arial"/>
                <w:sz w:val="18"/>
                <w:szCs w:val="18"/>
                <w:color w:val="auto"/>
              </w:rPr>
              <w:t>Gas Stations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19,491</w:t>
            </w: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10,361</w:t>
            </w:r>
          </w:p>
        </w:tc>
        <w:tc>
          <w:tcPr>
            <w:tcW w:w="3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4,551</w:t>
            </w: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31,074</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gridSpan w:val="2"/>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261,643</w:t>
            </w: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20.95%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13,387</w:t>
            </w: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94,891</w:t>
            </w:r>
          </w:p>
        </w:tc>
        <w:tc>
          <w:tcPr>
            <w:tcW w:w="3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420" w:type="dxa"/>
            <w:vAlign w:val="bottom"/>
            <w:gridSpan w:val="2"/>
          </w:tcPr>
          <w:p>
            <w:pPr>
              <w:spacing w:after="0"/>
              <w:rPr>
                <w:sz w:val="20"/>
                <w:szCs w:val="20"/>
                <w:color w:val="auto"/>
              </w:rPr>
            </w:pPr>
            <w:r>
              <w:rPr>
                <w:rFonts w:ascii="Arial" w:cs="Arial" w:eastAsia="Arial" w:hAnsi="Arial"/>
                <w:sz w:val="18"/>
                <w:szCs w:val="18"/>
                <w:color w:val="auto"/>
              </w:rPr>
              <w:t># of Customers</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*Includes Owner Occupied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Report on Adjusted Loans as of April 6, 2020</w:t>
      </w:r>
    </w:p>
    <w:p>
      <w:pPr>
        <w:spacing w:after="0" w:line="251"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Additional information, on the chart depicting the commercial loan payment modification summary above, is of the largest amounts in the Other line item. Under the full payment deferment, Other includes $2.2 million of multi-family real estate and under the interest-only deferment, it includes car washes of $5 million and $16.6 million of industrial commercial real estate.</w:t>
      </w:r>
    </w:p>
    <w:p>
      <w:pPr>
        <w:spacing w:after="0" w:line="143"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Our credit administration is closely monitoring and analyzing these higher risk segments within the loan portfolio, tracking loan payment deferrals, customer liquidity and providing timely reports to senior management and the board of directors. Based on the Company’s capital levels, prudent underwriting policies, loan concentration diversification and our geographic footprint, we expect to be able to manage the economic risks and uncertainties associated with the pandemic and remain adequately capitalized.</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NATURE OF ACTIVITIES</w:t>
      </w:r>
    </w:p>
    <w:p>
      <w:pPr>
        <w:spacing w:after="0" w:line="18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Farmers &amp; Merchants Bancorp, Inc. (the “Company”) is a financial holding company incorporated under the laws of Ohio in 1985. Our subsidiaries are The Farmers &amp; Merchants State Bank (the “Bank”), a community bank operating in Northwest Ohio since 1897, and Farmers &amp; Merchants Risk Management, Inc., a captive insurance company formed in December 2014 and located in Nevada. We report our financial condition and net income on a consolidated basis and we have only one segment.</w:t>
      </w:r>
    </w:p>
    <w:p>
      <w:pPr>
        <w:spacing w:after="0" w:line="146"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Our executive offices are located at 307 North Defiance Street, Archbold, Ohio 43502, and our telephone number is (419) 446-2501. The Bank operates thirty full service banking offices throughout Northwest Ohio and Northeast Indiana.</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On January 1, 2019, six offices of Bank of Geneva, located in the Indiana counties of Adams, Allen and Jay, were merged with and into The Farmers &amp; Merchants State Bank. The Bank has continued its expansion strategy and the new offices are expected to provide new growth opportunities.</w:t>
      </w:r>
    </w:p>
    <w:p>
      <w:pPr>
        <w:spacing w:after="0" w:line="143"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Because the Bank's offices are located in Northwest Ohio and Northeast Indiana, a substantial amount of the loan portfolio is comprised of loans made to customers in the farming industry for such items as farm land, farm equipment, livestock and operating loans for seed, fertilizer, and feed. Other types of lending activities include loans for home improvements, and loans for the purchase of autos, trucks, recreational vehicles, motorcycles, and other consumer goods.</w:t>
      </w:r>
    </w:p>
    <w:p>
      <w:pPr>
        <w:spacing w:after="0" w:line="137"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Over the past couple of years, the Bank has updated its consumer offerings with “Secure” and “Pure” checking in 2014 and with KASASA Cash Back in 2015. During the second quarter 2017, new business checking products were announced and existing business accounts were converted to one of three new products, Business Essential, Edge or Elite. The new products provided customers with new options to bundle services and for the Bank to utilize the full relationship to determine pricing. This was the next step of implementation for the Bank’s “earn to free” strategic initiative. During second quarter 2019, “Smart 25” checking and Business Money Market savings products were launched. Upgrades to our digital products and services continue to occur in both retail and business lines.</w:t>
      </w:r>
    </w:p>
    <w:p>
      <w:pPr>
        <w:spacing w:after="0" w:line="155"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fixed rate mortgage after which the interest rate will adjust annually. The majority of the Bank's adjustable rate mortgages are of this type.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a broker.</w:t>
      </w:r>
    </w:p>
    <w:p>
      <w:pPr>
        <w:spacing w:after="0" w:line="14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130"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Consumer Loans:</w:t>
      </w:r>
    </w:p>
    <w:p>
      <w:pPr>
        <w:spacing w:after="0" w:line="23" w:lineRule="exact"/>
        <w:rPr>
          <w:sz w:val="20"/>
          <w:szCs w:val="20"/>
          <w:color w:val="auto"/>
        </w:rPr>
      </w:pPr>
    </w:p>
    <w:p>
      <w:pPr>
        <w:ind w:left="1500" w:hanging="372"/>
        <w:spacing w:after="0"/>
        <w:tabs>
          <w:tab w:leader="none" w:pos="1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Maximum loan to value (LTV) for cars, trucks and light trucks vary from 90% to 110% depending on whether direct or indirect.</w:t>
      </w:r>
    </w:p>
    <w:p>
      <w:pPr>
        <w:spacing w:after="0" w:line="20" w:lineRule="exact"/>
        <w:rPr>
          <w:rFonts w:ascii="Arial" w:cs="Arial" w:eastAsia="Arial" w:hAnsi="Arial"/>
          <w:sz w:val="17"/>
          <w:szCs w:val="17"/>
          <w:color w:val="auto"/>
        </w:rPr>
      </w:pPr>
    </w:p>
    <w:p>
      <w:pPr>
        <w:ind w:left="1500" w:hanging="372"/>
        <w:spacing w:after="0"/>
        <w:tabs>
          <w:tab w:leader="none" w:pos="1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Loans above 100% are generally the result of additional charges for extended warranties and/or insurance coverage for wage or death.</w:t>
      </w:r>
    </w:p>
    <w:p>
      <w:pPr>
        <w:spacing w:after="0" w:line="32" w:lineRule="exact"/>
        <w:rPr>
          <w:rFonts w:ascii="Arial" w:cs="Arial" w:eastAsia="Arial" w:hAnsi="Arial"/>
          <w:sz w:val="16"/>
          <w:szCs w:val="16"/>
          <w:color w:val="auto"/>
        </w:rPr>
      </w:pPr>
    </w:p>
    <w:p>
      <w:pPr>
        <w:ind w:left="1500" w:hanging="372"/>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spacing w:after="0" w:line="9" w:lineRule="exact"/>
        <w:rPr>
          <w:rFonts w:ascii="Arial" w:cs="Arial" w:eastAsia="Arial" w:hAnsi="Arial"/>
          <w:sz w:val="18"/>
          <w:szCs w:val="18"/>
          <w:color w:val="auto"/>
        </w:rPr>
      </w:pPr>
    </w:p>
    <w:p>
      <w:pPr>
        <w:ind w:left="1500" w:hanging="372"/>
        <w:spacing w:after="0" w:line="250" w:lineRule="auto"/>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1st or 2nd mortgages on 1-4 family homes range from 75%-90% with "in-house" first real estate mortgages requiring private mortgage insurance on those exceeding 80% LTV.</w:t>
      </w:r>
    </w:p>
    <w:p>
      <w:pPr>
        <w:ind w:left="1500" w:hanging="372"/>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Commercial/Agriculture/Real Estate:</w:t>
      </w:r>
    </w:p>
    <w:p>
      <w:pPr>
        <w:spacing w:after="0" w:line="23" w:lineRule="exact"/>
        <w:rPr>
          <w:sz w:val="20"/>
          <w:szCs w:val="20"/>
          <w:color w:val="auto"/>
        </w:rPr>
      </w:pPr>
    </w:p>
    <w:p>
      <w:pPr>
        <w:ind w:left="1500" w:hanging="372"/>
        <w:spacing w:after="0"/>
        <w:tabs>
          <w:tab w:leader="none" w:pos="1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spacing w:after="0" w:line="9" w:lineRule="exact"/>
        <w:rPr>
          <w:rFonts w:ascii="Arial" w:cs="Arial" w:eastAsia="Arial" w:hAnsi="Arial"/>
          <w:sz w:val="18"/>
          <w:szCs w:val="18"/>
          <w:color w:val="auto"/>
        </w:rPr>
      </w:pPr>
    </w:p>
    <w:p>
      <w:pPr>
        <w:ind w:left="1500" w:hanging="372"/>
        <w:spacing w:after="0"/>
        <w:tabs>
          <w:tab w:leader="none" w:pos="1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Accounts Receivable: Up to 80% LTV less retainages and greater than 90 days.</w:t>
      </w:r>
    </w:p>
    <w:p>
      <w:pPr>
        <w:spacing w:after="0" w:line="9" w:lineRule="exact"/>
        <w:rPr>
          <w:rFonts w:ascii="Arial" w:cs="Arial" w:eastAsia="Arial" w:hAnsi="Arial"/>
          <w:sz w:val="18"/>
          <w:szCs w:val="18"/>
          <w:color w:val="auto"/>
        </w:rPr>
      </w:pPr>
    </w:p>
    <w:p>
      <w:pPr>
        <w:ind w:left="1500" w:hanging="372"/>
        <w:spacing w:after="0"/>
        <w:tabs>
          <w:tab w:leader="none" w:pos="1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Maximum LTV on non-traditional loan up to 85%.</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w:t>
      </w:r>
    </w:p>
    <w:p>
      <w:pPr>
        <w:spacing w:after="0" w:line="23" w:lineRule="exact"/>
        <w:rPr>
          <w:sz w:val="20"/>
          <w:szCs w:val="20"/>
          <w:color w:val="auto"/>
        </w:rPr>
      </w:pPr>
    </w:p>
    <w:p>
      <w:pPr>
        <w:ind w:left="1500" w:hanging="372"/>
        <w:spacing w:after="0"/>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Agriculture:</w:t>
      </w:r>
    </w:p>
    <w:p>
      <w:pPr>
        <w:spacing w:after="0" w:line="211" w:lineRule="exact"/>
        <w:rPr>
          <w:sz w:val="20"/>
          <w:szCs w:val="20"/>
          <w:color w:val="auto"/>
        </w:rPr>
      </w:pPr>
    </w:p>
    <w:p>
      <w:pPr>
        <w:ind w:left="1500" w:hanging="372"/>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w:t>
      </w:r>
    </w:p>
    <w:p>
      <w:pPr>
        <w:spacing w:after="0" w:line="225" w:lineRule="exact"/>
        <w:rPr>
          <w:sz w:val="20"/>
          <w:szCs w:val="20"/>
          <w:color w:val="auto"/>
        </w:rPr>
      </w:pPr>
    </w:p>
    <w:p>
      <w:pPr>
        <w:ind w:left="1500" w:hanging="372"/>
        <w:spacing w:after="0"/>
        <w:tabs>
          <w:tab w:leader="none" w:pos="1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Floor plan:</w:t>
      </w:r>
    </w:p>
    <w:p>
      <w:pPr>
        <w:spacing w:after="0" w:line="16" w:lineRule="exact"/>
        <w:rPr>
          <w:sz w:val="20"/>
          <w:szCs w:val="20"/>
          <w:color w:val="auto"/>
        </w:rPr>
      </w:pPr>
    </w:p>
    <w:p>
      <w:pPr>
        <w:ind w:left="2240" w:hanging="369"/>
        <w:spacing w:after="0"/>
        <w:tabs>
          <w:tab w:leader="none" w:pos="2240" w:val="left"/>
        </w:tabs>
        <w:numPr>
          <w:ilvl w:val="0"/>
          <w:numId w:val="20"/>
        </w:numPr>
        <w:rPr>
          <w:rFonts w:ascii="Courier New" w:cs="Courier New" w:eastAsia="Courier New" w:hAnsi="Courier New"/>
          <w:sz w:val="18"/>
          <w:szCs w:val="18"/>
          <w:color w:val="auto"/>
        </w:rPr>
      </w:pPr>
      <w:r>
        <w:rPr>
          <w:rFonts w:ascii="Arial" w:cs="Arial" w:eastAsia="Arial" w:hAnsi="Arial"/>
          <w:sz w:val="18"/>
          <w:szCs w:val="18"/>
          <w:color w:val="auto"/>
        </w:rPr>
        <w:t>New/used vehicles to 100% of wholesale.</w:t>
      </w:r>
    </w:p>
    <w:p>
      <w:pPr>
        <w:ind w:left="2240" w:hanging="369"/>
        <w:spacing w:after="0" w:line="232" w:lineRule="auto"/>
        <w:tabs>
          <w:tab w:leader="none" w:pos="2240" w:val="left"/>
        </w:tabs>
        <w:numPr>
          <w:ilvl w:val="0"/>
          <w:numId w:val="20"/>
        </w:numPr>
        <w:rPr>
          <w:rFonts w:ascii="Courier New" w:cs="Courier New" w:eastAsia="Courier New" w:hAnsi="Courier New"/>
          <w:sz w:val="18"/>
          <w:szCs w:val="18"/>
          <w:color w:val="auto"/>
        </w:rPr>
      </w:pPr>
      <w:r>
        <w:rPr>
          <w:rFonts w:ascii="Arial" w:cs="Arial" w:eastAsia="Arial" w:hAnsi="Arial"/>
          <w:sz w:val="18"/>
          <w:szCs w:val="18"/>
          <w:color w:val="auto"/>
        </w:rPr>
        <w:t>New/Used recreational vehicles and manufactured homes to 80% of wholesale.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Equipment:</w:t>
      </w:r>
    </w:p>
    <w:p>
      <w:pPr>
        <w:spacing w:after="0" w:line="23" w:lineRule="exact"/>
        <w:rPr>
          <w:sz w:val="20"/>
          <w:szCs w:val="20"/>
          <w:color w:val="auto"/>
        </w:rPr>
      </w:pPr>
    </w:p>
    <w:p>
      <w:pPr>
        <w:ind w:left="1500" w:hanging="372"/>
        <w:spacing w:after="0"/>
        <w:tabs>
          <w:tab w:leader="none" w:pos="1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not to exceed 80% of invoice, used NTE 50% of listed book or 75% of appraised value.</w:t>
      </w:r>
    </w:p>
    <w:p>
      <w:pPr>
        <w:spacing w:after="0" w:line="9" w:lineRule="exact"/>
        <w:rPr>
          <w:rFonts w:ascii="Arial" w:cs="Arial" w:eastAsia="Arial" w:hAnsi="Arial"/>
          <w:sz w:val="18"/>
          <w:szCs w:val="18"/>
          <w:color w:val="auto"/>
        </w:rPr>
      </w:pPr>
    </w:p>
    <w:p>
      <w:pPr>
        <w:ind w:left="1500" w:hanging="372"/>
        <w:spacing w:after="0"/>
        <w:tabs>
          <w:tab w:leader="none" w:pos="1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spacing w:after="0" w:line="9" w:lineRule="exact"/>
        <w:rPr>
          <w:rFonts w:ascii="Arial" w:cs="Arial" w:eastAsia="Arial" w:hAnsi="Arial"/>
          <w:sz w:val="18"/>
          <w:szCs w:val="18"/>
          <w:color w:val="auto"/>
        </w:rPr>
      </w:pPr>
    </w:p>
    <w:p>
      <w:pPr>
        <w:ind w:left="1500" w:hanging="372"/>
        <w:spacing w:after="0"/>
        <w:tabs>
          <w:tab w:leader="none" w:pos="1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Heavy trucks, titled trailers up to NTE 75% LTV and aircraft up to 75% of appraised value.</w:t>
      </w:r>
    </w:p>
    <w:p>
      <w:pPr>
        <w:spacing w:after="0" w:line="184"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F&amp;M Investment Services, the brokerage department of the Bank, opened for business in April 1999. Securities are offered through Raymond James Financial Services, Inc.</w:t>
      </w:r>
    </w:p>
    <w:p>
      <w:pPr>
        <w:spacing w:after="0" w:line="130"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152"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The Bank’s primary market includes communities located in the Ohio counties of Defiance, Fulton, Hancock, Henry, Lucas, Williams, Wood and in the Indiana counties of Adams, Allen, DeKalb, Jay and Steuben.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61" w:lineRule="exact"/>
        <w:rPr>
          <w:sz w:val="20"/>
          <w:szCs w:val="20"/>
          <w:color w:val="auto"/>
        </w:rPr>
      </w:pPr>
    </w:p>
    <w:p>
      <w:pPr>
        <w:jc w:val="both"/>
        <w:ind w:left="760"/>
        <w:spacing w:after="0" w:line="342" w:lineRule="auto"/>
        <w:rPr>
          <w:sz w:val="20"/>
          <w:szCs w:val="20"/>
          <w:color w:val="auto"/>
        </w:rPr>
      </w:pPr>
      <w:r>
        <w:rPr>
          <w:rFonts w:ascii="Arial" w:cs="Arial" w:eastAsia="Arial" w:hAnsi="Arial"/>
          <w:sz w:val="16"/>
          <w:szCs w:val="16"/>
          <w:color w:val="auto"/>
        </w:rPr>
        <w:t>At March 31, 2020, we had 360 full time equivalent employees. The employees are not represented by a collective bargaining unit. We provide our employees with a comprehensive benefit program, some of which is contributory. We consider our employee relations to be good.</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REGULATORY DEVELOPMENTS</w:t>
      </w:r>
    </w:p>
    <w:p>
      <w:pPr>
        <w:spacing w:after="0" w:line="18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Bank remains attentive to the current regulatory environment in light of the regulatory agencies’ risk-based approach to examinations. Regulatory changes and the complexity of new and amended rules have resulted in lack of clarity and uncertainties which could pose an increased risk of noncompliance. Various significant mortgage rules require monitoring by means of testing, validation of results, additional training, and further research or consultation to assist with ongoing compliance.</w:t>
      </w:r>
    </w:p>
    <w:p>
      <w:pPr>
        <w:spacing w:after="0" w:line="160" w:lineRule="exact"/>
        <w:rPr>
          <w:sz w:val="20"/>
          <w:szCs w:val="20"/>
          <w:color w:val="auto"/>
        </w:rPr>
      </w:pPr>
    </w:p>
    <w:p>
      <w:pPr>
        <w:jc w:val="both"/>
        <w:ind w:left="760"/>
        <w:spacing w:after="0" w:line="284" w:lineRule="auto"/>
        <w:rPr>
          <w:sz w:val="20"/>
          <w:szCs w:val="20"/>
          <w:color w:val="auto"/>
        </w:rPr>
      </w:pPr>
      <w:r>
        <w:rPr>
          <w:rFonts w:ascii="Arial" w:cs="Arial" w:eastAsia="Arial" w:hAnsi="Arial"/>
          <w:sz w:val="16"/>
          <w:szCs w:val="16"/>
          <w:color w:val="auto"/>
        </w:rPr>
        <w:t>The global spread of the Coronavirus (COVID-19) and resulting declaration of a world-wide pandemic have impacted the financial services industry and banking operations in the United States (US) and world-wide. The financial services sector is identified as a Critical Infrastructure Sector by the Department of Homeland Security during the COVID-19 response efforts. How basic business operations can be conducted has undergone a rapid and dramatic change. At the same time continuity of business operations involves promoting safety and security of customers and employees, providing a quality customer experience, and maintaining effective delivery systems and channels of communication. Regulatory guidance has been issued to manage and mitigate the unprecedented impact of the COVID-19 pandemic on business operations. Regulatory agencies promote prudent and practical efforts to assist customers and communities during this national emergency. Such assistance to alleviate the financial impact on affected customers can involve modification of loan terms for existing borrowers, waiver of certain fees and charges, providing small dollar loans, and offering forbearance on mortgage loans obligations due to financial hardship. Legislation enacted in March 2020 has provided the Families First Coronavirus Response Act (FFCRA) and CARES Act. The FFCRA which is effective through December 31, 2020, provides for a paid leave for employees (of employers with fewer than 500 employees) who must quarantine due to the coronavirus, are caring for a sick family member, or caring for a child out of school. It significantly expands existing protections currently available to employees who take leave to care for a sick family member. The CARES Act, among other matters, resulted in expansion of SBA Lending Programs; provided for a financial election to suspend GAAP principles and regulatory determinations for COVID-19 related loan modifications that would otherwise be deemed Trouble Debt Restructuring; gave the FDIC authority to establish a temporary Debt Guarantee Program for bank liabilities; delayed Current Expected Credit Losses (CECL) compliance; reduced the Community Bank Leverage Ratio to 8% to eliminate risk-based capital compliance for banks under $10 billion; required credit furnishers that agree to deferred loan payments, forbearance on a delinquent account, or any other relief during the national emergency to report accounts as current to Credit Reporting Agencies; and defined forbearance requirements and terms for single family and multi-family loans backed by federal government agencies or government sponsored entities due to COVID-19 financial hardship. Of immediate and significant importance has been the rollout of the SBA PPP. The PPP authorized lending of up to $350 billion in 100% guaranteed 7(a) loans to cover payroll costs, interest 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mortgage payments, rent obligations, and utilities. The PPP provides a guaranteed loan for which a portion of the loan up to or equal to 8 weeks of covered payroll and specific operating expenses can be forgiven. The maximum loan size is capped at the lessor of 250% of the average monthly payroll costs or $10 million. Further legislation and regulatory guidance may result depending on the duration of the COVID-19 spread and subsequent economic impact to customers, communities, businesses, and industry sectors.</w:t>
      </w:r>
    </w:p>
    <w:p>
      <w:pPr>
        <w:spacing w:after="0" w:line="144"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The Economic Growth Regulatory Relief and Consumer Protection Act (EGRRCPA), signed into law in May 2018, was intended to pave the way for banks to lend to creditworthy borrowers and better serve their communities. It provided regulatory relief for some burdensome requirements resulting from the Dodd-Frank Wall Street Reform and Consumer Protection Act. Provisions in the EGRRCPA addressed access to mortgage credit; consumer access to credit; protections for veterans, consumers, and homeowners; rules for certain bank holding companies, capital access; and protections for student borrowers. Regulatory guidance and rulemaking continue on implementation of various provisions.</w:t>
      </w:r>
    </w:p>
    <w:p>
      <w:pPr>
        <w:spacing w:after="0" w:line="121"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The U.S. Department of the Treasury’s final rules on Customer Due Diligence (CDD) and Beneficial Ownership added a fifth core element to the original core elements necessary for an effective Bank Secrecy Act and Anti-Money Laundering compliance program. Effective in 2018, the CDD Final Rule promoted greater financial transparency. It has impacted and limited the ability for individuals to hide financial activity through anonymous ownership of business entities. With a more complete profile of entity customers, financial institutions can help further reduce the flow of illicit funds through the US banking system.</w:t>
      </w:r>
    </w:p>
    <w:p>
      <w:pPr>
        <w:spacing w:after="0" w:line="147"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Company has implemented Basel III capital rules which began to be phased in for the Company on January 1, 2015. These rules may impact the ability of some financial institutions to pay dividends, though the Company believes itself to be able to maintain its strong capital position and not be limited in that regard.</w:t>
      </w:r>
    </w:p>
    <w:p>
      <w:pPr>
        <w:spacing w:after="0" w:line="157"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60" w:lineRule="exact"/>
        <w:rPr>
          <w:sz w:val="20"/>
          <w:szCs w:val="20"/>
          <w:color w:val="auto"/>
        </w:rPr>
      </w:pPr>
    </w:p>
    <w:p>
      <w:pPr>
        <w:jc w:val="both"/>
        <w:ind w:left="760"/>
        <w:spacing w:after="0" w:line="287" w:lineRule="auto"/>
        <w:rPr>
          <w:sz w:val="20"/>
          <w:szCs w:val="20"/>
          <w:color w:val="auto"/>
        </w:rPr>
      </w:pPr>
      <w:r>
        <w:rPr>
          <w:rFonts w:ascii="Arial" w:cs="Arial" w:eastAsia="Arial" w:hAnsi="Arial"/>
          <w:sz w:val="16"/>
          <w:szCs w:val="16"/>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ALLL, the valuation of its Mortgage Servicing Rights and the valuation of real estate acquired through or in lieu of loan foreclosures (“OREO Property”) as the accounting areas that require the most subjective or complex judgments, and as such could be the most subject to revision as new information becomes available.</w:t>
      </w:r>
    </w:p>
    <w:p>
      <w:pPr>
        <w:spacing w:after="0" w:line="127"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OREO Property held for sale is initially recorded at fair value at the date of foreclosure. Subsequent to foreclosure, valuations are periodically performed by management and the assets are carried at the lower of cost or fair value minus estimated costs to sell.</w:t>
      </w:r>
    </w:p>
    <w:p>
      <w:pPr>
        <w:spacing w:after="0" w:line="130"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net income from operations of foreclosed real estate held for sale is reported either in noninterest income or noninterest expense depending upon whether the property is in a gain or loss position overall. At March 31, 2020 OREO property holdings were $185 thousand. OREO totaled $214 thousand and $510 thousand as of December 31, 2019 and March 31, 2019 respectively.</w:t>
      </w:r>
    </w:p>
    <w:p>
      <w:pPr>
        <w:spacing w:after="0" w:line="157"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ALLL and ACL represents management’s estimate of probable credit losses inherent in the Bank’s loan portfolio, unfunded loan commitments, and letters of credit at the report date. The ALLL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46"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p>
    <w:p>
      <w:pPr>
        <w:spacing w:after="0" w:line="131"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Inherent in most estimates is imprecision. The Bank’s ALLL may include a margin for imprecision with an unallocated portion. Bank regulatory agencies and external auditors periodically review the Bank’s methodology and adequacy of the ALLL. Any required changes in the ALLL or loan charge-offs by these agencies or auditors may have a material effect on the ALLL.</w:t>
      </w:r>
    </w:p>
    <w:p>
      <w:pPr>
        <w:spacing w:after="0" w:line="157"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Bank is also required to estimate the value of its mortgage servicing rights. The Bank’s mortgage servicing rights relating to fixed rate single-family mortgage loans that it has sold without recourse but services for others for a fee represent an asset on the Bank’s balance sheet. The valuation is completed by an independent third party.</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43" w:lineRule="exact"/>
        <w:rPr>
          <w:sz w:val="20"/>
          <w:szCs w:val="20"/>
          <w:color w:val="auto"/>
        </w:rPr>
      </w:pPr>
    </w:p>
    <w:p>
      <w:pPr>
        <w:jc w:val="both"/>
        <w:ind w:left="760"/>
        <w:spacing w:after="0" w:line="284" w:lineRule="auto"/>
        <w:rPr>
          <w:sz w:val="20"/>
          <w:szCs w:val="20"/>
          <w:color w:val="auto"/>
        </w:rPr>
      </w:pPr>
      <w:r>
        <w:rPr>
          <w:rFonts w:ascii="Arial" w:cs="Arial" w:eastAsia="Arial" w:hAnsi="Arial"/>
          <w:sz w:val="16"/>
          <w:szCs w:val="16"/>
          <w:color w:val="auto"/>
        </w:rPr>
        <w:t>The Bank’s mortgage servicing rights relating to loans serviced for others represent an asset. This asset is initially capitalized and included in other assets on the Company's consolidated balance sheet. The mortgage servicing rights are then amortized as noninterest expense in proportion to, and over the period of the estimated future net servicing income of the underlying mortgage servicing rights. There are a number of factors, however, that can affect the ultimate value of the mortgage servicing rights to the Bank. 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 meaning that the present value of the mortgage servicing rights is less than the carrying value of those rights on the Bank's balance sheet. Therefore, in an attempt to reflect an accurate expected value to the Bank of the mortgage servicing rights, the Bank receives a valuation of its mortgage servicing rights from an independent third party. The independent third party's valuation of the mortgage servicing rights is based on relevant characteristics of the Bank's loan servicing portfolio, such as loan terms, interest rates and recent national prepayment experience, as well as current national market interest rate levels, market forecasts and other economic conditions. For purposes of determining impairment, the mortgage servicing assets are stratified into like groups based on loan type, term, new versus seasoned and interest rate. Management, with the advice from its third party valuation firm, reviewed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Bank's mortgage servicing rights, management then establishes a valuation allowance by each strata, if necessary, to quantify the likely impairment of the value of the mortgage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w:t>
      </w:r>
    </w:p>
    <w:p>
      <w:pPr>
        <w:spacing w:after="0" w:line="153"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For more information regarding the estimates and calculations used to establish the ALLL please see Note 4 to the consolidated financial statements provided herewith.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ind w:right="170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MATERIAL CHANGES IN FINANCIAL CONDITION, LIQUIDITY AND CAPITAL RESOURCES</w:t>
      </w:r>
    </w:p>
    <w:p>
      <w:pPr>
        <w:spacing w:after="0" w:line="202" w:lineRule="exact"/>
        <w:rPr>
          <w:sz w:val="20"/>
          <w:szCs w:val="20"/>
          <w:color w:val="auto"/>
        </w:rPr>
      </w:pPr>
    </w:p>
    <w:p>
      <w:pPr>
        <w:jc w:val="both"/>
        <w:ind w:left="760" w:right="20"/>
        <w:spacing w:after="0" w:line="296" w:lineRule="auto"/>
        <w:rPr>
          <w:sz w:val="20"/>
          <w:szCs w:val="20"/>
          <w:color w:val="auto"/>
        </w:rPr>
      </w:pPr>
      <w:r>
        <w:rPr>
          <w:rFonts w:ascii="Arial" w:cs="Arial" w:eastAsia="Arial" w:hAnsi="Arial"/>
          <w:sz w:val="16"/>
          <w:szCs w:val="16"/>
          <w:color w:val="auto"/>
        </w:rPr>
        <w:t>The Company plans to continue in its growth mode in 2020 led by loan growth from within our newer markets. The Bank is focused on funding the loan growth with the least expensive source of deposits, sale of securities or borrowings. Growing deposits will also be a focus especially in our newer markets. The Bank offers the Insured Cash Sweep (“ICS”) product accessed through the Promontory network of financial institutions which helps to reduce the amount of pledged securities. This has provided more availability for runoff of securities by the Bank if warranted to fund loan growth. Competition for deposits is intense with most competitors offering “special” rates for specific terms.</w:t>
      </w:r>
    </w:p>
    <w:p>
      <w:pPr>
        <w:spacing w:after="0" w:line="121" w:lineRule="exact"/>
        <w:rPr>
          <w:sz w:val="20"/>
          <w:szCs w:val="20"/>
          <w:color w:val="auto"/>
        </w:rPr>
      </w:pPr>
    </w:p>
    <w:p>
      <w:pPr>
        <w:jc w:val="both"/>
        <w:ind w:left="760" w:right="20"/>
        <w:spacing w:after="0" w:line="259" w:lineRule="auto"/>
        <w:rPr>
          <w:sz w:val="20"/>
          <w:szCs w:val="20"/>
          <w:color w:val="auto"/>
        </w:rPr>
      </w:pPr>
      <w:r>
        <w:rPr>
          <w:rFonts w:ascii="Arial" w:cs="Arial" w:eastAsia="Arial" w:hAnsi="Arial"/>
          <w:sz w:val="18"/>
          <w:szCs w:val="18"/>
          <w:color w:val="auto"/>
        </w:rPr>
        <w:t>Liquidity in terms of cash and cash equivalents ended $39.5 million higher as of March 31, 2020 than it was at yearend December 31, 2019. An increase in deposits helped to fund the $27.3 million increase in net loans since yearend 2019. Commercial real estate, consumer real estate and commercial and industrial portfolios increased compared to December 31, 2019. The remaining three portfolios decreased compared to yearend with agricultural real estate the largest decrease.</w:t>
      </w:r>
    </w:p>
    <w:p>
      <w:pPr>
        <w:spacing w:after="0" w:line="146" w:lineRule="exact"/>
        <w:rPr>
          <w:sz w:val="20"/>
          <w:szCs w:val="20"/>
          <w:color w:val="auto"/>
        </w:rPr>
      </w:pPr>
    </w:p>
    <w:p>
      <w:pPr>
        <w:jc w:val="both"/>
        <w:ind w:left="760" w:right="20"/>
        <w:spacing w:after="0" w:line="254" w:lineRule="auto"/>
        <w:rPr>
          <w:sz w:val="20"/>
          <w:szCs w:val="20"/>
          <w:color w:val="auto"/>
        </w:rPr>
      </w:pPr>
      <w:r>
        <w:rPr>
          <w:rFonts w:ascii="Arial" w:cs="Arial" w:eastAsia="Arial" w:hAnsi="Arial"/>
          <w:sz w:val="18"/>
          <w:szCs w:val="18"/>
          <w:color w:val="auto"/>
        </w:rPr>
        <w:t>In comparing to the same prior year period, the March 31, 2020 (net of deferred fees and cost) loan balances of $1.2 billion accounted for $149.2 million or 13.6% increase when compared to 2019’s $1.1 billion. The year over year improvement was made up of a combined increase of 33.1% in commercial and industrial related loans (comprised of 29.2% in commercial real estate loans and 3.9% in non-real estate commercial loans). Consumer real estate loans increased by 8.5%, consumer loans by 3.0% and other loans by 12.8%. Agricultural related loans (comprised of an increase of 1.2% in agricultural real estate and a decrease of 2.9% in non-real estate agricultural loans) decreased 1.7% year over year. The Company credits the growth to the strong team of lenders focused on providing customers valuable localized services and thereby increasing our market share.</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chart below shows the breakdown of the loan portfolio category as of March 31, for the last three years, net of deferred fees and costs.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 Thousands)</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2"/>
        </w:trPr>
        <w:tc>
          <w:tcPr>
            <w:tcW w:w="6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March 31, 2020</w:t>
            </w:r>
          </w:p>
        </w:tc>
        <w:tc>
          <w:tcPr>
            <w:tcW w:w="120" w:type="dxa"/>
            <w:vAlign w:val="bottom"/>
          </w:tcPr>
          <w:p>
            <w:pPr>
              <w:spacing w:after="0"/>
              <w:rPr>
                <w:sz w:val="19"/>
                <w:szCs w:val="19"/>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1"/>
              </w:rPr>
              <w:t>March 31, 2019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1"/>
              </w:rPr>
              <w:t>March 31, 2018</w:t>
            </w:r>
          </w:p>
        </w:tc>
        <w:tc>
          <w:tcPr>
            <w:tcW w:w="120" w:type="dxa"/>
            <w:vAlign w:val="bottom"/>
          </w:tcPr>
          <w:p>
            <w:pPr>
              <w:spacing w:after="0"/>
              <w:rPr>
                <w:sz w:val="19"/>
                <w:szCs w:val="19"/>
                <w:color w:val="auto"/>
              </w:rPr>
            </w:pPr>
          </w:p>
        </w:tc>
      </w:tr>
      <w:tr>
        <w:trPr>
          <w:trHeight w:val="230"/>
        </w:trPr>
        <w:tc>
          <w:tcPr>
            <w:tcW w:w="6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center"/>
              <w:ind w:right="38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Amount</w:t>
            </w:r>
          </w:p>
        </w:tc>
      </w:tr>
      <w:tr>
        <w:trPr>
          <w:trHeight w:val="22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173,976</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160,276</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84,052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194,130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191,736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67,569</w:t>
            </w:r>
          </w:p>
        </w:tc>
        <w:tc>
          <w:tcPr>
            <w:tcW w:w="120" w:type="dxa"/>
            <w:vAlign w:val="bottom"/>
          </w:tcPr>
          <w:p>
            <w:pPr>
              <w:spacing w:after="0"/>
              <w:rPr>
                <w:sz w:val="19"/>
                <w:szCs w:val="19"/>
                <w:color w:val="auto"/>
              </w:rPr>
            </w:pP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109,707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113,021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99,954</w:t>
            </w:r>
          </w:p>
        </w:tc>
        <w:tc>
          <w:tcPr>
            <w:tcW w:w="120" w:type="dxa"/>
            <w:vAlign w:val="bottom"/>
            <w:shd w:val="clear" w:color="auto" w:fill="CFF0FC"/>
          </w:tcPr>
          <w:p>
            <w:pPr>
              <w:spacing w:after="0"/>
              <w:rPr>
                <w:sz w:val="19"/>
                <w:szCs w:val="19"/>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568,991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440,281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414,666</w:t>
            </w:r>
          </w:p>
        </w:tc>
        <w:tc>
          <w:tcPr>
            <w:tcW w:w="120" w:type="dxa"/>
            <w:vAlign w:val="bottom"/>
          </w:tcPr>
          <w:p>
            <w:pPr>
              <w:spacing w:after="0"/>
              <w:rPr>
                <w:sz w:val="19"/>
                <w:szCs w:val="19"/>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143,311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137,989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123,515</w:t>
            </w:r>
          </w:p>
        </w:tc>
        <w:tc>
          <w:tcPr>
            <w:tcW w:w="120" w:type="dxa"/>
            <w:vAlign w:val="bottom"/>
            <w:shd w:val="clear" w:color="auto" w:fill="CFF0FC"/>
          </w:tcPr>
          <w:p>
            <w:pPr>
              <w:spacing w:after="0"/>
              <w:rPr>
                <w:sz w:val="19"/>
                <w:szCs w:val="19"/>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49,190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47,770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38,631</w:t>
            </w:r>
          </w:p>
        </w:tc>
        <w:tc>
          <w:tcPr>
            <w:tcW w:w="120" w:type="dxa"/>
            <w:vAlign w:val="bottom"/>
          </w:tcPr>
          <w:p>
            <w:pPr>
              <w:spacing w:after="0"/>
              <w:rPr>
                <w:sz w:val="19"/>
                <w:szCs w:val="19"/>
                <w:color w:val="auto"/>
              </w:rPr>
            </w:pP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6,350</w:t>
            </w:r>
          </w:p>
        </w:tc>
        <w:tc>
          <w:tcPr>
            <w:tcW w:w="120" w:type="dxa"/>
            <w:vAlign w:val="bottom"/>
            <w:shd w:val="clear" w:color="auto" w:fill="CFF0FC"/>
          </w:tcPr>
          <w:p>
            <w:pPr>
              <w:spacing w:after="0"/>
              <w:rPr>
                <w:sz w:val="19"/>
                <w:szCs w:val="19"/>
                <w:color w:val="auto"/>
              </w:rPr>
            </w:pPr>
          </w:p>
        </w:tc>
      </w:tr>
      <w:tr>
        <w:trPr>
          <w:trHeight w:val="223"/>
        </w:trPr>
        <w:tc>
          <w:tcPr>
            <w:tcW w:w="6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Loans, net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1,247,641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1,098,465</w:t>
            </w:r>
          </w:p>
        </w:tc>
        <w:tc>
          <w:tcPr>
            <w:tcW w:w="3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834,737</w:t>
            </w:r>
          </w:p>
        </w:tc>
        <w:tc>
          <w:tcPr>
            <w:tcW w:w="120" w:type="dxa"/>
            <w:vAlign w:val="bottom"/>
            <w:shd w:val="clear" w:color="auto" w:fill="CFF0FC"/>
          </w:tcPr>
          <w:p>
            <w:pPr>
              <w:spacing w:after="0"/>
              <w:rPr>
                <w:sz w:val="19"/>
                <w:szCs w:val="19"/>
                <w:color w:val="auto"/>
              </w:rPr>
            </w:pPr>
          </w:p>
        </w:tc>
      </w:tr>
      <w:tr>
        <w:trPr>
          <w:trHeight w:val="20"/>
        </w:trPr>
        <w:tc>
          <w:tcPr>
            <w:tcW w:w="6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contractual maturity schedule by major category of loans excluding fair value adjustments as of March 31,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0"/>
              </w:rPr>
              <w:t>(In Thousands)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3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After One</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Within</w:t>
            </w:r>
          </w:p>
        </w:tc>
        <w:tc>
          <w:tcPr>
            <w:tcW w:w="24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Year Within</w:t>
            </w:r>
          </w:p>
        </w:tc>
        <w:tc>
          <w:tcPr>
            <w:tcW w:w="32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After</w:t>
            </w:r>
          </w:p>
        </w:tc>
        <w:tc>
          <w:tcPr>
            <w:tcW w:w="20" w:type="dxa"/>
            <w:vAlign w:val="bottom"/>
          </w:tcPr>
          <w:p>
            <w:pPr>
              <w:spacing w:after="0"/>
              <w:rPr>
                <w:sz w:val="19"/>
                <w:szCs w:val="19"/>
                <w:color w:val="auto"/>
              </w:rPr>
            </w:pPr>
          </w:p>
        </w:tc>
      </w:tr>
      <w:tr>
        <w:trPr>
          <w:trHeight w:val="230"/>
        </w:trPr>
        <w:tc>
          <w:tcPr>
            <w:tcW w:w="3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One Year</w:t>
            </w:r>
          </w:p>
        </w:tc>
        <w:tc>
          <w:tcPr>
            <w:tcW w:w="24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Five Years</w:t>
            </w:r>
          </w:p>
        </w:tc>
        <w:tc>
          <w:tcPr>
            <w:tcW w:w="32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Five Years</w:t>
            </w:r>
          </w:p>
        </w:tc>
        <w:tc>
          <w:tcPr>
            <w:tcW w:w="20" w:type="dxa"/>
            <w:vAlign w:val="bottom"/>
          </w:tcPr>
          <w:p>
            <w:pPr>
              <w:spacing w:after="0"/>
              <w:rPr>
                <w:sz w:val="20"/>
                <w:szCs w:val="20"/>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9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4,832</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26,646</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143,333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190,162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63,163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251,259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272,564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67,925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62,164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Consumer</w:t>
            </w: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918"/>
        </w:trPr>
        <w:tc>
          <w:tcPr>
            <w:tcW w:w="3740" w:type="dxa"/>
            <w:vAlign w:val="bottom"/>
          </w:tcPr>
          <w:p>
            <w:pPr>
              <w:spacing w:after="0"/>
              <w:rPr>
                <w:sz w:val="24"/>
                <w:szCs w:val="24"/>
                <w:color w:val="auto"/>
              </w:rPr>
            </w:pPr>
          </w:p>
        </w:tc>
        <w:tc>
          <w:tcPr>
            <w:tcW w:w="2900" w:type="dxa"/>
            <w:vAlign w:val="bottom"/>
          </w:tcPr>
          <w:p>
            <w:pPr>
              <w:jc w:val="right"/>
              <w:ind w:right="83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9" w:name="page50"/>
    <w:bookmarkEnd w:id="49"/>
    <w:p>
      <w:pPr>
        <w:ind w:right="170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197" w:lineRule="exact"/>
        <w:rPr>
          <w:sz w:val="20"/>
          <w:szCs w:val="20"/>
          <w:color w:val="auto"/>
        </w:rPr>
      </w:pPr>
    </w:p>
    <w:p>
      <w:pPr>
        <w:jc w:val="both"/>
        <w:ind w:left="760" w:right="20"/>
        <w:spacing w:after="0" w:line="296" w:lineRule="auto"/>
        <w:rPr>
          <w:sz w:val="20"/>
          <w:szCs w:val="20"/>
          <w:color w:val="auto"/>
        </w:rPr>
      </w:pPr>
      <w:r>
        <w:rPr>
          <w:rFonts w:ascii="Arial" w:cs="Arial" w:eastAsia="Arial" w:hAnsi="Arial"/>
          <w:sz w:val="16"/>
          <w:szCs w:val="16"/>
          <w:color w:val="auto"/>
        </w:rPr>
        <w:t>While the security portfolio has been utilized to fund loan growth for the last three years, additional sources have been cultivated during 2018, 2019, and 2020. The security portfolio decreased $18.2 million in the first three months of 2020 from yearend 2019. The amount of pledged investment securities decreased by $72 thousand as compared to yearend and increased $5.6 million as compared to March 31, 2019. Liquidity is improved with the additional option of selling unpledged investment securities if needed to fund loan growth or other initiatives. As of March 31, 2020, pledged investment securities totaled $88.7 million. The current portfolio is in a net unrealized gain position of $6.1 million.</w:t>
      </w:r>
    </w:p>
    <w:p>
      <w:pPr>
        <w:spacing w:after="0" w:line="18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For the Bank, an additional $1.1 million is also available from the Federal Home Loan Bank based on current amounts of pledged collateral, with up to $97 million available in additional borrowings provided adequate additional collateral is pledged.</w:t>
      </w:r>
    </w:p>
    <w:p>
      <w:pPr>
        <w:spacing w:after="0" w:line="130"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43" w:lineRule="exact"/>
        <w:rPr>
          <w:sz w:val="20"/>
          <w:szCs w:val="20"/>
          <w:color w:val="auto"/>
        </w:rPr>
      </w:pPr>
    </w:p>
    <w:p>
      <w:pPr>
        <w:jc w:val="both"/>
        <w:ind w:left="760" w:right="20"/>
        <w:spacing w:after="0" w:line="263" w:lineRule="auto"/>
        <w:rPr>
          <w:sz w:val="20"/>
          <w:szCs w:val="20"/>
          <w:color w:val="auto"/>
        </w:rPr>
      </w:pPr>
      <w:r>
        <w:rPr>
          <w:rFonts w:ascii="Arial" w:cs="Arial" w:eastAsia="Arial" w:hAnsi="Arial"/>
          <w:sz w:val="18"/>
          <w:szCs w:val="18"/>
          <w:color w:val="auto"/>
        </w:rPr>
        <w:t>Management feels confident that liquidity needs for future growth can be met through additional maturities and/or sales from the security portfolio, increased deposits and additional borrowings. For short term needs, the Bank has $123.4 million of unsecured borrowing capacity through its correspondent banks.</w:t>
      </w:r>
    </w:p>
    <w:p>
      <w:pPr>
        <w:spacing w:after="0" w:line="143" w:lineRule="exact"/>
        <w:rPr>
          <w:sz w:val="20"/>
          <w:szCs w:val="20"/>
          <w:color w:val="auto"/>
        </w:rPr>
      </w:pPr>
    </w:p>
    <w:p>
      <w:pPr>
        <w:jc w:val="both"/>
        <w:ind w:left="760" w:right="20"/>
        <w:spacing w:after="0" w:line="263" w:lineRule="auto"/>
        <w:rPr>
          <w:sz w:val="20"/>
          <w:szCs w:val="20"/>
          <w:color w:val="auto"/>
        </w:rPr>
      </w:pPr>
      <w:r>
        <w:rPr>
          <w:rFonts w:ascii="Arial" w:cs="Arial" w:eastAsia="Arial" w:hAnsi="Arial"/>
          <w:sz w:val="18"/>
          <w:szCs w:val="18"/>
          <w:color w:val="auto"/>
        </w:rPr>
        <w:t>Overall total assets increased 3.0% since yearend 2019 and grew 12.9% since March 31, 2019. The largest growth in both periods was in the loan portfolios followed by cash and equivalents in 2020 and securities in 2019. COVID-19 has not had an impact on Goodwill at this point but will continue to monitor going forward.</w:t>
      </w:r>
    </w:p>
    <w:p>
      <w:pPr>
        <w:spacing w:after="0" w:line="143" w:lineRule="exact"/>
        <w:rPr>
          <w:sz w:val="20"/>
          <w:szCs w:val="20"/>
          <w:color w:val="auto"/>
        </w:rPr>
      </w:pPr>
    </w:p>
    <w:p>
      <w:pPr>
        <w:jc w:val="both"/>
        <w:ind w:left="760" w:right="20"/>
        <w:spacing w:after="0" w:line="259" w:lineRule="auto"/>
        <w:rPr>
          <w:sz w:val="20"/>
          <w:szCs w:val="20"/>
          <w:color w:val="auto"/>
        </w:rPr>
      </w:pPr>
      <w:r>
        <w:rPr>
          <w:rFonts w:ascii="Arial" w:cs="Arial" w:eastAsia="Arial" w:hAnsi="Arial"/>
          <w:sz w:val="18"/>
          <w:szCs w:val="18"/>
          <w:color w:val="auto"/>
        </w:rPr>
        <w:t>Deposits accounted for the largest growth within liabilities, up 4.7% or $60.4 million since yearend and 13.6% or $161.3 million over March 31, 2019 balances. Core deposits continue to drive the increase which provide the opportunity to generate additional noninterest income. This growth aided the increased liquidity position and funded the loan growth for the periods along with usage of purchased Federal Funds for daily borrowings.</w:t>
      </w:r>
    </w:p>
    <w:p>
      <w:pPr>
        <w:spacing w:after="0" w:line="160"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18"/>
          <w:szCs w:val="18"/>
          <w:color w:val="auto"/>
        </w:rPr>
        <w:t>Shareholders’ equity increased by $6.2 million as of the first quarter of 2020 compared to yearend 2019, as earnings exceeded dividend declarations in the first quarter. Accumulated other comprehensive income increased in gain position by $3.8 million from December 2019 to an unrealized gain of $4.8 million at March 31, 2020. Dividends declared were the same as fourth quarter 2019 at $0.16 per share. Compared to March 31, 2019, shareholders’ equity increased 9.0% or $19.5 million. Profits are higher year-to-date March 2020 than year-to-date March 2019 by $881 thousand.</w:t>
      </w:r>
    </w:p>
    <w:p>
      <w:pPr>
        <w:spacing w:after="0" w:line="147" w:lineRule="exact"/>
        <w:rPr>
          <w:sz w:val="20"/>
          <w:szCs w:val="20"/>
          <w:color w:val="auto"/>
        </w:rPr>
      </w:pPr>
    </w:p>
    <w:p>
      <w:pPr>
        <w:jc w:val="both"/>
        <w:ind w:left="760" w:right="20"/>
        <w:spacing w:after="0" w:line="255" w:lineRule="auto"/>
        <w:rPr>
          <w:sz w:val="20"/>
          <w:szCs w:val="20"/>
          <w:color w:val="auto"/>
        </w:rPr>
      </w:pPr>
      <w:r>
        <w:rPr>
          <w:rFonts w:ascii="Arial" w:cs="Arial" w:eastAsia="Arial" w:hAnsi="Arial"/>
          <w:sz w:val="18"/>
          <w:szCs w:val="18"/>
          <w:color w:val="auto"/>
        </w:rPr>
        <w:t>Basel III regulatory capital requirements became effective in 2016. The Bank and Company include a capital conservation buffer as a part of the transition provision. For calendar year 2016, the applicable required capital conservation buffer percentage of 0.625% was the base above which institutions avoid limitations on distributions and certain discretionary bonus payments. For the calendar year 2017, the applicable required capital conservation buffer percentage was 1.25%. For 2018, the capital conservation buffer percentage increased to 1.875%. The total buffer requirement increased to 2.5% for calendar year 2019. As of March 31, 2020, the Company and the Bank are both positioned well above the 2019 requirement.</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Holding Company has sufficient liquidity to maintain its dividend policy without relying on the upstreaming of dividends from the Bank.</w:t>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Bank continues to be well-capitalized in accordance with Federal regulatory capital requirements as the capital ratios below show: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Tier I Leverage Ratio</w:t>
            </w:r>
          </w:p>
        </w:tc>
        <w:tc>
          <w:tcPr>
            <w:tcW w:w="3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26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Risk Based Capital Tier I</w:t>
            </w:r>
          </w:p>
        </w:tc>
        <w:tc>
          <w:tcPr>
            <w:tcW w:w="3900" w:type="dxa"/>
            <w:vAlign w:val="bottom"/>
          </w:tcPr>
          <w:p>
            <w:pPr>
              <w:jc w:val="right"/>
              <w:spacing w:after="0"/>
              <w:rPr>
                <w:sz w:val="20"/>
                <w:szCs w:val="20"/>
                <w:color w:val="auto"/>
              </w:rPr>
            </w:pPr>
            <w:r>
              <w:rPr>
                <w:rFonts w:ascii="Arial" w:cs="Arial" w:eastAsia="Arial" w:hAnsi="Arial"/>
                <w:sz w:val="18"/>
                <w:szCs w:val="18"/>
                <w:color w:val="auto"/>
              </w:rPr>
              <w:t>11.97%</w:t>
            </w:r>
          </w:p>
        </w:tc>
        <w:tc>
          <w:tcPr>
            <w:tcW w:w="226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Total Risk Based Capital</w:t>
            </w:r>
          </w:p>
        </w:tc>
        <w:tc>
          <w:tcPr>
            <w:tcW w:w="3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226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Stockholders' Equity/Total Assets</w:t>
            </w:r>
          </w:p>
        </w:tc>
        <w:tc>
          <w:tcPr>
            <w:tcW w:w="3900" w:type="dxa"/>
            <w:vAlign w:val="bottom"/>
          </w:tcPr>
          <w:p>
            <w:pPr>
              <w:jc w:val="right"/>
              <w:spacing w:after="0"/>
              <w:rPr>
                <w:sz w:val="20"/>
                <w:szCs w:val="20"/>
                <w:color w:val="auto"/>
              </w:rPr>
            </w:pPr>
            <w:r>
              <w:rPr>
                <w:rFonts w:ascii="Arial" w:cs="Arial" w:eastAsia="Arial" w:hAnsi="Arial"/>
                <w:sz w:val="18"/>
                <w:szCs w:val="18"/>
                <w:color w:val="auto"/>
              </w:rPr>
              <w:t>12.98%</w:t>
            </w:r>
          </w:p>
        </w:tc>
        <w:tc>
          <w:tcPr>
            <w:tcW w:w="226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Capital Conservation Buffer</w:t>
            </w:r>
          </w:p>
        </w:tc>
        <w:tc>
          <w:tcPr>
            <w:tcW w:w="3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2260" w:type="dxa"/>
            <w:vAlign w:val="bottom"/>
          </w:tcPr>
          <w:p>
            <w:pPr>
              <w:spacing w:after="0"/>
              <w:rPr>
                <w:sz w:val="19"/>
                <w:szCs w:val="19"/>
                <w:color w:val="auto"/>
              </w:rPr>
            </w:pPr>
          </w:p>
        </w:tc>
      </w:tr>
      <w:tr>
        <w:trPr>
          <w:trHeight w:val="675"/>
        </w:trPr>
        <w:tc>
          <w:tcPr>
            <w:tcW w:w="2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900" w:type="dxa"/>
            <w:vAlign w:val="bottom"/>
          </w:tcPr>
          <w:p>
            <w:pPr>
              <w:jc w:val="right"/>
              <w:ind w:right="3190"/>
              <w:spacing w:after="0"/>
              <w:rPr>
                <w:sz w:val="20"/>
                <w:szCs w:val="20"/>
                <w:color w:val="auto"/>
              </w:rPr>
            </w:pPr>
            <w:r>
              <w:rPr>
                <w:rFonts w:ascii="Arial" w:cs="Arial" w:eastAsia="Arial" w:hAnsi="Arial"/>
                <w:sz w:val="18"/>
                <w:szCs w:val="18"/>
                <w:color w:val="auto"/>
              </w:rPr>
              <w:t>50</w:t>
            </w:r>
          </w:p>
        </w:tc>
        <w:tc>
          <w:tcPr>
            <w:tcW w:w="226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50" w:name="page51"/>
    <w:bookmarkEnd w:id="50"/>
    <w:p>
      <w:pPr>
        <w:ind w:right="170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Comparison of Results of Interest Earnings and Expenses for three month periods ended March 31, 2020 and 2019</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Interest Income</w:t>
      </w:r>
    </w:p>
    <w:p>
      <w:pPr>
        <w:spacing w:after="0" w:line="189" w:lineRule="exact"/>
        <w:rPr>
          <w:sz w:val="20"/>
          <w:szCs w:val="20"/>
          <w:color w:val="auto"/>
        </w:rPr>
      </w:pPr>
    </w:p>
    <w:p>
      <w:pPr>
        <w:jc w:val="both"/>
        <w:ind w:left="760" w:right="20"/>
        <w:spacing w:after="0" w:line="263" w:lineRule="auto"/>
        <w:rPr>
          <w:sz w:val="20"/>
          <w:szCs w:val="20"/>
          <w:color w:val="auto"/>
        </w:rPr>
      </w:pPr>
      <w:r>
        <w:rPr>
          <w:rFonts w:ascii="Arial" w:cs="Arial" w:eastAsia="Arial" w:hAnsi="Arial"/>
          <w:sz w:val="18"/>
          <w:szCs w:val="18"/>
          <w:color w:val="auto"/>
        </w:rPr>
        <w:t>When comparing first quarter 2020 to first quarter 2019, average loan balances grew $128.8 million. This represented a 11.6% increase in a one-year time period. Interest income on loan balances also experienced an increase of $1.2 million as compared to the quarter ended March 31, 2019.</w:t>
      </w:r>
    </w:p>
    <w:p>
      <w:pPr>
        <w:spacing w:after="0" w:line="143" w:lineRule="exact"/>
        <w:rPr>
          <w:sz w:val="20"/>
          <w:szCs w:val="20"/>
          <w:color w:val="auto"/>
        </w:rPr>
      </w:pPr>
    </w:p>
    <w:p>
      <w:pPr>
        <w:jc w:val="both"/>
        <w:ind w:left="760" w:right="20"/>
        <w:spacing w:after="0" w:line="311" w:lineRule="auto"/>
        <w:rPr>
          <w:sz w:val="20"/>
          <w:szCs w:val="20"/>
          <w:color w:val="auto"/>
        </w:rPr>
      </w:pPr>
      <w:r>
        <w:rPr>
          <w:rFonts w:ascii="Arial" w:cs="Arial" w:eastAsia="Arial" w:hAnsi="Arial"/>
          <w:sz w:val="16"/>
          <w:szCs w:val="16"/>
          <w:color w:val="auto"/>
        </w:rPr>
        <w:t>The available-for-sale securities portfolio increased in average balances by $32.6 million when comparing to the previous year while the income increased $441 thousand over first quarter. Fed Funds sold and interest-bearing deposits increased in average balances by $15.0 million as compared to the same quarter in 2019 with decreased income of $42 thousand for the current quarter due to much lower interest rates.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Overall total interest income for the quarter comparisons was higher for first quarter 2020 by 10.1% or $1.6 million as to first quarter 2019.</w:t>
      </w:r>
    </w:p>
    <w:p>
      <w:pPr>
        <w:spacing w:after="0" w:line="196" w:lineRule="exact"/>
        <w:rPr>
          <w:sz w:val="20"/>
          <w:szCs w:val="20"/>
          <w:color w:val="auto"/>
        </w:rPr>
      </w:pPr>
    </w:p>
    <w:p>
      <w:pPr>
        <w:jc w:val="both"/>
        <w:ind w:left="760" w:right="20"/>
        <w:spacing w:after="0" w:line="286" w:lineRule="auto"/>
        <w:rPr>
          <w:sz w:val="20"/>
          <w:szCs w:val="20"/>
          <w:color w:val="auto"/>
        </w:rPr>
      </w:pPr>
      <w:r>
        <w:rPr>
          <w:rFonts w:ascii="Arial" w:cs="Arial" w:eastAsia="Arial" w:hAnsi="Arial"/>
          <w:sz w:val="17"/>
          <w:szCs w:val="17"/>
          <w:color w:val="auto"/>
        </w:rPr>
        <w:t>Annualized yield, for the quarter ended March 31, 2020, was 4.66% as compared to 4.80% for the quarter ended March 31, 2019. The following chart demonstrates the value of increased loan balances in the balance sheet mix. The yields on tax-exempt securities and the portion of the tax-exempt IDB loans included in loans have been tax adjusted based on a 21% tax rate in the charts to follow.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5"/>
          </w:tcPr>
          <w:p>
            <w:pPr>
              <w:jc w:val="center"/>
              <w:ind w:left="25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5"/>
          </w:tcPr>
          <w:p>
            <w:pPr>
              <w:jc w:val="center"/>
              <w:ind w:left="250"/>
              <w:spacing w:after="0"/>
              <w:rPr>
                <w:sz w:val="20"/>
                <w:szCs w:val="20"/>
                <w:color w:val="auto"/>
              </w:rPr>
            </w:pPr>
            <w:r>
              <w:rPr>
                <w:rFonts w:ascii="Arial" w:cs="Arial" w:eastAsia="Arial" w:hAnsi="Arial"/>
                <w:sz w:val="18"/>
                <w:szCs w:val="18"/>
                <w:color w:val="auto"/>
                <w:w w:val="90"/>
              </w:rPr>
              <w:t>Quarter to Date Ended March 31, 2020</w:t>
            </w: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7"/>
          </w:tcPr>
          <w:p>
            <w:pPr>
              <w:jc w:val="right"/>
              <w:ind w:right="980"/>
              <w:spacing w:after="0"/>
              <w:rPr>
                <w:sz w:val="20"/>
                <w:szCs w:val="20"/>
                <w:color w:val="auto"/>
              </w:rPr>
            </w:pPr>
            <w:r>
              <w:rPr>
                <w:rFonts w:ascii="Arial" w:cs="Arial" w:eastAsia="Arial" w:hAnsi="Arial"/>
                <w:sz w:val="18"/>
                <w:szCs w:val="18"/>
                <w:color w:val="auto"/>
                <w:w w:val="97"/>
              </w:rPr>
              <w:t>Annualized Yield/Rate</w:t>
            </w:r>
          </w:p>
        </w:tc>
        <w:tc>
          <w:tcPr>
            <w:tcW w:w="20" w:type="dxa"/>
            <w:vAlign w:val="bottom"/>
          </w:tcPr>
          <w:p>
            <w:pPr>
              <w:spacing w:after="0"/>
              <w:rPr>
                <w:sz w:val="19"/>
                <w:szCs w:val="19"/>
                <w:color w:val="auto"/>
              </w:rPr>
            </w:pPr>
          </w:p>
        </w:tc>
      </w:tr>
      <w:tr>
        <w:trPr>
          <w:trHeight w:val="223"/>
        </w:trPr>
        <w:tc>
          <w:tcPr>
            <w:tcW w:w="36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Interest Earning Assets:</w:t>
            </w: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367"/>
              <w:spacing w:after="0"/>
              <w:rPr>
                <w:sz w:val="20"/>
                <w:szCs w:val="20"/>
                <w:color w:val="auto"/>
              </w:rPr>
            </w:pPr>
            <w:r>
              <w:rPr>
                <w:rFonts w:ascii="Arial" w:cs="Arial" w:eastAsia="Arial" w:hAnsi="Arial"/>
                <w:sz w:val="18"/>
                <w:szCs w:val="18"/>
                <w:color w:val="auto"/>
                <w:w w:val="96"/>
              </w:rPr>
              <w:t>Average Balance</w:t>
            </w: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color w:val="auto"/>
              </w:rPr>
              <w:t>Interest/Dividends</w:t>
            </w:r>
          </w:p>
        </w:tc>
        <w:tc>
          <w:tcPr>
            <w:tcW w:w="182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color w:val="auto"/>
              </w:rPr>
              <w:t>March 31, 2020</w:t>
            </w:r>
          </w:p>
        </w:tc>
        <w:tc>
          <w:tcPr>
            <w:tcW w:w="16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March 31, 2019</w:t>
            </w:r>
          </w:p>
        </w:tc>
        <w:tc>
          <w:tcPr>
            <w:tcW w:w="20" w:type="dxa"/>
            <w:vAlign w:val="bottom"/>
          </w:tcPr>
          <w:p>
            <w:pPr>
              <w:spacing w:after="0"/>
              <w:rPr>
                <w:sz w:val="19"/>
                <w:szCs w:val="19"/>
                <w:color w:val="auto"/>
              </w:rPr>
            </w:pPr>
          </w:p>
        </w:tc>
      </w:tr>
      <w:tr>
        <w:trPr>
          <w:trHeight w:val="223"/>
        </w:trPr>
        <w:tc>
          <w:tcPr>
            <w:tcW w:w="3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Loans</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1,236,848</w:t>
            </w:r>
          </w:p>
        </w:tc>
        <w:tc>
          <w:tcPr>
            <w:tcW w:w="1300" w:type="dxa"/>
            <w:vAlign w:val="bottom"/>
            <w:gridSpan w:val="2"/>
            <w:shd w:val="clear" w:color="auto" w:fill="CFF0FC"/>
          </w:tcPr>
          <w:p>
            <w:pPr>
              <w:jc w:val="right"/>
              <w:ind w:right="101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94"/>
              </w:rPr>
              <w:t>15,883</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9"/>
                <w:szCs w:val="19"/>
                <w:color w:val="auto"/>
              </w:rPr>
            </w:pPr>
          </w:p>
        </w:tc>
      </w:tr>
      <w:tr>
        <w:trPr>
          <w:trHeight w:val="230"/>
        </w:trPr>
        <w:tc>
          <w:tcPr>
            <w:tcW w:w="3600" w:type="dxa"/>
            <w:vAlign w:val="bottom"/>
            <w:gridSpan w:val="3"/>
          </w:tcPr>
          <w:p>
            <w:pPr>
              <w:spacing w:after="0"/>
              <w:rPr>
                <w:sz w:val="20"/>
                <w:szCs w:val="20"/>
                <w:color w:val="auto"/>
              </w:rPr>
            </w:pPr>
            <w:r>
              <w:rPr>
                <w:rFonts w:ascii="Arial" w:cs="Arial" w:eastAsia="Arial" w:hAnsi="Arial"/>
                <w:sz w:val="18"/>
                <w:szCs w:val="18"/>
                <w:color w:val="auto"/>
              </w:rPr>
              <w:t>Taxable investment securities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right"/>
              <w:ind w:right="67"/>
              <w:spacing w:after="0"/>
              <w:rPr>
                <w:sz w:val="20"/>
                <w:szCs w:val="20"/>
                <w:color w:val="auto"/>
              </w:rPr>
            </w:pPr>
            <w:r>
              <w:rPr>
                <w:rFonts w:ascii="Arial" w:cs="Arial" w:eastAsia="Arial" w:hAnsi="Arial"/>
                <w:sz w:val="18"/>
                <w:szCs w:val="18"/>
                <w:color w:val="auto"/>
              </w:rPr>
              <w:t>190,158</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9"/>
                <w:szCs w:val="19"/>
                <w:color w:val="auto"/>
              </w:rPr>
            </w:pPr>
          </w:p>
        </w:tc>
      </w:tr>
      <w:tr>
        <w:trPr>
          <w:trHeight w:val="229"/>
        </w:trPr>
        <w:tc>
          <w:tcPr>
            <w:tcW w:w="3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28,832</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9"/>
                <w:szCs w:val="19"/>
                <w:color w:val="auto"/>
              </w:rPr>
            </w:pPr>
          </w:p>
        </w:tc>
      </w:tr>
      <w:tr>
        <w:trPr>
          <w:trHeight w:val="230"/>
        </w:trPr>
        <w:tc>
          <w:tcPr>
            <w:tcW w:w="36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Fed funds sold &amp; other</w:t>
            </w: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rPr>
              <w:t>46,393</w:t>
            </w:r>
          </w:p>
        </w:tc>
        <w:tc>
          <w:tcPr>
            <w:tcW w:w="12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r>
      <w:tr>
        <w:trPr>
          <w:trHeight w:val="223"/>
        </w:trPr>
        <w:tc>
          <w:tcPr>
            <w:tcW w:w="36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1,502,231</w:t>
            </w:r>
          </w:p>
        </w:tc>
        <w:tc>
          <w:tcPr>
            <w:tcW w:w="1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018"/>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94"/>
              </w:rPr>
              <w:t>17,464</w:t>
            </w:r>
          </w:p>
        </w:tc>
        <w:tc>
          <w:tcPr>
            <w:tcW w:w="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8500" w:type="dxa"/>
            <w:vAlign w:val="bottom"/>
            <w:gridSpan w:val="18"/>
          </w:tcPr>
          <w:p>
            <w:pPr>
              <w:ind w:left="1640"/>
              <w:spacing w:after="0"/>
              <w:rPr>
                <w:sz w:val="20"/>
                <w:szCs w:val="20"/>
                <w:color w:val="auto"/>
              </w:rPr>
            </w:pPr>
            <w:r>
              <w:rPr>
                <w:rFonts w:ascii="Arial" w:cs="Arial" w:eastAsia="Arial" w:hAnsi="Arial"/>
                <w:sz w:val="18"/>
                <w:szCs w:val="18"/>
                <w:color w:val="auto"/>
                <w:w w:val="96"/>
              </w:rPr>
              <w:t>Change in Interest Income Quarter to Date March 31, 2020 Compared to March 31, 2019</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3"/>
        </w:trPr>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(In Thousands)</w:t>
            </w:r>
          </w:p>
        </w:tc>
        <w:tc>
          <w:tcPr>
            <w:tcW w:w="14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3"/>
          </w:tcPr>
          <w:p>
            <w:pPr>
              <w:jc w:val="center"/>
              <w:ind w:right="30"/>
              <w:spacing w:after="0"/>
              <w:rPr>
                <w:sz w:val="20"/>
                <w:szCs w:val="20"/>
                <w:color w:val="auto"/>
              </w:rPr>
            </w:pPr>
            <w:r>
              <w:rPr>
                <w:rFonts w:ascii="Arial" w:cs="Arial" w:eastAsia="Arial" w:hAnsi="Arial"/>
                <w:sz w:val="18"/>
                <w:szCs w:val="18"/>
                <w:color w:val="auto"/>
                <w:w w:val="89"/>
              </w:rPr>
              <w:t>Change Due</w:t>
            </w:r>
          </w:p>
        </w:tc>
        <w:tc>
          <w:tcPr>
            <w:tcW w:w="140" w:type="dxa"/>
            <w:vAlign w:val="bottom"/>
          </w:tcPr>
          <w:p>
            <w:pPr>
              <w:spacing w:after="0"/>
              <w:rPr>
                <w:sz w:val="18"/>
                <w:szCs w:val="18"/>
                <w:color w:val="auto"/>
              </w:rPr>
            </w:pPr>
          </w:p>
        </w:tc>
        <w:tc>
          <w:tcPr>
            <w:tcW w:w="1460" w:type="dxa"/>
            <w:vAlign w:val="bottom"/>
            <w:gridSpan w:val="5"/>
          </w:tcPr>
          <w:p>
            <w:pPr>
              <w:jc w:val="center"/>
              <w:ind w:right="30"/>
              <w:spacing w:after="0"/>
              <w:rPr>
                <w:sz w:val="20"/>
                <w:szCs w:val="20"/>
                <w:color w:val="auto"/>
              </w:rPr>
            </w:pPr>
            <w:r>
              <w:rPr>
                <w:rFonts w:ascii="Arial" w:cs="Arial" w:eastAsia="Arial" w:hAnsi="Arial"/>
                <w:sz w:val="18"/>
                <w:szCs w:val="18"/>
                <w:color w:val="auto"/>
                <w:w w:val="89"/>
              </w:rPr>
              <w:t>Change Due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600" w:type="dxa"/>
            <w:vAlign w:val="bottom"/>
            <w:gridSpan w:val="3"/>
          </w:tcPr>
          <w:p>
            <w:pPr>
              <w:ind w:left="1140"/>
              <w:spacing w:after="0"/>
              <w:rPr>
                <w:sz w:val="20"/>
                <w:szCs w:val="20"/>
                <w:color w:val="auto"/>
              </w:rPr>
            </w:pPr>
            <w:r>
              <w:rPr>
                <w:rFonts w:ascii="Arial" w:cs="Arial" w:eastAsia="Arial" w:hAnsi="Arial"/>
                <w:sz w:val="18"/>
                <w:szCs w:val="18"/>
                <w:color w:val="auto"/>
              </w:rPr>
              <w:t>Interest Earning Assets: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3"/>
          </w:tcPr>
          <w:p>
            <w:pPr>
              <w:ind w:left="40"/>
              <w:spacing w:after="0"/>
              <w:rPr>
                <w:sz w:val="20"/>
                <w:szCs w:val="20"/>
                <w:color w:val="auto"/>
              </w:rPr>
            </w:pPr>
            <w:r>
              <w:rPr>
                <w:rFonts w:ascii="Arial" w:cs="Arial" w:eastAsia="Arial" w:hAnsi="Arial"/>
                <w:sz w:val="18"/>
                <w:szCs w:val="18"/>
                <w:color w:val="auto"/>
              </w:rPr>
              <w:t>Total Change</w:t>
            </w:r>
          </w:p>
        </w:tc>
        <w:tc>
          <w:tcPr>
            <w:tcW w:w="20" w:type="dxa"/>
            <w:vAlign w:val="bottom"/>
          </w:tcPr>
          <w:p>
            <w:pPr>
              <w:spacing w:after="0"/>
              <w:rPr>
                <w:sz w:val="20"/>
                <w:szCs w:val="20"/>
                <w:color w:val="auto"/>
              </w:rPr>
            </w:pPr>
          </w:p>
        </w:tc>
        <w:tc>
          <w:tcPr>
            <w:tcW w:w="1460" w:type="dxa"/>
            <w:vAlign w:val="bottom"/>
            <w:gridSpan w:val="3"/>
          </w:tcPr>
          <w:p>
            <w:pPr>
              <w:jc w:val="center"/>
              <w:ind w:right="30"/>
              <w:spacing w:after="0"/>
              <w:rPr>
                <w:sz w:val="20"/>
                <w:szCs w:val="20"/>
                <w:color w:val="auto"/>
              </w:rPr>
            </w:pPr>
            <w:r>
              <w:rPr>
                <w:rFonts w:ascii="Arial" w:cs="Arial" w:eastAsia="Arial" w:hAnsi="Arial"/>
                <w:sz w:val="18"/>
                <w:szCs w:val="18"/>
                <w:color w:val="auto"/>
                <w:w w:val="91"/>
              </w:rPr>
              <w:t>to Volume</w:t>
            </w:r>
          </w:p>
        </w:tc>
        <w:tc>
          <w:tcPr>
            <w:tcW w:w="140" w:type="dxa"/>
            <w:vAlign w:val="bottom"/>
          </w:tcPr>
          <w:p>
            <w:pPr>
              <w:spacing w:after="0"/>
              <w:rPr>
                <w:sz w:val="20"/>
                <w:szCs w:val="20"/>
                <w:color w:val="auto"/>
              </w:rPr>
            </w:pPr>
          </w:p>
        </w:tc>
        <w:tc>
          <w:tcPr>
            <w:tcW w:w="980" w:type="dxa"/>
            <w:vAlign w:val="bottom"/>
            <w:gridSpan w:val="4"/>
          </w:tcPr>
          <w:p>
            <w:pPr>
              <w:jc w:val="center"/>
              <w:ind w:left="296"/>
              <w:spacing w:after="0"/>
              <w:rPr>
                <w:sz w:val="20"/>
                <w:szCs w:val="20"/>
                <w:color w:val="auto"/>
              </w:rPr>
            </w:pPr>
            <w:r>
              <w:rPr>
                <w:rFonts w:ascii="Arial" w:cs="Arial" w:eastAsia="Arial" w:hAnsi="Arial"/>
                <w:sz w:val="18"/>
                <w:szCs w:val="18"/>
                <w:color w:val="auto"/>
                <w:w w:val="89"/>
              </w:rPr>
              <w:t>to Rate</w:t>
            </w: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24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Loans</w:t>
            </w: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gridSpan w:val="2"/>
            <w:shd w:val="clear" w:color="auto" w:fill="CFF0FC"/>
          </w:tcPr>
          <w:p>
            <w:pPr>
              <w:jc w:val="right"/>
              <w:ind w:right="18"/>
              <w:spacing w:after="0"/>
              <w:rPr>
                <w:sz w:val="20"/>
                <w:szCs w:val="20"/>
                <w:color w:val="auto"/>
              </w:rPr>
            </w:pPr>
            <w:r>
              <w:rPr>
                <w:rFonts w:ascii="Arial" w:cs="Arial" w:eastAsia="Arial" w:hAnsi="Arial"/>
                <w:sz w:val="18"/>
                <w:szCs w:val="18"/>
                <w:color w:val="auto"/>
              </w:rPr>
              <w:t>1,203</w:t>
            </w: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gridSpan w:val="2"/>
            <w:shd w:val="clear" w:color="auto" w:fill="CFF0FC"/>
          </w:tcPr>
          <w:p>
            <w:pPr>
              <w:jc w:val="right"/>
              <w:ind w:right="4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1,655</w:t>
            </w:r>
          </w:p>
        </w:tc>
        <w:tc>
          <w:tcPr>
            <w:tcW w:w="700" w:type="dxa"/>
            <w:vAlign w:val="bottom"/>
            <w:tcBorders>
              <w:top w:val="single" w:sz="8" w:color="auto"/>
            </w:tcBorders>
            <w:gridSpan w:val="2"/>
            <w:shd w:val="clear" w:color="auto" w:fill="CFF0FC"/>
          </w:tcPr>
          <w:p>
            <w:pPr>
              <w:jc w:val="right"/>
              <w:ind w:right="396"/>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Taxable investment securities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24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Tax-exempt investment securities</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24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Fed funds sold &amp; other</w:t>
            </w: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2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2"/>
            <w:shd w:val="clear" w:color="auto" w:fill="CFF0FC"/>
          </w:tcPr>
          <w:p>
            <w:pPr>
              <w:jc w:val="right"/>
              <w:ind w:right="18"/>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1,929</w:t>
            </w:r>
          </w:p>
        </w:tc>
        <w:tc>
          <w:tcPr>
            <w:tcW w:w="1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96"/>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3"/>
          </w:tcPr>
          <w:p>
            <w:pPr>
              <w:jc w:val="center"/>
              <w:ind w:left="1590"/>
              <w:spacing w:after="0"/>
              <w:rPr>
                <w:sz w:val="20"/>
                <w:szCs w:val="20"/>
                <w:color w:val="auto"/>
              </w:rPr>
            </w:pPr>
            <w:r>
              <w:rPr>
                <w:rFonts w:ascii="Arial" w:cs="Arial" w:eastAsia="Arial" w:hAnsi="Arial"/>
                <w:sz w:val="18"/>
                <w:szCs w:val="18"/>
                <w:color w:val="auto"/>
                <w:w w:val="89"/>
              </w:rPr>
              <w:t>51</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51" w:name="page52"/>
    <w:bookmarkEnd w:id="51"/>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Offsetting some of the increase in interest income for the quarter was the increase in interest expense in 2020. First quarter 2020 was higher by $326 thousand than first quarter 2019. Since 2019, average interest-bearing deposit balances have increased $136.1 million or 15.2% and resulted in approximately $288 thousand more in interest expense for the most recent quarter. Interest expense on FHLB borrowings was down $21 thousand in the first quarter 2020 over the same time frame in 2019 due to borrowings taken on from the Limberlost acquisition being repaid. During the quarter, the prime rate has dropped 50 basis points and dropped 75 basis points in the last half of 2019. Management has adjusted deposit rates accordingly.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8"/>
                <w:szCs w:val="18"/>
                <w:color w:val="auto"/>
              </w:rPr>
              <w:t>(In Thousands)</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60" w:type="dxa"/>
            <w:vAlign w:val="bottom"/>
            <w:gridSpan w:val="4"/>
          </w:tcPr>
          <w:p>
            <w:pPr>
              <w:jc w:val="right"/>
              <w:ind w:right="3"/>
              <w:spacing w:after="0"/>
              <w:rPr>
                <w:sz w:val="20"/>
                <w:szCs w:val="20"/>
                <w:color w:val="auto"/>
              </w:rPr>
            </w:pPr>
            <w:r>
              <w:rPr>
                <w:rFonts w:ascii="Arial" w:cs="Arial" w:eastAsia="Arial" w:hAnsi="Arial"/>
                <w:sz w:val="18"/>
                <w:szCs w:val="18"/>
                <w:color w:val="auto"/>
              </w:rPr>
              <w:t>Quarter to Date Ended March 31, 2020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gridSpan w:val="5"/>
          </w:tcPr>
          <w:p>
            <w:pPr>
              <w:jc w:val="right"/>
              <w:ind w:right="980"/>
              <w:spacing w:after="0"/>
              <w:rPr>
                <w:sz w:val="20"/>
                <w:szCs w:val="20"/>
                <w:color w:val="auto"/>
              </w:rPr>
            </w:pPr>
            <w:r>
              <w:rPr>
                <w:rFonts w:ascii="Arial" w:cs="Arial" w:eastAsia="Arial" w:hAnsi="Arial"/>
                <w:sz w:val="18"/>
                <w:szCs w:val="18"/>
                <w:color w:val="auto"/>
              </w:rPr>
              <w:t>Annualized Yield/Rate</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Bearing Liabilities:</w:t>
            </w:r>
          </w:p>
        </w:tc>
        <w:tc>
          <w:tcPr>
            <w:tcW w:w="4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6"/>
              </w:rPr>
              <w:t>Average Balance</w:t>
            </w:r>
          </w:p>
        </w:tc>
        <w:tc>
          <w:tcPr>
            <w:tcW w:w="12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8"/>
                <w:szCs w:val="18"/>
                <w:color w:val="auto"/>
              </w:rPr>
              <w:t>Interest</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March 31, 2020</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March 31, 2019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773,130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20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29"/>
        </w:trPr>
        <w:tc>
          <w:tcPr>
            <w:tcW w:w="3220" w:type="dxa"/>
            <w:vAlign w:val="bottom"/>
          </w:tcPr>
          <w:p>
            <w:pPr>
              <w:spacing w:after="0"/>
              <w:rPr>
                <w:sz w:val="20"/>
                <w:szCs w:val="20"/>
                <w:color w:val="auto"/>
              </w:rPr>
            </w:pPr>
            <w:r>
              <w:rPr>
                <w:rFonts w:ascii="Arial" w:cs="Arial" w:eastAsia="Arial" w:hAnsi="Arial"/>
                <w:sz w:val="18"/>
                <w:szCs w:val="18"/>
                <w:color w:val="auto"/>
              </w:rPr>
              <w:t>Other time deposits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277,579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24,787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9"/>
        </w:trPr>
        <w:tc>
          <w:tcPr>
            <w:tcW w:w="322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sold under agreement to repurchase</w:t>
            </w:r>
          </w:p>
        </w:tc>
        <w:tc>
          <w:tcPr>
            <w:tcW w:w="6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20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8"/>
                <w:szCs w:val="18"/>
                <w:color w:val="auto"/>
              </w:rPr>
              <w:t>Total Interest Bearing Liabilities</w:t>
            </w:r>
          </w:p>
        </w:tc>
        <w:tc>
          <w:tcPr>
            <w:tcW w:w="4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1,114,450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203"/>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760"/>
        <w:spacing w:after="0"/>
        <w:rPr>
          <w:sz w:val="20"/>
          <w:szCs w:val="20"/>
          <w:color w:val="auto"/>
        </w:rPr>
      </w:pPr>
      <w:r>
        <w:rPr>
          <w:rFonts w:ascii="Arial" w:cs="Arial" w:eastAsia="Arial" w:hAnsi="Arial"/>
          <w:sz w:val="18"/>
          <w:szCs w:val="18"/>
          <w:u w:val="single" w:color="auto"/>
          <w:color w:val="auto"/>
        </w:rPr>
        <w:t>Change in Interest Expense Quarter to Date March 31, 2020 Compared to March 31, 2019</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09"/>
        </w:trPr>
        <w:tc>
          <w:tcPr>
            <w:tcW w:w="5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Change Due</w:t>
            </w:r>
          </w:p>
        </w:tc>
        <w:tc>
          <w:tcPr>
            <w:tcW w:w="2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w w:val="92"/>
              </w:rPr>
              <w:t>Change Due</w:t>
            </w:r>
          </w:p>
        </w:tc>
      </w:tr>
      <w:tr>
        <w:trPr>
          <w:trHeight w:val="230"/>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Bearing Liabilities:</w:t>
            </w:r>
          </w:p>
        </w:tc>
        <w:tc>
          <w:tcPr>
            <w:tcW w:w="11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0"/>
              </w:rPr>
              <w:t>Total Change</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1"/>
              </w:rPr>
              <w:t>to Volume</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to Rate</w:t>
            </w: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420" w:type="dxa"/>
            <w:vAlign w:val="bottom"/>
            <w:shd w:val="clear" w:color="auto" w:fill="CFF0FC"/>
          </w:tcPr>
          <w:p>
            <w:pPr>
              <w:jc w:val="right"/>
              <w:ind w:right="261"/>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Other time deposits</w:t>
            </w:r>
          </w:p>
        </w:tc>
        <w:tc>
          <w:tcPr>
            <w:tcW w:w="4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sold under agreement to repurchase</w:t>
            </w:r>
          </w:p>
        </w:tc>
        <w:tc>
          <w:tcPr>
            <w:tcW w:w="4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27</w:t>
            </w: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420" w:type="dxa"/>
            <w:vAlign w:val="bottom"/>
            <w:tcBorders>
              <w:bottom w:val="single" w:sz="8" w:color="auto"/>
            </w:tcBorders>
          </w:tcPr>
          <w:p>
            <w:pPr>
              <w:jc w:val="right"/>
              <w:ind w:right="261"/>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308" w:lineRule="auto"/>
        <w:rPr>
          <w:sz w:val="20"/>
          <w:szCs w:val="20"/>
          <w:color w:val="auto"/>
        </w:rPr>
      </w:pPr>
      <w:r>
        <w:rPr>
          <w:rFonts w:ascii="Arial" w:cs="Arial" w:eastAsia="Arial" w:hAnsi="Arial"/>
          <w:sz w:val="17"/>
          <w:szCs w:val="17"/>
          <w:color w:val="auto"/>
        </w:rPr>
        <w:t>Overall, net interest spread for the first quarter 2020 is 10 basis points lower than last year. As the following chart indicates, the decline in yields on interest earning assets was greater than the decline in the cost of funds when comparing to the same period a year ago.</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March 31,</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31,</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Interest/Dividend income/yield</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4.66%</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4.80%</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Interest Expense/cost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51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vMerge w:val="continue"/>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3.44%</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3.54%</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Interest Margin</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vMerge w:val="continue"/>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3.87%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Net Interest Income</w:t>
      </w:r>
    </w:p>
    <w:p>
      <w:pPr>
        <w:spacing w:after="0" w:line="202"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Net interest income was up $1.3 million for the first quarter 2020 over the same time frame in 2019 due to the increase in loan interest income and partially offset by higher interest expense, as previously mentioned. As the new loans added in 2019 and 2020 generate more income, management expects the benefits of the Company’s strategy of repositioning the balance sheet to continue to widen this margin as measured in dollars. In terms of net interest margin rate, the Bank recognizes competition for deposits has and will continue to put pressure on the margin which may lead to a tightening.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69"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Comparison of Noninterest Results of Operations - First Quarter 2020 to First Quarter 2019</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Provision Expense</w:t>
      </w:r>
    </w:p>
    <w:p>
      <w:pPr>
        <w:spacing w:after="0" w:line="189"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ALLL has a direct impact on the provision expense. The increase in the ALLL is funded through recoveries and provision expense. The following tables both deal with the allowance for credit losses. The first table breaks down the activity within ALLL for each loan portfolio class and shows the contribution provided by both the recoveries and the provision along with the reduction of the allowance caused by charge-offs. The second table discloses how much of the ALLL is attributed to each class of the loan portfolio, as well as the percent that each particular class of the loan portfolio represents to the entire loan portfolio in the aggregate. The consumer and consumer real estate loan portfolios accounted for the largest component of charge-offs and recoveries for first quarter of 2020 and 2019. The commercial real estate portfolio is currently creating a large impact on the ALLL due to the loan growth.</w:t>
      </w:r>
    </w:p>
    <w:p>
      <w:pPr>
        <w:spacing w:after="0" w:line="137" w:lineRule="exact"/>
        <w:rPr>
          <w:sz w:val="20"/>
          <w:szCs w:val="20"/>
          <w:color w:val="auto"/>
        </w:rPr>
      </w:pPr>
    </w:p>
    <w:p>
      <w:pPr>
        <w:jc w:val="both"/>
        <w:ind w:left="760"/>
        <w:spacing w:after="0" w:line="286" w:lineRule="auto"/>
        <w:rPr>
          <w:sz w:val="20"/>
          <w:szCs w:val="20"/>
          <w:color w:val="auto"/>
        </w:rPr>
      </w:pPr>
      <w:r>
        <w:rPr>
          <w:rFonts w:ascii="Arial" w:cs="Arial" w:eastAsia="Arial" w:hAnsi="Arial"/>
          <w:sz w:val="16"/>
          <w:szCs w:val="16"/>
          <w:color w:val="auto"/>
        </w:rPr>
        <w:t>Total provision for loan losses was $1.4 million higher for the first quarter 2020 as compared to the same quarter 2019. Provision for loan loss was increased due to the uncertainty related to COVID-19 and its effects on the ability of individuals, businesses and other entities to meet their financial obligations. Therefore, it is prudent to incorporate the impact of COVID-19 in the evaluation of the adequacy of Allowance for Loan and Lease Losses (ALLL). Due to the governors’ closure of non-essential businesses in many states, including restaurants (except for carryout and delivery), hair salons, and retail establishments, the risk in those industries has increased. The restaurant and hospitality sectors have been hit especially hard. Risk in the Consumer and 1-4 Family Portfolio has increased but the full impact remains unknown. Increases to the bank’s ALLL for the first quarter of 2020, centered around current customers and businesses that are particularly vulnerable due to the stay at home order and qualitative factors, were adjusted accordingly. Management continues to monitor asset quality, making adjustments to the provision as necessary. Loan charge-offs were $43 thousand lower in first quarter 2020 than the same quarter 2019. Recoveries were $1 thousand higher in first quarter 2020 as compared to first quarter 2019. Combined net charge-offs were $44 thousand lower in first quarter 2020 than the same time period 2019. Past due loans, which include no deferrals related to COVID-19, increased $2.3 million at March 31, 2020 as compared to March 31, 2019. The majority of the change is attributed to the increase of past due balances in the agricultural, agricultural real estate and commercial portfolios with a decrease in the consumer real estate portfolio.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three months ended March 31, 2020, 2019, and 2018.</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(In Thousands)</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214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Three Months Ended</w:t>
            </w:r>
          </w:p>
        </w:tc>
        <w:tc>
          <w:tcPr>
            <w:tcW w:w="1860" w:type="dxa"/>
            <w:vAlign w:val="bottom"/>
            <w:gridSpan w:val="2"/>
          </w:tcPr>
          <w:p>
            <w:pPr>
              <w:jc w:val="right"/>
              <w:ind w:right="190"/>
              <w:spacing w:after="0"/>
              <w:rPr>
                <w:sz w:val="20"/>
                <w:szCs w:val="20"/>
                <w:color w:val="auto"/>
              </w:rPr>
            </w:pPr>
            <w:r>
              <w:rPr>
                <w:rFonts w:ascii="Arial" w:cs="Arial" w:eastAsia="Arial" w:hAnsi="Arial"/>
                <w:sz w:val="18"/>
                <w:szCs w:val="18"/>
                <w:color w:val="auto"/>
                <w:w w:val="92"/>
              </w:rPr>
              <w:t>Three Months Ended</w:t>
            </w:r>
          </w:p>
        </w:tc>
        <w:tc>
          <w:tcPr>
            <w:tcW w:w="28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8"/>
                <w:szCs w:val="18"/>
                <w:color w:val="auto"/>
                <w:w w:val="91"/>
              </w:rPr>
              <w:t>March 31, 2020</w:t>
            </w: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March 31, 2019</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March 31, 2018</w:t>
            </w: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1,247,641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1,098,465</w:t>
            </w:r>
          </w:p>
        </w:tc>
        <w:tc>
          <w:tcPr>
            <w:tcW w:w="4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834,737</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FF0FC"/>
            </w:tcBorders>
            <w:vMerge w:val="continue"/>
          </w:tcPr>
          <w:p>
            <w:pPr>
              <w:spacing w:after="0"/>
              <w:rPr>
                <w:sz w:val="21"/>
                <w:szCs w:val="21"/>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1,236,848</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1,108,031</w:t>
            </w:r>
          </w:p>
        </w:tc>
        <w:tc>
          <w:tcPr>
            <w:tcW w:w="2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825,109</w:t>
            </w:r>
          </w:p>
        </w:tc>
        <w:tc>
          <w:tcPr>
            <w:tcW w:w="0" w:type="dxa"/>
            <w:vAlign w:val="bottom"/>
          </w:tcPr>
          <w:p>
            <w:pPr>
              <w:spacing w:after="0"/>
              <w:rPr>
                <w:sz w:val="1"/>
                <w:szCs w:val="1"/>
                <w:color w:val="auto"/>
              </w:rPr>
            </w:pPr>
          </w:p>
        </w:tc>
      </w:tr>
      <w:tr>
        <w:trPr>
          <w:trHeight w:val="210"/>
        </w:trPr>
        <w:tc>
          <w:tcPr>
            <w:tcW w:w="4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Allowance for Loan Losses - January 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7,228</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6,775</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Charged off:</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18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18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18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1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164</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207</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 Recoveries:</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18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18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18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1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Charge Offs</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Provision for loan loss</w:t>
            </w:r>
          </w:p>
        </w:tc>
        <w:tc>
          <w:tcPr>
            <w:tcW w:w="18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1,430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Acquisition provision for loan loss</w:t>
            </w:r>
          </w:p>
        </w:tc>
        <w:tc>
          <w:tcPr>
            <w:tcW w:w="1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Allowance for Loan &amp; Lease Losses - March 31,</w:t>
            </w:r>
          </w:p>
        </w:tc>
        <w:tc>
          <w:tcPr>
            <w:tcW w:w="18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8,533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6,636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15"/>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&amp; Letters of Credit - March 31,</w:t>
            </w:r>
          </w:p>
        </w:tc>
        <w:tc>
          <w:tcPr>
            <w:tcW w:w="180" w:type="dxa"/>
            <w:vAlign w:val="bottom"/>
            <w:tcBorders>
              <w:bottom w:val="single" w:sz="8" w:color="auto"/>
            </w:tcBorders>
            <w:shd w:val="clear" w:color="auto" w:fill="CFF0FC"/>
          </w:tcPr>
          <w:p>
            <w:pPr>
              <w:spacing w:after="0"/>
              <w:rPr>
                <w:sz w:val="20"/>
                <w:szCs w:val="20"/>
                <w:color w:val="auto"/>
              </w:rPr>
            </w:pPr>
          </w:p>
        </w:tc>
        <w:tc>
          <w:tcPr>
            <w:tcW w:w="16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470</w:t>
            </w:r>
          </w:p>
        </w:tc>
        <w:tc>
          <w:tcPr>
            <w:tcW w:w="3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346</w:t>
            </w:r>
          </w:p>
        </w:tc>
        <w:tc>
          <w:tcPr>
            <w:tcW w:w="2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63"/>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Allowance for Credit Losses - March 31,</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9,003</w:t>
            </w:r>
          </w:p>
        </w:tc>
        <w:tc>
          <w:tcPr>
            <w:tcW w:w="3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6,982</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7,065</w:t>
            </w:r>
          </w:p>
        </w:tc>
        <w:tc>
          <w:tcPr>
            <w:tcW w:w="0" w:type="dxa"/>
            <w:vAlign w:val="bottom"/>
          </w:tcPr>
          <w:p>
            <w:pPr>
              <w:spacing w:after="0"/>
              <w:rPr>
                <w:sz w:val="1"/>
                <w:szCs w:val="1"/>
                <w:color w:val="auto"/>
              </w:rPr>
            </w:pPr>
          </w:p>
        </w:tc>
      </w:tr>
      <w:tr>
        <w:trPr>
          <w:trHeight w:val="196"/>
        </w:trPr>
        <w:tc>
          <w:tcPr>
            <w:tcW w:w="41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Ratio of net charge-offs to average</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Loans outstanding</w:t>
            </w:r>
          </w:p>
        </w:tc>
        <w:tc>
          <w:tcPr>
            <w:tcW w:w="180" w:type="dxa"/>
            <w:vAlign w:val="bottom"/>
            <w:tcBorders>
              <w:bottom w:val="single" w:sz="8" w:color="auto"/>
            </w:tcBorders>
            <w:shd w:val="clear" w:color="auto" w:fill="CFF0FC"/>
          </w:tcPr>
          <w:p>
            <w:pPr>
              <w:spacing w:after="0"/>
              <w:rPr>
                <w:sz w:val="20"/>
                <w:szCs w:val="20"/>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Ratio of the Allowance for Loan Loss to</w:t>
            </w: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Nonperforming Loans*</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256.66%</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558.92%</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755.19%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past 90 days not on nonaccrual.</w:t>
      </w:r>
    </w:p>
    <w:p>
      <w:pPr>
        <w:spacing w:after="0" w:line="198" w:lineRule="exact"/>
        <w:rPr>
          <w:sz w:val="20"/>
          <w:szCs w:val="20"/>
          <w:color w:val="auto"/>
        </w:rPr>
      </w:pPr>
    </w:p>
    <w:p>
      <w:pPr>
        <w:jc w:val="both"/>
        <w:ind w:left="760"/>
        <w:spacing w:after="0" w:line="291"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of a loan, whether partial loan balance or full loan balance.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Loans classified as nonaccrual were higher as of March 31, 2020 at $3.3 million as compared to $1.2 million as of March 31, 2019. The majority of the increase is in the agricultural, consumer real estate and commercial and industrial portfolios.</w:t>
      </w:r>
    </w:p>
    <w:p>
      <w:pPr>
        <w:spacing w:after="0" w:line="143"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In determining the allocation for impaired loans the Bank applies the appraised market value of the collateral securing the asset, reduced by applying a discount for estimated costs of collateral liquidation. In some instances where the discounted market value is less than the loan amount, a specific impairment allocation is assigned, which may be reduced or eliminated by the write down of the credit’s active principal outstanding balance.</w:t>
      </w:r>
    </w:p>
    <w:p>
      <w:pPr>
        <w:spacing w:after="0" w:line="146"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For the majority of the Bank’s impaired loans, including all collateral dependent loans, the Bank will apply the appraised market value methodology. However, the Bank may also utilize a measurement incorporating the present value of expected future cash flows discounted at the loan's effective rate of interest. To determine appraised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the balances for allowance for loan losses by loan type for three months ended March 31, 2020 and March 31, 2019.</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w w:val="99"/>
              </w:rPr>
              <w:t>(In Thousands)</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w w:val="89"/>
              </w:rPr>
              <w:t>(In Thousands)</w:t>
            </w:r>
          </w:p>
        </w:tc>
        <w:tc>
          <w:tcPr>
            <w:tcW w:w="1460" w:type="dxa"/>
            <w:vAlign w:val="bottom"/>
          </w:tcPr>
          <w:p>
            <w:pPr>
              <w:spacing w:after="0"/>
              <w:rPr>
                <w:sz w:val="19"/>
                <w:szCs w:val="19"/>
                <w:color w:val="auto"/>
              </w:rPr>
            </w:pPr>
          </w:p>
        </w:tc>
      </w:tr>
      <w:tr>
        <w:trPr>
          <w:trHeight w:val="230"/>
        </w:trPr>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March 31, 2020</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March 31, 2019</w:t>
            </w:r>
          </w:p>
        </w:tc>
        <w:tc>
          <w:tcPr>
            <w:tcW w:w="1460" w:type="dxa"/>
            <w:vAlign w:val="bottom"/>
          </w:tcPr>
          <w:p>
            <w:pPr>
              <w:spacing w:after="0"/>
              <w:rPr>
                <w:sz w:val="20"/>
                <w:szCs w:val="20"/>
                <w:color w:val="auto"/>
              </w:rPr>
            </w:pPr>
          </w:p>
        </w:tc>
      </w:tr>
      <w:tr>
        <w:trPr>
          <w:trHeight w:val="209"/>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 of Loan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 of Loan</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Balance at End of Period Applicable To:</w:t>
            </w:r>
          </w:p>
        </w:tc>
        <w:tc>
          <w:tcPr>
            <w:tcW w:w="18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Amount</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Category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Amount</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Category</w:t>
            </w: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345</w:t>
            </w:r>
          </w:p>
        </w:tc>
        <w:tc>
          <w:tcPr>
            <w:tcW w:w="160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13.94%</w:t>
            </w: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268</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14.56%</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Agricultural Real Estate</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15.56%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1460" w:type="dxa"/>
            <w:vAlign w:val="bottom"/>
          </w:tcPr>
          <w:p>
            <w:pPr>
              <w:jc w:val="right"/>
              <w:spacing w:after="0"/>
              <w:rPr>
                <w:sz w:val="20"/>
                <w:szCs w:val="20"/>
                <w:color w:val="auto"/>
              </w:rPr>
            </w:pPr>
            <w:r>
              <w:rPr>
                <w:rFonts w:ascii="Arial" w:cs="Arial" w:eastAsia="Arial" w:hAnsi="Arial"/>
                <w:sz w:val="18"/>
                <w:szCs w:val="18"/>
                <w:color w:val="auto"/>
              </w:rPr>
              <w:t>17.50%</w:t>
            </w:r>
          </w:p>
        </w:tc>
      </w:tr>
      <w:tr>
        <w:trPr>
          <w:trHeight w:val="229"/>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Agricultural</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665</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8.79%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706</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3,873</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45.61%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3,203</w:t>
            </w:r>
          </w:p>
        </w:tc>
        <w:tc>
          <w:tcPr>
            <w:tcW w:w="1460" w:type="dxa"/>
            <w:vAlign w:val="bottom"/>
          </w:tcPr>
          <w:p>
            <w:pPr>
              <w:jc w:val="right"/>
              <w:spacing w:after="0"/>
              <w:rPr>
                <w:sz w:val="20"/>
                <w:szCs w:val="20"/>
                <w:color w:val="auto"/>
              </w:rPr>
            </w:pPr>
            <w:r>
              <w:rPr>
                <w:rFonts w:ascii="Arial" w:cs="Arial" w:eastAsia="Arial" w:hAnsi="Arial"/>
                <w:sz w:val="18"/>
                <w:szCs w:val="18"/>
                <w:color w:val="auto"/>
              </w:rPr>
              <w:t>39.98%</w:t>
            </w:r>
          </w:p>
        </w:tc>
      </w:tr>
      <w:tr>
        <w:trPr>
          <w:trHeight w:val="230"/>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2,750</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12.16%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1,490</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146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30"/>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Unallocated</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40</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203</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r>
      <w:tr>
        <w:trPr>
          <w:trHeight w:val="223"/>
        </w:trPr>
        <w:tc>
          <w:tcPr>
            <w:tcW w:w="4540" w:type="dxa"/>
            <w:vAlign w:val="bottom"/>
            <w:gridSpan w:val="2"/>
          </w:tcPr>
          <w:p>
            <w:pPr>
              <w:ind w:left="240"/>
              <w:spacing w:after="0"/>
              <w:rPr>
                <w:sz w:val="20"/>
                <w:szCs w:val="20"/>
                <w:color w:val="auto"/>
              </w:rPr>
            </w:pPr>
            <w:r>
              <w:rPr>
                <w:rFonts w:ascii="Arial" w:cs="Arial" w:eastAsia="Arial" w:hAnsi="Arial"/>
                <w:sz w:val="18"/>
                <w:szCs w:val="18"/>
                <w:color w:val="auto"/>
              </w:rPr>
              <w:t>Allowance for Loan &amp; Lease Losses</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8,533</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6,636</w:t>
            </w:r>
          </w:p>
        </w:tc>
        <w:tc>
          <w:tcPr>
            <w:tcW w:w="1460" w:type="dxa"/>
            <w:vAlign w:val="bottom"/>
          </w:tcPr>
          <w:p>
            <w:pPr>
              <w:spacing w:after="0"/>
              <w:rPr>
                <w:sz w:val="19"/>
                <w:szCs w:val="19"/>
                <w:color w:val="auto"/>
              </w:rPr>
            </w:pPr>
          </w:p>
        </w:tc>
      </w:tr>
      <w:tr>
        <w:trPr>
          <w:trHeight w:val="230"/>
        </w:trPr>
        <w:tc>
          <w:tcPr>
            <w:tcW w:w="45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Off Balance Sheet Commitments</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470</w:t>
            </w:r>
          </w:p>
        </w:tc>
        <w:tc>
          <w:tcPr>
            <w:tcW w:w="1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346</w:t>
            </w:r>
          </w:p>
        </w:tc>
        <w:tc>
          <w:tcPr>
            <w:tcW w:w="1460" w:type="dxa"/>
            <w:vAlign w:val="bottom"/>
            <w:shd w:val="clear" w:color="auto" w:fill="CFF0FC"/>
          </w:tcPr>
          <w:p>
            <w:pPr>
              <w:spacing w:after="0"/>
              <w:rPr>
                <w:sz w:val="19"/>
                <w:szCs w:val="19"/>
                <w:color w:val="auto"/>
              </w:rPr>
            </w:pPr>
          </w:p>
        </w:tc>
      </w:tr>
      <w:tr>
        <w:trPr>
          <w:trHeight w:val="223"/>
        </w:trPr>
        <w:tc>
          <w:tcPr>
            <w:tcW w:w="4540" w:type="dxa"/>
            <w:vAlign w:val="bottom"/>
            <w:gridSpan w:val="2"/>
          </w:tcPr>
          <w:p>
            <w:pPr>
              <w:ind w:left="480"/>
              <w:spacing w:after="0"/>
              <w:rPr>
                <w:sz w:val="20"/>
                <w:szCs w:val="20"/>
                <w:color w:val="auto"/>
              </w:rPr>
            </w:pPr>
            <w:r>
              <w:rPr>
                <w:rFonts w:ascii="Arial" w:cs="Arial" w:eastAsia="Arial" w:hAnsi="Arial"/>
                <w:sz w:val="18"/>
                <w:szCs w:val="18"/>
                <w:color w:val="auto"/>
              </w:rPr>
              <w:t>Total Allowance for Credit Losses</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9,003</w:t>
            </w:r>
          </w:p>
        </w:tc>
        <w:tc>
          <w:tcPr>
            <w:tcW w:w="1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6,982</w:t>
            </w:r>
          </w:p>
        </w:tc>
        <w:tc>
          <w:tcPr>
            <w:tcW w:w="14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Noninterest Income</w:t>
      </w:r>
    </w:p>
    <w:p>
      <w:pPr>
        <w:spacing w:after="0" w:line="202"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Noninterest income was up $427 thousand for the first quarter 2020 over the same time frame in 2019. The Company has seen an increase in its mortgage production volume and the gain on the sale of these loans was $125 thousand higher for the first quarter 2020 over the same period in 2019. Loan originations on loans held for sale for the first quarter 2020 were $17.3 million with proceeds from sale at $18.1 million for 2020 compared to 2019’s first quarter activity of $8.3 million in originations and $7.8 million in sales. The mortgages sold were both 1-4 family and agricultural real estate loans originated for sale.</w:t>
      </w:r>
    </w:p>
    <w:p>
      <w:pPr>
        <w:spacing w:after="0" w:line="147"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next largest fluctuation in noninterest income was in the gain on sale of available-for-sale securities. During the current quarter, securities were sold and swapped for higher yield securities resulting in a gain of $270 thousand or an increase of $296 thousand over first quarter 2019. Combined service fee lines were $6 thousand higher than the same quarter last year.</w:t>
      </w:r>
    </w:p>
    <w:p>
      <w:pPr>
        <w:spacing w:after="0" w:line="14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Bank may see an impact in some of the line items such as interchange fee income and overdraft fees going forward; however, we do see additional income being derived from home loan activity.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The impact of mortgage servicing rights, both to income and expense, is shown in the following table which reconciles the value of mortgage servicing rights. The capitalization runs through noninterest income while the amortization thereof is included in non-interest expense. For the first quarter of 2020, mortgage servicing rights caused a net $43 thousand in income, in comparison to a net $12 thousand income for the first quarter of 2019. The higher capitalized additions for 2020 are attributed to a higher loan origination level of 1-4 families combined with a higher mortgage servicing rights value being applied to originations of 1-4 families in 2020 as compared to 2019. For loans of 15 years and less, the value was 1.20% in the first quarter 2020 versus 1.124% in first quarter 2019. For loans over 15 years, the value was 1.35% versus 1.309% for the same periods respectively. The carrying value is well below the market value of $3.0 million which indicates any large expense to fund the valuation allowance to be unlikely in 2020.</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9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4"/>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 January 1,</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80" w:type="dxa"/>
            <w:vAlign w:val="bottom"/>
            <w:shd w:val="clear" w:color="auto" w:fill="CFF0FC"/>
          </w:tcPr>
          <w:p>
            <w:pPr>
              <w:spacing w:after="0"/>
              <w:rPr>
                <w:sz w:val="19"/>
                <w:szCs w:val="19"/>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Capitalized Additions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(132)</w:t>
            </w:r>
          </w:p>
        </w:tc>
        <w:tc>
          <w:tcPr>
            <w:tcW w:w="4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Ending Balance, March 31,</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2,397</w:t>
            </w:r>
          </w:p>
        </w:tc>
        <w:tc>
          <w:tcPr>
            <w:tcW w:w="80" w:type="dxa"/>
            <w:vAlign w:val="bottom"/>
          </w:tcPr>
          <w:p>
            <w:pPr>
              <w:spacing w:after="0"/>
              <w:rPr>
                <w:sz w:val="19"/>
                <w:szCs w:val="19"/>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Mortgage Servicing Rights net, March 31,</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w:t>
            </w:r>
          </w:p>
        </w:tc>
        <w:tc>
          <w:tcPr>
            <w:tcW w:w="8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Noninterest Expense</w:t>
      </w:r>
    </w:p>
    <w:p>
      <w:pPr>
        <w:spacing w:after="0" w:line="202"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For the first quarter 2020, noninterest expenses were $816 thousand lower than for the same quarter in 2019. First quarter 2019 included $1.3 million of third party acquisition related costs. Salaries, wages, and employee benefits (includes normal merit increases, restricted stock expense, incentive payout and all employee benefits) decreased $6 thousand in total which was comprised of salaries decreasing $89 thousand and benefits increasing $83 thousand. 2019 included $108 thousand acquisition costs in these two categories. Furniture and equipment expenses increased $62 thousand from the prior year primarily due to an increase in depreciation of $30 thousand and maintenance contracts of $34 thousand. Data processing charges decreased $857 thousand for first quarter 2020. First quarter 2019 included data processing charges of $892 thousand related to the acquisition. Building occupancy costs decreased $103 thousand while advertising increased $43 thousand for the quarter. Franchise taxes increased $110 thousand over first quarter 2019 with the increase in equity due to the issuance of stock in the Bank of Geneva acquisition. Other general and administrative expenses were down $77 thousand compared to first quarter 2019 which included $238 thousand of acquisition related costs.</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Federal income tax expense was $238 thousand higher for the first quarter 2020 compared to the same quarter in 2019. Effective tax rates were 18.71% and 17.99% for first quarter 2020 and 2019 respectively. The higher effective tax rate for first quarter 2020 equated to an increase in federal income tax expense of $38 thousand while the remainder of the increase was driven from increased earnings.</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Net Income</w:t>
      </w:r>
    </w:p>
    <w:p>
      <w:pPr>
        <w:spacing w:after="0" w:line="189"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Results overall, net income in the first quarter of 2020 was up $881 thousand as compared to the same quarter last year. First quarter 2020 included an additional $1.4 million of loan loss provision as compared to first quarter 2019. As discussed previously, the long-term effects of COVID-19 and the ability of borrowers to make timely payments are unknown at this time. Tax adjusted acquisition costs for first quarter 2019 were $1.0 million. The Company has done an exceptional job of growing loans while keeping past dues low. The Company remains strong, stable, and well capitalized and has the capacity to continue to cover the increased costs of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FORWARD LOOKING STATEMENTS</w:t>
      </w:r>
    </w:p>
    <w:p>
      <w:pPr>
        <w:spacing w:after="0" w:line="185"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ITEM 3 QUALITATIVE AND QUANTITATIVE DISCLOSURES ABOUT MARKET RISK</w:t>
      </w:r>
    </w:p>
    <w:p>
      <w:pPr>
        <w:spacing w:after="0" w:line="252"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21"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shocks presented below assume an immediate change of rate in the percentages and directions shown covering a twelve month period: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6"/>
          </w:tcPr>
          <w:p>
            <w:pPr>
              <w:jc w:val="center"/>
              <w:ind w:right="1480"/>
              <w:spacing w:after="0"/>
              <w:rPr>
                <w:sz w:val="20"/>
                <w:szCs w:val="20"/>
                <w:color w:val="auto"/>
              </w:rPr>
            </w:pPr>
            <w:r>
              <w:rPr>
                <w:rFonts w:ascii="Arial" w:cs="Arial" w:eastAsia="Arial" w:hAnsi="Arial"/>
                <w:sz w:val="18"/>
                <w:szCs w:val="18"/>
                <w:color w:val="auto"/>
                <w:w w:val="88"/>
              </w:rPr>
              <w:t>Interest Rate Shock</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80" w:type="dxa"/>
            <w:vAlign w:val="bottom"/>
            <w:gridSpan w:val="7"/>
          </w:tcPr>
          <w:p>
            <w:pPr>
              <w:jc w:val="center"/>
              <w:ind w:right="1200"/>
              <w:spacing w:after="0"/>
              <w:rPr>
                <w:sz w:val="20"/>
                <w:szCs w:val="20"/>
                <w:color w:val="auto"/>
              </w:rPr>
            </w:pPr>
            <w:r>
              <w:rPr>
                <w:rFonts w:ascii="Arial" w:cs="Arial" w:eastAsia="Arial" w:hAnsi="Arial"/>
                <w:sz w:val="18"/>
                <w:szCs w:val="18"/>
                <w:color w:val="auto"/>
                <w:w w:val="88"/>
              </w:rPr>
              <w:t>Interest Rate Shock</w:t>
            </w: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640" w:type="dxa"/>
            <w:vAlign w:val="bottom"/>
            <w:gridSpan w:val="5"/>
          </w:tcPr>
          <w:p>
            <w:pPr>
              <w:jc w:val="center"/>
              <w:spacing w:after="0" w:line="196" w:lineRule="exact"/>
              <w:rPr>
                <w:sz w:val="20"/>
                <w:szCs w:val="20"/>
                <w:color w:val="auto"/>
              </w:rPr>
            </w:pPr>
            <w:r>
              <w:rPr>
                <w:rFonts w:ascii="Arial" w:cs="Arial" w:eastAsia="Arial" w:hAnsi="Arial"/>
                <w:sz w:val="18"/>
                <w:szCs w:val="18"/>
                <w:color w:val="auto"/>
                <w:w w:val="92"/>
              </w:rPr>
              <w:t>on Net Interest Margin</w:t>
            </w:r>
          </w:p>
        </w:tc>
        <w:tc>
          <w:tcPr>
            <w:tcW w:w="1360" w:type="dxa"/>
            <w:vAlign w:val="bottom"/>
            <w:gridSpan w:val="2"/>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80" w:type="dxa"/>
            <w:vAlign w:val="bottom"/>
            <w:gridSpan w:val="7"/>
          </w:tcPr>
          <w:p>
            <w:pPr>
              <w:jc w:val="center"/>
              <w:ind w:right="1220"/>
              <w:spacing w:after="0" w:line="196" w:lineRule="exact"/>
              <w:rPr>
                <w:sz w:val="20"/>
                <w:szCs w:val="20"/>
                <w:color w:val="auto"/>
              </w:rPr>
            </w:pPr>
            <w:r>
              <w:rPr>
                <w:rFonts w:ascii="Arial" w:cs="Arial" w:eastAsia="Arial" w:hAnsi="Arial"/>
                <w:sz w:val="18"/>
                <w:szCs w:val="18"/>
                <w:color w:val="auto"/>
                <w:w w:val="91"/>
              </w:rPr>
              <w:t>on Net Interest Income</w:t>
            </w:r>
          </w:p>
        </w:tc>
      </w:tr>
      <w:tr>
        <w:trPr>
          <w:trHeight w:val="20"/>
        </w:trPr>
        <w:tc>
          <w:tcPr>
            <w:tcW w:w="1060" w:type="dxa"/>
            <w:vAlign w:val="bottom"/>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249"/>
        </w:trPr>
        <w:tc>
          <w:tcPr>
            <w:tcW w:w="204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Net Interest</w:t>
            </w:r>
          </w:p>
        </w:tc>
        <w:tc>
          <w:tcPr>
            <w:tcW w:w="202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 Change to</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Rate</w:t>
            </w: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Rate</w:t>
            </w:r>
          </w:p>
        </w:tc>
        <w:tc>
          <w:tcPr>
            <w:tcW w:w="2060" w:type="dxa"/>
            <w:vAlign w:val="bottom"/>
            <w:gridSpan w:val="4"/>
          </w:tcPr>
          <w:p>
            <w:pPr>
              <w:jc w:val="center"/>
              <w:ind w:right="300"/>
              <w:spacing w:after="0"/>
              <w:rPr>
                <w:sz w:val="20"/>
                <w:szCs w:val="20"/>
                <w:color w:val="auto"/>
              </w:rPr>
            </w:pPr>
            <w:r>
              <w:rPr>
                <w:rFonts w:ascii="Arial" w:cs="Arial" w:eastAsia="Arial" w:hAnsi="Arial"/>
                <w:sz w:val="18"/>
                <w:szCs w:val="18"/>
                <w:color w:val="auto"/>
                <w:w w:val="93"/>
              </w:rPr>
              <w:t>Cumulative</w:t>
            </w:r>
          </w:p>
        </w:tc>
        <w:tc>
          <w:tcPr>
            <w:tcW w:w="190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 Change to</w:t>
            </w:r>
          </w:p>
        </w:tc>
      </w:tr>
      <w:tr>
        <w:trPr>
          <w:trHeight w:val="230"/>
        </w:trPr>
        <w:tc>
          <w:tcPr>
            <w:tcW w:w="2040" w:type="dxa"/>
            <w:vAlign w:val="bottom"/>
            <w:gridSpan w:val="4"/>
          </w:tcPr>
          <w:p>
            <w:pPr>
              <w:jc w:val="center"/>
              <w:ind w:right="320"/>
              <w:spacing w:after="0"/>
              <w:rPr>
                <w:sz w:val="20"/>
                <w:szCs w:val="20"/>
                <w:color w:val="auto"/>
              </w:rPr>
            </w:pPr>
            <w:r>
              <w:rPr>
                <w:rFonts w:ascii="Arial" w:cs="Arial" w:eastAsia="Arial" w:hAnsi="Arial"/>
                <w:sz w:val="18"/>
                <w:szCs w:val="18"/>
                <w:color w:val="auto"/>
                <w:w w:val="94"/>
              </w:rPr>
              <w:t>Margin (Ratio)</w:t>
            </w:r>
          </w:p>
        </w:tc>
        <w:tc>
          <w:tcPr>
            <w:tcW w:w="202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Flat Rate</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Direction</w:t>
            </w: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Changes by</w:t>
            </w:r>
          </w:p>
        </w:tc>
        <w:tc>
          <w:tcPr>
            <w:tcW w:w="2060" w:type="dxa"/>
            <w:vAlign w:val="bottom"/>
            <w:gridSpan w:val="4"/>
          </w:tcPr>
          <w:p>
            <w:pPr>
              <w:jc w:val="center"/>
              <w:ind w:right="300"/>
              <w:spacing w:after="0"/>
              <w:rPr>
                <w:sz w:val="20"/>
                <w:szCs w:val="20"/>
                <w:color w:val="auto"/>
              </w:rPr>
            </w:pPr>
            <w:r>
              <w:rPr>
                <w:rFonts w:ascii="Arial" w:cs="Arial" w:eastAsia="Arial" w:hAnsi="Arial"/>
                <w:sz w:val="18"/>
                <w:szCs w:val="18"/>
                <w:color w:val="auto"/>
                <w:w w:val="90"/>
              </w:rPr>
              <w:t>Total ($000)</w:t>
            </w:r>
          </w:p>
        </w:tc>
        <w:tc>
          <w:tcPr>
            <w:tcW w:w="560" w:type="dxa"/>
            <w:vAlign w:val="bottom"/>
          </w:tcPr>
          <w:p>
            <w:pPr>
              <w:spacing w:after="0"/>
              <w:rPr>
                <w:sz w:val="20"/>
                <w:szCs w:val="20"/>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8"/>
                <w:szCs w:val="18"/>
                <w:color w:val="auto"/>
                <w:w w:val="90"/>
              </w:rPr>
              <w:t>Flat Rate</w:t>
            </w:r>
          </w:p>
        </w:tc>
      </w:tr>
      <w:tr>
        <w:trPr>
          <w:trHeight w:val="223"/>
        </w:trPr>
        <w:tc>
          <w:tcPr>
            <w:tcW w:w="1180" w:type="dxa"/>
            <w:vAlign w:val="bottom"/>
            <w:tcBorders>
              <w:top w:val="single" w:sz="8" w:color="auto"/>
            </w:tcBorders>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3.52%</w:t>
            </w:r>
          </w:p>
        </w:tc>
        <w:tc>
          <w:tcPr>
            <w:tcW w:w="5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2"/>
              </w:rPr>
              <w:t>-10.11%</w:t>
            </w:r>
          </w:p>
        </w:tc>
        <w:tc>
          <w:tcPr>
            <w:tcW w:w="30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Rising</w:t>
            </w:r>
          </w:p>
        </w:tc>
        <w:tc>
          <w:tcPr>
            <w:tcW w:w="2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3.00%</w:t>
            </w:r>
          </w:p>
        </w:tc>
        <w:tc>
          <w:tcPr>
            <w:tcW w:w="3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52,063</w:t>
            </w: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gridSpan w:val="3"/>
            <w:shd w:val="clear" w:color="auto" w:fill="CFF0FC"/>
          </w:tcPr>
          <w:p>
            <w:pPr>
              <w:jc w:val="center"/>
              <w:spacing w:after="0"/>
              <w:rPr>
                <w:sz w:val="20"/>
                <w:szCs w:val="20"/>
                <w:color w:val="auto"/>
              </w:rPr>
            </w:pPr>
            <w:r>
              <w:rPr>
                <w:rFonts w:ascii="Arial" w:cs="Arial" w:eastAsia="Arial" w:hAnsi="Arial"/>
                <w:sz w:val="18"/>
                <w:szCs w:val="18"/>
                <w:color w:val="auto"/>
                <w:w w:val="92"/>
              </w:rPr>
              <w:t>-13.41%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3.61%</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-7.73%</w:t>
            </w:r>
          </w:p>
        </w:tc>
        <w:tc>
          <w:tcPr>
            <w:tcW w:w="300" w:type="dxa"/>
            <w:vAlign w:val="bottom"/>
          </w:tcPr>
          <w:p>
            <w:pPr>
              <w:spacing w:after="0"/>
              <w:rPr>
                <w:sz w:val="19"/>
                <w:szCs w:val="19"/>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Rising</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3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54,317</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-9.66%</w:t>
            </w:r>
          </w:p>
        </w:tc>
        <w:tc>
          <w:tcPr>
            <w:tcW w:w="120" w:type="dxa"/>
            <w:vAlign w:val="bottom"/>
          </w:tcPr>
          <w:p>
            <w:pPr>
              <w:spacing w:after="0"/>
              <w:rPr>
                <w:sz w:val="19"/>
                <w:szCs w:val="19"/>
                <w:color w:val="auto"/>
              </w:rPr>
            </w:pPr>
          </w:p>
        </w:tc>
      </w:tr>
      <w:tr>
        <w:trPr>
          <w:trHeight w:val="229"/>
        </w:trPr>
        <w:tc>
          <w:tcPr>
            <w:tcW w:w="1180" w:type="dxa"/>
            <w:vAlign w:val="bottom"/>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3.71%</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2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4"/>
              </w:rPr>
              <w:t>-5.19%</w:t>
            </w:r>
          </w:p>
        </w:tc>
        <w:tc>
          <w:tcPr>
            <w:tcW w:w="3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Rising</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56,709</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1"/>
              </w:rPr>
              <w:t>-5.68%</w:t>
            </w:r>
          </w:p>
        </w:tc>
        <w:tc>
          <w:tcPr>
            <w:tcW w:w="120" w:type="dxa"/>
            <w:vAlign w:val="bottom"/>
            <w:shd w:val="clear" w:color="auto" w:fill="CFF0FC"/>
          </w:tcPr>
          <w:p>
            <w:pPr>
              <w:spacing w:after="0"/>
              <w:rPr>
                <w:sz w:val="19"/>
                <w:szCs w:val="19"/>
                <w:color w:val="auto"/>
              </w:rPr>
            </w:pPr>
          </w:p>
        </w:tc>
      </w:tr>
      <w:tr>
        <w:trPr>
          <w:trHeight w:val="230"/>
        </w:trPr>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3.91%</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0.00%</w:t>
            </w:r>
          </w:p>
        </w:tc>
        <w:tc>
          <w:tcPr>
            <w:tcW w:w="300" w:type="dxa"/>
            <w:vAlign w:val="bottom"/>
          </w:tcPr>
          <w:p>
            <w:pPr>
              <w:spacing w:after="0"/>
              <w:rPr>
                <w:sz w:val="19"/>
                <w:szCs w:val="19"/>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Flat</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3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60,127</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tcPr>
          <w:p>
            <w:pPr>
              <w:spacing w:after="0"/>
              <w:rPr>
                <w:sz w:val="19"/>
                <w:szCs w:val="19"/>
                <w:color w:val="auto"/>
              </w:rPr>
            </w:pPr>
          </w:p>
        </w:tc>
      </w:tr>
      <w:tr>
        <w:trPr>
          <w:trHeight w:val="229"/>
        </w:trPr>
        <w:tc>
          <w:tcPr>
            <w:tcW w:w="1180" w:type="dxa"/>
            <w:vAlign w:val="bottom"/>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3.71%</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2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4"/>
              </w:rPr>
              <w:t>-5.18%</w:t>
            </w:r>
          </w:p>
        </w:tc>
        <w:tc>
          <w:tcPr>
            <w:tcW w:w="3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4"/>
              </w:rPr>
              <w:t>Falling</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-1.00%</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58,756</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1"/>
              </w:rPr>
              <w:t>-2.28%</w:t>
            </w:r>
          </w:p>
        </w:tc>
        <w:tc>
          <w:tcPr>
            <w:tcW w:w="120" w:type="dxa"/>
            <w:vAlign w:val="bottom"/>
            <w:shd w:val="clear" w:color="auto" w:fill="CFF0FC"/>
          </w:tcPr>
          <w:p>
            <w:pPr>
              <w:spacing w:after="0"/>
              <w:rPr>
                <w:sz w:val="19"/>
                <w:szCs w:val="19"/>
                <w:color w:val="auto"/>
              </w:rPr>
            </w:pPr>
          </w:p>
        </w:tc>
      </w:tr>
      <w:tr>
        <w:trPr>
          <w:trHeight w:val="229"/>
        </w:trPr>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3.44%</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-12.14%</w:t>
            </w:r>
          </w:p>
        </w:tc>
        <w:tc>
          <w:tcPr>
            <w:tcW w:w="300" w:type="dxa"/>
            <w:vAlign w:val="bottom"/>
          </w:tcPr>
          <w:p>
            <w:pPr>
              <w:spacing w:after="0"/>
              <w:rPr>
                <w:sz w:val="19"/>
                <w:szCs w:val="19"/>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Falling</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3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55,573</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-7.57%</w:t>
            </w:r>
          </w:p>
        </w:tc>
        <w:tc>
          <w:tcPr>
            <w:tcW w:w="120" w:type="dxa"/>
            <w:vAlign w:val="bottom"/>
          </w:tcPr>
          <w:p>
            <w:pPr>
              <w:spacing w:after="0"/>
              <w:rPr>
                <w:sz w:val="19"/>
                <w:szCs w:val="19"/>
                <w:color w:val="auto"/>
              </w:rPr>
            </w:pPr>
          </w:p>
        </w:tc>
      </w:tr>
      <w:tr>
        <w:trPr>
          <w:trHeight w:val="230"/>
        </w:trPr>
        <w:tc>
          <w:tcPr>
            <w:tcW w:w="1180" w:type="dxa"/>
            <w:vAlign w:val="bottom"/>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3.19%</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2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2"/>
              </w:rPr>
              <w:t>-18.52%</w:t>
            </w:r>
          </w:p>
        </w:tc>
        <w:tc>
          <w:tcPr>
            <w:tcW w:w="3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4"/>
              </w:rPr>
              <w:t>Falling</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-3.00%</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52,893</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2"/>
              </w:rPr>
              <w:t>-12.03%</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The net interest margin represents the forecasted twelve month margin. The Company also reviews shocks with a 4.0% fluctuation with a delayed time frame of 10 months and over a 24 month time frame. It also shows the effect rate changes will have on both the margin and net interest income. The goal of the Company is to lengthen the term of some of the Bank’s fixed rate liabilities or sources of funds to decrease the exposure to a rising rate environment. Of course, customer desires also impact the Bank’s ability to attract longer term deposits. Some movement into the longer term time deposits has occurred. Over the past year with the Limberlost acquisition, the Bank has experienced an increase in the time balances of our deposit portfolio, and therefore, an increase of term funding. Over the past two years, the Bank has also paid off term borrowings with the last $5 million maturing December 2018; however, additional borrowings were a part of the Limberlost acquisition in 2019.</w:t>
      </w:r>
    </w:p>
    <w:p>
      <w:pPr>
        <w:spacing w:after="0" w:line="151"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The shock chart currently shows a tightening in net interest margin over the next twelve months in both a rising rate and falling rate environment. Due to the existence of such a low rate environment, the model does not predict expansion of net interest margin at any level. Cost of funds are at 1.22% for the quarter so the lowest shock of 100 basis points is where the Bank can take full advantage and reprice funds to match the level of shock. Once the shocks are falling over 100 basis points, the cost of funds cannot lower to match and the loss on net interest income continues to build. The negative impact in a rising rate environment is partially caused by a timing issue on the ability to reprice assets as quickly as liabilities. The average duration of the majority of the assets is outside the 12 month shock period. The majority of the newer loans added to the commercial real estate portfolio begin with an initial fixed rate period of three to five years whose variable adjustment is outside of the current shock time frame. The Bank continues to adjust its assumptions by including decay rates and key rate ties on certain deposit accounts and continues to review and modify those rates as the index rates change. All shocks are within risk exposure guidelines at all levels. The effect of the rate shocks may be mitigated to the extent that not all lines of business are directly tied to an external index and actual balance sheet composition may differ from prediction.</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Overall, the Company must concentrate on increasing loan spreads on variable loans and extend the duration on cost of funds where possible.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As of March 31, 2020,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March 31, 2020 . There have been no changes in the Company's internal control over financial reporting that occurred during the quarter ended March 31, 2020 that have materially affected, or are reasonably likely to materially affect, the Company's internal control over financial reporting.</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PART II OTHER INFORMATION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1A RISK FACTORS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212529"/>
        </w:rPr>
        <w:t xml:space="preserve">Except as otherwise provide below, there have been no material changes in the Company’s risk factors from those disclosed in the Company’s Annual Report on Form 10-K for the year </w:t>
      </w:r>
      <w:r>
        <w:rPr>
          <w:rFonts w:ascii="Arial" w:cs="Arial" w:eastAsia="Arial" w:hAnsi="Arial"/>
          <w:sz w:val="18"/>
          <w:szCs w:val="18"/>
          <w:color w:val="000000"/>
        </w:rPr>
        <w:t>ended December 31, 2019.</w:t>
      </w:r>
    </w:p>
    <w:p>
      <w:pPr>
        <w:spacing w:after="0" w:line="126" w:lineRule="exact"/>
        <w:rPr>
          <w:sz w:val="20"/>
          <w:szCs w:val="20"/>
          <w:color w:val="auto"/>
        </w:rPr>
      </w:pPr>
    </w:p>
    <w:p>
      <w:pPr>
        <w:jc w:val="both"/>
        <w:ind w:left="760"/>
        <w:spacing w:after="0" w:line="266" w:lineRule="auto"/>
        <w:rPr>
          <w:sz w:val="20"/>
          <w:szCs w:val="20"/>
          <w:color w:val="auto"/>
        </w:rPr>
      </w:pPr>
      <w:r>
        <w:rPr>
          <w:rFonts w:ascii="Arial" w:cs="Arial" w:eastAsia="Arial" w:hAnsi="Arial"/>
          <w:sz w:val="18"/>
          <w:szCs w:val="18"/>
          <w:b w:val="1"/>
          <w:bCs w:val="1"/>
          <w:color w:val="212529"/>
        </w:rPr>
        <w:t>The ongoing COVID-19 pandemic and measures intended to prevent its spread could have a material adverse effect on our business, results of operations and financial condition, and such effects will depend on future developments, which are highly uncertain and are difficult to predict.</w:t>
      </w:r>
    </w:p>
    <w:p>
      <w:pPr>
        <w:spacing w:after="0" w:line="153"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In December 2019, a novel coronavirus (COVID-19) was reported in China, and, in March 2020, the World Health Organization declared it a pandemic. On March 12, 2020, the President of the United States declared the COVID-19 outbreak in the United States a national emergency. The COVID-19 pandemic has caused significant economic dislocation in the United States as many state and local governments have ordered non-essential businesses to close and residents to shelter in place at home. This has resulted in an unprecedented slow-down in economic activity and a related increase in unemployment. Since the COVID-19 outbreak, more than 22 million people have filed claims for unemployment, and stock markets have declined in value and, in particular, bank stocks have significantly declined in value. In response to the COVID-19 outbreak, the Federal Reserve Board has reduced the benchmark fed funds rate to a target range of 0% to 0.25%, and the yields on 10 and 30-year treasury notes have declined to historic lows. The federal banking agencies have encouraged financial institutions to prudently work with affected borrowers and recently passed legislation to provide relief from reporting loan classifications due to modifications related to the COVID-19 outbreak.</w:t>
      </w:r>
    </w:p>
    <w:p>
      <w:pPr>
        <w:spacing w:after="0" w:line="145"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Finally, the spread of the coronavirus has caused us to modify our business practices, including employee travel, employee work locations, and cancellation of physical participation in meetings, events and conferences. We may take further actions as may be required by government authorities or that we determine are in the best interests of our employees, customers and business partners. There is no certainty that such measures will be sufficient to mitigate the risks posed by the virus or will otherwise be satisfactory to government authorities. In addition, the success of our operations substantially depends on the management skills of our executive officers and directors, many of whom have held officer and director positions with us for many years. The unanticipated loss or unavailability of key employees due to the outbreak could harm our ability to operate our business or execute our business strategy.</w:t>
      </w:r>
    </w:p>
    <w:p>
      <w:pPr>
        <w:spacing w:after="0" w:line="137" w:lineRule="exact"/>
        <w:rPr>
          <w:sz w:val="20"/>
          <w:szCs w:val="20"/>
          <w:color w:val="auto"/>
        </w:rPr>
      </w:pPr>
    </w:p>
    <w:p>
      <w:pPr>
        <w:jc w:val="both"/>
        <w:ind w:left="760"/>
        <w:spacing w:after="0" w:line="291" w:lineRule="auto"/>
        <w:rPr>
          <w:sz w:val="20"/>
          <w:szCs w:val="20"/>
          <w:color w:val="auto"/>
        </w:rPr>
      </w:pPr>
      <w:r>
        <w:rPr>
          <w:rFonts w:ascii="Arial" w:cs="Arial" w:eastAsia="Arial" w:hAnsi="Arial"/>
          <w:sz w:val="16"/>
          <w:szCs w:val="16"/>
          <w:color w:val="auto"/>
        </w:rPr>
        <w:t>Given the ongoing and dynamic nature of the circumstances, it is difficult to predict the full impact of the COVID-19 outbreak on our business. The United States government has taken steps to attempt to mitigate some of the more severe anticipated economic effects of the virus, including the passage of the CARES Act, but there can be no assurance that such steps will be effective or achieve their desired results in a timely fashion. The extent of such impact from the COVID-19 outbreak and related mitigation efforts will depend on future developments, which are highly uncertain, including but not limited to, the duration and spread of the outbreak, its severity, the actions to contain the virus or treat its impact, and how quickly and to what extent normal economic and operating conditions can resume. As the result, we could be subject to any of the following risks, any of which could have a material, adverse effect on our business, financial condition, liquidity, and results of operations:</w:t>
      </w:r>
    </w:p>
    <w:p>
      <w:pPr>
        <w:spacing w:after="0" w:line="139" w:lineRule="exact"/>
        <w:rPr>
          <w:sz w:val="20"/>
          <w:szCs w:val="20"/>
          <w:color w:val="auto"/>
        </w:rPr>
      </w:pPr>
    </w:p>
    <w:p>
      <w:pPr>
        <w:ind w:left="1500" w:hanging="372"/>
        <w:spacing w:after="0"/>
        <w:tabs>
          <w:tab w:leader="none" w:pos="1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demand for our products and services may decline, making it difficult to grow assets and income;</w:t>
      </w:r>
    </w:p>
    <w:p>
      <w:pPr>
        <w:spacing w:after="0" w:line="11" w:lineRule="exact"/>
        <w:rPr>
          <w:rFonts w:ascii="Arial" w:cs="Arial" w:eastAsia="Arial" w:hAnsi="Arial"/>
          <w:sz w:val="18"/>
          <w:szCs w:val="18"/>
          <w:color w:val="auto"/>
        </w:rPr>
      </w:pPr>
    </w:p>
    <w:p>
      <w:pPr>
        <w:ind w:left="1500" w:hanging="372"/>
        <w:spacing w:after="0" w:line="288" w:lineRule="auto"/>
        <w:tabs>
          <w:tab w:leader="none" w:pos="1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the economy is unable to substantially reopen, and high levels of unemployment continue for an extended period of time, loan delinquencies, problem assets, and foreclosures may increase, resulting in increased charges and reduced income;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ind w:left="920" w:hanging="372"/>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collateral for loans, especially real estate, may decline in value, which could cause loan losses to increase;</w:t>
      </w:r>
    </w:p>
    <w:p>
      <w:pPr>
        <w:spacing w:after="0" w:line="23" w:lineRule="exact"/>
        <w:rPr>
          <w:rFonts w:ascii="Arial" w:cs="Arial" w:eastAsia="Arial" w:hAnsi="Arial"/>
          <w:sz w:val="18"/>
          <w:szCs w:val="18"/>
          <w:color w:val="auto"/>
        </w:rPr>
      </w:pPr>
    </w:p>
    <w:p>
      <w:pPr>
        <w:ind w:left="920" w:hanging="372"/>
        <w:spacing w:after="0" w:line="250"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allowance for loan losses may have to be increased if borrowers experience financial difficulties beyond forbearance periods, which will adversely affect our net income;</w:t>
      </w:r>
    </w:p>
    <w:p>
      <w:pPr>
        <w:ind w:left="920" w:hanging="372"/>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net worth and liquidity of loan guarantors may decline, impairing their ability to honor commitments to us;</w:t>
      </w:r>
    </w:p>
    <w:p>
      <w:pPr>
        <w:spacing w:after="0" w:line="9" w:lineRule="exact"/>
        <w:rPr>
          <w:rFonts w:ascii="Arial" w:cs="Arial" w:eastAsia="Arial" w:hAnsi="Arial"/>
          <w:sz w:val="18"/>
          <w:szCs w:val="18"/>
          <w:color w:val="auto"/>
        </w:rPr>
      </w:pPr>
    </w:p>
    <w:p>
      <w:pPr>
        <w:ind w:left="920" w:hanging="372"/>
        <w:spacing w:after="0" w:line="281" w:lineRule="auto"/>
        <w:tabs>
          <w:tab w:leader="none" w:pos="9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the result of the decline in the Federal Reserve Board’s target federal funds rate, the yield on our assets may decline to a greater extent than the decline in our cost of interest-bearing liabilities, reducing our net interest margin and spread and reducing net income;</w:t>
      </w:r>
    </w:p>
    <w:p>
      <w:pPr>
        <w:spacing w:after="0" w:line="1" w:lineRule="exact"/>
        <w:rPr>
          <w:rFonts w:ascii="Arial" w:cs="Arial" w:eastAsia="Arial" w:hAnsi="Arial"/>
          <w:sz w:val="16"/>
          <w:szCs w:val="16"/>
          <w:color w:val="auto"/>
        </w:rPr>
      </w:pPr>
    </w:p>
    <w:p>
      <w:pPr>
        <w:ind w:left="920" w:hanging="372"/>
        <w:spacing w:after="0"/>
        <w:tabs>
          <w:tab w:leader="none" w:pos="9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material decrease in net income or a net loss over several quarters could result in a decrease in the rate of our quarterly cash dividend;</w:t>
      </w:r>
    </w:p>
    <w:p>
      <w:pPr>
        <w:spacing w:after="0" w:line="32" w:lineRule="exact"/>
        <w:rPr>
          <w:rFonts w:ascii="Arial" w:cs="Arial" w:eastAsia="Arial" w:hAnsi="Arial"/>
          <w:sz w:val="16"/>
          <w:szCs w:val="16"/>
          <w:color w:val="auto"/>
        </w:rPr>
      </w:pPr>
    </w:p>
    <w:p>
      <w:pPr>
        <w:ind w:left="920" w:right="20" w:hanging="372"/>
        <w:spacing w:after="0" w:line="250"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rely on third party vendors for certain services and the unavailability of a critical service due to the COVID-19 outbreak could have an adverse effect on us; and</w:t>
      </w:r>
    </w:p>
    <w:p>
      <w:pPr>
        <w:ind w:left="920" w:hanging="372"/>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Deposit Insurance Corporation premiums may increase if the agency experiences additional resolution costs.</w:t>
      </w:r>
    </w:p>
    <w:p>
      <w:pPr>
        <w:spacing w:after="0" w:line="200" w:lineRule="exact"/>
        <w:rPr>
          <w:sz w:val="20"/>
          <w:szCs w:val="20"/>
          <w:color w:val="auto"/>
        </w:rPr>
      </w:pPr>
    </w:p>
    <w:p>
      <w:pPr>
        <w:spacing w:after="0" w:line="213"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Any one or a combination of the factors identified above could negatively impact our business, financial condition and results of operations and prospects. Even after the COVID-19 outbreak has subsided, we may continue to experience materially adverse impacts to our business as a result of the virus’s global economic impact, including the availability of credit, adverse impacts on our liquidity and any recession that has occurred or may occur in the future.</w:t>
      </w:r>
    </w:p>
    <w:p>
      <w:pPr>
        <w:spacing w:after="0" w:line="160" w:lineRule="exact"/>
        <w:rPr>
          <w:sz w:val="20"/>
          <w:szCs w:val="20"/>
          <w:color w:val="auto"/>
        </w:rPr>
      </w:pPr>
    </w:p>
    <w:p>
      <w:pPr>
        <w:ind w:left="180" w:right="3800"/>
        <w:spacing w:after="0" w:line="481" w:lineRule="auto"/>
        <w:rPr>
          <w:sz w:val="20"/>
          <w:szCs w:val="20"/>
          <w:color w:val="auto"/>
        </w:rPr>
      </w:pPr>
      <w:r>
        <w:rPr>
          <w:rFonts w:ascii="Arial" w:cs="Arial" w:eastAsia="Arial" w:hAnsi="Arial"/>
          <w:sz w:val="18"/>
          <w:szCs w:val="18"/>
          <w:color w:val="auto"/>
        </w:rPr>
        <w:t>ITEM 2 UNREGISTERED SALES OF EQUITY SECURITIES AND USE OF PROCEEDS Treasury stock repurchased the quarter ended March 31,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(d) Maximum</w:t>
            </w:r>
          </w:p>
        </w:tc>
      </w:tr>
      <w:tr>
        <w:trPr>
          <w:trHeight w:val="216"/>
        </w:trPr>
        <w:tc>
          <w:tcPr>
            <w:tcW w:w="2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10"/>
              <w:spacing w:after="0"/>
              <w:rPr>
                <w:sz w:val="20"/>
                <w:szCs w:val="20"/>
                <w:color w:val="auto"/>
              </w:rPr>
            </w:pPr>
            <w:r>
              <w:rPr>
                <w:rFonts w:ascii="Arial" w:cs="Arial" w:eastAsia="Arial" w:hAnsi="Arial"/>
                <w:sz w:val="18"/>
                <w:szCs w:val="18"/>
                <w:color w:val="auto"/>
                <w:w w:val="93"/>
              </w:rPr>
              <w:t>(c) Total Number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Number</w:t>
            </w:r>
          </w:p>
        </w:tc>
      </w:tr>
      <w:tr>
        <w:trPr>
          <w:trHeight w:val="216"/>
        </w:trPr>
        <w:tc>
          <w:tcPr>
            <w:tcW w:w="2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color w:val="auto"/>
                <w:w w:val="88"/>
              </w:rPr>
              <w:t>of Shares</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of Shares that may</w:t>
            </w:r>
          </w:p>
        </w:tc>
      </w:tr>
      <w:tr>
        <w:trPr>
          <w:trHeight w:val="216"/>
        </w:trPr>
        <w:tc>
          <w:tcPr>
            <w:tcW w:w="2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10"/>
              <w:spacing w:after="0"/>
              <w:rPr>
                <w:sz w:val="20"/>
                <w:szCs w:val="20"/>
                <w:color w:val="auto"/>
              </w:rPr>
            </w:pPr>
            <w:r>
              <w:rPr>
                <w:rFonts w:ascii="Arial" w:cs="Arial" w:eastAsia="Arial" w:hAnsi="Arial"/>
                <w:sz w:val="18"/>
                <w:szCs w:val="18"/>
                <w:color w:val="auto"/>
                <w:w w:val="85"/>
              </w:rPr>
              <w:t>Purchased as Part</w:t>
            </w:r>
          </w:p>
        </w:tc>
        <w:tc>
          <w:tcPr>
            <w:tcW w:w="1740" w:type="dxa"/>
            <w:vAlign w:val="bottom"/>
          </w:tcPr>
          <w:p>
            <w:pPr>
              <w:jc w:val="center"/>
              <w:spacing w:after="0"/>
              <w:rPr>
                <w:sz w:val="20"/>
                <w:szCs w:val="20"/>
                <w:color w:val="auto"/>
              </w:rPr>
            </w:pPr>
            <w:r>
              <w:rPr>
                <w:rFonts w:ascii="Arial" w:cs="Arial" w:eastAsia="Arial" w:hAnsi="Arial"/>
                <w:sz w:val="18"/>
                <w:szCs w:val="18"/>
                <w:color w:val="auto"/>
                <w:w w:val="85"/>
              </w:rPr>
              <w:t>yet be</w:t>
            </w:r>
          </w:p>
        </w:tc>
      </w:tr>
      <w:tr>
        <w:trPr>
          <w:trHeight w:val="216"/>
        </w:trPr>
        <w:tc>
          <w:tcPr>
            <w:tcW w:w="2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color w:val="auto"/>
                <w:w w:val="97"/>
              </w:rPr>
              <w:t>of Publicly</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purchased under the</w:t>
            </w:r>
          </w:p>
        </w:tc>
      </w:tr>
      <w:tr>
        <w:trPr>
          <w:trHeight w:val="216"/>
        </w:trPr>
        <w:tc>
          <w:tcPr>
            <w:tcW w:w="2440" w:type="dxa"/>
            <w:vAlign w:val="bottom"/>
          </w:tcPr>
          <w:p>
            <w:pPr>
              <w:spacing w:after="0"/>
              <w:rPr>
                <w:sz w:val="18"/>
                <w:szCs w:val="18"/>
                <w:color w:val="auto"/>
              </w:rPr>
            </w:pPr>
          </w:p>
        </w:tc>
        <w:tc>
          <w:tcPr>
            <w:tcW w:w="2520" w:type="dxa"/>
            <w:vAlign w:val="bottom"/>
          </w:tcPr>
          <w:p>
            <w:pPr>
              <w:jc w:val="right"/>
              <w:ind w:right="270"/>
              <w:spacing w:after="0"/>
              <w:rPr>
                <w:sz w:val="20"/>
                <w:szCs w:val="20"/>
                <w:color w:val="auto"/>
              </w:rPr>
            </w:pPr>
            <w:r>
              <w:rPr>
                <w:rFonts w:ascii="Arial" w:cs="Arial" w:eastAsia="Arial" w:hAnsi="Arial"/>
                <w:sz w:val="18"/>
                <w:szCs w:val="18"/>
                <w:color w:val="auto"/>
              </w:rPr>
              <w:t>(a) Total Number of</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w w:val="94"/>
              </w:rPr>
              <w:t>(b) Average Price</w:t>
            </w:r>
          </w:p>
        </w:tc>
        <w:tc>
          <w:tcPr>
            <w:tcW w:w="300" w:type="dxa"/>
            <w:vAlign w:val="bottom"/>
          </w:tcPr>
          <w:p>
            <w:pPr>
              <w:spacing w:after="0"/>
              <w:rPr>
                <w:sz w:val="18"/>
                <w:szCs w:val="18"/>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color w:val="auto"/>
                <w:w w:val="90"/>
              </w:rPr>
              <w:t>Announced Plan</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Plans or</w:t>
            </w:r>
          </w:p>
        </w:tc>
      </w:tr>
      <w:tr>
        <w:trPr>
          <w:trHeight w:val="230"/>
        </w:trPr>
        <w:tc>
          <w:tcPr>
            <w:tcW w:w="24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Period</w:t>
            </w:r>
          </w:p>
        </w:tc>
        <w:tc>
          <w:tcPr>
            <w:tcW w:w="25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Shares Purchased</w:t>
            </w:r>
          </w:p>
        </w:tc>
        <w:tc>
          <w:tcPr>
            <w:tcW w:w="1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Paid per Share</w:t>
            </w: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 xml:space="preserve">or Programs </w:t>
            </w:r>
            <w:r>
              <w:rPr>
                <w:rFonts w:ascii="Arial" w:cs="Arial" w:eastAsia="Arial" w:hAnsi="Arial"/>
                <w:sz w:val="15"/>
                <w:szCs w:val="15"/>
                <w:color w:val="auto"/>
                <w:w w:val="89"/>
              </w:rPr>
              <w:t>(1)</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Programs</w:t>
            </w:r>
          </w:p>
        </w:tc>
      </w:tr>
      <w:tr>
        <w:trPr>
          <w:trHeight w:val="223"/>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1/1/2020 to 1/31/2020</w:t>
            </w:r>
          </w:p>
        </w:tc>
        <w:tc>
          <w:tcPr>
            <w:tcW w:w="2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xml:space="preserve">2,064 </w:t>
            </w:r>
            <w:r>
              <w:rPr>
                <w:rFonts w:ascii="Arial" w:cs="Arial" w:eastAsia="Arial" w:hAnsi="Arial"/>
                <w:sz w:val="15"/>
                <w:szCs w:val="15"/>
                <w:color w:val="auto"/>
              </w:rPr>
              <w:t>(2)</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30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(2)</w:t>
            </w:r>
          </w:p>
        </w:tc>
        <w:tc>
          <w:tcPr>
            <w:tcW w:w="1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550,000</w:t>
            </w:r>
          </w:p>
        </w:tc>
      </w:tr>
      <w:tr>
        <w:trPr>
          <w:trHeight w:val="230"/>
        </w:trPr>
        <w:tc>
          <w:tcPr>
            <w:tcW w:w="2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2/1/2020 to 2/29/2020</w:t>
            </w:r>
          </w:p>
        </w:tc>
        <w:tc>
          <w:tcPr>
            <w:tcW w:w="252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550,000</w:t>
            </w:r>
          </w:p>
        </w:tc>
      </w:tr>
      <w:tr>
        <w:trPr>
          <w:trHeight w:val="230"/>
        </w:trPr>
        <w:tc>
          <w:tcPr>
            <w:tcW w:w="2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2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3/1/2020 to 3/31/2020</w:t>
            </w:r>
          </w:p>
        </w:tc>
        <w:tc>
          <w:tcPr>
            <w:tcW w:w="252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5,000</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21.68</w:t>
            </w:r>
          </w:p>
        </w:tc>
        <w:tc>
          <w:tcPr>
            <w:tcW w:w="3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5,000</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545,000</w:t>
            </w:r>
          </w:p>
        </w:tc>
      </w:tr>
      <w:tr>
        <w:trPr>
          <w:trHeight w:val="223"/>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7,064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5,000</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545,000</w:t>
            </w:r>
          </w:p>
        </w:tc>
      </w:tr>
    </w:tbl>
    <w:p>
      <w:pPr>
        <w:spacing w:after="0" w:line="229" w:lineRule="exact"/>
        <w:rPr>
          <w:sz w:val="20"/>
          <w:szCs w:val="20"/>
          <w:color w:val="auto"/>
        </w:rPr>
      </w:pPr>
    </w:p>
    <w:p>
      <w:pPr>
        <w:jc w:val="both"/>
        <w:ind w:left="540" w:hanging="370"/>
        <w:spacing w:after="0" w:line="255"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From time to time, the Company purchases shares in the market pursuant to a stock repurchase program publicly announced on January 17, 2020. On that date, the Board of Directors authorized the repurchase of 550,000 common shares between January 17, 2020 and December 31, 2020.</w:t>
      </w:r>
    </w:p>
    <w:p>
      <w:pPr>
        <w:spacing w:after="0" w:line="2" w:lineRule="exact"/>
        <w:rPr>
          <w:rFonts w:ascii="Arial" w:cs="Arial" w:eastAsia="Arial" w:hAnsi="Arial"/>
          <w:sz w:val="18"/>
          <w:szCs w:val="18"/>
          <w:color w:val="auto"/>
        </w:rPr>
      </w:pPr>
    </w:p>
    <w:p>
      <w:pPr>
        <w:ind w:left="540" w:hanging="370"/>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which were repurchased for taxes on vested stock awards are outside of this program.</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ITEM 3 DEFAULTS UPON SENIOR SECURITIES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ITEM 4 MINE SAFETY DISCLOSURES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ITEM 5 OTHER INFORMATION</w:t>
      </w:r>
    </w:p>
    <w:p>
      <w:pPr>
        <w:spacing w:after="0" w:line="200" w:lineRule="exact"/>
        <w:rPr>
          <w:sz w:val="20"/>
          <w:szCs w:val="20"/>
          <w:color w:val="auto"/>
        </w:rPr>
      </w:pPr>
    </w:p>
    <w:p>
      <w:pPr>
        <w:spacing w:after="0" w:line="26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60"/>
          </w:cols>
          <w:pgMar w:left="900" w:top="368"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10540" w:type="dxa"/>
            <w:vAlign w:val="bottom"/>
            <w:gridSpan w:val="7"/>
          </w:tcPr>
          <w:p>
            <w:pPr>
              <w:ind w:left="40"/>
              <w:spacing w:after="0"/>
              <w:rPr>
                <w:sz w:val="20"/>
                <w:szCs w:val="20"/>
                <w:color w:val="auto"/>
              </w:rPr>
            </w:pPr>
            <w:r>
              <w:rPr>
                <w:rFonts w:ascii="Arial" w:cs="Arial" w:eastAsia="Arial" w:hAnsi="Arial"/>
                <w:sz w:val="18"/>
                <w:szCs w:val="18"/>
                <w:color w:val="auto"/>
              </w:rPr>
              <w:t>ITEM 6 EXHIBITS</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10100" w:type="dxa"/>
            <w:vAlign w:val="bottom"/>
            <w:tcBorders>
              <w:bottom w:val="single" w:sz="8" w:color="0000EE"/>
            </w:tcBorders>
            <w:gridSpan w:val="5"/>
          </w:tcPr>
          <w:p>
            <w:pPr>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Amended Articles of Incorporation of the Registrant (incorporated by reference to Exhibit 3.1 to Registrant’s Quarterly Report on Form 10-</w:t>
              </w:r>
            </w:hyperlink>
          </w:p>
        </w:tc>
        <w:tc>
          <w:tcPr>
            <w:tcW w:w="2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20" w:type="dxa"/>
            <w:vAlign w:val="bottom"/>
            <w:gridSpan w:val="6"/>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Q filed with the Commission on October 25, 2017).</w:t>
              </w:r>
            </w:hyperlink>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420" w:type="dxa"/>
            <w:vAlign w:val="bottom"/>
          </w:tcPr>
          <w:p>
            <w:pPr>
              <w:spacing w:after="0"/>
              <w:rPr>
                <w:sz w:val="17"/>
                <w:szCs w:val="17"/>
                <w:color w:val="auto"/>
              </w:rPr>
            </w:pPr>
          </w:p>
        </w:tc>
        <w:tc>
          <w:tcPr>
            <w:tcW w:w="101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Amended and Restated Code of Regulations of the Registrant (incorporated by reference to Exhibit 3.2 to Registrant's Quarterly Report on</w:t>
              </w:r>
            </w:hyperlink>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1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Form 10-Q filed with the Commission on July 26, 2017).</w:t>
              </w:r>
            </w:hyperlink>
          </w:p>
        </w:tc>
        <w:tc>
          <w:tcPr>
            <w:tcW w:w="6000" w:type="dxa"/>
            <w:vAlign w:val="bottom"/>
            <w:gridSpan w:val="3"/>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4</w:t>
            </w:r>
            <w:r>
              <w:rPr>
                <w:rFonts w:ascii="Courier New" w:cs="Courier New" w:eastAsia="Courier New" w:hAnsi="Courier New"/>
                <w:sz w:val="18"/>
                <w:szCs w:val="18"/>
                <w:color w:val="auto"/>
              </w:rPr>
              <w:t>.1</w:t>
            </w:r>
          </w:p>
        </w:tc>
        <w:tc>
          <w:tcPr>
            <w:tcW w:w="420" w:type="dxa"/>
            <w:vAlign w:val="bottom"/>
          </w:tcPr>
          <w:p>
            <w:pPr>
              <w:spacing w:after="0"/>
              <w:rPr>
                <w:sz w:val="17"/>
                <w:szCs w:val="17"/>
                <w:color w:val="auto"/>
              </w:rPr>
            </w:pPr>
          </w:p>
        </w:tc>
        <w:tc>
          <w:tcPr>
            <w:tcW w:w="10120" w:type="dxa"/>
            <w:vAlign w:val="bottom"/>
            <w:gridSpan w:val="6"/>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Description of Registrant’s Common Stock (incorporated by reference to Exhibit 4.1 to Registrant's Annual Report on Form 10-K filed with</w:t>
              </w:r>
            </w:hyperlink>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the Commission on February 26, 2020).</w:t>
              </w:r>
            </w:hyperlink>
          </w:p>
        </w:tc>
        <w:tc>
          <w:tcPr>
            <w:tcW w:w="7200" w:type="dxa"/>
            <w:vAlign w:val="bottom"/>
            <w:tcBorders>
              <w:top w:val="single" w:sz="8" w:color="0000EE"/>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0"/>
                <w:szCs w:val="20"/>
                <w:color w:val="auto"/>
              </w:rPr>
            </w:pPr>
          </w:p>
        </w:tc>
        <w:tc>
          <w:tcPr>
            <w:tcW w:w="10120" w:type="dxa"/>
            <w:vAlign w:val="bottom"/>
            <w:gridSpan w:val="6"/>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Rule 13-a-14(a) Certification - CEO</w:t>
              </w:r>
            </w:hyperlink>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1"/>
                <w:szCs w:val="21"/>
                <w:color w:val="auto"/>
              </w:rPr>
            </w:pPr>
          </w:p>
        </w:tc>
        <w:tc>
          <w:tcPr>
            <w:tcW w:w="10120" w:type="dxa"/>
            <w:vAlign w:val="bottom"/>
            <w:gridSpan w:val="6"/>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Rule 13-a-14(a) Certification - CFO</w:t>
              </w:r>
            </w:hyperlink>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1"/>
                <w:szCs w:val="21"/>
                <w:color w:val="auto"/>
              </w:rPr>
            </w:pPr>
          </w:p>
        </w:tc>
        <w:tc>
          <w:tcPr>
            <w:tcW w:w="10120" w:type="dxa"/>
            <w:vAlign w:val="bottom"/>
            <w:gridSpan w:val="6"/>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Section 1350 Certification - CEO</w:t>
              </w:r>
            </w:hyperlink>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1"/>
                <w:szCs w:val="21"/>
                <w:color w:val="auto"/>
              </w:rPr>
            </w:pPr>
          </w:p>
        </w:tc>
        <w:tc>
          <w:tcPr>
            <w:tcW w:w="10120" w:type="dxa"/>
            <w:vAlign w:val="bottom"/>
            <w:gridSpan w:val="6"/>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Section 1350 Certification - CFO</w:t>
              </w:r>
            </w:hyperlink>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42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XBRL Instance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420" w:type="dxa"/>
            <w:vAlign w:val="bottom"/>
          </w:tcPr>
          <w:p>
            <w:pPr>
              <w:spacing w:after="0"/>
              <w:rPr>
                <w:sz w:val="21"/>
                <w:szCs w:val="21"/>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420" w:type="dxa"/>
            <w:vAlign w:val="bottom"/>
          </w:tcPr>
          <w:p>
            <w:pPr>
              <w:spacing w:after="0"/>
              <w:rPr>
                <w:sz w:val="21"/>
                <w:szCs w:val="21"/>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420" w:type="dxa"/>
            <w:vAlign w:val="bottom"/>
          </w:tcPr>
          <w:p>
            <w:pPr>
              <w:spacing w:after="0"/>
              <w:rPr>
                <w:sz w:val="21"/>
                <w:szCs w:val="21"/>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420" w:type="dxa"/>
            <w:vAlign w:val="bottom"/>
          </w:tcPr>
          <w:p>
            <w:pPr>
              <w:spacing w:after="0"/>
              <w:rPr>
                <w:sz w:val="21"/>
                <w:szCs w:val="21"/>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420" w:type="dxa"/>
            <w:vAlign w:val="bottom"/>
          </w:tcPr>
          <w:p>
            <w:pPr>
              <w:spacing w:after="0"/>
              <w:rPr>
                <w:sz w:val="21"/>
                <w:szCs w:val="21"/>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 (1)</w:t>
            </w:r>
          </w:p>
        </w:tc>
      </w:tr>
      <w:tr>
        <w:trPr>
          <w:trHeight w:val="945"/>
        </w:trPr>
        <w:tc>
          <w:tcPr>
            <w:tcW w:w="720" w:type="dxa"/>
            <w:vAlign w:val="bottom"/>
          </w:tcPr>
          <w:p>
            <w:pPr>
              <w:spacing w:after="0"/>
              <w:rPr>
                <w:sz w:val="24"/>
                <w:szCs w:val="24"/>
                <w:color w:val="auto"/>
              </w:rPr>
            </w:pPr>
          </w:p>
        </w:tc>
        <w:tc>
          <w:tcPr>
            <w:tcW w:w="10500" w:type="dxa"/>
            <w:vAlign w:val="bottom"/>
            <w:gridSpan w:val="5"/>
          </w:tcPr>
          <w:p>
            <w:pPr>
              <w:jc w:val="right"/>
              <w:ind w:right="550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8" w:right="31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Farmers &amp; Merchants Bancorp, Inc.,</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760" w:type="dxa"/>
            <w:vAlign w:val="bottom"/>
          </w:tcPr>
          <w:p>
            <w:pPr>
              <w:ind w:left="200"/>
              <w:spacing w:after="0"/>
              <w:rPr>
                <w:sz w:val="20"/>
                <w:szCs w:val="20"/>
                <w:color w:val="auto"/>
              </w:rPr>
            </w:pPr>
            <w:r>
              <w:rPr>
                <w:rFonts w:ascii="Arial" w:cs="Arial" w:eastAsia="Arial" w:hAnsi="Arial"/>
                <w:sz w:val="18"/>
                <w:szCs w:val="18"/>
                <w:color w:val="auto"/>
              </w:rPr>
              <w:t>April 29, 2020</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Lars B. Eller</w:t>
            </w:r>
          </w:p>
        </w:tc>
      </w:tr>
      <w:tr>
        <w:trPr>
          <w:trHeight w:val="222"/>
        </w:trPr>
        <w:tc>
          <w:tcPr>
            <w:tcW w:w="5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Lars B. Eller</w:t>
            </w:r>
          </w:p>
        </w:tc>
      </w:tr>
      <w:tr>
        <w:trPr>
          <w:trHeight w:val="230"/>
        </w:trPr>
        <w:tc>
          <w:tcPr>
            <w:tcW w:w="5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760" w:type="dxa"/>
            <w:vAlign w:val="bottom"/>
          </w:tcPr>
          <w:p>
            <w:pPr>
              <w:ind w:left="200"/>
              <w:spacing w:after="0"/>
              <w:rPr>
                <w:sz w:val="20"/>
                <w:szCs w:val="20"/>
                <w:color w:val="auto"/>
              </w:rPr>
            </w:pPr>
            <w:r>
              <w:rPr>
                <w:rFonts w:ascii="Arial" w:cs="Arial" w:eastAsia="Arial" w:hAnsi="Arial"/>
                <w:sz w:val="18"/>
                <w:szCs w:val="18"/>
                <w:color w:val="auto"/>
              </w:rPr>
              <w:t>April 29, 2020</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Barbara J. Britenriker</w:t>
            </w:r>
          </w:p>
        </w:tc>
      </w:tr>
      <w:tr>
        <w:trPr>
          <w:trHeight w:val="222"/>
        </w:trPr>
        <w:tc>
          <w:tcPr>
            <w:tcW w:w="5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Barbara J. Britenriker</w:t>
            </w:r>
          </w:p>
        </w:tc>
      </w:tr>
      <w:tr>
        <w:trPr>
          <w:trHeight w:val="230"/>
        </w:trPr>
        <w:tc>
          <w:tcPr>
            <w:tcW w:w="5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Executive Vice-President and</w:t>
            </w:r>
          </w:p>
        </w:tc>
      </w:tr>
      <w:tr>
        <w:trPr>
          <w:trHeight w:val="243"/>
        </w:trPr>
        <w:tc>
          <w:tcPr>
            <w:tcW w:w="58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36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Lars B. Eller, President and CEO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63"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 15d-15(f)) for the registrant and have:</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740" w:right="20" w:hanging="436"/>
        <w:spacing w:after="0" w:line="263" w:lineRule="auto"/>
        <w:tabs>
          <w:tab w:leader="none" w:pos="17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20" w:hanging="440"/>
        <w:spacing w:after="0" w:line="342"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40" w:right="20" w:hanging="436"/>
        <w:spacing w:after="0" w:line="342" w:lineRule="auto"/>
        <w:tabs>
          <w:tab w:leader="none" w:pos="17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40" w:right="20" w:hanging="436"/>
        <w:spacing w:after="0" w:line="277" w:lineRule="auto"/>
        <w:tabs>
          <w:tab w:leader="none" w:pos="17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April 29, 2020</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5"/>
        </w:trPr>
        <w:tc>
          <w:tcPr>
            <w:tcW w:w="10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Lars B. Eller</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Executive Vice President and CFO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63"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 15d-15(f)) for the registrant and have:</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740" w:right="20" w:hanging="436"/>
        <w:spacing w:after="0" w:line="263" w:lineRule="auto"/>
        <w:tabs>
          <w:tab w:leader="none" w:pos="17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hanging="440"/>
        <w:spacing w:after="0" w:line="342"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40" w:right="20" w:hanging="436"/>
        <w:spacing w:after="0" w:line="342" w:lineRule="auto"/>
        <w:tabs>
          <w:tab w:leader="none" w:pos="17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40" w:right="20" w:hanging="436"/>
        <w:spacing w:after="0" w:line="277" w:lineRule="auto"/>
        <w:tabs>
          <w:tab w:leader="none" w:pos="17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April 29, 2020</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22"/>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30"/>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March 31, 2020, as filed with the Securities and Exchange Commission ("the report"), I, Lars B. Eller, President and Chief Executive Officer, certify, pursuant to 18 U.S.C. Section 1350, as adopted pursuant to Section 906 of the Sarbanes-Oxley Act of 2002, that:</w:t>
      </w:r>
    </w:p>
    <w:p>
      <w:pPr>
        <w:spacing w:after="0" w:line="184" w:lineRule="exact"/>
        <w:rPr>
          <w:sz w:val="20"/>
          <w:szCs w:val="20"/>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60"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April 29, 2020</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5"/>
        </w:trPr>
        <w:tc>
          <w:tcPr>
            <w:tcW w:w="10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Lars B. Eller</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March 31, 2020,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84"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60"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April 29, 2020</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22"/>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30"/>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3"/>
    </w:lvl>
    <w:lvl w:ilvl="1">
      <w:lvlJc w:val="left"/>
      <w:lvlText w:val="%2."/>
      <w:numFmt w:val="lowerLetter"/>
      <w:start w:val="1"/>
    </w:lvl>
  </w:abstractNum>
  <w:abstractNum w:abstractNumId="10">
    <w:nsid w:val="62BBD95A"/>
    <w:multiLevelType w:val="hybridMultilevel"/>
    <w:lvl w:ilvl="0">
      <w:lvlJc w:val="left"/>
      <w:lvlText w:val="%1."/>
      <w:numFmt w:val="decimal"/>
      <w:start w:val="8"/>
    </w:lvl>
    <w:lvl w:ilvl="1">
      <w:lvlJc w:val="left"/>
      <w:lvlText w:val="%2."/>
      <w:numFmt w:val="lowerLetter"/>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o"/>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0" Type="http://schemas.openxmlformats.org/officeDocument/2006/relationships/hyperlink" Target="http://www.sec.gov/Archives/edgar/data/792966/000119312517318709/d447990d10q.htm" TargetMode="External"/><Relationship Id="rId101" Type="http://schemas.openxmlformats.org/officeDocument/2006/relationships/hyperlink" Target="http://www.sec.gov/Archives/edgar/data/792966/000119312517235925/d422994d10q.htm" TargetMode="External"/><Relationship Id="rId102" Type="http://schemas.openxmlformats.org/officeDocument/2006/relationships/hyperlink" Target="http://www.sec.gov/Archives/edgar/data/792966/000156459020006695/fmao-10k_2019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2020-04-30T18:12:37Z</dcterms:created>
  <dcterms:modified xsi:type="dcterms:W3CDTF">2020-04-30T18:12:37Z</dcterms:modified>
</cp:coreProperties>
</file>