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45720</wp:posOffset>
            </wp:positionV>
            <wp:extent cx="20828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57785</wp:posOffset>
            </wp:positionV>
            <wp:extent cx="2082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14" w:lineRule="exact"/>
        <w:rPr>
          <w:sz w:val="24"/>
          <w:szCs w:val="24"/>
          <w:color w:val="auto"/>
        </w:rPr>
      </w:pPr>
    </w:p>
    <w:p>
      <w:pPr>
        <w:ind w:left="540" w:hanging="535"/>
        <w:spacing w:after="0"/>
        <w:tabs>
          <w:tab w:leader="none" w:pos="54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Annual Report Pursuant to Section 13 or 15(d) of the Securities Exchange Act of 1934</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 w:lineRule="exact"/>
        <w:rPr>
          <w:sz w:val="24"/>
          <w:szCs w:val="24"/>
          <w:color w:val="auto"/>
        </w:rPr>
      </w:pPr>
    </w:p>
    <w:p>
      <w:pPr>
        <w:ind w:left="540" w:hanging="535"/>
        <w:spacing w:after="0"/>
        <w:tabs>
          <w:tab w:leader="none" w:pos="54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tcPr>
          <w:p>
            <w:pPr>
              <w:ind w:left="180"/>
              <w:spacing w:after="0"/>
              <w:rPr>
                <w:sz w:val="20"/>
                <w:szCs w:val="20"/>
                <w:color w:val="auto"/>
              </w:rPr>
            </w:pPr>
            <w:r>
              <w:rPr>
                <w:rFonts w:ascii="Arial" w:cs="Arial" w:eastAsia="Arial" w:hAnsi="Arial"/>
                <w:sz w:val="16"/>
                <w:szCs w:val="16"/>
                <w:b w:val="1"/>
                <w:bCs w:val="1"/>
                <w:color w:val="auto"/>
                <w:w w:val="91"/>
              </w:rPr>
              <w:t>For the transition period from</w:t>
            </w:r>
          </w:p>
        </w:tc>
        <w:tc>
          <w:tcPr>
            <w:tcW w:w="320" w:type="dxa"/>
            <w:vAlign w:val="bottom"/>
            <w:tcBorders>
              <w:bottom w:val="single" w:sz="8" w:color="auto"/>
            </w:tcBorders>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300" w:type="dxa"/>
            <w:vAlign w:val="bottom"/>
            <w:tcBorders>
              <w:bottom w:val="single" w:sz="8" w:color="auto"/>
            </w:tcBorders>
          </w:tcPr>
          <w:p>
            <w:pPr>
              <w:spacing w:after="0"/>
              <w:rPr>
                <w:sz w:val="15"/>
                <w:szCs w:val="15"/>
                <w:color w:val="auto"/>
              </w:rPr>
            </w:pPr>
          </w:p>
        </w:tc>
        <w:tc>
          <w:tcPr>
            <w:tcW w:w="4160" w:type="dxa"/>
            <w:vAlign w:val="bottom"/>
            <w:gridSpan w:val="3"/>
          </w:tcPr>
          <w:p>
            <w:pPr>
              <w:spacing w:after="0"/>
              <w:rPr>
                <w:sz w:val="15"/>
                <w:szCs w:val="15"/>
                <w:color w:val="auto"/>
              </w:rPr>
            </w:pPr>
          </w:p>
        </w:tc>
      </w:tr>
      <w:tr>
        <w:trPr>
          <w:trHeight w:val="316"/>
        </w:trPr>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60" w:type="dxa"/>
            <w:vAlign w:val="bottom"/>
            <w:gridSpan w:val="7"/>
          </w:tcPr>
          <w:p>
            <w:pPr>
              <w:jc w:val="center"/>
              <w:ind w:right="3890"/>
              <w:spacing w:after="0"/>
              <w:rPr>
                <w:sz w:val="20"/>
                <w:szCs w:val="20"/>
                <w:color w:val="auto"/>
              </w:rPr>
            </w:pPr>
            <w:r>
              <w:rPr>
                <w:rFonts w:ascii="Arial" w:cs="Arial" w:eastAsia="Arial" w:hAnsi="Arial"/>
                <w:sz w:val="16"/>
                <w:szCs w:val="16"/>
                <w:b w:val="1"/>
                <w:bCs w:val="1"/>
                <w:color w:val="auto"/>
                <w:w w:val="89"/>
              </w:rPr>
              <w:t>Commission File Number 001-38084</w:t>
            </w:r>
          </w:p>
        </w:tc>
      </w:tr>
      <w:tr>
        <w:trPr>
          <w:trHeight w:val="73"/>
        </w:trPr>
        <w:tc>
          <w:tcPr>
            <w:tcW w:w="3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58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3680" w:type="dxa"/>
            <w:vAlign w:val="bottom"/>
          </w:tcPr>
          <w:p>
            <w:pPr>
              <w:spacing w:after="0"/>
              <w:rPr>
                <w:sz w:val="6"/>
                <w:szCs w:val="6"/>
                <w:color w:val="auto"/>
              </w:rPr>
            </w:pPr>
          </w:p>
        </w:tc>
      </w:tr>
      <w:tr>
        <w:trPr>
          <w:trHeight w:val="468"/>
        </w:trPr>
        <w:tc>
          <w:tcPr>
            <w:tcW w:w="11240" w:type="dxa"/>
            <w:vAlign w:val="bottom"/>
            <w:gridSpan w:val="9"/>
          </w:tcPr>
          <w:p>
            <w:pPr>
              <w:jc w:val="center"/>
              <w:spacing w:after="0"/>
              <w:rPr>
                <w:sz w:val="20"/>
                <w:szCs w:val="20"/>
                <w:color w:val="auto"/>
              </w:rPr>
            </w:pPr>
            <w:r>
              <w:rPr>
                <w:rFonts w:ascii="Arial" w:cs="Arial" w:eastAsia="Arial" w:hAnsi="Arial"/>
                <w:sz w:val="35"/>
                <w:szCs w:val="35"/>
                <w:b w:val="1"/>
                <w:bCs w:val="1"/>
                <w:color w:val="auto"/>
                <w:w w:val="99"/>
              </w:rPr>
              <w:t>FARMERS &amp; MERCHANTS BANCORP, INC.</w:t>
            </w:r>
          </w:p>
        </w:tc>
      </w:tr>
      <w:tr>
        <w:trPr>
          <w:trHeight w:val="52"/>
        </w:trPr>
        <w:tc>
          <w:tcPr>
            <w:tcW w:w="3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237"/>
        </w:trPr>
        <w:tc>
          <w:tcPr>
            <w:tcW w:w="6240" w:type="dxa"/>
            <w:vAlign w:val="bottom"/>
            <w:gridSpan w:val="3"/>
          </w:tcPr>
          <w:p>
            <w:pPr>
              <w:jc w:val="center"/>
              <w:ind w:right="2401"/>
              <w:spacing w:after="0"/>
              <w:rPr>
                <w:sz w:val="20"/>
                <w:szCs w:val="20"/>
                <w:color w:val="auto"/>
              </w:rPr>
            </w:pPr>
            <w:r>
              <w:rPr>
                <w:rFonts w:ascii="Arial" w:cs="Arial" w:eastAsia="Arial" w:hAnsi="Arial"/>
                <w:sz w:val="16"/>
                <w:szCs w:val="16"/>
                <w:b w:val="1"/>
                <w:bCs w:val="1"/>
                <w:color w:val="auto"/>
              </w:rPr>
              <w:t>OHIO</w:t>
            </w:r>
          </w:p>
        </w:tc>
        <w:tc>
          <w:tcPr>
            <w:tcW w:w="5000" w:type="dxa"/>
            <w:vAlign w:val="bottom"/>
            <w:gridSpan w:val="6"/>
          </w:tcPr>
          <w:p>
            <w:pPr>
              <w:jc w:val="right"/>
              <w:ind w:right="1390"/>
              <w:spacing w:after="0"/>
              <w:rPr>
                <w:sz w:val="20"/>
                <w:szCs w:val="20"/>
                <w:color w:val="auto"/>
              </w:rPr>
            </w:pPr>
            <w:r>
              <w:rPr>
                <w:rFonts w:ascii="Arial" w:cs="Arial" w:eastAsia="Arial" w:hAnsi="Arial"/>
                <w:sz w:val="16"/>
                <w:szCs w:val="16"/>
                <w:b w:val="1"/>
                <w:bCs w:val="1"/>
                <w:color w:val="auto"/>
              </w:rPr>
              <w:t>34-1469491</w:t>
            </w:r>
          </w:p>
        </w:tc>
      </w:tr>
      <w:tr>
        <w:trPr>
          <w:trHeight w:val="122"/>
        </w:trPr>
        <w:tc>
          <w:tcPr>
            <w:tcW w:w="3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1"/>
              </w:rPr>
              <w:t>(State or other jurisdiction of</w:t>
            </w:r>
          </w:p>
        </w:tc>
        <w:tc>
          <w:tcPr>
            <w:tcW w:w="250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6240" w:type="dxa"/>
            <w:vAlign w:val="bottom"/>
            <w:gridSpan w:val="3"/>
          </w:tcPr>
          <w:p>
            <w:pPr>
              <w:jc w:val="center"/>
              <w:ind w:right="2401"/>
              <w:spacing w:after="0"/>
              <w:rPr>
                <w:sz w:val="20"/>
                <w:szCs w:val="20"/>
                <w:color w:val="auto"/>
              </w:rPr>
            </w:pPr>
            <w:r>
              <w:rPr>
                <w:rFonts w:ascii="Arial" w:cs="Arial" w:eastAsia="Arial" w:hAnsi="Arial"/>
                <w:sz w:val="14"/>
                <w:szCs w:val="14"/>
                <w:b w:val="1"/>
                <w:bCs w:val="1"/>
                <w:color w:val="auto"/>
                <w:w w:val="92"/>
              </w:rPr>
              <w:t>incorporation or organization)</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234"/>
        </w:trPr>
        <w:tc>
          <w:tcPr>
            <w:tcW w:w="6240" w:type="dxa"/>
            <w:vAlign w:val="bottom"/>
            <w:gridSpan w:val="3"/>
          </w:tcPr>
          <w:p>
            <w:pPr>
              <w:jc w:val="center"/>
              <w:ind w:right="2401"/>
              <w:spacing w:after="0"/>
              <w:rPr>
                <w:sz w:val="20"/>
                <w:szCs w:val="20"/>
                <w:color w:val="auto"/>
              </w:rPr>
            </w:pPr>
            <w:r>
              <w:rPr>
                <w:rFonts w:ascii="Arial" w:cs="Arial" w:eastAsia="Arial" w:hAnsi="Arial"/>
                <w:sz w:val="16"/>
                <w:szCs w:val="16"/>
                <w:b w:val="1"/>
                <w:bCs w:val="1"/>
                <w:color w:val="auto"/>
                <w:w w:val="90"/>
              </w:rPr>
              <w:t>307 North Defiance Street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205"/>
        </w:trPr>
        <w:tc>
          <w:tcPr>
            <w:tcW w:w="6240" w:type="dxa"/>
            <w:vAlign w:val="bottom"/>
            <w:gridSpan w:val="3"/>
          </w:tcPr>
          <w:p>
            <w:pPr>
              <w:jc w:val="center"/>
              <w:ind w:right="2401"/>
              <w:spacing w:after="0"/>
              <w:rPr>
                <w:sz w:val="20"/>
                <w:szCs w:val="20"/>
                <w:color w:val="auto"/>
              </w:rPr>
            </w:pPr>
            <w:r>
              <w:rPr>
                <w:rFonts w:ascii="Arial" w:cs="Arial" w:eastAsia="Arial" w:hAnsi="Arial"/>
                <w:sz w:val="16"/>
                <w:szCs w:val="16"/>
                <w:b w:val="1"/>
                <w:bCs w:val="1"/>
                <w:color w:val="auto"/>
                <w:w w:val="89"/>
              </w:rPr>
              <w:t>Archbold, Ohio</w:t>
            </w:r>
          </w:p>
        </w:tc>
        <w:tc>
          <w:tcPr>
            <w:tcW w:w="5000" w:type="dxa"/>
            <w:vAlign w:val="bottom"/>
            <w:gridSpan w:val="6"/>
          </w:tcPr>
          <w:p>
            <w:pPr>
              <w:jc w:val="right"/>
              <w:ind w:right="1570"/>
              <w:spacing w:after="0"/>
              <w:rPr>
                <w:sz w:val="20"/>
                <w:szCs w:val="20"/>
                <w:color w:val="auto"/>
              </w:rPr>
            </w:pPr>
            <w:r>
              <w:rPr>
                <w:rFonts w:ascii="Arial" w:cs="Arial" w:eastAsia="Arial" w:hAnsi="Arial"/>
                <w:sz w:val="16"/>
                <w:szCs w:val="16"/>
                <w:b w:val="1"/>
                <w:bCs w:val="1"/>
                <w:color w:val="auto"/>
              </w:rPr>
              <w:t>43502</w:t>
            </w:r>
          </w:p>
        </w:tc>
      </w:tr>
      <w:tr>
        <w:trPr>
          <w:trHeight w:val="122"/>
        </w:trPr>
        <w:tc>
          <w:tcPr>
            <w:tcW w:w="3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1"/>
              </w:rPr>
              <w:t>(Address of principal</w:t>
            </w:r>
          </w:p>
        </w:tc>
        <w:tc>
          <w:tcPr>
            <w:tcW w:w="250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5"/>
              </w:rPr>
              <w:t>(Zip Code)</w:t>
            </w:r>
          </w:p>
        </w:tc>
      </w:tr>
      <w:tr>
        <w:trPr>
          <w:trHeight w:val="183"/>
        </w:trPr>
        <w:tc>
          <w:tcPr>
            <w:tcW w:w="6240" w:type="dxa"/>
            <w:vAlign w:val="bottom"/>
            <w:gridSpan w:val="3"/>
          </w:tcPr>
          <w:p>
            <w:pPr>
              <w:jc w:val="center"/>
              <w:ind w:right="2401"/>
              <w:spacing w:after="0"/>
              <w:rPr>
                <w:sz w:val="20"/>
                <w:szCs w:val="20"/>
                <w:color w:val="auto"/>
              </w:rPr>
            </w:pPr>
            <w:r>
              <w:rPr>
                <w:rFonts w:ascii="Arial" w:cs="Arial" w:eastAsia="Arial" w:hAnsi="Arial"/>
                <w:sz w:val="14"/>
                <w:szCs w:val="14"/>
                <w:b w:val="1"/>
                <w:bCs w:val="1"/>
                <w:color w:val="auto"/>
                <w:w w:val="87"/>
              </w:rPr>
              <w:t>Executive offices)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80" w:type="dxa"/>
            <w:vAlign w:val="bottom"/>
          </w:tcPr>
          <w:p>
            <w:pPr>
              <w:spacing w:after="0"/>
              <w:rPr>
                <w:sz w:val="15"/>
                <w:szCs w:val="15"/>
                <w:color w:val="auto"/>
              </w:rPr>
            </w:pPr>
          </w:p>
        </w:tc>
      </w:tr>
    </w:tbl>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(419) 446-2501</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760" w:type="dxa"/>
            <w:vAlign w:val="bottom"/>
            <w:gridSpan w:val="3"/>
          </w:tcPr>
          <w:p>
            <w:pPr>
              <w:ind w:left="540"/>
              <w:spacing w:after="0"/>
              <w:rPr>
                <w:sz w:val="20"/>
                <w:szCs w:val="20"/>
                <w:color w:val="auto"/>
              </w:rPr>
            </w:pPr>
            <w:r>
              <w:rPr>
                <w:rFonts w:ascii="Arial" w:cs="Arial" w:eastAsia="Arial" w:hAnsi="Arial"/>
                <w:sz w:val="16"/>
                <w:szCs w:val="16"/>
                <w:b w:val="1"/>
                <w:bCs w:val="1"/>
                <w:color w:val="auto"/>
                <w:w w:val="95"/>
              </w:rPr>
              <w:t>Securities registered pursuant to Section 12(b) of the Act:</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1"/>
        </w:trPr>
        <w:tc>
          <w:tcPr>
            <w:tcW w:w="1160" w:type="dxa"/>
            <w:vAlign w:val="bottom"/>
          </w:tcPr>
          <w:p>
            <w:pPr>
              <w:spacing w:after="0"/>
              <w:rPr>
                <w:sz w:val="20"/>
                <w:szCs w:val="20"/>
                <w:color w:val="auto"/>
              </w:rPr>
            </w:pPr>
          </w:p>
        </w:tc>
        <w:tc>
          <w:tcPr>
            <w:tcW w:w="200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w w:val="85"/>
              </w:rPr>
              <w:t>Title of each class</w:t>
            </w:r>
          </w:p>
        </w:tc>
        <w:tc>
          <w:tcPr>
            <w:tcW w:w="1740" w:type="dxa"/>
            <w:vAlign w:val="bottom"/>
          </w:tcPr>
          <w:p>
            <w:pPr>
              <w:spacing w:after="0"/>
              <w:rPr>
                <w:sz w:val="20"/>
                <w:szCs w:val="20"/>
                <w:color w:val="auto"/>
              </w:rPr>
            </w:pPr>
          </w:p>
        </w:tc>
        <w:tc>
          <w:tcPr>
            <w:tcW w:w="3020" w:type="dxa"/>
            <w:vAlign w:val="bottom"/>
            <w:gridSpan w:val="2"/>
          </w:tcPr>
          <w:p>
            <w:pPr>
              <w:jc w:val="center"/>
              <w:ind w:right="1760"/>
              <w:spacing w:after="0"/>
              <w:rPr>
                <w:sz w:val="20"/>
                <w:szCs w:val="20"/>
                <w:color w:val="auto"/>
              </w:rPr>
            </w:pPr>
            <w:r>
              <w:rPr>
                <w:rFonts w:ascii="Arial" w:cs="Arial" w:eastAsia="Arial" w:hAnsi="Arial"/>
                <w:sz w:val="16"/>
                <w:szCs w:val="16"/>
                <w:b w:val="1"/>
                <w:bCs w:val="1"/>
                <w:color w:val="auto"/>
                <w:w w:val="89"/>
              </w:rPr>
              <w:t>Trading Symbol(s)</w:t>
            </w: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rPr>
              <w:t>Name of each exchange</w:t>
            </w:r>
          </w:p>
        </w:tc>
      </w:tr>
      <w:tr>
        <w:trPr>
          <w:trHeight w:val="20"/>
        </w:trPr>
        <w:tc>
          <w:tcPr>
            <w:tcW w:w="1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180"/>
        </w:trPr>
        <w:tc>
          <w:tcPr>
            <w:tcW w:w="3160" w:type="dxa"/>
            <w:vAlign w:val="bottom"/>
            <w:gridSpan w:val="3"/>
          </w:tcPr>
          <w:p>
            <w:pPr>
              <w:jc w:val="center"/>
              <w:ind w:left="267"/>
              <w:spacing w:after="0"/>
              <w:rPr>
                <w:sz w:val="20"/>
                <w:szCs w:val="20"/>
                <w:color w:val="auto"/>
              </w:rPr>
            </w:pPr>
            <w:r>
              <w:rPr>
                <w:rFonts w:ascii="Arial" w:cs="Arial" w:eastAsia="Arial" w:hAnsi="Arial"/>
                <w:sz w:val="14"/>
                <w:szCs w:val="14"/>
                <w:b w:val="1"/>
                <w:bCs w:val="1"/>
                <w:color w:val="auto"/>
                <w:w w:val="90"/>
              </w:rPr>
              <w:t>Common Stock, No Par Value</w:t>
            </w:r>
          </w:p>
        </w:tc>
        <w:tc>
          <w:tcPr>
            <w:tcW w:w="1740" w:type="dxa"/>
            <w:vAlign w:val="bottom"/>
          </w:tcPr>
          <w:p>
            <w:pPr>
              <w:spacing w:after="0"/>
              <w:rPr>
                <w:sz w:val="15"/>
                <w:szCs w:val="15"/>
                <w:color w:val="auto"/>
              </w:rPr>
            </w:pPr>
          </w:p>
        </w:tc>
        <w:tc>
          <w:tcPr>
            <w:tcW w:w="302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rPr>
              <w:t>FMAO</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w w:val="97"/>
              </w:rPr>
              <w:t>NASDAQ Capital Market</w:t>
            </w:r>
          </w:p>
        </w:tc>
      </w:tr>
      <w:tr>
        <w:trPr>
          <w:trHeight w:val="255"/>
        </w:trPr>
        <w:tc>
          <w:tcPr>
            <w:tcW w:w="7920" w:type="dxa"/>
            <w:vAlign w:val="bottom"/>
            <w:gridSpan w:val="6"/>
          </w:tcPr>
          <w:p>
            <w:pPr>
              <w:spacing w:after="0" w:line="173" w:lineRule="exact"/>
              <w:rPr>
                <w:sz w:val="20"/>
                <w:szCs w:val="20"/>
                <w:color w:val="auto"/>
              </w:rPr>
            </w:pPr>
            <w:r>
              <w:rPr>
                <w:rFonts w:ascii="Arial" w:cs="Arial" w:eastAsia="Arial" w:hAnsi="Arial"/>
                <w:sz w:val="15"/>
                <w:szCs w:val="15"/>
                <w:color w:val="auto"/>
                <w:w w:val="92"/>
              </w:rPr>
              <w:t xml:space="preserve">Indicate by check mark if the registrant is a well-known seasoned issuer, as defined in Rule 405 of the Securities Act.  Yes </w:t>
            </w:r>
            <w:r>
              <w:rPr>
                <w:rFonts w:ascii="MS PGothic" w:cs="MS PGothic" w:eastAsia="MS PGothic" w:hAnsi="MS PGothic"/>
                <w:sz w:val="15"/>
                <w:szCs w:val="15"/>
                <w:color w:val="auto"/>
                <w:w w:val="92"/>
              </w:rPr>
              <w:t>☐</w:t>
            </w:r>
            <w:r>
              <w:rPr>
                <w:rFonts w:ascii="Arial" w:cs="Arial" w:eastAsia="Arial" w:hAnsi="Arial"/>
                <w:sz w:val="15"/>
                <w:szCs w:val="15"/>
                <w:color w:val="auto"/>
                <w:w w:val="92"/>
              </w:rPr>
              <w:t xml:space="preserve"> No</w:t>
            </w:r>
          </w:p>
        </w:tc>
        <w:tc>
          <w:tcPr>
            <w:tcW w:w="1900" w:type="dxa"/>
            <w:vAlign w:val="bottom"/>
            <w:gridSpan w:val="2"/>
          </w:tcPr>
          <w:p>
            <w:pPr>
              <w:jc w:val="right"/>
              <w:ind w:right="1630"/>
              <w:spacing w:after="0" w:line="151" w:lineRule="exact"/>
              <w:rPr>
                <w:sz w:val="20"/>
                <w:szCs w:val="20"/>
                <w:color w:val="auto"/>
              </w:rPr>
            </w:pPr>
            <w:r>
              <w:rPr>
                <w:rFonts w:ascii="MS PGothic" w:cs="MS PGothic" w:eastAsia="MS PGothic" w:hAnsi="MS PGothic"/>
                <w:sz w:val="15"/>
                <w:szCs w:val="15"/>
                <w:color w:val="auto"/>
              </w:rPr>
              <w:t>☒</w:t>
            </w:r>
          </w:p>
        </w:tc>
      </w:tr>
      <w:tr>
        <w:trPr>
          <w:trHeight w:val="263"/>
        </w:trPr>
        <w:tc>
          <w:tcPr>
            <w:tcW w:w="7920" w:type="dxa"/>
            <w:vAlign w:val="bottom"/>
            <w:gridSpan w:val="6"/>
          </w:tcPr>
          <w:p>
            <w:pPr>
              <w:spacing w:after="0"/>
              <w:rPr>
                <w:sz w:val="20"/>
                <w:szCs w:val="20"/>
                <w:color w:val="auto"/>
              </w:rPr>
            </w:pPr>
            <w:r>
              <w:rPr>
                <w:rFonts w:ascii="Arial" w:cs="Arial" w:eastAsia="Arial" w:hAnsi="Arial"/>
                <w:sz w:val="15"/>
                <w:szCs w:val="15"/>
                <w:color w:val="auto"/>
                <w:w w:val="92"/>
              </w:rPr>
              <w:t>Indicate by check mark if the registrant is not required to file reports pursuant to Section 13 or Section 15(d) of the Exchange Act.</w:t>
            </w:r>
          </w:p>
        </w:tc>
        <w:tc>
          <w:tcPr>
            <w:tcW w:w="1900" w:type="dxa"/>
            <w:vAlign w:val="bottom"/>
            <w:gridSpan w:val="2"/>
          </w:tcPr>
          <w:p>
            <w:pPr>
              <w:jc w:val="right"/>
              <w:ind w:right="87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r>
    </w:tbl>
    <w:p>
      <w:pPr>
        <w:spacing w:after="0" w:line="32"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61" w:right="339" w:bottom="1440" w:gutter="0" w:footer="0" w:header="0"/>
        </w:sect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7220" w:space="720"/>
            <w:col w:w="3300"/>
          </w:cols>
          <w:pgMar w:left="320" w:top="661" w:right="3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35" w:lineRule="exact"/>
        <w:rPr>
          <w:sz w:val="24"/>
          <w:szCs w:val="24"/>
          <w:color w:val="auto"/>
        </w:rPr>
      </w:pPr>
    </w:p>
    <w:p>
      <w:pPr>
        <w:sectPr>
          <w:pgSz w:w="11900" w:h="16838" w:orient="portrait"/>
          <w:cols w:equalWidth="0" w:num="2">
            <w:col w:w="7220" w:space="720"/>
            <w:col w:w="3300"/>
          </w:cols>
          <w:pgMar w:left="320" w:top="661" w:right="3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661" w:right="339" w:bottom="1440" w:gutter="0" w:footer="0" w:header="0"/>
          <w:type w:val="continuous"/>
        </w:sectPr>
      </w:pPr>
    </w:p>
    <w:p>
      <w:pPr>
        <w:spacing w:after="0" w:line="67" w:lineRule="exact"/>
        <w:rPr>
          <w:sz w:val="24"/>
          <w:szCs w:val="24"/>
          <w:color w:val="auto"/>
        </w:rPr>
      </w:pPr>
    </w:p>
    <w:p>
      <w:pPr>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3" w:lineRule="exact"/>
        <w:rPr>
          <w:sz w:val="24"/>
          <w:szCs w:val="24"/>
          <w:color w:val="auto"/>
        </w:rPr>
      </w:pPr>
    </w:p>
    <w:p>
      <w:pPr>
        <w:spacing w:after="0" w:line="188"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32" w:lineRule="exact"/>
        <w:rPr>
          <w:sz w:val="24"/>
          <w:szCs w:val="24"/>
          <w:color w:val="auto"/>
        </w:rPr>
      </w:pPr>
    </w:p>
    <w:p>
      <w:pPr>
        <w:spacing w:after="0" w:line="173" w:lineRule="exact"/>
        <w:tabs>
          <w:tab w:leader="none" w:pos="6940" w:val="left"/>
          <w:tab w:leader="none" w:pos="75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2" w:lineRule="exact"/>
        <w:rPr>
          <w:sz w:val="24"/>
          <w:szCs w:val="24"/>
          <w:color w:val="auto"/>
        </w:rPr>
      </w:pPr>
    </w:p>
    <w:p>
      <w:pPr>
        <w:spacing w:after="0"/>
        <w:rPr>
          <w:sz w:val="20"/>
          <w:szCs w:val="20"/>
          <w:color w:val="auto"/>
        </w:rPr>
      </w:pPr>
      <w:r>
        <w:rPr>
          <w:rFonts w:ascii="Arial" w:cs="Arial" w:eastAsia="Arial" w:hAnsi="Arial"/>
          <w:sz w:val="15"/>
          <w:szCs w:val="15"/>
          <w:color w:val="auto"/>
        </w:rPr>
        <w:t>As of June 30, 2021, the aggregate market value of the registrant’s common stock held by non-affiliates of the registrant was $244,146,115.</w:t>
      </w:r>
    </w:p>
    <w:p>
      <w:pPr>
        <w:spacing w:after="0" w:line="51"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18, 2022, the Registrant had 14,063,999 shares of common stock issued of which 13,066,283 shares are outstanding.</w:t>
      </w:r>
    </w:p>
    <w:p>
      <w:pPr>
        <w:spacing w:after="0" w:line="87" w:lineRule="exact"/>
        <w:rPr>
          <w:sz w:val="24"/>
          <w:szCs w:val="24"/>
          <w:color w:val="auto"/>
        </w:rPr>
      </w:pPr>
    </w:p>
    <w:p>
      <w:pPr>
        <w:ind w:left="3940"/>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95" w:lineRule="exact"/>
        <w:rPr>
          <w:sz w:val="24"/>
          <w:szCs w:val="24"/>
          <w:color w:val="auto"/>
        </w:rPr>
      </w:pPr>
    </w:p>
    <w:p>
      <w:pPr>
        <w:spacing w:after="0"/>
        <w:rPr>
          <w:sz w:val="20"/>
          <w:szCs w:val="20"/>
          <w:color w:val="auto"/>
        </w:rPr>
      </w:pPr>
      <w:r>
        <w:rPr>
          <w:rFonts w:ascii="Arial" w:cs="Arial" w:eastAsia="Arial" w:hAnsi="Arial"/>
          <w:sz w:val="15"/>
          <w:szCs w:val="15"/>
          <w:color w:val="auto"/>
        </w:rPr>
        <w:t>Part III of Form 10-K – Portions of the definitive Proxy Statement for the 2022 Annual Meeting of Shareholders of Farmers &amp; Merchants Bancorp, Inc.</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gridSpan w:val="14"/>
          </w:tcPr>
          <w:p>
            <w:pPr>
              <w:jc w:val="center"/>
              <w:ind w:right="2380"/>
              <w:spacing w:after="0"/>
              <w:rPr>
                <w:sz w:val="20"/>
                <w:szCs w:val="20"/>
                <w:color w:val="auto"/>
              </w:rPr>
            </w:pPr>
            <w:r>
              <w:rPr>
                <w:rFonts w:ascii="Arial" w:cs="Arial" w:eastAsia="Arial" w:hAnsi="Arial"/>
                <w:sz w:val="18"/>
                <w:szCs w:val="18"/>
                <w:color w:val="auto"/>
                <w:w w:val="93"/>
              </w:rPr>
              <w:t>FARMERS &amp; MERCHANTS BANCORP, INC.</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K Items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40" w:type="dxa"/>
            <w:vAlign w:val="bottom"/>
            <w:gridSpan w:val="12"/>
          </w:tcPr>
          <w:p>
            <w:pPr>
              <w:jc w:val="center"/>
              <w:ind w:right="3140"/>
              <w:spacing w:after="0"/>
              <w:rPr>
                <w:sz w:val="20"/>
                <w:szCs w:val="20"/>
                <w:color w:val="auto"/>
              </w:rPr>
            </w:pPr>
            <w:r>
              <w:rPr>
                <w:rFonts w:ascii="Arial" w:cs="Arial" w:eastAsia="Arial" w:hAnsi="Arial"/>
                <w:sz w:val="18"/>
                <w:szCs w:val="18"/>
                <w:color w:val="auto"/>
                <w:w w:val="93"/>
              </w:rPr>
              <w:t>TABLE OF CONTENTS</w:t>
            </w:r>
          </w:p>
        </w:tc>
        <w:tc>
          <w:tcPr>
            <w:tcW w:w="1420" w:type="dxa"/>
            <w:vAlign w:val="bottom"/>
            <w:vMerge w:val="restart"/>
          </w:tcPr>
          <w:p>
            <w:pPr>
              <w:jc w:val="right"/>
              <w:ind w:right="692"/>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1"/>
        </w:trPr>
        <w:tc>
          <w:tcPr>
            <w:tcW w:w="1800" w:type="dxa"/>
            <w:vAlign w:val="bottom"/>
            <w:tcBorders>
              <w:bottom w:val="single" w:sz="8" w:color="auto"/>
            </w:tcBorders>
            <w:gridSpan w:val="2"/>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2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Risk Factors</w:t>
              </w:r>
            </w:hyperlink>
          </w:p>
        </w:tc>
        <w:tc>
          <w:tcPr>
            <w:tcW w:w="7140" w:type="dxa"/>
            <w:vAlign w:val="bottom"/>
            <w:gridSpan w:val="23"/>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Unresolved Staff Comments</w:t>
              </w:r>
            </w:hyperlink>
          </w:p>
        </w:tc>
        <w:tc>
          <w:tcPr>
            <w:tcW w:w="6020" w:type="dxa"/>
            <w:vAlign w:val="bottom"/>
            <w:gridSpan w:val="14"/>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020" w:type="dxa"/>
            <w:vAlign w:val="bottom"/>
            <w:gridSpan w:val="2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Legal Proceedings</w:t>
              </w:r>
            </w:hyperlink>
          </w:p>
        </w:tc>
        <w:tc>
          <w:tcPr>
            <w:tcW w:w="6720" w:type="dxa"/>
            <w:vAlign w:val="bottom"/>
            <w:gridSpan w:val="21"/>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Mine Safety Disclosures</w:t>
              </w:r>
            </w:hyperlink>
          </w:p>
        </w:tc>
        <w:tc>
          <w:tcPr>
            <w:tcW w:w="6280" w:type="dxa"/>
            <w:vAlign w:val="bottom"/>
            <w:gridSpan w:val="16"/>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520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Market for Registrant’s Common Equity and Related Stockholder Matters</w:t>
              </w:r>
            </w:hyperlink>
          </w:p>
        </w:tc>
        <w:tc>
          <w:tcPr>
            <w:tcW w:w="2820" w:type="dxa"/>
            <w:vAlign w:val="bottom"/>
            <w:gridSpan w:val="2"/>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20" w:type="dxa"/>
            <w:vAlign w:val="bottom"/>
            <w:gridSpan w:val="2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Management’s Discussion and Analysis of Financial Condition and Results of Operations</w:t>
              </w:r>
            </w:hyperlink>
          </w:p>
        </w:tc>
        <w:tc>
          <w:tcPr>
            <w:tcW w:w="17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8020" w:type="dxa"/>
            <w:vAlign w:val="bottom"/>
            <w:gridSpan w:val="2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3780" w:type="dxa"/>
            <w:vAlign w:val="bottom"/>
            <w:gridSpan w:val="6"/>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46-109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020" w:type="dxa"/>
            <w:vAlign w:val="bottom"/>
            <w:gridSpan w:val="2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Changes In and Disagreements on Accounting and Financial Disclosure</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Item9a.</w:t>
            </w:r>
          </w:p>
        </w:tc>
        <w:tc>
          <w:tcPr>
            <w:tcW w:w="5040" w:type="dxa"/>
            <w:vAlign w:val="bottom"/>
            <w:tcBorders>
              <w:top w:val="single" w:sz="8" w:color="0000EE"/>
            </w:tcBorders>
            <w:gridSpan w:val="23"/>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Controls and Procedures</w:t>
              </w:r>
            </w:hyperlink>
          </w:p>
        </w:tc>
        <w:tc>
          <w:tcPr>
            <w:tcW w:w="2980" w:type="dxa"/>
            <w:vAlign w:val="bottom"/>
            <w:gridSpan w:val="3"/>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5"/>
          </w:tcPr>
          <w:p>
            <w:pPr>
              <w:spacing w:after="0"/>
              <w:rPr>
                <w:sz w:val="24"/>
                <w:szCs w:val="24"/>
                <w:color w:val="auto"/>
              </w:rPr>
            </w:pPr>
          </w:p>
        </w:tc>
        <w:tc>
          <w:tcPr>
            <w:tcW w:w="6300" w:type="dxa"/>
            <w:vAlign w:val="bottom"/>
            <w:gridSpan w:val="17"/>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484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110">
              <w:r>
                <w:rPr>
                  <w:rFonts w:ascii="Arial" w:cs="Arial" w:eastAsia="Arial" w:hAnsi="Arial"/>
                  <w:sz w:val="18"/>
                  <w:szCs w:val="18"/>
                  <w:color w:val="0000EE"/>
                  <w:w w:val="88"/>
                </w:rPr>
                <w:t>Disclosure Regarding Foreign Jurisdictions That Prevent Inspections</w:t>
              </w:r>
            </w:hyperlink>
          </w:p>
        </w:tc>
        <w:tc>
          <w:tcPr>
            <w:tcW w:w="3180" w:type="dxa"/>
            <w:vAlign w:val="bottom"/>
            <w:gridSpan w:val="4"/>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020" w:type="dxa"/>
            <w:vAlign w:val="bottom"/>
            <w:gridSpan w:val="2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Directors and Executive Officers of the Registrant</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111-113</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114">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6"/>
          </w:tcPr>
          <w:p>
            <w:pPr>
              <w:spacing w:after="0"/>
              <w:rPr>
                <w:sz w:val="24"/>
                <w:szCs w:val="24"/>
                <w:color w:val="auto"/>
              </w:rPr>
            </w:pPr>
          </w:p>
        </w:tc>
        <w:tc>
          <w:tcPr>
            <w:tcW w:w="4500" w:type="dxa"/>
            <w:vAlign w:val="bottom"/>
            <w:gridSpan w:val="9"/>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020" w:type="dxa"/>
            <w:vAlign w:val="bottom"/>
            <w:gridSpan w:val="2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Security Ownership of Certain Beneficial Owners and Management</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4760" w:type="dxa"/>
            <w:vAlign w:val="bottom"/>
            <w:tcBorders>
              <w:top w:val="single" w:sz="8" w:color="0000EE"/>
            </w:tcBorders>
            <w:gridSpan w:val="21"/>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Certain Relationships and Related Transactions</w:t>
              </w:r>
            </w:hyperlink>
          </w:p>
        </w:tc>
        <w:tc>
          <w:tcPr>
            <w:tcW w:w="3260" w:type="dxa"/>
            <w:vAlign w:val="bottom"/>
            <w:gridSpan w:val="5"/>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Principal Accountant Fees and Services</w:t>
              </w:r>
            </w:hyperlink>
          </w:p>
        </w:tc>
        <w:tc>
          <w:tcPr>
            <w:tcW w:w="4700" w:type="dxa"/>
            <w:vAlign w:val="bottom"/>
            <w:gridSpan w:val="10"/>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020" w:type="dxa"/>
            <w:vAlign w:val="bottom"/>
            <w:gridSpan w:val="2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Exhibits, Financial Schedules and Reports on Form 8-K</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116-117</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920" w:type="dxa"/>
            <w:vAlign w:val="bottom"/>
            <w:tcBorders>
              <w:top w:val="single" w:sz="8" w:color="0000EE"/>
            </w:tcBorders>
            <w:gridSpan w:val="1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Form 10-K Summary</w:t>
              </w:r>
            </w:hyperlink>
          </w:p>
        </w:tc>
        <w:tc>
          <w:tcPr>
            <w:tcW w:w="4100" w:type="dxa"/>
            <w:vAlign w:val="bottom"/>
            <w:gridSpan w:val="7"/>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83"/>
        </w:trPr>
        <w:tc>
          <w:tcPr>
            <w:tcW w:w="740" w:type="dxa"/>
            <w:vAlign w:val="bottom"/>
            <w:tcBorders>
              <w:bottom w:val="single" w:sz="8" w:color="0000EE"/>
            </w:tcBorders>
          </w:tcPr>
          <w:p>
            <w:pPr>
              <w:spacing w:after="0"/>
              <w:rPr>
                <w:rFonts w:ascii="Arial" w:cs="Arial" w:eastAsia="Arial" w:hAnsi="Arial"/>
                <w:sz w:val="18"/>
                <w:szCs w:val="18"/>
                <w:color w:val="0000EE"/>
                <w:w w:val="83"/>
              </w:rPr>
            </w:pPr>
            <w:hyperlink w:anchor="page118">
              <w:r>
                <w:rPr>
                  <w:rFonts w:ascii="Arial" w:cs="Arial" w:eastAsia="Arial" w:hAnsi="Arial"/>
                  <w:sz w:val="18"/>
                  <w:szCs w:val="18"/>
                  <w:color w:val="0000EE"/>
                  <w:w w:val="83"/>
                </w:rPr>
                <w:t>Signatures</w:t>
              </w:r>
            </w:hyperlink>
          </w:p>
        </w:tc>
        <w:tc>
          <w:tcPr>
            <w:tcW w:w="10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Exhibit 21.</w:t>
            </w:r>
          </w:p>
        </w:tc>
        <w:tc>
          <w:tcPr>
            <w:tcW w:w="8020" w:type="dxa"/>
            <w:vAlign w:val="bottom"/>
            <w:gridSpan w:val="26"/>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Subsidiaries of Farmers &amp; Merchants Bancorp, Inc.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Exhibit 23.</w:t>
            </w:r>
          </w:p>
        </w:tc>
        <w:tc>
          <w:tcPr>
            <w:tcW w:w="3540" w:type="dxa"/>
            <w:vAlign w:val="bottom"/>
            <w:tcBorders>
              <w:top w:val="single" w:sz="8" w:color="0000EE"/>
            </w:tcBorders>
            <w:gridSpan w:val="1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Consent of BKD, LLP</w:t>
              </w:r>
            </w:hyperlink>
          </w:p>
        </w:tc>
        <w:tc>
          <w:tcPr>
            <w:tcW w:w="4480" w:type="dxa"/>
            <w:vAlign w:val="bottom"/>
            <w:gridSpan w:val="8"/>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576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226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Certifications Under Section 302</w:t>
              </w:r>
            </w:hyperlink>
          </w:p>
        </w:tc>
        <w:tc>
          <w:tcPr>
            <w:tcW w:w="5760" w:type="dxa"/>
            <w:vAlign w:val="bottom"/>
            <w:gridSpan w:val="13"/>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121-122</w:t>
            </w:r>
          </w:p>
        </w:tc>
        <w:tc>
          <w:tcPr>
            <w:tcW w:w="0" w:type="dxa"/>
            <w:vAlign w:val="bottom"/>
          </w:tcPr>
          <w:p>
            <w:pPr>
              <w:spacing w:after="0"/>
              <w:rPr>
                <w:sz w:val="1"/>
                <w:szCs w:val="1"/>
                <w:color w:val="auto"/>
              </w:rPr>
            </w:pP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226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Certifications Under Section 906</w:t>
              </w:r>
            </w:hyperlink>
          </w:p>
        </w:tc>
        <w:tc>
          <w:tcPr>
            <w:tcW w:w="5760" w:type="dxa"/>
            <w:vAlign w:val="bottom"/>
            <w:gridSpan w:val="13"/>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123-124</w:t>
            </w:r>
          </w:p>
        </w:tc>
        <w:tc>
          <w:tcPr>
            <w:tcW w:w="0" w:type="dxa"/>
            <w:vAlign w:val="bottom"/>
          </w:tcPr>
          <w:p>
            <w:pPr>
              <w:spacing w:after="0"/>
              <w:rPr>
                <w:sz w:val="1"/>
                <w:szCs w:val="1"/>
                <w:color w:val="auto"/>
              </w:rPr>
            </w:pPr>
          </w:p>
        </w:tc>
      </w:tr>
      <w:tr>
        <w:trPr>
          <w:trHeight w:val="309"/>
        </w:trPr>
        <w:tc>
          <w:tcPr>
            <w:tcW w:w="180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8020" w:type="dxa"/>
            <w:vAlign w:val="bottom"/>
            <w:gridSpan w:val="26"/>
          </w:tcPr>
          <w:p>
            <w:pPr>
              <w:spacing w:after="0"/>
              <w:rPr>
                <w:sz w:val="20"/>
                <w:szCs w:val="20"/>
                <w:color w:val="auto"/>
              </w:rPr>
            </w:pPr>
            <w:r>
              <w:rPr>
                <w:rFonts w:ascii="Arial" w:cs="Arial" w:eastAsia="Arial" w:hAnsi="Arial"/>
                <w:sz w:val="18"/>
                <w:szCs w:val="18"/>
                <w:color w:val="auto"/>
                <w:w w:val="88"/>
              </w:rPr>
              <w:t>Inline XBRL Instance Document – The instance document does not appear in the Interactive Data File because its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gridSpan w:val="26"/>
          </w:tcPr>
          <w:p>
            <w:pPr>
              <w:spacing w:after="0"/>
              <w:rPr>
                <w:sz w:val="20"/>
                <w:szCs w:val="20"/>
                <w:color w:val="auto"/>
              </w:rPr>
            </w:pPr>
            <w:r>
              <w:rPr>
                <w:rFonts w:ascii="Arial" w:cs="Arial" w:eastAsia="Arial" w:hAnsi="Arial"/>
                <w:sz w:val="18"/>
                <w:szCs w:val="18"/>
                <w:color w:val="auto"/>
              </w:rPr>
              <w:t xml:space="preserve">XBRL tags are embedded within the Inline XBRL document. </w:t>
            </w:r>
            <w:r>
              <w:rPr>
                <w:rFonts w:ascii="Arial" w:cs="Arial" w:eastAsia="Arial" w:hAnsi="Arial"/>
                <w:sz w:val="14"/>
                <w:szCs w:val="14"/>
                <w:color w:val="auto"/>
              </w:rPr>
              <w:t>(1)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8020" w:type="dxa"/>
            <w:vAlign w:val="bottom"/>
            <w:gridSpan w:val="26"/>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4"/>
                <w:szCs w:val="14"/>
                <w:color w:val="auto"/>
              </w:rPr>
              <w:t>(1)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Arial" w:cs="Arial" w:eastAsia="Arial" w:hAnsi="Arial"/>
                <w:sz w:val="18"/>
                <w:szCs w:val="18"/>
                <w:color w:val="auto"/>
              </w:rPr>
              <w:t>Exhibit 101.CAL</w:t>
            </w:r>
          </w:p>
        </w:tc>
        <w:tc>
          <w:tcPr>
            <w:tcW w:w="8020" w:type="dxa"/>
            <w:vAlign w:val="bottom"/>
            <w:gridSpan w:val="26"/>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4"/>
                <w:szCs w:val="14"/>
                <w:color w:val="auto"/>
              </w:rPr>
              <w:t>(1)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Arial" w:cs="Arial" w:eastAsia="Arial" w:hAnsi="Arial"/>
                <w:sz w:val="18"/>
                <w:szCs w:val="18"/>
                <w:color w:val="auto"/>
              </w:rPr>
              <w:t>Exhibit 101.DEF</w:t>
            </w:r>
          </w:p>
        </w:tc>
        <w:tc>
          <w:tcPr>
            <w:tcW w:w="8020" w:type="dxa"/>
            <w:vAlign w:val="bottom"/>
            <w:gridSpan w:val="26"/>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4"/>
                <w:szCs w:val="14"/>
                <w:color w:val="auto"/>
              </w:rPr>
              <w:t>(1)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Arial" w:cs="Arial" w:eastAsia="Arial" w:hAnsi="Arial"/>
                <w:sz w:val="18"/>
                <w:szCs w:val="18"/>
                <w:color w:val="auto"/>
              </w:rPr>
              <w:t>Exhibit 101.LAB</w:t>
            </w:r>
          </w:p>
        </w:tc>
        <w:tc>
          <w:tcPr>
            <w:tcW w:w="8020" w:type="dxa"/>
            <w:vAlign w:val="bottom"/>
            <w:gridSpan w:val="26"/>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4"/>
                <w:szCs w:val="14"/>
                <w:color w:val="auto"/>
              </w:rPr>
              <w:t>(1)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0" w:type="dxa"/>
            <w:vAlign w:val="bottom"/>
            <w:gridSpan w:val="2"/>
          </w:tcPr>
          <w:p>
            <w:pPr>
              <w:spacing w:after="0"/>
              <w:rPr>
                <w:sz w:val="20"/>
                <w:szCs w:val="20"/>
                <w:color w:val="auto"/>
              </w:rPr>
            </w:pPr>
            <w:r>
              <w:rPr>
                <w:rFonts w:ascii="Arial" w:cs="Arial" w:eastAsia="Arial" w:hAnsi="Arial"/>
                <w:sz w:val="18"/>
                <w:szCs w:val="18"/>
                <w:color w:val="auto"/>
              </w:rPr>
              <w:t>Exhibit 101.PRE</w:t>
            </w:r>
          </w:p>
        </w:tc>
        <w:tc>
          <w:tcPr>
            <w:tcW w:w="8020" w:type="dxa"/>
            <w:vAlign w:val="bottom"/>
            <w:gridSpan w:val="26"/>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4"/>
                <w:szCs w:val="14"/>
                <w:color w:val="auto"/>
              </w:rPr>
              <w:t>(1)</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firstLine="5"/>
        <w:spacing w:after="0" w:line="253" w:lineRule="auto"/>
        <w:tabs>
          <w:tab w:leader="none" w:pos="245" w:val="left"/>
        </w:tabs>
        <w:numPr>
          <w:ilvl w:val="0"/>
          <w:numId w:val="3"/>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Total Pages:</w:t>
            </w:r>
          </w:p>
        </w:tc>
        <w:tc>
          <w:tcPr>
            <w:tcW w:w="5320" w:type="dxa"/>
            <w:vAlign w:val="bottom"/>
          </w:tcPr>
          <w:p>
            <w:pPr>
              <w:jc w:val="right"/>
              <w:spacing w:after="0"/>
              <w:rPr>
                <w:sz w:val="20"/>
                <w:szCs w:val="20"/>
                <w:color w:val="auto"/>
              </w:rPr>
            </w:pPr>
            <w:r>
              <w:rPr>
                <w:rFonts w:ascii="Arial" w:cs="Arial" w:eastAsia="Arial" w:hAnsi="Arial"/>
                <w:sz w:val="18"/>
                <w:szCs w:val="18"/>
                <w:color w:val="auto"/>
              </w:rPr>
              <w:t>124</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Forward Looking Statements</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Statements contained in the Company's Annual Report on Form 10-K may be forward-looking statements, as that term is defined in the Private Securities Litigation Reform Act of 1995. Forward-looking statements may be identified by the use of such words as "intend," "believe," "expect," "anticipate," "should," "planned," "estimated," and "potential." Such forward-looking statements are based on current expectations but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which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could differ from those projected in the forward-looking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Farmers &amp; Merchants Bancorp, Inc. (Company) is a bank holding company incorporated under the laws of Ohio in 1985 and elected to become a financial holding company under the Federal Reserve in 2014. Our primary subsidiary, The Farmers &amp; Merchants State Bank (Bank) is a local independent community bank that has been primarily serving Northwest Ohio and Northeast Indiana since 1897. Our other subsidiary, Farmers &amp; Merchants Risk Management (Captive) is a captive insurance company formed in December 2014 and located in Nevada. We report our financial condition and net income on a consolidated basis and we report only one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40" w:type="dxa"/>
            <w:vAlign w:val="bottom"/>
          </w:tcPr>
          <w:p>
            <w:pPr>
              <w:spacing w:after="0"/>
              <w:rPr>
                <w:sz w:val="20"/>
                <w:szCs w:val="20"/>
                <w:color w:val="auto"/>
              </w:rPr>
            </w:pPr>
            <w:r>
              <w:rPr>
                <w:rFonts w:ascii="Arial" w:cs="Arial" w:eastAsia="Arial" w:hAnsi="Arial"/>
                <w:sz w:val="18"/>
                <w:szCs w:val="18"/>
                <w:color w:val="auto"/>
                <w:w w:val="92"/>
              </w:rPr>
              <w:t>Our executive offices are located at 307 North Defiance Street, Archbold, Ohio 43502, and our telephone number is</w:t>
            </w:r>
          </w:p>
        </w:tc>
        <w:tc>
          <w:tcPr>
            <w:tcW w:w="1540" w:type="dxa"/>
            <w:vAlign w:val="bottom"/>
          </w:tcPr>
          <w:p>
            <w:pPr>
              <w:jc w:val="right"/>
              <w:spacing w:after="0"/>
              <w:rPr>
                <w:sz w:val="20"/>
                <w:szCs w:val="20"/>
                <w:color w:val="auto"/>
              </w:rPr>
            </w:pPr>
            <w:r>
              <w:rPr>
                <w:rFonts w:ascii="Arial" w:cs="Arial" w:eastAsia="Arial" w:hAnsi="Arial"/>
                <w:sz w:val="18"/>
                <w:szCs w:val="18"/>
                <w:color w:val="auto"/>
              </w:rPr>
              <w:t>(419) 446-2501.</w:t>
            </w:r>
          </w:p>
        </w:tc>
      </w:tr>
    </w:tbl>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a discussion of the general development of the Company’s business throughout 2021, please see the portion of Management’s Discussion and Analysis of Financial Condition and Results of Operations captioned “2021 in Review.”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8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Farmers &amp; Merchants State Bank engages in general commercial banking business. Its activities include commercial, agricultural and residential mortgage as well as consumer and credit card lending activities. Because the majority of the Bank's offices are located in Northwest Ohio and Northeast Indiana, a substantial amount of the loan portfolio is comprised of loans made to customers in the farming industry for such things as farm land, farm equipment, livestock and operating loans for seed, fertilizer, and feed. Other types of lending activities include loans for home improvements and loans for such items as autos, trucks, recreational vehicles and motorcycles. With the expansion into newer market areas, the most recent increases in loan activity have been in commercial real estate, providing operating lines of credit and machinery purchases. Consumer real estate also increased substantially with the acquisition of Perpetual Federal Savings Bank on October 1, 2021. During 2020, the Bank opened Loan Production Offices (LPOs) to extend the F&amp;M footprint in Muncie, Indiana, Oxford, Ohio and West Bloomfield, Michigan.</w:t>
      </w:r>
    </w:p>
    <w:p>
      <w:pPr>
        <w:spacing w:after="0" w:line="17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Upgrades to our digital products and services continue to occur in both retail and business lines.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a five year and a seven year fixed rate mortgage after which the interest rate will adjust annually. In order to offer longer term fixed rate mortgages, the Bank does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6"/>
          <w:szCs w:val="16"/>
          <w:color w:val="auto"/>
        </w:rPr>
        <w:t>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 in the 4</w:t>
      </w:r>
      <w:r>
        <w:rPr>
          <w:rFonts w:ascii="Arial" w:cs="Arial" w:eastAsia="Arial" w:hAnsi="Arial"/>
          <w:sz w:val="13"/>
          <w:szCs w:val="13"/>
          <w:color w:val="auto"/>
        </w:rPr>
        <w:t>th</w:t>
      </w:r>
      <w:r>
        <w:rPr>
          <w:rFonts w:ascii="Arial" w:cs="Arial" w:eastAsia="Arial" w:hAnsi="Arial"/>
          <w:sz w:val="16"/>
          <w:szCs w:val="16"/>
          <w:color w:val="auto"/>
        </w:rPr>
        <w:t xml:space="preserve"> quarter of 2021, the Bank saw an increase in fixed rate, long-term mortgage loans to our portfolio from that banking service area.</w:t>
      </w:r>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ind w:left="700" w:hanging="299"/>
        <w:spacing w:after="0" w:line="21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Maximum loan to value (LTV) for cars, SUVs, and trucks is 110%.</w:t>
      </w:r>
    </w:p>
    <w:p>
      <w:pPr>
        <w:ind w:left="700" w:hanging="299"/>
        <w:spacing w:after="0" w:line="21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Loans above 100% are generally the result of sales tax.</w:t>
      </w:r>
    </w:p>
    <w:p>
      <w:pPr>
        <w:ind w:left="700" w:hanging="299"/>
        <w:spacing w:after="0" w:line="21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ind w:left="700" w:hanging="299"/>
        <w:spacing w:after="0" w:line="21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1st or 2nd mortgages on 1-4 family homes maximum LTV range from 80%-85%.</w:t>
      </w:r>
    </w:p>
    <w:p>
      <w:pPr>
        <w:ind w:left="700" w:hanging="29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Commercial/Agriculture:</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Accounts Receivable:</w:t>
      </w:r>
    </w:p>
    <w:p>
      <w:pPr>
        <w:ind w:left="1080" w:hanging="28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80% LTV less retainages and greater than 90 days.</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Inventory:</w:t>
      </w:r>
    </w:p>
    <w:p>
      <w:pPr>
        <w:ind w:left="1080" w:hanging="284"/>
        <w:spacing w:after="0" w:line="210"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Agriculture:</w:t>
      </w:r>
    </w:p>
    <w:p>
      <w:pPr>
        <w:ind w:left="1880" w:hanging="386"/>
        <w:spacing w:after="0" w:line="202" w:lineRule="auto"/>
        <w:tabs>
          <w:tab w:leader="none" w:pos="18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Livestock and grain up to 80% LTV, crops (insured) up to 75% and Warehouse Receipts up to 87%.</w:t>
      </w:r>
    </w:p>
    <w:p>
      <w:pPr>
        <w:ind w:left="1080" w:hanging="284"/>
        <w:spacing w:after="0" w:line="21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w:t>
      </w:r>
    </w:p>
    <w:p>
      <w:pPr>
        <w:ind w:left="1880" w:hanging="386"/>
        <w:spacing w:after="0" w:line="198" w:lineRule="auto"/>
        <w:tabs>
          <w:tab w:leader="none" w:pos="18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Maximum LTV of 50% on raw and finished goods.</w:t>
      </w:r>
    </w:p>
    <w:p>
      <w:pPr>
        <w:ind w:left="1080" w:hanging="284"/>
        <w:spacing w:after="0" w:line="21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Floor plan:</w:t>
      </w:r>
    </w:p>
    <w:p>
      <w:pPr>
        <w:ind w:left="1880" w:hanging="386"/>
        <w:spacing w:after="0" w:line="198" w:lineRule="auto"/>
        <w:tabs>
          <w:tab w:leader="none" w:pos="18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1880" w:hanging="386"/>
        <w:spacing w:after="0" w:line="224" w:lineRule="auto"/>
        <w:tabs>
          <w:tab w:leader="none" w:pos="18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Equipment:</w:t>
      </w:r>
    </w:p>
    <w:p>
      <w:pPr>
        <w:ind w:left="1080" w:hanging="284"/>
        <w:spacing w:after="0" w:line="21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not to exceed (NTE) 80% of invoice, used NTE 50% of listed book or 75% of appraised value.</w:t>
      </w:r>
    </w:p>
    <w:p>
      <w:pPr>
        <w:ind w:left="1080" w:hanging="284"/>
        <w:spacing w:after="0" w:line="21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ind w:left="1080" w:hanging="28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Heavy trucks, titled trailers NTE 75% LTV and aircraft up to 75% of appraised value.</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Real Estate:</w:t>
      </w:r>
    </w:p>
    <w:p>
      <w:pPr>
        <w:ind w:left="1080" w:hanging="284"/>
        <w:spacing w:after="0" w:line="21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ind w:left="1080" w:hanging="28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FM Investment Services, the brokerage department of the Bank, has served the Bank’s customers, providing investment services, since April of 1999.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of 2014, the Company became a financial holding company within the meaning of the Bank Holding Company Act of 1956 as amended,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in December 2014. The Captive is located in Nevada and regulated by the State of Nevada Division of Insurance.</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Bank’s primary market includes communities located in the Ohio counties of Champaign, Defiance, Fulton, Hancock, Henry, Lucas, Williams, Wood and in the Indiana counties of Adams, Allen, DeKalb, Jay, Steuben and Wells. The commercial banking business in this market is highly competitive, with approximately 34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including Huntington National Bank, Fifth Third Bank, PNC, Wells Fargo Bank, NA, KeyBank NA and JPMorgan Chase Bank, NA. Based on deposit data as of June 30,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jc w:val="both"/>
        <w:spacing w:after="0" w:line="235" w:lineRule="auto"/>
        <w:rPr>
          <w:sz w:val="20"/>
          <w:szCs w:val="20"/>
          <w:color w:val="auto"/>
        </w:rPr>
      </w:pPr>
      <w:r>
        <w:rPr>
          <w:rFonts w:ascii="Arial" w:cs="Arial" w:eastAsia="Arial" w:hAnsi="Arial"/>
          <w:sz w:val="18"/>
          <w:szCs w:val="18"/>
          <w:color w:val="auto"/>
        </w:rPr>
        <w:t>from the FDIC and using zip codes in our markets, the Bank ranked 1st with a 13.35% market share in markets served. The primary factors in competing for loans and deposits are the rates charged as well as location and quality of the services provided.</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December 31, 2021, we had 385 full time equivalent employees. The employees are not represented by a collective bargaining unit. We provide our employees with a comprehensive benefit program, some of which is contributory. We consider our employee relations to be good.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Supervision and Regulation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8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is a corporation organized under the laws of the State of Ohio. The business in which the Company and its subsidiaries are engaged is subject to extensive supervision, regulation and examination by various bank regulatory authorities. The supervision, regulation and examination to which the Company and its subsidiaries are subject to are intended primarily for the protection of depositors and the deposit insurance funds that insure the deposits of banks, rather than for the protection of shareholders.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Several of the more significant regulatory provisions applicable to banks and bank holding companies to which the Company and its subsidiaries are subject to are discussed below along with certain regulatory matters concerning the Company and its subsidiaries. To the extent that the following information describes statutory or regulatory provisions, it is qualified in its entirety by reference to the particular statutory provisions. Any change in applicable law or regulation may have a material effect on the business and prospects of the Company and its subsidiaries.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and Soundness Standards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federal banking agencies have adopted guidelines that establish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institution’s primary federal regulator may require the institution to submit a plan for achieving and maintaining compliance. If an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institution’s rate of growth, require the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banking regulators, including cease and desist orders and civil money penalty assessments.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Agencies</w:t>
      </w:r>
    </w:p>
    <w:p>
      <w:pPr>
        <w:spacing w:after="0" w:line="18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Company is a financial holding company and is subject to inspection, examination and supervision by the Board of Governors of the Federal Reserve System (the “Federal Reserve Board”) pursuant to the Bank Holding Company Act of 1956, as amended. As a financial holding company, the Company is still subject to all the bank holding company regulations.</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Bank is an Ohio chartered commercial bank. It is subject to regulation and examination by both the Ohio Division of Financial Institutions (ODFI) and the Federal Deposit Insurance Corporation (FDIC).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Captive is an insurance company incorporated in Nevada and regulated by the State of Nevada, Division of Insurance.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Company Activities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financial holding company incorporated and doing business within the State of Ohio, the Company is subject to regulation and supervision under the Bank Holding Act of 1956, as amended (the "Act"). The Company is required to file with the Federal Reserve Board on quarterly basis information pursuant to the Act. The Federal Reserve Board may conduct examinations or inspections of the Company and its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 w:name="page6"/>
    <w:bookmarkEnd w:id="5"/>
    <w:p>
      <w:pPr>
        <w:jc w:val="both"/>
        <w:spacing w:after="0" w:line="222" w:lineRule="auto"/>
        <w:rPr>
          <w:sz w:val="20"/>
          <w:szCs w:val="20"/>
          <w:color w:val="auto"/>
        </w:rPr>
      </w:pPr>
      <w:r>
        <w:rPr>
          <w:rFonts w:ascii="Arial" w:cs="Arial" w:eastAsia="Arial" w:hAnsi="Arial"/>
          <w:sz w:val="18"/>
          <w:szCs w:val="18"/>
          <w:color w:val="auto"/>
        </w:rPr>
        <w:t>On November 12, 1999, the Gramm-Leach-Bliley Act (the "GLB Act") was enacted into law. The GLB Act made sweeping changes with respect to the permissible financial services which various types of financial institutions may provide. The Glass-Steagall Act, which had generally prevented banks from affiliation with securities and insurance firms, was repealed. Pursuant to the GLB Act, bank holding companies may elect to become a "financial holding company," provided that all of the depository institution subsidiaries of the bank holding company are “well capitalized” and “well managed” under applicable regulatory standards.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Under the GLB Act, a bank holding company that has elected to become a financial holding company may affiliate with securities firms and insurance companies and engage in other activities that are financial in nature. Activities that are "financial in nature" include securities underwriting, dealing and market-making, sponsoring mutual funds and investment companies, insurance underwriting and agency, merchant banking, and activities that the Federal Reserve Board has determined to be closely related to banking. Federal Reserve Board approval is not required for the Company to acquire a company, other than a bank holding company, bank or savings association, engaged in activities that are financial in nature or incidental to activities that are financial in nature, as determined by the Federal Reserve Board. Prior Federal Reserve Board approval is required before the Company may acquire the beneficial ownership or control of more than 5% of the voting shares, or substantially all of the assets, of a bank holding company, bank or savings association. If any subsidiary bank of the Company ceases to be "well capitalized" or "well managed" under applicable regulatory standards, the Federal Reserve Board may, among other actions, order the Company to divest the subsidiary bank. Alternatively, the Company may elect to conform its activities to those permissible for a bank holding company that is not also a financial holding company. If any subsidiary bank of the Company receives a rating under the Community Reinvestment Act of 1977 of less than satisfactory, the Company will be prohibited from engaging in new activities or acquiring companies other than bank holding companies, banks or savings associations.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Affiliate Transactions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Various governmental requirements, including Sections 23A and 23B of the Federal Reserve Act and Regulation W promulgated thereunder limit borrowings by holding companies and non-bank subsidiaries from affiliated insured depository institutions, and also limit various other transactions between holding companies and their non-bank subsidiaries, on the one hand, and their affiliated insured depository institutions on the other. Section 23A of the Federal Reserve Act also generally requires that an insured depository institution's loans to its non-bank affiliates be secured, and Section 23B of the Federal Reserve Act generally requires that an insured depository institution's transactions with its non-bank affiliates be on arms-length terms.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Interstate Banking and Branching</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the Riegle-Neal Interstate Banking and Branching Efficiency Act ("Riegle-Neal"), subject to certain concentration limits and other requirements, adequately capitalized bank holding companies such as the Company are permitted to acquire banks and bank holding companies located in any state. Any bank that is a subsidiary of a bank holding company is permitted to receive deposits, renew time deposits, close loans, service loans and receive loan payments as an agent for any other bank subsidiary of that bank holding company. Banks are permitted to acquire branch offices outside their home states by merging with out-of-state banks, purchasing branches in other states and establishing de novo branch offices in other states. The Company could from time to time use Riegle-Neal to acquire banks in additional states.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Acquisitions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Change in Bank Control Act prohibits a person or group of persons from acquiring "control" of a bank holding company, unless the Federal Reserve Board has been notified and has not objected to the transaction. Under the rebuttable presumption established by the Federal Reserve Board, the acquisition of 10% or more of a class of voting stock of a bank holding company with a class of securities registered under Section 12 of the Exchange Act, such as the Company, would, under the circumstances set forth in the presumption, constitute acquisition of control of the bank holding company. In addition, a company is required to obtain the approval of the Federal Reserve Board under the Bank Holding Company Act before acquiring 25% (5% in the case of an acquirer that is a bank holding company) or more of any class of outstanding voting stock of a bank holding company, or otherwise obtaining control or a "controlling influence" over that bank holding company.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for Banking Subsidiaries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the current Federal Reserve Board policy, a bank holding company is expected to act as a source of financial and managerial strength to each of its subsidiary banks and to maintain resources adequate to support each subsidiary bank. This support may be required at times when the bank holding company may not have the resources to provide it. In the event of a bank holding company's bankruptcy, any commitment by the bank holding company to a U.S. federal bank regulatory agency to maintain the capital of a subsidiary bank would be assumed by the bankruptcy trustee and entitled to priority of payment. Any depository institution insured by the FDIC can be held liable for any loss incurred, or reasonably expected to be incurred, by the FDIC in connection with (1) the "default" of a commonly controlled FDIC-insured depository institution; or (2)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6" w:name="page7"/>
    <w:bookmarkEnd w:id="6"/>
    <w:p>
      <w:pPr>
        <w:jc w:val="both"/>
        <w:spacing w:after="0" w:line="228" w:lineRule="auto"/>
        <w:rPr>
          <w:sz w:val="20"/>
          <w:szCs w:val="20"/>
          <w:color w:val="auto"/>
        </w:rPr>
      </w:pPr>
      <w:r>
        <w:rPr>
          <w:rFonts w:ascii="Arial" w:cs="Arial" w:eastAsia="Arial" w:hAnsi="Arial"/>
          <w:sz w:val="18"/>
          <w:szCs w:val="18"/>
          <w:color w:val="auto"/>
        </w:rPr>
        <w:t>assistance provided by the FDIC to both a commonly controlled FDIC-insured depository institution "in danger of default." The Bank is an FDIC-insured depository institution. If a default occurred with respect to the Bank, any capital loans to the Bank from its parent holding company would be subordinate in right of payment to payment of the Bank's depositors and certain of its other obligations.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Capital Requirements</w:t>
      </w:r>
    </w:p>
    <w:p>
      <w:pPr>
        <w:spacing w:after="0" w:line="83" w:lineRule="exact"/>
        <w:rPr>
          <w:sz w:val="20"/>
          <w:szCs w:val="20"/>
          <w:color w:val="auto"/>
        </w:rPr>
      </w:pPr>
    </w:p>
    <w:p>
      <w:pPr>
        <w:jc w:val="both"/>
        <w:spacing w:after="0" w:line="194" w:lineRule="exact"/>
        <w:rPr>
          <w:sz w:val="20"/>
          <w:szCs w:val="20"/>
          <w:color w:val="auto"/>
        </w:rPr>
      </w:pPr>
      <w:r>
        <w:rPr>
          <w:rFonts w:ascii="Arial" w:cs="Arial" w:eastAsia="Arial" w:hAnsi="Arial"/>
          <w:sz w:val="16"/>
          <w:szCs w:val="16"/>
          <w:color w:val="auto"/>
        </w:rPr>
        <w:t>The Company is required by the various regulatory authorities to maintain certain capital levels. Bank holding companies are required to maintain minimum levels of capital in accordance with Federal Reserve Board capital adequacy guidelines. If capital falls below minimum guideline levels, a bank holding company, among other things, may be denied approval to acquire or establish additional banks or non</w:t>
      </w:r>
      <w:r>
        <w:rPr>
          <w:rFonts w:ascii="MS PGothic" w:cs="MS PGothic" w:eastAsia="MS PGothic" w:hAnsi="MS PGothic"/>
          <w:sz w:val="16"/>
          <w:szCs w:val="16"/>
          <w:color w:val="auto"/>
        </w:rPr>
        <w:t>‑</w:t>
      </w:r>
      <w:r>
        <w:rPr>
          <w:rFonts w:ascii="Arial" w:cs="Arial" w:eastAsia="Arial" w:hAnsi="Arial"/>
          <w:sz w:val="16"/>
          <w:szCs w:val="16"/>
          <w:color w:val="auto"/>
        </w:rPr>
        <w:t>bank businesses. The required capital levels along with the Bank’s capital position at December 31, 2021 and 2020 are summarized in the table included in Note 15 to the consolidated financial statements.</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Beginning in 2015, the Company and Bank were required to measure capital adequacy using Basel III accounting. Basel III is a comprehensive set of reform measures, developed by the Basel Committee on Banking Supervision, to strengthen the regulation, supervision and risk management of the banking sector. Implementation of the rules is overseen by the Federal Reserve, the FDIC and the OCC.</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FDICIA</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Federal Deposit Insurance Corporation Improvement Act of 1991 ("FDICIA"), and the regulations promulgated under FDICIA, among other things, established five capital categories for insured depository institutions-well capitalized, adequately capitalized, undercapitalized, significantly undercapitalized and critically undercapitalized-and requires U.S. federal bank regulatory agencies to implement systems for "prompt corrective action" for insured depository institutions that do not meet minimum capital requirements based on these categories. Unless a bank is well capitalized, it is subject to restrictions on its ability to offer brokered deposits and on certain other aspects of its operations. An undercapitalized bank must develop a capital restoration plan and its parent bank holding company must guarantee the bank's compliance with the plan up to the lesser of 5% of the bank’s assets at the time it became undercapitalized and the amount needed to comply with the plan. As of December 31, 2021, the Bank was well capitalized pursuant to these prompt corrective action guidelines.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ability of the Company to obtain funds for the payment of dividends and for other cash requirements will be largely dependent on the amount of dividends which may be declared by its banking subsidiary, which are limited to the Bank’s retained earnings during the current year and its prior two years. Various U.S. federal statutory provisions limit the amount of dividends the Company's banking subsidiar</w:t>
      </w:r>
      <w:r>
        <w:rPr>
          <w:rFonts w:ascii="Arial" w:cs="Arial" w:eastAsia="Arial" w:hAnsi="Arial"/>
          <w:sz w:val="16"/>
          <w:szCs w:val="16"/>
          <w:b w:val="1"/>
          <w:bCs w:val="1"/>
          <w:color w:val="auto"/>
        </w:rPr>
        <w:t>y</w:t>
      </w:r>
      <w:r>
        <w:rPr>
          <w:rFonts w:ascii="Arial" w:cs="Arial" w:eastAsia="Arial" w:hAnsi="Arial"/>
          <w:sz w:val="16"/>
          <w:szCs w:val="16"/>
          <w:color w:val="auto"/>
        </w:rPr>
        <w:t xml:space="preserve"> can pay to the Company without regulatory approval. In 2009, The Board of Governors of the Federal Reserve Division of Banking Supervision and Regulation issued SR09-4 regarding the safe and sound payment of dividends by bank holding companies. See Note 16 to the consolidated financial statements for additional information on applicable dividend restrictions.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 Insurance Assessments</w:t>
      </w:r>
    </w:p>
    <w:p>
      <w:pPr>
        <w:spacing w:after="0" w:line="8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deposits of the Bank are insured up to the regulatory limits set by the FDIC. The FDIC maintains the Deposit Insurance fund (“DIF”) by assessing depository institutions an insurance premium (assessment). The amount assessed to each institution is based on statutory factors that take into consideration the degree of risk the institution poses to the DIF. The primary purposes of the DIF are to (1) insure the deposits and protect the depositors of insured depository institutions; and (2) resolve failed banks. The DIF is primarily funded through quarterly assessments on insured depository institutions, but it also earns interest income on its securities. Decreases in the DIF result from loss provisions associated with the resolution of failed banks and FDIC operating expenses.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Dodd-Frank Wall Street Reform and Consumer Protection Act of 2010 (“Dodd-Frank Act”) revised the statutory authorities governing the FDIC’s management of the DIF. A key requirement from the Dodd-Frank Act resulted in the FDIC’s adoption of new rules in February 2011 regarding Assessments, Dividends, Assessment Base, and Large Bank Pricing. The new rules implemented the following changes: (1) redefined the definition of an institution’s deposit insurance assessment base from one based on domestic deposits to one based on assets now defined as “average consolidated total assets minus average tangible equity”; (2) changed the assessment rate adjustments to better account for risk based on an institution’s funding sources; (3) revised the deposit insurance assessment rate schedule in light of the new assessment base and assessment rate adjustments; (4) implemented Dodd-Frank Act dividend provisions;</w:t>
      </w:r>
    </w:p>
    <w:p>
      <w:pPr>
        <w:spacing w:after="0" w:line="4" w:lineRule="exact"/>
        <w:rPr>
          <w:sz w:val="20"/>
          <w:szCs w:val="20"/>
          <w:color w:val="auto"/>
        </w:rPr>
      </w:pPr>
    </w:p>
    <w:p>
      <w:pPr>
        <w:ind w:firstLine="5"/>
        <w:spacing w:after="0" w:line="27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revised the large insured depository institution assessment system to better differentiate for risk and to take into account losses the FDIC may incur from large institution failures; and (6) provided technical and other changes to the FDIC’s assessment rules. Though deposit insurance assessments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7" w:name="page8"/>
    <w:bookmarkEnd w:id="7"/>
    <w:p>
      <w:pPr>
        <w:jc w:val="both"/>
        <w:spacing w:after="0" w:line="224" w:lineRule="auto"/>
        <w:rPr>
          <w:sz w:val="20"/>
          <w:szCs w:val="20"/>
          <w:color w:val="auto"/>
        </w:rPr>
      </w:pPr>
      <w:r>
        <w:rPr>
          <w:rFonts w:ascii="Arial" w:cs="Arial" w:eastAsia="Arial" w:hAnsi="Arial"/>
          <w:sz w:val="18"/>
          <w:szCs w:val="18"/>
          <w:color w:val="auto"/>
        </w:rPr>
        <w:t>maintain a risk-based approach, the FDIC imposed a more extensive risk-based assessment system on large insured depository institutions with at least $10 billion in total assets since they are more complex in nature and could pose greater risk. The rules became effective April 1, 2011 implementing the revised assessment rate schedule for the quarter beginning April 1, 2011. The revised assessment rate schedule was used to calculate the June 30, 2011 assessments which were due September 30, 2011 and subsequent quarterly assessments thereafter.</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Dodd-Frank Act permanently raised the standard maximum deposit insurance coverage amount to $250,000 and applies per depositor, per insured depository institution for each account ownership category.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Depositor Preference Statute</w:t>
      </w:r>
    </w:p>
    <w:p>
      <w:pPr>
        <w:spacing w:after="0" w:line="8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the "liquidation or other resolution" of an institution by any receiver, U.S. federal legislation provides that deposits and certain claims for administrative expenses and employee compensation against the insured depository institution would be afforded a priority over general unsecured claims against that institution, including federal funds and letters of credit.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Monetary Policy</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earnings of the Company are affected primarily by general economic conditions and to a lesser extent by the fiscal and monetary policies of the federal government and its agencies, particularly the Federal Reserve. Its policies influence, to some degree, the volume of bank loans and deposits, and interest rates charged and paid thereon, and thus have an effect on the earnings of the Company's subsidiary Bank.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Regulation</w:t>
      </w:r>
    </w:p>
    <w:p>
      <w:pPr>
        <w:spacing w:after="0" w:line="8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Provisions of the Dodd-Frank Act have resulted in additional rulemaking by the federal regulatory agencies and new rules yet to be issued. Implementing the new and expanded regulations involved extreme diligence to ensure compliance with the complexities of the rules, as well as extensive new disclosure and reporting requirements.</w:t>
      </w:r>
    </w:p>
    <w:p>
      <w:pPr>
        <w:spacing w:after="0" w:line="17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Dodd-Frank Act created an independent regulatory body, the Bureau of Consumer Financial Protection (“Bureau”), with authority and responsibility to set rules and regulations for most consumer protection laws applicable to all banks – large and small – which added another regulator to scrutinize and police financial activities. Transfer to the Bureau of all consumer financial protection functions for designated laws by the other federal agencies was completed in July 2011. The Bureau was given responsibility for mortgage reform and enforcement, as well as broad new powers over consumer financial activities, including consumer financial products and services and how they are provided.</w:t>
      </w:r>
    </w:p>
    <w:p>
      <w:pPr>
        <w:spacing w:after="0" w:line="176"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 accordance with the Gramm-Leach-Bliley Financial Modernization Act of 1999 (the “GLB Act”), federal banking regulators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major focus of governmental policy on financial institutions has been aimed at combating money laundering and terrorist financing. The USA PATRIOT Act of 2001 (the “USA Patriot Act”) substantially broadened the scope of United States anti-money laundering laws and regulations by imposing significant new compliance and due diligence obligations, creating new crimes and penalties and expanding the extra-territorial jurisdiction of the United States. The U. S. Treasury Department has issued a number of regulations that apply various requirements of the USA Patriot Act to financial institutions such as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money laundering and terrorist financing, or to comply with all of the relevant laws or regulations, could have serious legal and reputational consequences for the institution.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Significant mortgage rules mandated by the Dodd-Frank Act provisions were enacted in response to the breakdown in the mortgage lending markets and to provide for consumer protections. Final rules issued by the Bureau or jointly with other regulatory agencies implemented requirements under the Dodd-Frank Act regarding mortgage-related matters such as ability-to-repay, qualified mortgage standards, mortgage servicing, mortgage loan originator compensation, escrow requirements for higher-priced mortgage loans, and providing appraisals. These mortgage rules addressed problems consumers faced in the three major steps in buying a home – shopping for a mortgage, closing on a mortgage, and paying off a mortgage.</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Final rules and amendments to the integrated mortgage disclosure rules under the Real Estate Settlement Act (RESPA) and Truth in Lending Act (TILA) became effective in October 2015. The TILA-RESPA Integrated Disclosure rule commonly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referred to as TRID combined required disclosures into two single forms: 1) The Loan Estimate which is provided shortly after a mortgage loan application and</w:t>
      </w:r>
    </w:p>
    <w:p>
      <w:pPr>
        <w:spacing w:after="0" w:line="14" w:lineRule="exact"/>
        <w:rPr>
          <w:sz w:val="20"/>
          <w:szCs w:val="20"/>
          <w:color w:val="auto"/>
        </w:rPr>
      </w:pPr>
    </w:p>
    <w:p>
      <w:pPr>
        <w:jc w:val="both"/>
        <w:ind w:firstLine="5"/>
        <w:spacing w:after="0" w:line="245" w:lineRule="auto"/>
        <w:tabs>
          <w:tab w:leader="none" w:pos="19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Closing Disclosure which is provided prior to loan consummation. In addition, a mandated appraisal notice under the Equal Credit Opportunity Act and the servicing application disclosure under RESPA were also combined into the new integrated disclosures. Process and procedural adjustments were necessary to appropriately implement the new requirements. Implementation to achieve TRID compliance involved extensive collaboration with the Mortgage Loan Origination software vendor, as well as outreach and coordination efforts with real estate agents, attorneys, and closing agents to cultivate preparedness for the new integrated mortgage loan disclosure forms. Amendments to the TRID rules effective in October 2017 with a mandatory compliance in October 2018 were intended to provide further clarity to certain provisions. Remaining attentive to the complexities of the TRID rules ensure practices and procedures remain compliant and not subject the Bank to unnecessary liability.</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Final rules, mostly effective in October 2015, were issued by the Board of Governors of the Federal Reserve System (FRB), the Farm Credit Administration, the Federal Deposit Insurance Corporation (FDIC), the National Credit Union Administration (NCUA), and the Office of the Comptroller of the Currency (OCC) to implement provisions of the Homeowner Flood Insurance Affordability Act of 2014 (HFIAA) and the Biggert-Waters Flood Insurance Reform Act of 2012 (the Biggert-Waters Act). These provisions amended regulations which apply to loans secured by properties located in special flood hazard areas. Final rules for acceptance of private flood insurance policies became effective on July 1, 2019. Fines and penalties continue to be assessed by regulators for non-compliance with flood insurance requirements. A continued focus on adherence to the flood rules and requirements is necessary.</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Department of Defense (DOD) rules amending its regulation that implements the Military Lending Act (MLA) became effective in October 2016. The MLA enacted as part of the John Warner National Defense Act of 2007, significantly expanded the scope of the Act to cover all consumer credit except residential mortgages and purchase money loans. Compliance requirements for credit cards became effective in October 2017. Coverage applies to consumer credit defined as “credit offered or extended for personal, family, or household purpose and that is subject to a finance charge or payable by written agreement in more than four installments.” A covered borrower is a consumer who at the time of becoming obligated on a consumer credit transaction or establishing an account for consumer credit, is a covered member or dependent (including a spouse) of a covered member. A covered member is a member of the armed forces serving on active duty or active guard or reserve duty.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Providing a loan to a MLA-covered borrower that exceeds the 36% Military Annual Percentage Rate is prohibited. Any covered loans made without providing proper disclosures or in violation of the MLA is void. Creditors who knowingly or willfully violate the rules could be subject to a fine, imprisonment up to one year or both. Reliance on and collaboration with Loan Origination System vendors for assistance with calculations and required disclosures along with an efficient and effective process for identifying covered borrowers remains the best defense to prevent violations.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the TILA Ability to Repay requirements, the Bank meets the criteria to qualify as a small creditor based on the number of first-lien mortgage loans transactions and due to its asset size; however it is not a creditor that operates predominantly in rural or underserved areas. The Bank focuses on Qualified Mortgage (QM) status for mortgage loans originated as they provide certain presumptions of compliance under the Ability to Repay rules adopted under the Dodd-Frank Act. In satisfying QM requirements, any mortgage lender regardless of their size can make loans which are entitled to the QM presumption of compliance. Since the Bank, on occasion, does make Non-Qualified Mortgages, approvals and originations of both Non-QM loans and Higher Priced Mortgage Loans are periodically reported to the Bank’s Loan Committee.</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Revised Regulation C rules which implement the Home Mortgage Disclosure Act (HMDA) published by the Bureau become effective on January 1, 2018 for reportable loan applications. Dodd-Frank Act provisions added new data points for HMDA and authorized the Bureau to require additional information. The types of transactions reportable have expanded to include most consumer purpose transactions that are dwelling-secured loans or open-end lines of credit. Reportable data points were significantly expanded to 52 fields which included applicant age, credit score, automated underwriting system information, property value, application channel, points and fees, borrower-paid origination charges, discount points, lender credits, loan term, prepayment penalty, interest rate, loan originator identifier, as well as other data fields. Ethnicity categories were expanded to include certain subcategories along with a means to capture information on how an applicant’s or borrower’s ethnicity, race, and sex were collected by the institution. A thorough review and validation of data fields to be reported for each application was conducted throughout the year. Year-end submission of HMDA data utilizes the web-based tool developed by the Bureau. With the expiration of the temporary threshold, the Bank has prepared to commence HMDA data collection on certain open-end lines of credit secured by a dwelling with final action taken as of January 1, 2022 or thereafter.</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Enactment of the Economic Growth, Regulatory Relief and Consumer Protection Act (EGRRCPA) on May 24, 2018, resulted in a regulatory reform law deemed to be relief from certain burdensome provisions of the Dodd-Frank Act. The EGRRCPA included provisions with various effective dates, including some that were effective immediately. Matters impacted included access to mortgage credit; access to credit; protections for veterans, consumers, and homeowners; rules for holding companies;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 w:name="page10"/>
    <w:bookmarkEnd w:id="9"/>
    <w:p>
      <w:pPr>
        <w:jc w:val="both"/>
        <w:spacing w:after="0" w:line="248" w:lineRule="auto"/>
        <w:rPr>
          <w:sz w:val="20"/>
          <w:szCs w:val="20"/>
          <w:color w:val="auto"/>
        </w:rPr>
      </w:pPr>
      <w:r>
        <w:rPr>
          <w:rFonts w:ascii="Arial" w:cs="Arial" w:eastAsia="Arial" w:hAnsi="Arial"/>
          <w:sz w:val="16"/>
          <w:szCs w:val="16"/>
          <w:color w:val="auto"/>
        </w:rPr>
        <w:t>capital access; and protections for student borrowers. Though effective immediately, conforming regulations were required for certain provisions such as Reciprocal Deposits, Examination Cycles, and High Volatility Commercial Real Estate (HVCRE). The Protecting Tenants in Foreclosure Act was restored and permanently extended as of June 23, 2018. An interim final rule was jointly issued by the OCC, FRB, and FDIC allowing an extended examination cycle for qualifying insured depository institutions with less than $3 billion in total assets. Effective September 21, 2018, consumers could freeze their credit information and place one-year fraud alerts for free. Additionally, parents can freeze the credit information of their children under age 16 for free. In some instances, regulators still need to issue proposals, provide guidance, and publish final rules for various provisions. Thus, issuance of guidance and final rules must be monitored in order to be effectively implemented.</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Unfair or deceptive acts or practices (UDAP) standards originally developed years ago by the Federal Trade Commission focused on unacceptable practices that may not specifically be addressed elsewhere in banking or consumer finance law. Banking regulatory agencies have increasingly used this authority over the years to address acts or practices that are deemed harmful, deceptive, or misleading to consumers. The authority of the Federal Trade Commission (FTC) for credit practice rules was repealed as a result of the Dodd-Frank Act. Guidance issued collectively by the FDIC, FRB, the Bureau, NCUA, and OCC in August 2014 clearly indicated certain consumer credit practices were not permissible and remained subject to Section 5 of the Federal Trade Commission Act, as well as Sections 1031 and 1036 of the Dodd-Frank Act. The interagency guidance further noted that the Agencies will continue to have supervisory authority and enforcement authority for unfair or deceptive acts or practices, which could include those practices previously addressed in the former credit practices rules. Awareness of UDAP standards, and the Bureau’s unfair, deceptive or abusive acts or practices (UDAAP) in relation to the offering and marketing of Bank products and services remains important.</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Bank is also subject to federal regulation relating to such matters as required reserves, limitation as to the nature and amount of its loans and investments, regulatory approval of any merger or consolidation, issuance or retirement of their own securities, limitations upon the payment of dividends and other aspects of banking operations. In addition, the activities and operations of the Bank are subject to numerous additional detailed, complex and sometimes overlapping laws and regulations. These include state usury and consumer credit laws, state laws relating to fiduciaries, the federal Equal Credit Opportunity Act and Regulation B, the federal Electronic Funds Transfer Act and Regulation E, the federal Fair Credit Reporting Act and Regulation V, the federal Real Estate Settlement Procedures Act (RESPA) and Regulation X, the federal Truth in Lending Act and Regulation Z, the federal Truth in Savings Act and Regulation DD, the Bank Secrecy Act, the federal Community Reinvestment Act, anti-discrimination laws and legislation, and antitrust laws.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Legislation</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Changes to the laws and regulations, both at the federal and state levels, can affect the operating environment of the Company and its subsidiaries in substantial and unpredictable ways. The Company cannot accurately predict whether those changes in laws and regulations will occur, and, if those changes occur, the ultimate effect they would have upon the financial condition or results of operations of the Company or its subsidiaries.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8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Company maintains an Internet web site at the following internet address: www.fm.bank. The Company files reports with the Securities and Exchange Commission (SEC). Because the Company makes its filing with the SEC electronically, you may access such reports at the SEC’s website (www.sec.gov). The Company makes available, free of charge through its internet address, copies of its annual report on Form 10-K, quarterly reports on Form 10-Q, current reports on Form 8-K, and any amendments to these reports as soon as reasonably practicable after such materials have been filed with or furnished to the SEC. Copies of these documents may also be obtained, either in electronic or paper form, by contacting Barbara J. Britenriker, Chief Financial Officer of the Company at (419) 446-2501.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Competition from an Array of Financial Service Providers</w:t>
      </w:r>
    </w:p>
    <w:p>
      <w:pPr>
        <w:spacing w:after="0" w:line="8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Our ability to achieve strong financial performance and a satisfactory return on investment to shareholders will depend in part on our ability to expand our available financial services. In addition to the challenge of attracting and retaining customers for traditional banking services, our competitors now include securities dealers, brokers, mortgage bankers, investment advisors and finance and insurance companies who seek to offer one-stop financial services to their customers that may include services that banks have not been able or allowed to offer to their customers in the past. The increasingly competitive environment is a result primarily of changes in regulation, changes in technology and product delivery systems and the accelerating pace of consolidation among financial services providers. If we fail to adequately address each of the competitive pressures in the banking industry, our financial condition and results of operations could be adversely affected.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Credit Risk</w:t>
      </w:r>
    </w:p>
    <w:p>
      <w:pPr>
        <w:spacing w:after="0" w:line="8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risk of nonpayment of loans is inherent in commercial banking. Such nonpayment could have an adverse effect on the Company’s earnings and our overall financial condition as well as the value of our common stock. Management attempts to reduce the Bank’s credit exposure by carefully monitoring the concentration of its loans within specific industries and through the loan approval process. However, there can be no assurance that such monitoring and procedures will totally mitigate the risks. Credit losses can cause insolvency and failure of a financial institution and, in such event, its shareholders could lose their entire investment. For more information on the exposure of the Company and the Bank to credit risk, see the section under Part II, Item 7 of this Form 10-K captioned “Loan Portfolio.”</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upon the Accuracy and Completeness of Information</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may rely on information furnished by or on behalf of customers and counterparties, including financial statements and other financial information. We also may rely on representations of clients and counterparties as to the accuracy and completeness of that information and, with respect to financial statements, on reports of independent auditors and accountants if made available. If this information is inaccurate, we may be subject to regulatory action, reputational harm or other adverse effects with respect to the operation of our business, our financial condition and our results of operation.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loan portfolio has a large concentration of real estate loans</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Real estate loans, which constitute a large portion of our loan portfolio, include home equity, agricultural, commercial, construction and residential loans, and such loans are concentrated in the Bank’s primary markets in Northwest Ohio, Northeast Indiana and complimented with additional exposure in new areas from our LPOs. The market value of real estate can fluctuate significantly in a short period of time as a result of market conditions in the geographic area in which the real estate is located. Adverse developments affecting real estate values in our market could increase the credit risk associated with our loan portfolio. Also, real estate lending typically involves higher loan principal amounts and the repayment of the loans generally is dependent, in large part, on sufficient income from the properties securing the loans to cover operating expenses and debt service. Economic events or governmental regulations outside of the control of the borrower could negatively impact the future cash flow and market values of the affected properties.</w:t>
      </w:r>
    </w:p>
    <w:p>
      <w:pPr>
        <w:spacing w:after="0" w:line="17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If the loans that are collateralized by real estate become troubled during a time when market conditions are declining or have declined, then we may not be able to realize the amount of security that we anticipated at the time of originating the loan, which could cause us to increase our provision for loan losses and adversely affect our operating results and financial condition.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real estate loans also include construction loans, including land acquisition and development. Construction, land acquisition and development lending involve additional risks because funds are advanced based upon estimates of costs and the estimated value of the completed project. Because of the uncertainties inherent in estimating construction costs, as well as the market value of the completed project and the effects of governmental regulation on real property, it is relatively difficult to evaluate accurately the total funds required to complete a project and the related loan-to-value ratio. As a result, commercial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we may have inadequate security for the repayment of the loan upon completion of construction of the project.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Payments on agricultural real estate loans are dependent on the profitable operation or management of the farm property securing the loan. The success of the farm may be affected by many factors outside the control of the borrower, including adverse weather conditions that prevent the planting of a crop or limit crop yields (such as hail, drought and floods), loss of livestock due to disease or other factors, declines in market prices for agricultural products (both domestically and internationally) and the impact of government regulations (including changes in price supports, subsidies and environmental regulations). In addition, many farms are dependent on a limited number of key individuals whose injury or death may significantly affect the successful operation of the farm. If the cash flow from a farming operation is diminished, the borrower’s ability to repay the loan may be impaired. The primary crops in our market areas are corn, wheat and soybeans. Accordingly, adverse circumstances affecting these crops could have an adverse effect on our agricultural real estate loan portfolio.</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loans make up a significant portion of our loan portfolio</w:t>
      </w:r>
    </w:p>
    <w:p>
      <w:pPr>
        <w:spacing w:after="0" w:line="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commercial loans are primarily made based on the identified cash flow of the borrower and secondarily on the underlying collateral provided by the borrower. Repayment of our commercial loans is often dependent on the cash flows of the borrower, which may be unpredictable. Most often, this collateral is accounts receivable, inventory, machinery or real estate. In the case of loans secured by accounts receivable, the availability of funds for the repayment of these loans may be substantially dependent 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18"/>
          <w:szCs w:val="18"/>
          <w:color w:val="auto"/>
        </w:rPr>
        <w:t>the ability of the borrower to collect amounts due from its customers. The other types of collateral securing these loans may depreciate over time, may be difficult to appraise and may fluctuate in value based on the success of the business.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also originate agricultural operating loans. As with agricultural real estate loans, the repayment of operating loans is dependent on the successful operation or management of the farm property. Likewise, agricultural operating loans involve a greater degree of risk than lending on residential properties, particularly in the case of loans that are unsecured or secured by rapidly depreciating assets such as farm equipment or assets such as livestock or crops. The primary livestock in our market areas is hogs. In these cases, any repossessed collateral for a defaulted loan may not provide an adequate source of repayment of the outstanding loan balance as a result of the greater likelihood of damage, loss or depreciation. The majority of our agricultural customers utilize crop insurance to mitigate the possibility of a large loss within one year on their grain operations. Crop insurance can be structured to be triggered by different factors and claim payment may also be customized, such as based on harvest yields, income generation. Farmers may also use hedging techniques to lock in crop prices, input costs for future production.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Susceptibility to Changes in Regulation</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Any changes to state and federal banking laws and regulations may negatively impact our ability to expand services and to increase the value of our business. We are subject to extensive state and federal regulation, supervision, and legislation that govern almost all aspects of our operations. These laws may change from time to time and are primarily intended for the protection of consumers, depositors and the deposit insurance funds. In addition, the Company’s earnings are affected by the monetary policies of the Board of Governors of the Federal Reserve. These policies, which include regulating the national supply of bank reserves and bank credit, can have a major effect upon the source and cost of funds and the rates of return earned on loans and investments. The Federal Reserve influences the size and distribution of bank reserves through its open market operations and changes in cash reserve requirements against member bank deposits. We cannot predict what effect any presently contemplated or future changes in the laws or regulations or their interpretations would have on us, but such changes could be materially adverse to our financial performance. For more information on this subject, see the section under Part I, Item 1 of this Form 10-K captioned “Supervision and Regulation.”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Trade Policies</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From 2018 through 2021, the U.S. government implemented tariffs on certain products from countries or entities such as Mexico, Canada, China and the European Union. These countries have issued or continue to threaten retaliatory tariffs against products from the United States, including agricultural products. The United States and these countries may impose additional tariffs and retaliatory tariffs in the future. Tariffs, retaliatory tariffs or other trade restrictions on products and materials that our customers import or export, including agricultural products such as soybeans, could cause the prices of our customers’ products to increase which could reduce demand for such products, or reduce our customer margins, and adversely impact their revenues, financial results and ability to service debt. This could adversely affect our financial condition and results of operations. In addition, to the extent changes in the political environment have a negative impact on us or on the markets in which we operate, our business, results of operations and financial condition could be materially and adversely impacted in the future. In January 2020, passage of the United States-Mexico-Canada (USMCA) trade agreement helped to alleviate some of these risks. The USMCA updates trading rules to better reflect 21st century technology, regulates labor and environmental standards in Mexico, tightens the rules the auto industry must follow to trade vehicles duty free across the three countries and provides tariff-free trade in North America.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Changes in interest rates affect our operating performance and financial condition in diverse ways. Our profitability depends in substantial part on our “net interest spread,” which is the difference between the rates we receive on loans and investments and the rates we pay for deposits and other sources of funds. Our net interest spread will depend on many factors that are partly or entirely outside our control, including competition, federal economic, monetary and fiscal policies, and economic conditions generally. Historically, net interest spreads for other financial institutions have widened and narrowed in response to these and other factors, which are often collectively referred to as “interest rate risk.” After many years of a low and flat rate environment, the Federal Reserve began increasing the Federal Funds rate in 2015. The Company did not experience improvement in its asset yield on loans until such time that the rate increases enabled the loan rates to rise above the floors which had been on the majority of the variable rate loans. During 2017, the increasing rates, having reached over 100 basis points, triggered rate changes above the floors and the Company experienced improvement in the interest spread. The improvement in the net interest spread during 2017 through 2019 directly correlated to the improvement of the Bank’s loan to asset ratio. The Federal Reserve began decreasing the Federal Funds rate in the second half of 2019, and made further cuts in 2020, which contributed to a deterioration in the interest rate spread in 2020 and continued in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6"/>
          <w:szCs w:val="16"/>
          <w:color w:val="auto"/>
        </w:rPr>
        <w:t>The Bank manages interest rate risk within an overall asset/liability framework. The principal objectives of asset/liability management are to manage sensitivity of net interest spreads and net interest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For more information regarding the Company’s exposure to interest rate risk, see Part II, Item 7A of this Form 10-K.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Attraction and Retention of Key Personnel</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success depends upon the continued service of our senior management team and upon our ability to attract and retain qualified financial services personnel. Competition for qualified employees is intense. In our experience, it can take a significant period of time to identify and hire personnel with the combination of skills and attributes required in carrying out our strategy. If we lose the services of our key personnel or are unable to attract additional qualified personnel, our business, financial condition, results of operations and cash flows could be adversely affected.</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key component of employee retention is providing a fair compensation base combined with the opportunity for additional compensation for above average performance. In this regard, the Company and the Bank use two incentive programs. The Company uses a stock award program to recognize and incentivize officers of the Bank. Under the long-term incentive compensation plan, restricted stock awards may be granted to officers. The amount of shares to be granted each year is determined by the Board Compensation Committee and may vary each year in its amount of shares and the number of recipients. The Compensation Committee determines the number of shares to be awarded overall and to the Chief Executive Officer (“CEO”) specifically. The CEO then makes recommendations to the committee as to the recipients of the remaining shares. The full Board of Directors approves the action of the Committee. Since the plan’s inception in 2005, all granted stock awards have utilized a three year cliff vesting feature. This is viewed as a retention aid as the awards may be forfeited should an officer leave employment during the vesting period.</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 second incentive program of the Bank is based on cash compensation of which almost all employees participate (excluding commission based employees and other employees paid for specific higher paid positions, such as peak time). A discussion of executive officer pay is incorporated within the proxy and as such, this discussion will pertain to all other employees. Non-officer employees are paid a cash incentive based on the projected overall performance of the Bank in terms of Return of Average Assets (“ROA”) and the achievement of pre-established team and/or individual goals. The Compensation Committee determines the target performance levels on which the percentage of pay will be based. The Committee takes into account the five and ten year trend of ROA along with budget forecasted for the next year and the Bank’s past year performance. The Committee also considers the predicted banking environment under which the Bank will be operating. With the formation of the Captive, the ROA goal has been exclusive of the effect of the additional insurance expense at the Bank level, as well as other expenses as agreed upon by the Compensation Committee. The majority of non-officers receive incentive pay in December of the same year based on the year-to-date base compensation through the last pay received in November.</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Officers, other than executive officers, and specified non-officers based on their Job Roles (“non-executive officers”) receive incentive pay based on additional criterion. These individuals are rewarded based on overall ROA of the Bank along with individual pre-established goals. Non-executive officers, therefore, have incentive pay at risk for individual performance. The individualized goals are recommended by each individual’s supervisor and are approved by an incentive committee of the Bank. The goals are designed to improve the performance of the Bank while also limiting the risk of a short-term performance focus. For example, a lending officer may be given two goals of which one is to grow loans within specific targets and another is tied to a specific level of past dues and charge-offs. The second goal limits the ability to be rewarded for growth at all costs along with the specific target levels within the growth goal itself. Non-executive officers in a support department may be given goals which create efficiencies, ensure compliance with procedures, or generate new fee or product opportunities. On average, three to four goals were given to each non-executive officer in 2021. Non-executive officers are paid cash incentives based on the year-end ROA of the Bank and receive it within the first quarter of the following year. Should the ROA be forecasted to be positive but below the base target set by the Board, the covered non-executive officers are paid an incentive under the same basis and timing as non-officers disclosed above.</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percentages of base pay on which the incentive is calculated graduates higher as does the responsibility level of the employee and their ability to impact the financial performance of the Bank. These percentages are recommended by management to the Compensation Committee and Board for approval. The cash incentive plan along with its targets and goals are subject to modification at the Compensation Committee and Board’s discretion throughout each year.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Payout Restrictions</w:t>
      </w:r>
    </w:p>
    <w:p>
      <w:pPr>
        <w:spacing w:after="0" w:line="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currently pay a quarterly dividend on our common shares. However, there is no assurance that we will be able to pay dividends in the future. Dividends are subject to determination and declaration by our Board of Directors, which takes into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16"/>
          <w:szCs w:val="16"/>
          <w:color w:val="auto"/>
        </w:rPr>
        <w:t>account many factors. The declaration of dividends by us on our common stock is subject to the discretion of our Board and to applicable state and federal regulatory limitations. The Company may receive dividends from the Bank which is subject to restrictions and limitations in the amount and timing of the dividends it may pay to the Company. The Bank has been declaring additional dividends each quarter to provide this liquidity to the Company. The Captive also upstreams dividends to the Company when reserve levels are adequately provided for and may not exceed the net income of the prior twelve months. Please see Note 16 in the notes to consolidated financial statements for additional information on dividend payout restrictions.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Maintaining Compliance with Regulatory Capital Requirements</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regulatory capital adequacy guidelines, we must meet guidelines that involve quantitative measures of assets, liabilities and certain off-balance sheet items. Failure to meet minimum capital requirements could have a material effect on our financial condition and could subject us to a variety of enforcement actions, as well as certain restrictions on our business. Failure to maintain the status of “well-capitalized” under the regulatory framework could adversely affect the confidence that our customers have in us, which may lead to a decline in the demand for or a reduction in the prices that we are able to charge for our products and services. Failure to meet the guidelines could also limit our access to liquidity sources.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New Capital</w:t>
      </w:r>
    </w:p>
    <w:p>
      <w:pPr>
        <w:spacing w:after="0" w:line="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may at some point need to raise additional capital to maintain our “well-capitalized” status. Any capital we obtain may result in the dilution of the interests of existing holders of our stock. Our ability to raise additional capital, if needed, will depend on conditions in the capital markets at that time, which are outside our control, and on our financial condition and performance. Accordingly, we cannot make assurances of our ability to raise additional capital if needed, or if the terms will be acceptable to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Provisions of our Articles of Incorporation and Ohio law could have the effect of discouraging takeover attempts which certain stockholders might deem to be in their interest. These anti-takeover provisions may make us a less attractive target for a takeover bid or merger, potentially depriving shareholders of an opportunity to sell their shares of common stock at a premium over prevailing market prices as a result of a takeover bid or merger.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Laws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 significant portion of our loan portfolio is secured by real property. We may foreclose on and take title to certain real property. There is a risk that hazardous substances could be found on the property and we may be liable for remediation costs, personal injury and/or property damage. We may incur substantial expenses to comply with environmental laws which may materially reduce the property's value or limit our ability to dispose of the property. The remediation costs and any other financial liabilities associated with the property could have a material adverse effect on our financial condition and results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Change</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industry is susceptible to significant technological changes in the future as there continue to be a high level of new technology driven products and services introduced. Technological advancement aids the Company in providing customer service and increases efficiency. Our national competitors have more resources to invest in technological changes and associated required resources. As a result, they may be able to offer products and services that are more technologically advanced and that may put us at a competitive disadvantage. Our future depends on our ability to analyze technological changes to determine the best course of action for our business, customers and shareholders.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subject to certain operational risks, including, but not limited to, data processing system failures and errors, customer or employee fraud and catastrophic failures resulting from terrorist acts or natural disasters. We maintain a system of internal controls to mitigate against such occurrences and maintain insurance coverage for such risks that are insurable, but should such an event occur that is not prevented or detected by our internal controls, uninsured or in excess of applicable insurance limits, it could have a significant adverse impact on our business, financial condition or results of operations.</w:t>
      </w:r>
    </w:p>
    <w:p>
      <w:pPr>
        <w:spacing w:after="0" w:line="16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operations are dependent on our ability to process financial transactions in a secure manner. Failure in or breach of our operational or security systems or infrastructure, or those of our third-party vendors and other service providers, could disrupt our business or the businesses of our customers, result in the disclosure or misuse of confidential or proprietary information, damage our reputation, increase our costs and cause losses. We must ensure that information is properly protected from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4" w:name="page15"/>
    <w:bookmarkEnd w:id="14"/>
    <w:p>
      <w:pPr>
        <w:jc w:val="both"/>
        <w:spacing w:after="0" w:line="220" w:lineRule="auto"/>
        <w:rPr>
          <w:sz w:val="20"/>
          <w:szCs w:val="20"/>
          <w:color w:val="auto"/>
        </w:rPr>
      </w:pPr>
      <w:r>
        <w:rPr>
          <w:rFonts w:ascii="Arial" w:cs="Arial" w:eastAsia="Arial" w:hAnsi="Arial"/>
          <w:sz w:val="18"/>
          <w:szCs w:val="18"/>
          <w:color w:val="auto"/>
        </w:rPr>
        <w:t>variety of threats such as cyber attacks, error, fraud, sabotage, terrorism, industrial espionage, privacy violation, service interruption, and natural disaster. These threats arise from numerous sources including human error, fraud on the part of employees or third parties, technological failure, telecommunication outages, and severe weather conditions. Information security risks for financial institutions like us have increased recently in part because of new technologies, the increased use of the internet and telecommunications technologies (including mobile devices and cloud computing) to conduct financial and other business transactions, political activism, and the increased sophistication and activities of organized crime. Although we employ detection and response mechanisms designed to contain and mitigate security incidents, early detection may be thwarted by persistent sophisticated attacks and malware designed to avoid detection.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also face risks related to cyber attacks and other security breaches in connection with card transactions that typically involve the transmission of sensitive information regarding our customers through various third parties. Some of these parties have in the past been the target of security breaches and cyber attacks, and because the transactions involve third parties and environments that we do not control or secure, future security breaches or cyber attacks affecting any of these third parties could impact us through no fault of our own, and in some cases we may have exposure and suffer losses for breaches or attacks relating to them. We also rely on numerous other third party service providers to conduct other aspects of our business operations and face similar risks relating to them. While we conduct security assessments on our higher risk third party service providers, we cannot be sure that their information security protocols are sufficient to withstand a cyber attack or other security breach. There can be no assurance that cyber incidents will not occur and they could occur more frequently and on a more significant scale.</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devote significant resources to implement, maintain, monitor and regularly upgrade our systems and networks with measures such as intrusion detection and prevention and firewalls to safeguard critical business applications. The additional cost to the Company of our cyber security monitoring and protection systems and controls includes the cost of hardware and software, third party technology providers, consulting, and legal fees, in addition to the incremental cost of our personnel who focus a substantial portion of their responsibilities on cyber security. In addition, because cyber attacks can change frequently we may be unable to implement effective preventive or proactive measures in time. With the assistance of third-party service providers, we intend to continue to implement security technology and establish procedures to maintain network security, but there is no assurance that these measures will be successful. As cyber threats continue to evolve, we may be required to expend significant additional resources to continue to modify or enhance our protective measures or to investigate and remediate any information security vulnerabilities.</w:t>
      </w:r>
    </w:p>
    <w:p>
      <w:pPr>
        <w:spacing w:after="0" w:line="17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Any activity that jeopardizes our network and the security of the information stored thereon may result in significant cost and have a significant adverse effect on our reputation. We maintain insurance coverage that may, subject to policy terms and conditions, cover certain aspects of cyber risks. Such insurance coverage may be insufficient to cover all losses.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Any successful cyber attack or other security breach involving the misappropriation or other unauthorized disclosure of confidential customer information or that compromises our ability to function could severely damage our reputation, erode confidence in the security of our systems, products and services, expose us to the risk of litigation and liability, disrupt our operations and have a material adverse effect on our business. Any successful cyber attack may also subject the Company to regulatory investigations, litigation or enforcement, or require the payment of regulatory fines or penalties or undertaking costly remediation efforts with respect to third parties affected by a cyber security incident, all or any of which could adversely affect the Company’s business, financial condition or results of operations and damage its reputation.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constantly at risk of increased losses from fraud</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Criminals are committing fraud at an increasing rate and are using more sophisticated techniques. In some cases, these individuals are part of larger criminal rings, which allow them to be more effective. Such fraudulent activity has taken many forms, ranging from debit card fraud, check fraud, mechanical devices attached to ATM machines, social engineering and phishing attacks to obtain personal information, or impersonation of clients through the use of falsified or stolen credentials. Additionally, an individual or business entity may properly identify itself, yet seek to establish a business relationship for the purpose of perpetrating fraud. An emerging type of fraud even involves the creation of synthetic identification in which fraudsters "create" individuals for the purpose of perpetrating fraud. Further, in addition to fraud committed directly against us, the Company may suffer losses as a result of fraudulent activity committed against third parties. Increased deployment of technologies, such as chip card technology and dual authentication, defray and reduce certain aspects of fraud; however, criminals are turning to other sources to steal personally identifiable information, such as unaffiliated healthcare providers and government entities, in order to impersonate the consumer and thereby commit fraud.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Inadequacy of our Allowance for Loan Losses</w:t>
      </w:r>
    </w:p>
    <w:p>
      <w:pPr>
        <w:spacing w:after="0" w:line="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Like all financial institutions, we maintain an allowance for loan losses to provide for loan defaults and non-performance. Our allowance for loan losses is based on our historical loss experience as well as an evaluation of the risks associated with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 w:name="page16"/>
    <w:bookmarkEnd w:id="15"/>
    <w:p>
      <w:pPr>
        <w:jc w:val="both"/>
        <w:spacing w:after="0" w:line="247" w:lineRule="auto"/>
        <w:rPr>
          <w:sz w:val="20"/>
          <w:szCs w:val="20"/>
          <w:color w:val="auto"/>
        </w:rPr>
      </w:pPr>
      <w:r>
        <w:rPr>
          <w:rFonts w:ascii="Arial" w:cs="Arial" w:eastAsia="Arial" w:hAnsi="Arial"/>
          <w:sz w:val="16"/>
          <w:szCs w:val="16"/>
          <w:color w:val="auto"/>
        </w:rPr>
        <w:t>loan portfolio, including the size and composition of the loan portfolio, current economic conditions and concentrations within the portfolio. The determination of the appropriate level of the allowance for loan losses inherently involves a high degree of subjectivity and requires us to make significant estimates of current credit risks and future trends, all of which may undergo material changes. Economic conditions affecting borrowers, new information regarding existing loans, identification of additional problem loans and other factors, both within and outside of our control, may require an increase in the allowance for loan losses. In addition, bank regulatory agencies periodically review our allowance for loan losses and may require an increase in the provision for loan losses or the recognition of further loan charge-offs, based on judgments different than those of management. In addition, if charge-offs in future periods exceed expectations, we will need additional provisions to increase the allowance for loan losses. Any increases in the allowance for loan losses may result in a decrease in net income and capital and may have a material adverse effect on our financial condition and results of operations.</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June 2016, the Financial Accounting Standards Board (FASB) issued ASU 2016-13, "Financial Instruments - Credit Losses (Topic 326), Measurement of Credit Losses on Financial Instruments," which replaces the current "incurred loss" model for recognizing credit losses with an "expected loss" model referred to as the Current Expected Credit Loss model, or “CECL.” Under the CECL model, we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required under current GAAP, which delays recognition until it is probable a loss has been incurred. Accordingly, we expect that the adoption of the CECL model will materially affect how we determine our allowance for loan losses and could require us to significantly increase our allowance. Moreover, the CECL model may create more volatility in the level of our allowance for loan losses. If we are required to increase our level of allowance for loan losses for any reason, such increase could adversely affect our business, financial condition and results of operations.</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new CECL standard will become effective for us for fiscal years beginning after December 15, 2022 and for interim periods during 2023. The Company began working with a third-party service provider to review parallel reports starting in June 2019. We are currently evaluating the impact the CECL model will have on our accounting, but we expect to recognize a one-time cumulative-effect adjustment to our allowance for loan losses as of the beginning of the first reporting period in which the new standard is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Attraction of Deposits and other Short-term Funding</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managing our liquidity, our primary source of short-term funding is customer deposits. Our ability to continue to attract these deposits, and other short-term funding sources, is subject to variability based upon a number of factors, including the relative interest rates we are prepared to pay for these liabilities and the perception of safety of those deposits or short-term obligations relative to alternative short-term investments. The availability and cost of credit in short-term markets depends upon market perceptions of our liquidity and creditworthiness. Our efforts to monitor and manage liquidity risk may not be successful or sufficient to deal with dramatic or unanticipated changes in event-driven reductions in liquidity. In such events, our cost of funds may increase, thereby reducing our net interest revenue, or we may need to dispose of a portion of our investment portfolio, which, depending on market conditions, could result in our realizing a loss or experiencing other adverse consequences.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Relationship Risk</w:t>
      </w:r>
    </w:p>
    <w:p>
      <w:pPr>
        <w:spacing w:after="0" w:line="8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rely on third-party vendors to provide key components of our business operations such as data processing, recording and monitoring transactions, online and mobile banking interfaces and services, internet connections and network access. While we have performed due diligence procedures in selecting vendors, we do not control their actions. In the event that one or more of our vendors suffers a bankruptcy or otherwise becomes unable to continue to provide products or services or fails to protect non-public personal information of our customers or employees, we may suffer operational impairments, reputational damage and financial losses. Replacing these third-party vendors could create significant delay and expense. Accordingly, use of such third parties creates an inherent risk to our business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3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December 2019, a novel coronavirus (COVID-19) was reported in China, and, in March 2020, the World Health Organization declared it a pandemic. On March 12, 2020, the President of the United States declared the COVID-19 outbreak in the United States a national emergency. The COVID-19 pandemic has caused significant economic dislocation in the United States as many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16"/>
          <w:szCs w:val="16"/>
          <w:color w:val="auto"/>
        </w:rPr>
        <w:t>state and local governments have ordered non-essential businesses to close and residents to shelter in place at home. This has resulted in an unprecedented slow-down in economic activity and a related increase in unemployment. Since the COVID-19 outbreak an unprecedented number of individuals have filed claims for unemployment, and stock markets have experienced significant volatility, with bank stocks suffering significant declines in value. In response to the COVID-19 outbreak, the Federal Reserve Board has reduced the benchmark fed funds rate to a target range of 0% to 0.25%, and the yields on 10 and 30-year treasury notes have declined to historic lows. The federal banking agencies encouraged financial institutions to prudently work with affected borrowers and passed legislation to provide relief from reporting loan classifications due to modifications related to the COVID-19 outbreak.</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ongoing development of variants has led to continued modifications to our business practices, including employee travel, employee work locations, and cancellation of physical participation in meetings, events and conferences. We may take further actions as may be required by government authorities or that we determine are in the best interests of our employees, customers and business partners. There is no certainty that such measures will be sufficient to mitigate the risks posed by the virus or will otherwise be satisfactory to government authorities. In addition, the success of our operations substantially depends on the management skills of our executive officers and directors, many of whom have held officer and director positions with us for many years. The unanticipated loss or unavailability of key employees due to the continued outbreak could harm our ability to operate our business or execute our business strategy.</w:t>
      </w:r>
    </w:p>
    <w:p>
      <w:pPr>
        <w:spacing w:after="0" w:line="15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Given the ongoing and dynamic nature of the circumstances, it is difficult to predict the full impact of the COVID-19 outbreak on our business. As the result, we could be subject to any of the following risks, any of which could have a material, adverse effect on our business, financial condition, liquidity, and results of operations:</w:t>
      </w:r>
    </w:p>
    <w:p>
      <w:pPr>
        <w:spacing w:after="0" w:line="166" w:lineRule="exact"/>
        <w:rPr>
          <w:sz w:val="20"/>
          <w:szCs w:val="20"/>
          <w:color w:val="auto"/>
        </w:rPr>
      </w:pPr>
    </w:p>
    <w:p>
      <w:pPr>
        <w:ind w:left="800" w:hanging="399"/>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our products and services may decline, making it difficult to grow assets and income;</w:t>
      </w:r>
    </w:p>
    <w:p>
      <w:pPr>
        <w:ind w:left="800" w:hanging="399"/>
        <w:spacing w:after="0" w:line="21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government intervention forces a new wave of economic shutdowns, levels of unemployment continue for an extended period of time, loan delinquencies, problem assets, and foreclosures may increase, resulting in increased charges and reduced income;</w:t>
      </w:r>
    </w:p>
    <w:p>
      <w:pPr>
        <w:spacing w:after="0" w:line="1" w:lineRule="exact"/>
        <w:rPr>
          <w:rFonts w:ascii="Arial" w:cs="Arial" w:eastAsia="Arial" w:hAnsi="Arial"/>
          <w:sz w:val="18"/>
          <w:szCs w:val="18"/>
          <w:color w:val="auto"/>
        </w:rPr>
      </w:pPr>
    </w:p>
    <w:p>
      <w:pPr>
        <w:ind w:left="800" w:hanging="399"/>
        <w:spacing w:after="0" w:line="21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collateral for loans, especially real estate, may decline in value, which could cause loan losses to increase;</w:t>
      </w:r>
    </w:p>
    <w:p>
      <w:pPr>
        <w:ind w:left="800" w:hanging="399"/>
        <w:spacing w:after="0" w:line="21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allowance for loan losses may have to be increased if borrowers experience financial difficulties beyond forbearance periods, which will adversely affect our net income;</w:t>
      </w:r>
    </w:p>
    <w:p>
      <w:pPr>
        <w:spacing w:after="0" w:line="1" w:lineRule="exact"/>
        <w:rPr>
          <w:rFonts w:ascii="Arial" w:cs="Arial" w:eastAsia="Arial" w:hAnsi="Arial"/>
          <w:sz w:val="18"/>
          <w:szCs w:val="18"/>
          <w:color w:val="auto"/>
        </w:rPr>
      </w:pPr>
    </w:p>
    <w:p>
      <w:pPr>
        <w:ind w:left="800" w:hanging="399"/>
        <w:spacing w:after="0" w:line="21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ind w:left="800" w:hanging="399"/>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the result of the decline in the Federal Reserve Board’s target federal funds rate, the yield on our assets may decline to a greater extent than the decline in our cost of interest-bearing liabilities, reducing our net interest margin and spread and reducing net income;</w:t>
      </w:r>
    </w:p>
    <w:p>
      <w:pPr>
        <w:ind w:left="800" w:hanging="399"/>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material decrease in net income or a net loss over several quarters could result in a decrease in the rate of our quarterly cash dividend;</w:t>
      </w:r>
    </w:p>
    <w:p>
      <w:pPr>
        <w:ind w:left="800" w:hanging="399"/>
        <w:spacing w:after="0" w:line="21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third party vendors for certain services and the unavailability of a critical service due to the COVID-19 outbreak could have an adverse effect on us; and</w:t>
      </w:r>
    </w:p>
    <w:p>
      <w:pPr>
        <w:spacing w:after="0" w:line="1" w:lineRule="exact"/>
        <w:rPr>
          <w:rFonts w:ascii="Arial" w:cs="Arial" w:eastAsia="Arial" w:hAnsi="Arial"/>
          <w:sz w:val="18"/>
          <w:szCs w:val="18"/>
          <w:color w:val="auto"/>
        </w:rPr>
      </w:pPr>
    </w:p>
    <w:p>
      <w:pPr>
        <w:ind w:left="800" w:hanging="399"/>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Deposit Insurance Corporation premiums may increase if the agency experiences additional resolution costs.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Any one or a combination of the factors identified above could negatively impact our business, financial condition and results of operations and prospects. In addition, ongoing labor shortages and supply chain disruptions associated with the pandemic may continue to negatively impact economic conditions, both nationally and regionally within our geographic banking markets. And while circumstances surrounding the pandemic have stabilized somewhat over prior fiscal, with relative widespread vaccination rates, it is still impossible to determine the overall impact that the pandemic will have on the overall economy or predict whether future variants of COVID-19 or other infectious diseases will cause further widespread disruptions.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Trading Market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its shares of stock listed and traded on the NASDAQ Capital Market. The Company’s trading symbol is “FMAO.”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office is located in Archbold, Ohio.</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Bank operates from its principal office located at 307 North Defiance Street, Archbold, Ohio. In addition, the Bank owns the property from 200 to 208 Ditto Street, Archbold, Ohio, which it uses for Bank parking and a community mini-park area. The Bank owns real estate at two locations, 207 Ditto Street and 209 Ditto Street in Archbold, Ohio upon which the bank built a commercial building to be used for storage, and a parking lot for company vehicles and employee parking. The Bank also owns real estate across from the main facilities to provide for parking.</w:t>
      </w:r>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Bank occupies an Operations Center at 620 S. Clyde’s Way in Archbold, Ohio to accommodate our growth over the years which includes drive-up services. The Bank owns a parking lot in downtown Montpelier which is provided for community use.</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Bank owns all of its office locations, with the exception of Angola, Indiana, Bowling Green, Ohio and Bluffton, Indiana. These three office locations are leased.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Bank currently maintains retail banking offices at the following locations: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Office</w:t>
            </w:r>
          </w:p>
        </w:tc>
        <w:tc>
          <w:tcPr>
            <w:tcW w:w="2260" w:type="dxa"/>
            <w:vAlign w:val="bottom"/>
            <w:gridSpan w:val="6"/>
          </w:tcPr>
          <w:p>
            <w:pPr>
              <w:spacing w:after="0"/>
              <w:rPr>
                <w:sz w:val="20"/>
                <w:szCs w:val="20"/>
                <w:color w:val="auto"/>
              </w:rPr>
            </w:pPr>
            <w:r>
              <w:rPr>
                <w:rFonts w:ascii="Arial" w:cs="Arial" w:eastAsia="Arial" w:hAnsi="Arial"/>
                <w:sz w:val="18"/>
                <w:szCs w:val="18"/>
                <w:color w:val="auto"/>
              </w:rPr>
              <w:t>Location</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gridSpan w:val="2"/>
            <w:vMerge w:val="restart"/>
          </w:tcPr>
          <w:p>
            <w:pPr>
              <w:spacing w:after="0" w:line="185" w:lineRule="exact"/>
              <w:rPr>
                <w:sz w:val="20"/>
                <w:szCs w:val="20"/>
                <w:color w:val="auto"/>
              </w:rPr>
            </w:pPr>
            <w:r>
              <w:rPr>
                <w:rFonts w:ascii="Arial" w:cs="Arial" w:eastAsia="Arial" w:hAnsi="Arial"/>
                <w:sz w:val="18"/>
                <w:szCs w:val="18"/>
                <w:color w:val="auto"/>
              </w:rPr>
              <w:t>Defiance Street</w:t>
            </w:r>
          </w:p>
        </w:tc>
        <w:tc>
          <w:tcPr>
            <w:tcW w:w="0" w:type="dxa"/>
            <w:vAlign w:val="bottom"/>
          </w:tcPr>
          <w:p>
            <w:pPr>
              <w:spacing w:after="0" w:line="20" w:lineRule="exact"/>
              <w:rPr>
                <w:sz w:val="1"/>
                <w:szCs w:val="1"/>
                <w:color w:val="auto"/>
              </w:rPr>
            </w:pPr>
          </w:p>
        </w:tc>
      </w:tr>
      <w:tr>
        <w:trPr>
          <w:trHeight w:val="165"/>
        </w:trPr>
        <w:tc>
          <w:tcPr>
            <w:tcW w:w="1360" w:type="dxa"/>
            <w:vAlign w:val="bottom"/>
          </w:tcPr>
          <w:p>
            <w:pPr>
              <w:spacing w:after="0"/>
              <w:rPr>
                <w:sz w:val="14"/>
                <w:szCs w:val="14"/>
                <w:color w:val="auto"/>
              </w:rPr>
            </w:pPr>
          </w:p>
        </w:tc>
        <w:tc>
          <w:tcPr>
            <w:tcW w:w="3980" w:type="dxa"/>
            <w:vAlign w:val="bottom"/>
            <w:gridSpan w:val="4"/>
          </w:tcPr>
          <w:p>
            <w:pPr>
              <w:spacing w:after="0" w:line="165" w:lineRule="exact"/>
              <w:rPr>
                <w:sz w:val="20"/>
                <w:szCs w:val="20"/>
                <w:color w:val="auto"/>
              </w:rPr>
            </w:pPr>
            <w:r>
              <w:rPr>
                <w:rFonts w:ascii="Arial" w:cs="Arial" w:eastAsia="Arial" w:hAnsi="Arial"/>
                <w:sz w:val="18"/>
                <w:szCs w:val="18"/>
                <w:color w:val="auto"/>
              </w:rPr>
              <w:t>Archbold, Ohio</w:t>
            </w:r>
          </w:p>
        </w:tc>
        <w:tc>
          <w:tcPr>
            <w:tcW w:w="280" w:type="dxa"/>
            <w:vAlign w:val="bottom"/>
          </w:tcPr>
          <w:p>
            <w:pPr>
              <w:spacing w:after="0" w:line="165" w:lineRule="exact"/>
              <w:rPr>
                <w:sz w:val="20"/>
                <w:szCs w:val="20"/>
                <w:color w:val="auto"/>
              </w:rPr>
            </w:pPr>
            <w:r>
              <w:rPr>
                <w:rFonts w:ascii="Arial" w:cs="Arial" w:eastAsia="Arial" w:hAnsi="Arial"/>
                <w:sz w:val="18"/>
                <w:szCs w:val="18"/>
                <w:color w:val="auto"/>
                <w:w w:val="86"/>
              </w:rPr>
              <w:t>307</w:t>
            </w:r>
          </w:p>
        </w:tc>
        <w:tc>
          <w:tcPr>
            <w:tcW w:w="340" w:type="dxa"/>
            <w:vAlign w:val="bottom"/>
            <w:gridSpan w:val="3"/>
          </w:tcPr>
          <w:p>
            <w:pPr>
              <w:ind w:left="20"/>
              <w:spacing w:after="0" w:line="165" w:lineRule="exact"/>
              <w:rPr>
                <w:sz w:val="20"/>
                <w:szCs w:val="20"/>
                <w:color w:val="auto"/>
              </w:rPr>
            </w:pPr>
            <w:r>
              <w:rPr>
                <w:rFonts w:ascii="Arial" w:cs="Arial" w:eastAsia="Arial" w:hAnsi="Arial"/>
                <w:sz w:val="18"/>
                <w:szCs w:val="18"/>
                <w:color w:val="auto"/>
              </w:rPr>
              <w:t>N</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Wauseon,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1130 N Shoop Avenue</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Stryker, Ohio</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300</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S Defiance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West Unity, Ohio</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200</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W Jackson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Bryan, Ohio</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1000</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S Main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Delta, Ohio</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101</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Main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Montpelier,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1150 E Main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Napoleon, Ohio</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2255</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Scott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Swanton,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7 Turtle Creek Circle</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Defiance,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1175 Hotel Drive</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Perrysburg, Ohio</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7001</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Lighthouse Way</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Butler, Indiana</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200</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S Broadway</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Auburn, Indiana</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403</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Erie Pass</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Angola, Indiana</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2310</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N Wayne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Hicksville, Ohio</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100</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N Main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Waterville, Ohio</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8720</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w w:val="90"/>
              </w:rPr>
              <w:t>Waterville-Swanton Road</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Custar,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22973 Defiance Pike</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Sylvania, Ohio</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5830</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Monroe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Fort Wayne, Indiana</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12106 Lima Road</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Bowling Green, Ohio</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1072 N. Main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Findlay, Ohio</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1660</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Tiffin Avenue</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Geneva, Indiana</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215</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East Line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Monroe, Indiana</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150 W Washington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Berne, Indiana</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718 US Highway 27 N</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Portland, Indiana</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1451</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N Meridian Street</w:t>
            </w:r>
          </w:p>
        </w:tc>
        <w:tc>
          <w:tcPr>
            <w:tcW w:w="0" w:type="dxa"/>
            <w:vAlign w:val="bottom"/>
          </w:tcPr>
          <w:p>
            <w:pPr>
              <w:spacing w:after="0"/>
              <w:rPr>
                <w:sz w:val="1"/>
                <w:szCs w:val="1"/>
                <w:color w:val="auto"/>
              </w:rPr>
            </w:pPr>
          </w:p>
        </w:tc>
      </w:tr>
      <w:tr>
        <w:trPr>
          <w:trHeight w:val="24"/>
        </w:trPr>
        <w:tc>
          <w:tcPr>
            <w:tcW w:w="1360" w:type="dxa"/>
            <w:vAlign w:val="bottom"/>
          </w:tcPr>
          <w:p>
            <w:pPr>
              <w:spacing w:after="0"/>
              <w:rPr>
                <w:sz w:val="2"/>
                <w:szCs w:val="2"/>
                <w:color w:val="auto"/>
              </w:rPr>
            </w:pPr>
          </w:p>
        </w:tc>
        <w:tc>
          <w:tcPr>
            <w:tcW w:w="3980" w:type="dxa"/>
            <w:vAlign w:val="bottom"/>
            <w:gridSpan w:val="4"/>
          </w:tcPr>
          <w:p>
            <w:pPr>
              <w:spacing w:after="0"/>
              <w:rPr>
                <w:sz w:val="20"/>
                <w:szCs w:val="20"/>
                <w:color w:val="auto"/>
              </w:rPr>
            </w:pPr>
            <w:r>
              <w:rPr>
                <w:rFonts w:ascii="Arial" w:cs="Arial" w:eastAsia="Arial" w:hAnsi="Arial"/>
                <w:sz w:val="2"/>
                <w:szCs w:val="2"/>
                <w:color w:val="auto"/>
              </w:rPr>
              <w:t>Decatur, Indiana</w:t>
            </w:r>
          </w:p>
        </w:tc>
        <w:tc>
          <w:tcPr>
            <w:tcW w:w="380" w:type="dxa"/>
            <w:vAlign w:val="bottom"/>
            <w:gridSpan w:val="2"/>
          </w:tcPr>
          <w:p>
            <w:pPr>
              <w:spacing w:after="0"/>
              <w:rPr>
                <w:sz w:val="20"/>
                <w:szCs w:val="20"/>
                <w:color w:val="auto"/>
              </w:rPr>
            </w:pPr>
            <w:r>
              <w:rPr>
                <w:rFonts w:ascii="Arial" w:cs="Arial" w:eastAsia="Arial" w:hAnsi="Arial"/>
                <w:sz w:val="2"/>
                <w:szCs w:val="2"/>
                <w:color w:val="auto"/>
              </w:rPr>
              <w:t>1061</w:t>
            </w:r>
          </w:p>
        </w:tc>
        <w:tc>
          <w:tcPr>
            <w:tcW w:w="1880" w:type="dxa"/>
            <w:vAlign w:val="bottom"/>
            <w:gridSpan w:val="4"/>
          </w:tcPr>
          <w:p>
            <w:pPr>
              <w:ind w:left="20"/>
              <w:spacing w:after="0"/>
              <w:rPr>
                <w:sz w:val="20"/>
                <w:szCs w:val="20"/>
                <w:color w:val="auto"/>
              </w:rPr>
            </w:pPr>
            <w:r>
              <w:rPr>
                <w:rFonts w:ascii="Arial" w:cs="Arial" w:eastAsia="Arial" w:hAnsi="Arial"/>
                <w:sz w:val="2"/>
                <w:szCs w:val="2"/>
                <w:color w:val="auto"/>
              </w:rPr>
              <w:t>S 13  Street</w:t>
            </w:r>
          </w:p>
        </w:tc>
        <w:tc>
          <w:tcPr>
            <w:tcW w:w="0" w:type="dxa"/>
            <w:vAlign w:val="bottom"/>
          </w:tcPr>
          <w:p>
            <w:pPr>
              <w:spacing w:after="0" w:line="20" w:lineRule="exact"/>
              <w:rPr>
                <w:sz w:val="1"/>
                <w:szCs w:val="1"/>
                <w:color w:val="auto"/>
              </w:rPr>
            </w:pPr>
          </w:p>
        </w:tc>
      </w:tr>
      <w:tr>
        <w:trPr>
          <w:trHeight w:val="160"/>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ind w:left="80"/>
              <w:spacing w:after="0" w:line="160" w:lineRule="exact"/>
              <w:rPr>
                <w:sz w:val="20"/>
                <w:szCs w:val="20"/>
                <w:color w:val="auto"/>
              </w:rPr>
            </w:pPr>
            <w:r>
              <w:rPr>
                <w:rFonts w:ascii="Arial" w:cs="Arial" w:eastAsia="Arial" w:hAnsi="Arial"/>
                <w:sz w:val="15"/>
                <w:szCs w:val="15"/>
                <w:color w:val="auto"/>
              </w:rPr>
              <w:t>th</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Fort Wayne, Indiana</w:t>
            </w:r>
          </w:p>
        </w:tc>
        <w:tc>
          <w:tcPr>
            <w:tcW w:w="380" w:type="dxa"/>
            <w:vAlign w:val="bottom"/>
            <w:gridSpan w:val="2"/>
          </w:tcPr>
          <w:p>
            <w:pPr>
              <w:spacing w:after="0" w:line="184" w:lineRule="exact"/>
              <w:rPr>
                <w:sz w:val="20"/>
                <w:szCs w:val="20"/>
                <w:color w:val="auto"/>
              </w:rPr>
            </w:pPr>
            <w:r>
              <w:rPr>
                <w:rFonts w:ascii="Arial" w:cs="Arial" w:eastAsia="Arial" w:hAnsi="Arial"/>
                <w:sz w:val="18"/>
                <w:szCs w:val="18"/>
                <w:color w:val="auto"/>
                <w:w w:val="89"/>
              </w:rPr>
              <w:t>7370</w:t>
            </w:r>
          </w:p>
        </w:tc>
        <w:tc>
          <w:tcPr>
            <w:tcW w:w="1880" w:type="dxa"/>
            <w:vAlign w:val="bottom"/>
            <w:gridSpan w:val="4"/>
          </w:tcPr>
          <w:p>
            <w:pPr>
              <w:ind w:left="20"/>
              <w:spacing w:after="0" w:line="184" w:lineRule="exact"/>
              <w:rPr>
                <w:sz w:val="20"/>
                <w:szCs w:val="20"/>
                <w:color w:val="auto"/>
              </w:rPr>
            </w:pPr>
            <w:r>
              <w:rPr>
                <w:rFonts w:ascii="Arial" w:cs="Arial" w:eastAsia="Arial" w:hAnsi="Arial"/>
                <w:sz w:val="18"/>
                <w:szCs w:val="18"/>
                <w:color w:val="auto"/>
              </w:rPr>
              <w:t>Illinois Road</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Ossian, Indiana</w:t>
            </w:r>
          </w:p>
        </w:tc>
        <w:tc>
          <w:tcPr>
            <w:tcW w:w="280" w:type="dxa"/>
            <w:vAlign w:val="bottom"/>
          </w:tcPr>
          <w:p>
            <w:pPr>
              <w:spacing w:after="0" w:line="184" w:lineRule="exact"/>
              <w:rPr>
                <w:sz w:val="20"/>
                <w:szCs w:val="20"/>
                <w:color w:val="auto"/>
              </w:rPr>
            </w:pPr>
            <w:r>
              <w:rPr>
                <w:rFonts w:ascii="Arial" w:cs="Arial" w:eastAsia="Arial" w:hAnsi="Arial"/>
                <w:sz w:val="18"/>
                <w:szCs w:val="18"/>
                <w:color w:val="auto"/>
                <w:w w:val="86"/>
              </w:rPr>
              <w:t>102</w:t>
            </w:r>
          </w:p>
        </w:tc>
        <w:tc>
          <w:tcPr>
            <w:tcW w:w="1980" w:type="dxa"/>
            <w:vAlign w:val="bottom"/>
            <w:gridSpan w:val="5"/>
          </w:tcPr>
          <w:p>
            <w:pPr>
              <w:ind w:left="20"/>
              <w:spacing w:after="0" w:line="184" w:lineRule="exact"/>
              <w:rPr>
                <w:sz w:val="20"/>
                <w:szCs w:val="20"/>
                <w:color w:val="auto"/>
              </w:rPr>
            </w:pPr>
            <w:r>
              <w:rPr>
                <w:rFonts w:ascii="Arial" w:cs="Arial" w:eastAsia="Arial" w:hAnsi="Arial"/>
                <w:sz w:val="18"/>
                <w:szCs w:val="18"/>
                <w:color w:val="auto"/>
              </w:rPr>
              <w:t>N Jefferson</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980" w:type="dxa"/>
            <w:vAlign w:val="bottom"/>
            <w:gridSpan w:val="4"/>
          </w:tcPr>
          <w:p>
            <w:pPr>
              <w:spacing w:after="0" w:line="184" w:lineRule="exact"/>
              <w:rPr>
                <w:sz w:val="20"/>
                <w:szCs w:val="20"/>
                <w:color w:val="auto"/>
              </w:rPr>
            </w:pPr>
            <w:r>
              <w:rPr>
                <w:rFonts w:ascii="Arial" w:cs="Arial" w:eastAsia="Arial" w:hAnsi="Arial"/>
                <w:sz w:val="18"/>
                <w:szCs w:val="18"/>
                <w:color w:val="auto"/>
              </w:rPr>
              <w:t>Bluffton, Indiana</w:t>
            </w:r>
          </w:p>
        </w:tc>
        <w:tc>
          <w:tcPr>
            <w:tcW w:w="2260" w:type="dxa"/>
            <w:vAlign w:val="bottom"/>
            <w:gridSpan w:val="6"/>
          </w:tcPr>
          <w:p>
            <w:pPr>
              <w:spacing w:after="0" w:line="184" w:lineRule="exact"/>
              <w:rPr>
                <w:sz w:val="20"/>
                <w:szCs w:val="20"/>
                <w:color w:val="auto"/>
              </w:rPr>
            </w:pPr>
            <w:r>
              <w:rPr>
                <w:rFonts w:ascii="Arial" w:cs="Arial" w:eastAsia="Arial" w:hAnsi="Arial"/>
                <w:sz w:val="18"/>
                <w:szCs w:val="18"/>
                <w:color w:val="auto"/>
              </w:rPr>
              <w:t>111 E Oak Forest Drive</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Urbana, Ohio</w:t>
            </w:r>
          </w:p>
        </w:tc>
        <w:tc>
          <w:tcPr>
            <w:tcW w:w="2260" w:type="dxa"/>
            <w:vAlign w:val="bottom"/>
            <w:gridSpan w:val="6"/>
          </w:tcPr>
          <w:p>
            <w:pPr>
              <w:spacing w:after="0"/>
              <w:rPr>
                <w:sz w:val="20"/>
                <w:szCs w:val="20"/>
                <w:color w:val="auto"/>
              </w:rPr>
            </w:pPr>
            <w:r>
              <w:rPr>
                <w:rFonts w:ascii="Arial" w:cs="Arial" w:eastAsia="Arial" w:hAnsi="Arial"/>
                <w:sz w:val="18"/>
                <w:szCs w:val="18"/>
                <w:color w:val="auto"/>
              </w:rPr>
              <w:t>120 N Main Street</w:t>
            </w:r>
          </w:p>
        </w:tc>
        <w:tc>
          <w:tcPr>
            <w:tcW w:w="0" w:type="dxa"/>
            <w:vAlign w:val="bottom"/>
          </w:tcPr>
          <w:p>
            <w:pPr>
              <w:spacing w:after="0"/>
              <w:rPr>
                <w:sz w:val="1"/>
                <w:szCs w:val="1"/>
                <w:color w:val="auto"/>
              </w:rPr>
            </w:pPr>
          </w:p>
        </w:tc>
      </w:tr>
      <w:tr>
        <w:trPr>
          <w:trHeight w:val="395"/>
        </w:trPr>
        <w:tc>
          <w:tcPr>
            <w:tcW w:w="5340" w:type="dxa"/>
            <w:vAlign w:val="bottom"/>
            <w:gridSpan w:val="5"/>
          </w:tcPr>
          <w:p>
            <w:pPr>
              <w:spacing w:after="0"/>
              <w:rPr>
                <w:sz w:val="20"/>
                <w:szCs w:val="20"/>
                <w:color w:val="auto"/>
              </w:rPr>
            </w:pPr>
            <w:r>
              <w:rPr>
                <w:rFonts w:ascii="Arial" w:cs="Arial" w:eastAsia="Arial" w:hAnsi="Arial"/>
                <w:sz w:val="18"/>
                <w:szCs w:val="18"/>
                <w:color w:val="auto"/>
              </w:rPr>
              <w:t>Two of the above locations do not have onsite ATM services.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340" w:type="dxa"/>
            <w:vAlign w:val="bottom"/>
            <w:gridSpan w:val="5"/>
          </w:tcPr>
          <w:p>
            <w:pPr>
              <w:spacing w:after="0"/>
              <w:rPr>
                <w:sz w:val="20"/>
                <w:szCs w:val="20"/>
                <w:color w:val="auto"/>
              </w:rPr>
            </w:pPr>
            <w:r>
              <w:rPr>
                <w:rFonts w:ascii="Arial" w:cs="Arial" w:eastAsia="Arial" w:hAnsi="Arial"/>
                <w:sz w:val="18"/>
                <w:szCs w:val="18"/>
                <w:color w:val="auto"/>
              </w:rPr>
              <w:t>The Bank’s LPOs are at the following locations: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w w:val="88"/>
              </w:rPr>
              <w:t>LPO</w:t>
            </w: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Location</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80" w:type="dxa"/>
            <w:vAlign w:val="bottom"/>
            <w:gridSpan w:val="3"/>
          </w:tcPr>
          <w:p>
            <w:pPr>
              <w:spacing w:after="0" w:line="165" w:lineRule="exact"/>
              <w:rPr>
                <w:sz w:val="20"/>
                <w:szCs w:val="20"/>
                <w:color w:val="auto"/>
              </w:rPr>
            </w:pPr>
            <w:r>
              <w:rPr>
                <w:rFonts w:ascii="Arial" w:cs="Arial" w:eastAsia="Arial" w:hAnsi="Arial"/>
                <w:sz w:val="18"/>
                <w:szCs w:val="18"/>
                <w:color w:val="auto"/>
              </w:rPr>
              <w:t>Muncie, Indiana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740" w:type="dxa"/>
            <w:vAlign w:val="bottom"/>
            <w:gridSpan w:val="3"/>
          </w:tcPr>
          <w:p>
            <w:pPr>
              <w:spacing w:after="0" w:line="165" w:lineRule="exact"/>
              <w:rPr>
                <w:sz w:val="20"/>
                <w:szCs w:val="20"/>
                <w:color w:val="auto"/>
              </w:rPr>
            </w:pPr>
            <w:r>
              <w:rPr>
                <w:rFonts w:ascii="Arial" w:cs="Arial" w:eastAsia="Arial" w:hAnsi="Arial"/>
                <w:sz w:val="18"/>
                <w:szCs w:val="18"/>
                <w:color w:val="auto"/>
              </w:rPr>
              <w:t>420 S High Street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80" w:type="dxa"/>
            <w:vAlign w:val="bottom"/>
            <w:gridSpan w:val="3"/>
          </w:tcPr>
          <w:p>
            <w:pPr>
              <w:spacing w:after="0" w:line="184" w:lineRule="exact"/>
              <w:rPr>
                <w:sz w:val="20"/>
                <w:szCs w:val="20"/>
                <w:color w:val="auto"/>
              </w:rPr>
            </w:pPr>
            <w:r>
              <w:rPr>
                <w:rFonts w:ascii="Arial" w:cs="Arial" w:eastAsia="Arial" w:hAnsi="Arial"/>
                <w:sz w:val="18"/>
                <w:szCs w:val="18"/>
                <w:color w:val="auto"/>
              </w:rPr>
              <w:t>Oxford, Ohio</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spacing w:after="0" w:line="184" w:lineRule="exact"/>
              <w:rPr>
                <w:sz w:val="20"/>
                <w:szCs w:val="20"/>
                <w:color w:val="auto"/>
              </w:rPr>
            </w:pPr>
            <w:r>
              <w:rPr>
                <w:rFonts w:ascii="Arial" w:cs="Arial" w:eastAsia="Arial" w:hAnsi="Arial"/>
                <w:sz w:val="18"/>
                <w:szCs w:val="18"/>
                <w:color w:val="auto"/>
              </w:rPr>
              <w:t>29 N Beech Street</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West Bloomfield, Michigan</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85"/>
              </w:rPr>
              <w:t>7031 Orchard Lake Road</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Captive operates from leased office space at 101 Convention Center Dr., Suite 850, Las Vegas, NV 89109.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are no material pending legal proceedings, other than ordinary routine proceedings incidental to the business of the Company or its subsidiaries, to which we are a party or of which any of our properties are the subject.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AND RELATED STOCKHOLDER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on the NASDAQ Stock Market LLC under the trading symbol “FMAO.”</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August 18, 2017, the Company’s Board of Directors authorized a two-for-one stock split payable on September 20, 2017, for shareholders of record on September 5,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Computershare as its transfer agent.</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2021, there were 1,978 record holders of our common stock of which 46.74% of the outstanding shares are being held in brokerage accounts or “street name” and only considered as one record holder.</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Below is a line-graph presentation comparing the cumulative total shareholder returns for the Corporation, an index for NASDAQ Stock Market (U.S. Companies) comprised of all domestic common shares traded on the NASDAQ National Market System and the NASDAQ Bank Index for the five-year period ended December 31, 2021. The chart compares the value of $100 invested in the Corporation and each of the indices and assumes investment on December 31, 2016 with all dividends reinvested.</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of Directors recognizes that the market price of stock is influenced by many factors, only one of which is performance. The stock price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739775</wp:posOffset>
            </wp:positionH>
            <wp:positionV relativeFrom="paragraph">
              <wp:posOffset>122555</wp:posOffset>
            </wp:positionV>
            <wp:extent cx="5663565" cy="18986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3565" cy="189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FF0FC"/>
            </w:tcBorders>
          </w:tcPr>
          <w:p>
            <w:pPr>
              <w:spacing w:after="0"/>
              <w:rPr>
                <w:sz w:val="19"/>
                <w:szCs w:val="19"/>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FMAO</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226.00</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181.83</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144.74</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204.97</w:t>
            </w:r>
          </w:p>
        </w:tc>
        <w:tc>
          <w:tcPr>
            <w:tcW w:w="120" w:type="dxa"/>
            <w:vAlign w:val="bottom"/>
            <w:shd w:val="clear" w:color="auto" w:fill="CFF0FC"/>
          </w:tcPr>
          <w:p>
            <w:pPr>
              <w:spacing w:after="0"/>
              <w:rPr>
                <w:sz w:val="18"/>
                <w:szCs w:val="18"/>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NASDAQ - COMPOSITE</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129.58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126.12</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171.19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245.76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298.77</w:t>
            </w:r>
          </w:p>
        </w:tc>
        <w:tc>
          <w:tcPr>
            <w:tcW w:w="120" w:type="dxa"/>
            <w:vAlign w:val="bottom"/>
          </w:tcPr>
          <w:p>
            <w:pPr>
              <w:spacing w:after="0"/>
              <w:rPr>
                <w:sz w:val="19"/>
                <w:szCs w:val="19"/>
                <w:color w:val="auto"/>
              </w:rPr>
            </w:pPr>
          </w:p>
        </w:tc>
      </w:tr>
      <w:tr>
        <w:trPr>
          <w:trHeight w:val="224"/>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NASDAQ - BANK INDEX</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105.34</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88.97</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140.36</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Dividends are declared and paid quarterly. Per share dividends declared for the years ended 2021 and 2020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tcBorders>
              <w:bottom w:val="single" w:sz="8" w:color="CFF0FC"/>
            </w:tcBorders>
          </w:tcPr>
          <w:p>
            <w:pPr>
              <w:spacing w:after="0"/>
              <w:rPr>
                <w:sz w:val="19"/>
                <w:szCs w:val="19"/>
                <w:color w:val="auto"/>
              </w:rPr>
            </w:pPr>
          </w:p>
        </w:tc>
        <w:tc>
          <w:tcPr>
            <w:tcW w:w="24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1st Quarter</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1"/>
              </w:rPr>
              <w:t>2nd Quarter</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6"/>
              </w:rPr>
              <w:t>3rd Quarter</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5"/>
              </w:rPr>
              <w:t>4th Quarter</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tcPr>
          <w:p>
            <w:pPr>
              <w:spacing w:after="0"/>
              <w:rPr>
                <w:sz w:val="19"/>
                <w:szCs w:val="19"/>
                <w:color w:val="auto"/>
              </w:rPr>
            </w:pPr>
          </w:p>
        </w:tc>
      </w:tr>
      <w:tr>
        <w:trPr>
          <w:trHeight w:val="217"/>
        </w:trPr>
        <w:tc>
          <w:tcPr>
            <w:tcW w:w="2780" w:type="dxa"/>
            <w:vAlign w:val="bottom"/>
            <w:shd w:val="clear" w:color="auto" w:fill="CFF0FC"/>
          </w:tcPr>
          <w:p>
            <w:pPr>
              <w:jc w:val="right"/>
              <w:ind w:right="2332"/>
              <w:spacing w:after="0"/>
              <w:rPr>
                <w:sz w:val="20"/>
                <w:szCs w:val="20"/>
                <w:color w:val="auto"/>
              </w:rPr>
            </w:pPr>
            <w:r>
              <w:rPr>
                <w:rFonts w:ascii="Arial" w:cs="Arial" w:eastAsia="Arial" w:hAnsi="Arial"/>
                <w:sz w:val="18"/>
                <w:szCs w:val="18"/>
                <w:color w:val="auto"/>
                <w:w w:val="84"/>
              </w:rPr>
              <w:t>2021</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FF0FC"/>
          </w:tcPr>
          <w:p>
            <w:pPr>
              <w:spacing w:after="0"/>
              <w:rPr>
                <w:sz w:val="18"/>
                <w:szCs w:val="18"/>
                <w:color w:val="auto"/>
              </w:rPr>
            </w:pPr>
          </w:p>
        </w:tc>
      </w:tr>
      <w:tr>
        <w:trPr>
          <w:trHeight w:val="223"/>
        </w:trPr>
        <w:tc>
          <w:tcPr>
            <w:tcW w:w="2780" w:type="dxa"/>
            <w:vAlign w:val="bottom"/>
          </w:tcPr>
          <w:p>
            <w:pPr>
              <w:jc w:val="right"/>
              <w:ind w:right="2332"/>
              <w:spacing w:after="0"/>
              <w:rPr>
                <w:sz w:val="20"/>
                <w:szCs w:val="20"/>
                <w:color w:val="auto"/>
              </w:rPr>
            </w:pPr>
            <w:r>
              <w:rPr>
                <w:rFonts w:ascii="Arial" w:cs="Arial" w:eastAsia="Arial" w:hAnsi="Arial"/>
                <w:sz w:val="18"/>
                <w:szCs w:val="18"/>
                <w:color w:val="auto"/>
                <w:w w:val="84"/>
              </w:rPr>
              <w:t>2020</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9"/>
                <w:szCs w:val="19"/>
                <w:color w:val="auto"/>
              </w:rPr>
            </w:pPr>
          </w:p>
        </w:tc>
        <w:tc>
          <w:tcPr>
            <w:tcW w:w="380" w:type="dxa"/>
            <w:vAlign w:val="bottom"/>
          </w:tcPr>
          <w:p>
            <w:pPr>
              <w:jc w:val="right"/>
              <w:ind w:right="2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r>
    </w:tbl>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Dividends declared during 2021 were $0.71 per share totaling $8.2 million, 7.6% higher than 2020 declared dividends of $0.66 per share. During 2021, the Company awarded 48,750 shares to 96 employees and 2,575 shares were forfeited under its long term incentive plan. At year-end 2021, the Company held 997,766 shares in Treasury stock and 111,131 in unearned stock awards.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Dividends declared during 2020 were $0.66 per share totaling $7.3 million, 8.2% higher than 2019 declared dividends of $0.61 per share. During 2020, the Company awarded 37,832 shares to 92 employees and 2,175 shares were forfeited under its long term incentive plan. At year-end 2020, the Company held 1,032,456 shares in Treasury stock and 88,226 in unearned stock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to continue to maintain the payment of its quarterly dividend consistent with its past practices.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The Company continues to have a strong capital base.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5"/>
        </w:trPr>
        <w:tc>
          <w:tcPr>
            <w:tcW w:w="1700" w:type="dxa"/>
            <w:vAlign w:val="bottom"/>
          </w:tcPr>
          <w:p>
            <w:pPr>
              <w:spacing w:after="0"/>
              <w:rPr>
                <w:sz w:val="24"/>
                <w:szCs w:val="24"/>
                <w:color w:val="auto"/>
              </w:rPr>
            </w:pPr>
          </w:p>
        </w:tc>
        <w:tc>
          <w:tcPr>
            <w:tcW w:w="5240" w:type="dxa"/>
            <w:vAlign w:val="bottom"/>
            <w:tcBorders>
              <w:bottom w:val="single" w:sz="8" w:color="CFF0FC"/>
            </w:tcBorders>
          </w:tcPr>
          <w:p>
            <w:pPr>
              <w:spacing w:after="0"/>
              <w:rPr>
                <w:sz w:val="24"/>
                <w:szCs w:val="24"/>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FF0FC"/>
            </w:tcBorders>
          </w:tcPr>
          <w:p>
            <w:pPr>
              <w:spacing w:after="0"/>
              <w:rPr>
                <w:sz w:val="24"/>
                <w:szCs w:val="24"/>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FF0FC"/>
            </w:tcBorders>
          </w:tcPr>
          <w:p>
            <w:pPr>
              <w:spacing w:after="0"/>
              <w:rPr>
                <w:sz w:val="24"/>
                <w:szCs w:val="24"/>
                <w:color w:val="auto"/>
              </w:rPr>
            </w:pPr>
          </w:p>
        </w:tc>
      </w:tr>
      <w:tr>
        <w:trPr>
          <w:trHeight w:val="217"/>
        </w:trPr>
        <w:tc>
          <w:tcPr>
            <w:tcW w:w="170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8.47%</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10.46%</w:t>
            </w:r>
          </w:p>
        </w:tc>
      </w:tr>
      <w:tr>
        <w:trPr>
          <w:trHeight w:val="224"/>
        </w:trPr>
        <w:tc>
          <w:tcPr>
            <w:tcW w:w="6940" w:type="dxa"/>
            <w:vAlign w:val="bottom"/>
            <w:gridSpan w:val="2"/>
          </w:tcPr>
          <w:p>
            <w:pPr>
              <w:ind w:left="1700"/>
              <w:spacing w:after="0"/>
              <w:rPr>
                <w:sz w:val="20"/>
                <w:szCs w:val="20"/>
                <w:color w:val="auto"/>
              </w:rPr>
            </w:pPr>
            <w:r>
              <w:rPr>
                <w:rFonts w:ascii="Arial" w:cs="Arial" w:eastAsia="Arial" w:hAnsi="Arial"/>
                <w:sz w:val="18"/>
                <w:szCs w:val="18"/>
                <w:color w:val="auto"/>
              </w:rPr>
              <w:t>Risk Based Capital Tier I</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11.77%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13.60%</w:t>
            </w:r>
          </w:p>
        </w:tc>
      </w:tr>
      <w:tr>
        <w:trPr>
          <w:trHeight w:val="224"/>
        </w:trPr>
        <w:tc>
          <w:tcPr>
            <w:tcW w:w="170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14.60%</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14.61%</w:t>
            </w:r>
          </w:p>
        </w:tc>
      </w:tr>
      <w:tr>
        <w:trPr>
          <w:trHeight w:val="223"/>
        </w:trPr>
        <w:tc>
          <w:tcPr>
            <w:tcW w:w="6940" w:type="dxa"/>
            <w:vAlign w:val="bottom"/>
            <w:gridSpan w:val="2"/>
          </w:tcPr>
          <w:p>
            <w:pPr>
              <w:ind w:left="1700"/>
              <w:spacing w:after="0"/>
              <w:rPr>
                <w:sz w:val="20"/>
                <w:szCs w:val="20"/>
                <w:color w:val="auto"/>
              </w:rPr>
            </w:pPr>
            <w:r>
              <w:rPr>
                <w:rFonts w:ascii="Arial" w:cs="Arial" w:eastAsia="Arial" w:hAnsi="Arial"/>
                <w:sz w:val="18"/>
                <w:szCs w:val="18"/>
                <w:color w:val="auto"/>
              </w:rPr>
              <w:t>Stockholders' Equity/Total Assets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11.26%</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13.05%</w:t>
            </w:r>
          </w:p>
        </w:tc>
      </w:tr>
    </w:tbl>
    <w:p>
      <w:pPr>
        <w:spacing w:after="0" w:line="199"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On January 25, 2022, the Company announced the authorization by its Board of Directors for the Company’s repurchase, either on the open market, or in privately negotiated transactions, of up to 600,000 shares of its outstanding common stock commencing January 25, 2022 and ending December 31, 2022.</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Total Number of</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Total Number of Shares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Remaining Share</w:t>
            </w:r>
          </w:p>
        </w:tc>
      </w:tr>
      <w:tr>
        <w:trPr>
          <w:trHeight w:val="211"/>
        </w:trPr>
        <w:tc>
          <w:tcPr>
            <w:tcW w:w="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80"/>
              </w:rPr>
              <w:t>Shares</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Average Price</w:t>
            </w:r>
          </w:p>
        </w:tc>
        <w:tc>
          <w:tcPr>
            <w:tcW w:w="24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Purchased as Part of Publicly</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Repurchases</w:t>
            </w:r>
          </w:p>
        </w:tc>
      </w:tr>
      <w:tr>
        <w:trPr>
          <w:trHeight w:val="184"/>
        </w:trPr>
        <w:tc>
          <w:tcPr>
            <w:tcW w:w="2800" w:type="dxa"/>
            <w:vAlign w:val="bottom"/>
            <w:gridSpan w:val="2"/>
          </w:tcPr>
          <w:p>
            <w:pPr>
              <w:spacing w:after="0" w:line="183" w:lineRule="exact"/>
              <w:rPr>
                <w:sz w:val="20"/>
                <w:szCs w:val="20"/>
                <w:color w:val="auto"/>
              </w:rPr>
            </w:pPr>
            <w:r>
              <w:rPr>
                <w:rFonts w:ascii="Arial" w:cs="Arial" w:eastAsia="Arial" w:hAnsi="Arial"/>
                <w:sz w:val="18"/>
                <w:szCs w:val="18"/>
                <w:color w:val="auto"/>
              </w:rPr>
              <w:t>Period</w:t>
            </w:r>
          </w:p>
        </w:tc>
        <w:tc>
          <w:tcPr>
            <w:tcW w:w="1780" w:type="dxa"/>
            <w:vAlign w:val="bottom"/>
            <w:gridSpan w:val="2"/>
          </w:tcPr>
          <w:p>
            <w:pPr>
              <w:jc w:val="center"/>
              <w:ind w:right="560"/>
              <w:spacing w:after="0" w:line="183" w:lineRule="exact"/>
              <w:rPr>
                <w:sz w:val="20"/>
                <w:szCs w:val="20"/>
                <w:color w:val="auto"/>
              </w:rPr>
            </w:pPr>
            <w:r>
              <w:rPr>
                <w:rFonts w:ascii="Arial" w:cs="Arial" w:eastAsia="Arial" w:hAnsi="Arial"/>
                <w:sz w:val="18"/>
                <w:szCs w:val="18"/>
                <w:color w:val="auto"/>
                <w:w w:val="85"/>
              </w:rPr>
              <w:t>Purchased</w:t>
            </w:r>
          </w:p>
        </w:tc>
        <w:tc>
          <w:tcPr>
            <w:tcW w:w="172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Paid per Share</w:t>
            </w:r>
          </w:p>
        </w:tc>
        <w:tc>
          <w:tcPr>
            <w:tcW w:w="2440" w:type="dxa"/>
            <w:vAlign w:val="bottom"/>
            <w:gridSpan w:val="2"/>
          </w:tcPr>
          <w:p>
            <w:pPr>
              <w:jc w:val="center"/>
              <w:ind w:right="240"/>
              <w:spacing w:after="0" w:line="183" w:lineRule="exact"/>
              <w:rPr>
                <w:sz w:val="20"/>
                <w:szCs w:val="20"/>
                <w:color w:val="auto"/>
              </w:rPr>
            </w:pPr>
            <w:r>
              <w:rPr>
                <w:rFonts w:ascii="Arial" w:cs="Arial" w:eastAsia="Arial" w:hAnsi="Arial"/>
                <w:sz w:val="18"/>
                <w:szCs w:val="18"/>
                <w:color w:val="auto"/>
                <w:w w:val="88"/>
              </w:rPr>
              <w:t>Announced Plan or Programs</w:t>
            </w:r>
          </w:p>
        </w:tc>
        <w:tc>
          <w:tcPr>
            <w:tcW w:w="1360" w:type="dxa"/>
            <w:vAlign w:val="bottom"/>
            <w:gridSpan w:val="2"/>
          </w:tcPr>
          <w:p>
            <w:pPr>
              <w:jc w:val="center"/>
              <w:ind w:right="100"/>
              <w:spacing w:after="0" w:line="183" w:lineRule="exact"/>
              <w:rPr>
                <w:sz w:val="20"/>
                <w:szCs w:val="20"/>
                <w:color w:val="auto"/>
              </w:rPr>
            </w:pPr>
            <w:r>
              <w:rPr>
                <w:rFonts w:ascii="Arial" w:cs="Arial" w:eastAsia="Arial" w:hAnsi="Arial"/>
                <w:sz w:val="18"/>
                <w:szCs w:val="18"/>
                <w:color w:val="auto"/>
                <w:w w:val="93"/>
              </w:rPr>
              <w:t>Authorization</w:t>
            </w:r>
          </w:p>
        </w:tc>
      </w:tr>
      <w:tr>
        <w:trPr>
          <w:trHeight w:val="20"/>
        </w:trPr>
        <w:tc>
          <w:tcPr>
            <w:tcW w:w="460" w:type="dxa"/>
            <w:vAlign w:val="bottom"/>
            <w:tcBorders>
              <w:top w:val="single" w:sz="8" w:color="auto"/>
              <w:bottom w:val="single" w:sz="8" w:color="CFF0FC"/>
            </w:tcBorders>
          </w:tcPr>
          <w:p>
            <w:pPr>
              <w:spacing w:after="0" w:line="20" w:lineRule="exact"/>
              <w:rPr>
                <w:sz w:val="1"/>
                <w:szCs w:val="1"/>
                <w:color w:val="auto"/>
              </w:rPr>
            </w:pPr>
          </w:p>
        </w:tc>
        <w:tc>
          <w:tcPr>
            <w:tcW w:w="234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17"/>
        </w:trPr>
        <w:tc>
          <w:tcPr>
            <w:tcW w:w="2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10/1/2021</w:t>
            </w:r>
          </w:p>
        </w:tc>
        <w:tc>
          <w:tcPr>
            <w:tcW w:w="1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to</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491,500</w:t>
            </w:r>
          </w:p>
        </w:tc>
        <w:tc>
          <w:tcPr>
            <w:tcW w:w="100" w:type="dxa"/>
            <w:vAlign w:val="bottom"/>
          </w:tcPr>
          <w:p>
            <w:pPr>
              <w:spacing w:after="0"/>
              <w:rPr>
                <w:sz w:val="19"/>
                <w:szCs w:val="19"/>
                <w:color w:val="auto"/>
              </w:rPr>
            </w:pPr>
          </w:p>
        </w:tc>
      </w:tr>
      <w:tr>
        <w:trPr>
          <w:trHeight w:val="224"/>
        </w:trPr>
        <w:tc>
          <w:tcPr>
            <w:tcW w:w="2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10/31/2021</w:t>
            </w: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2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11/1/2021</w:t>
            </w: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to</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491,500</w:t>
            </w:r>
          </w:p>
        </w:tc>
        <w:tc>
          <w:tcPr>
            <w:tcW w:w="100" w:type="dxa"/>
            <w:vAlign w:val="bottom"/>
          </w:tcPr>
          <w:p>
            <w:pPr>
              <w:spacing w:after="0"/>
              <w:rPr>
                <w:sz w:val="19"/>
                <w:szCs w:val="19"/>
                <w:color w:val="auto"/>
              </w:rPr>
            </w:pPr>
          </w:p>
        </w:tc>
      </w:tr>
      <w:tr>
        <w:trPr>
          <w:trHeight w:val="224"/>
        </w:trPr>
        <w:tc>
          <w:tcPr>
            <w:tcW w:w="2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11/30/2021</w:t>
            </w: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2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12/1/2021</w:t>
            </w: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to</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491,500</w:t>
            </w:r>
          </w:p>
        </w:tc>
        <w:tc>
          <w:tcPr>
            <w:tcW w:w="100" w:type="dxa"/>
            <w:vAlign w:val="bottom"/>
          </w:tcPr>
          <w:p>
            <w:pPr>
              <w:spacing w:after="0"/>
              <w:rPr>
                <w:sz w:val="19"/>
                <w:szCs w:val="19"/>
                <w:color w:val="auto"/>
              </w:rPr>
            </w:pPr>
          </w:p>
        </w:tc>
      </w:tr>
      <w:tr>
        <w:trPr>
          <w:trHeight w:val="224"/>
        </w:trPr>
        <w:tc>
          <w:tcPr>
            <w:tcW w:w="2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12/31/2021</w:t>
            </w:r>
          </w:p>
        </w:tc>
        <w:tc>
          <w:tcPr>
            <w:tcW w:w="1240" w:type="dxa"/>
            <w:vAlign w:val="bottom"/>
            <w:tcBorders>
              <w:bottom w:val="single" w:sz="8" w:color="auto"/>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7"/>
        </w:trPr>
        <w:tc>
          <w:tcPr>
            <w:tcW w:w="2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491,500</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ind w:left="540" w:hanging="535"/>
        <w:spacing w:after="0" w:line="282"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6"/>
          <w:szCs w:val="16"/>
          <w:color w:val="auto"/>
        </w:rPr>
        <w:t>From time to time, the Company purchases shares in the market pursuant to a stock repurchase program publicly announced on January 15, 2021. On that date, the Board of Directors authorized the repurchase of 500,000 common shares between January 15, 2021 and December 31, 2021.</w:t>
      </w:r>
    </w:p>
    <w:p>
      <w:pPr>
        <w:ind w:left="540" w:hanging="535"/>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8"/>
          <w:szCs w:val="18"/>
          <w:color w:val="auto"/>
        </w:rPr>
        <w:t>Shares which were repurchased for taxes on vested stock awards are outside of this program.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2020 and 2019 consolidated financial statements have been reclassified to conform with the 2021 presentation.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SUMMARY OF SELECTED CONSOLIDATED FINANCIAL DATA</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4"/>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Summary of Consolidated Statement of Income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5"/>
          </w:tcPr>
          <w:p>
            <w:pPr>
              <w:jc w:val="right"/>
              <w:ind w:right="520"/>
              <w:spacing w:after="0"/>
              <w:rPr>
                <w:sz w:val="20"/>
                <w:szCs w:val="20"/>
                <w:color w:val="auto"/>
              </w:rPr>
            </w:pPr>
            <w:r>
              <w:rPr>
                <w:rFonts w:ascii="Arial" w:cs="Arial" w:eastAsia="Arial" w:hAnsi="Arial"/>
                <w:sz w:val="18"/>
                <w:szCs w:val="18"/>
                <w:color w:val="auto"/>
                <w:w w:val="94"/>
              </w:rPr>
              <w:t>(In Thousands, except share data)</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60" w:type="dxa"/>
            <w:vAlign w:val="bottom"/>
            <w:tcBorders>
              <w:bottom w:val="single" w:sz="8" w:color="CFF0FC"/>
            </w:tcBorders>
          </w:tcPr>
          <w:p>
            <w:pPr>
              <w:spacing w:after="0"/>
              <w:rPr>
                <w:sz w:val="18"/>
                <w:szCs w:val="18"/>
                <w:color w:val="auto"/>
              </w:rPr>
            </w:pPr>
          </w:p>
        </w:tc>
        <w:tc>
          <w:tcPr>
            <w:tcW w:w="49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Interest income</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76,840</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70,169</w:t>
            </w:r>
          </w:p>
        </w:tc>
        <w:tc>
          <w:tcPr>
            <w:tcW w:w="8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68,306</w:t>
            </w:r>
          </w:p>
        </w:tc>
        <w:tc>
          <w:tcPr>
            <w:tcW w:w="100" w:type="dxa"/>
            <w:vAlign w:val="bottom"/>
          </w:tcPr>
          <w:p>
            <w:pPr>
              <w:spacing w:after="0"/>
              <w:rPr>
                <w:sz w:val="19"/>
                <w:szCs w:val="19"/>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46,429</w:t>
            </w: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0" w:type="dxa"/>
            <w:vAlign w:val="bottom"/>
            <w:shd w:val="clear" w:color="auto" w:fill="CFF0FC"/>
          </w:tcPr>
          <w:p>
            <w:pPr>
              <w:spacing w:after="0"/>
              <w:rPr>
                <w:sz w:val="19"/>
                <w:szCs w:val="19"/>
                <w:color w:val="auto"/>
              </w:rPr>
            </w:pPr>
          </w:p>
        </w:tc>
        <w:tc>
          <w:tcPr>
            <w:tcW w:w="5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10,393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14,759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6,572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5260" w:type="dxa"/>
            <w:vAlign w:val="bottom"/>
            <w:gridSpan w:val="2"/>
          </w:tcPr>
          <w:p>
            <w:pPr>
              <w:ind w:left="320"/>
              <w:spacing w:after="0"/>
              <w:rPr>
                <w:sz w:val="20"/>
                <w:szCs w:val="20"/>
                <w:color w:val="auto"/>
              </w:rPr>
            </w:pPr>
            <w:r>
              <w:rPr>
                <w:rFonts w:ascii="Arial" w:cs="Arial" w:eastAsia="Arial" w:hAnsi="Arial"/>
                <w:sz w:val="18"/>
                <w:szCs w:val="18"/>
                <w:color w:val="auto"/>
              </w:rPr>
              <w:t>Net Interest Income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59,776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53,547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39,857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Provision for loan losses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gridSpan w:val="3"/>
          </w:tcPr>
          <w:p>
            <w:pPr>
              <w:spacing w:after="0"/>
              <w:rPr>
                <w:sz w:val="20"/>
                <w:szCs w:val="20"/>
                <w:color w:val="auto"/>
              </w:rPr>
            </w:pPr>
            <w:r>
              <w:rPr>
                <w:rFonts w:ascii="Arial" w:cs="Arial" w:eastAsia="Arial" w:hAnsi="Arial"/>
                <w:sz w:val="18"/>
                <w:szCs w:val="18"/>
                <w:color w:val="auto"/>
              </w:rPr>
              <w:t>Net interest income after provision for loan losses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52,795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52,409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39,533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(36,557)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(27,589)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(29,647)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(21,283)</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(17,937)</w:t>
            </w:r>
          </w:p>
        </w:tc>
        <w:tc>
          <w:tcPr>
            <w:tcW w:w="0" w:type="dxa"/>
            <w:vAlign w:val="bottom"/>
          </w:tcPr>
          <w:p>
            <w:pPr>
              <w:spacing w:after="0"/>
              <w:rPr>
                <w:sz w:val="1"/>
                <w:szCs w:val="1"/>
                <w:color w:val="auto"/>
              </w:rPr>
            </w:pPr>
          </w:p>
        </w:tc>
      </w:tr>
      <w:tr>
        <w:trPr>
          <w:trHeight w:val="217"/>
        </w:trPr>
        <w:tc>
          <w:tcPr>
            <w:tcW w:w="5420" w:type="dxa"/>
            <w:vAlign w:val="bottom"/>
            <w:gridSpan w:val="3"/>
          </w:tcPr>
          <w:p>
            <w:pPr>
              <w:spacing w:after="0"/>
              <w:rPr>
                <w:sz w:val="20"/>
                <w:szCs w:val="20"/>
                <w:color w:val="auto"/>
              </w:rPr>
            </w:pPr>
            <w:r>
              <w:rPr>
                <w:rFonts w:ascii="Arial" w:cs="Arial" w:eastAsia="Arial" w:hAnsi="Arial"/>
                <w:sz w:val="18"/>
                <w:szCs w:val="18"/>
                <w:color w:val="auto"/>
              </w:rPr>
              <w:t>Net income before 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29,497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25,206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22,762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18,250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5,111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5260" w:type="dxa"/>
            <w:vAlign w:val="bottom"/>
            <w:gridSpan w:val="2"/>
          </w:tcPr>
          <w:p>
            <w:pPr>
              <w:ind w:left="320"/>
              <w:spacing w:after="0"/>
              <w:rPr>
                <w:sz w:val="20"/>
                <w:szCs w:val="20"/>
                <w:color w:val="auto"/>
              </w:rPr>
            </w:pPr>
            <w:r>
              <w:rPr>
                <w:rFonts w:ascii="Arial" w:cs="Arial" w:eastAsia="Arial" w:hAnsi="Arial"/>
                <w:sz w:val="18"/>
                <w:szCs w:val="18"/>
                <w:color w:val="auto"/>
              </w:rPr>
              <w:t>Net income</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23,495</w:t>
            </w:r>
          </w:p>
        </w:tc>
        <w:tc>
          <w:tcPr>
            <w:tcW w:w="14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20,095</w:t>
            </w:r>
          </w:p>
        </w:tc>
        <w:tc>
          <w:tcPr>
            <w:tcW w:w="8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18,402</w:t>
            </w:r>
          </w:p>
        </w:tc>
        <w:tc>
          <w:tcPr>
            <w:tcW w:w="100" w:type="dxa"/>
            <w:vAlign w:val="bottom"/>
          </w:tcPr>
          <w:p>
            <w:pPr>
              <w:spacing w:after="0"/>
              <w:rPr>
                <w:sz w:val="22"/>
                <w:szCs w:val="22"/>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14,949</w:t>
            </w:r>
          </w:p>
        </w:tc>
        <w:tc>
          <w:tcPr>
            <w:tcW w:w="10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5420" w:type="dxa"/>
            <w:vAlign w:val="bottom"/>
            <w:tcBorders>
              <w:top w:val="single" w:sz="8" w:color="CFF0FC"/>
            </w:tcBorders>
            <w:gridSpan w:val="3"/>
            <w:shd w:val="clear" w:color="auto" w:fill="CFF0FC"/>
          </w:tcPr>
          <w:p>
            <w:pPr>
              <w:spacing w:after="0" w:line="203" w:lineRule="exact"/>
              <w:rPr>
                <w:sz w:val="20"/>
                <w:szCs w:val="20"/>
                <w:color w:val="auto"/>
              </w:rPr>
            </w:pPr>
            <w:r>
              <w:rPr>
                <w:rFonts w:ascii="Arial" w:cs="Arial" w:eastAsia="Arial" w:hAnsi="Arial"/>
                <w:sz w:val="18"/>
                <w:szCs w:val="18"/>
                <w:color w:val="auto"/>
              </w:rPr>
              <w:t>Per Share of Common Stock:</w:t>
            </w: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Earnings per common share outstanding *</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0" w:type="dxa"/>
            <w:vAlign w:val="bottom"/>
            <w:shd w:val="clear" w:color="auto" w:fill="CFF0FC"/>
          </w:tcPr>
          <w:p>
            <w:pPr>
              <w:spacing w:after="0"/>
              <w:rPr>
                <w:sz w:val="19"/>
                <w:szCs w:val="19"/>
                <w:color w:val="auto"/>
              </w:rPr>
            </w:pPr>
          </w:p>
        </w:tc>
        <w:tc>
          <w:tcPr>
            <w:tcW w:w="526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Net income</w:t>
            </w: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260" w:type="dxa"/>
            <w:vAlign w:val="bottom"/>
            <w:gridSpan w:val="2"/>
            <w:vMerge w:val="restart"/>
          </w:tcPr>
          <w:p>
            <w:pPr>
              <w:ind w:left="320"/>
              <w:spacing w:after="0"/>
              <w:rPr>
                <w:sz w:val="20"/>
                <w:szCs w:val="20"/>
                <w:color w:val="auto"/>
              </w:rPr>
            </w:pPr>
            <w:r>
              <w:rPr>
                <w:rFonts w:ascii="Arial" w:cs="Arial" w:eastAsia="Arial" w:hAnsi="Arial"/>
                <w:sz w:val="18"/>
                <w:szCs w:val="18"/>
                <w:color w:val="auto"/>
              </w:rPr>
              <w:t>Dividends</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60" w:type="dxa"/>
            <w:vAlign w:val="bottom"/>
          </w:tcPr>
          <w:p>
            <w:pPr>
              <w:spacing w:after="0"/>
              <w:rPr>
                <w:sz w:val="18"/>
                <w:szCs w:val="18"/>
                <w:color w:val="auto"/>
              </w:rPr>
            </w:pPr>
          </w:p>
        </w:tc>
        <w:tc>
          <w:tcPr>
            <w:tcW w:w="5260" w:type="dxa"/>
            <w:vAlign w:val="bottom"/>
            <w:gridSpan w:val="2"/>
            <w:vMerge w:val="continue"/>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Borders>
              <w:top w:val="single" w:sz="8" w:color="CFF0FC"/>
            </w:tcBorders>
            <w:shd w:val="clear" w:color="auto" w:fill="CFF0FC"/>
          </w:tcPr>
          <w:p>
            <w:pPr>
              <w:spacing w:after="0"/>
              <w:rPr>
                <w:sz w:val="17"/>
                <w:szCs w:val="17"/>
                <w:color w:val="auto"/>
              </w:rPr>
            </w:pPr>
          </w:p>
        </w:tc>
        <w:tc>
          <w:tcPr>
            <w:tcW w:w="5260" w:type="dxa"/>
            <w:vAlign w:val="bottom"/>
            <w:tcBorders>
              <w:top w:val="single" w:sz="8" w:color="CFF0FC"/>
            </w:tcBorders>
            <w:gridSpan w:val="2"/>
            <w:shd w:val="clear" w:color="auto" w:fill="CFF0FC"/>
          </w:tcPr>
          <w:p>
            <w:pPr>
              <w:ind w:left="320"/>
              <w:spacing w:after="0" w:line="205" w:lineRule="exact"/>
              <w:rPr>
                <w:sz w:val="20"/>
                <w:szCs w:val="20"/>
                <w:color w:val="auto"/>
              </w:rPr>
            </w:pPr>
            <w:r>
              <w:rPr>
                <w:rFonts w:ascii="Arial" w:cs="Arial" w:eastAsia="Arial" w:hAnsi="Arial"/>
                <w:sz w:val="18"/>
                <w:szCs w:val="18"/>
                <w:color w:val="auto"/>
              </w:rPr>
              <w:t>Weighted average number of shares</w:t>
            </w: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shd w:val="clear" w:color="auto" w:fill="CFF0FC"/>
          </w:tcPr>
          <w:p>
            <w:pPr>
              <w:spacing w:after="0"/>
              <w:rPr>
                <w:sz w:val="18"/>
                <w:szCs w:val="18"/>
                <w:color w:val="auto"/>
              </w:rPr>
            </w:pPr>
          </w:p>
        </w:tc>
        <w:tc>
          <w:tcPr>
            <w:tcW w:w="52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outstanding, including participating</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 w:type="dxa"/>
            <w:vAlign w:val="bottom"/>
            <w:shd w:val="clear" w:color="auto" w:fill="CFF0FC"/>
          </w:tcPr>
          <w:p>
            <w:pPr>
              <w:spacing w:after="0"/>
              <w:rPr>
                <w:sz w:val="19"/>
                <w:szCs w:val="19"/>
                <w:color w:val="auto"/>
              </w:rPr>
            </w:pPr>
          </w:p>
        </w:tc>
        <w:tc>
          <w:tcPr>
            <w:tcW w:w="52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11,664,852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11,146,270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11,113,810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7"/>
              </w:rPr>
              <w:t>9,272,964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9,250,825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5260" w:type="dxa"/>
            <w:vAlign w:val="bottom"/>
            <w:gridSpan w:val="2"/>
          </w:tcPr>
          <w:p>
            <w:pPr>
              <w:ind w:left="380"/>
              <w:spacing w:after="0"/>
              <w:rPr>
                <w:sz w:val="20"/>
                <w:szCs w:val="20"/>
                <w:color w:val="auto"/>
              </w:rPr>
            </w:pPr>
            <w:r>
              <w:rPr>
                <w:rFonts w:ascii="Arial" w:cs="Arial" w:eastAsia="Arial" w:hAnsi="Arial"/>
                <w:sz w:val="18"/>
                <w:szCs w:val="18"/>
                <w:color w:val="auto"/>
              </w:rPr>
              <w:t>Based on weighted average number of shares outstanding</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Summary of Consolidated Balance Sheet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60" w:type="dxa"/>
            <w:vAlign w:val="bottom"/>
            <w:tcBorders>
              <w:bottom w:val="single" w:sz="8" w:color="CFF0FC"/>
            </w:tcBorders>
          </w:tcPr>
          <w:p>
            <w:pPr>
              <w:spacing w:after="0"/>
              <w:rPr>
                <w:sz w:val="18"/>
                <w:szCs w:val="18"/>
                <w:color w:val="auto"/>
              </w:rPr>
            </w:pPr>
          </w:p>
        </w:tc>
        <w:tc>
          <w:tcPr>
            <w:tcW w:w="49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9"/>
              </w:rPr>
              <w:t>2021</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9"/>
              </w:rPr>
              <w:t>2019</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4"/>
              </w:rPr>
              <w:t>2018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2017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$ 2,638,300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4"/>
              </w:rPr>
              <w:t>$ 1,909,544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86"/>
              </w:rPr>
              <w:t>$ 1,607,330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84"/>
              </w:rPr>
              <w:t>$ 1,116,163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w w:val="90"/>
              </w:rPr>
              <w:t>$ 1,107,009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1,841,177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1,289,318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1,211,771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839,599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816,156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deposits</w:t>
            </w: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2,193,462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1,596,162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1,288,347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928,790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8"/>
              </w:rPr>
              <w:t>919,340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297,167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249,160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230,258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143,287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134,137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Key Ratios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Return on average equity</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4"/>
        </w:trPr>
        <w:tc>
          <w:tcPr>
            <w:tcW w:w="160" w:type="dxa"/>
            <w:vAlign w:val="bottom"/>
            <w:shd w:val="clear" w:color="auto" w:fill="CFF0FC"/>
          </w:tcPr>
          <w:p>
            <w:pPr>
              <w:spacing w:after="0"/>
              <w:rPr>
                <w:sz w:val="19"/>
                <w:szCs w:val="19"/>
                <w:color w:val="auto"/>
              </w:rPr>
            </w:pPr>
          </w:p>
        </w:tc>
        <w:tc>
          <w:tcPr>
            <w:tcW w:w="5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Return on average assets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Loans to deposits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83.94%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90.40%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24"/>
        </w:trPr>
        <w:tc>
          <w:tcPr>
            <w:tcW w:w="160" w:type="dxa"/>
            <w:vAlign w:val="bottom"/>
            <w:shd w:val="clear" w:color="auto" w:fill="CFF0FC"/>
          </w:tcPr>
          <w:p>
            <w:pPr>
              <w:spacing w:after="0"/>
              <w:rPr>
                <w:sz w:val="19"/>
                <w:szCs w:val="19"/>
                <w:color w:val="auto"/>
              </w:rPr>
            </w:pPr>
          </w:p>
        </w:tc>
        <w:tc>
          <w:tcPr>
            <w:tcW w:w="5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Capital to assets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12.84%</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Dividend payout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34.40%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right="1480"/>
        <w:spacing w:after="0" w:line="492" w:lineRule="auto"/>
        <w:rPr>
          <w:sz w:val="20"/>
          <w:szCs w:val="20"/>
          <w:color w:val="auto"/>
        </w:rPr>
      </w:pPr>
      <w:r>
        <w:rPr>
          <w:rFonts w:ascii="Arial" w:cs="Arial" w:eastAsia="Arial" w:hAnsi="Arial"/>
          <w:sz w:val="18"/>
          <w:szCs w:val="18"/>
          <w:b w:val="1"/>
          <w:bCs w:val="1"/>
          <w:u w:val="single" w:color="auto"/>
          <w:color w:val="auto"/>
        </w:rPr>
        <w:t xml:space="preserve">ITEM 7. MANAGEMENT’S DISCUSSION AND ANALYSIS OF FINANCIAL CONDITION AND RESULTS OF OPERATIONS </w:t>
      </w:r>
      <w:r>
        <w:rPr>
          <w:rFonts w:ascii="Arial" w:cs="Arial" w:eastAsia="Arial" w:hAnsi="Arial"/>
          <w:sz w:val="18"/>
          <w:szCs w:val="18"/>
          <w:b w:val="1"/>
          <w:bCs w:val="1"/>
          <w:color w:val="auto"/>
        </w:rPr>
        <w:t>Critical Accounting Policies and Estimates</w:t>
      </w:r>
    </w:p>
    <w:p>
      <w:pPr>
        <w:jc w:val="both"/>
        <w:spacing w:after="0" w:line="304" w:lineRule="auto"/>
        <w:rPr>
          <w:sz w:val="20"/>
          <w:szCs w:val="20"/>
          <w:color w:val="auto"/>
        </w:rPr>
      </w:pPr>
      <w:r>
        <w:rPr>
          <w:rFonts w:ascii="Arial" w:cs="Arial" w:eastAsia="Arial" w:hAnsi="Arial"/>
          <w:sz w:val="15"/>
          <w:szCs w:val="15"/>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 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an impairment write-down or valuation reserve to be established, or when an asset or liability must be recorded contingent upon a future event.</w:t>
      </w: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significant accounting policies followed by the Company are presented in Note 1 to the consolidated financial statements. These policies, along with the disclosures presented in the notes to the consolidated financial statements and in the management discussion and analysis of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Allowance for Loan and Lease Losses (ALLL) and the valuation of its Mortgage Servicing Rights (MSR) and Other Real Estate Owned (OREO) as the accounting areas that requires the most subjective or complex judgments, and as such could be the most subject to revision as new information becomes available.</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OREO, which is comprised of assets acquired by the Bank, through, or in lieu of, loan foreclosure are held for sale and are initially recorded at fair value at the date of foreclosure. Subsequent to foreclosure, valuations are periodically performed by management and the assets are carried at the lower of carrying amount or fair value less cost to sell.</w:t>
      </w:r>
    </w:p>
    <w:p>
      <w:pPr>
        <w:spacing w:after="0" w:line="18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ALLL represents management's estimate of credit losses inherent in the Bank's loan portfolio at the report date. The estimate is a composite of a variety of factors including experience, collateral value, and the general economy. ALLL includes a specific portion, a formula driven portion, and a general nonspecific portion. The collection and ultimate recovery of the book value of the collateral, in most cases, is beyond our control.</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is also required to estimate the value of its MSR. The Company recognizes as separate assets rights to service fixed rate single-family mortgage loans that it has sold without recourse but services for others for a fee. Mortgage servicing assets are initially recorded at fair value, based upon pricing multiples as determined by the purchaser, when the loans are sold. Mortgage servicing assets are carried at the lower of the initial carrying value, adjusted for amortization, or estimated fair value. Amortization is determined in proportion to and over the period of estimated net servicing income using the level yield method. For purposes of determining impairment, the mortgage servicing assets are stratified into like groups based on loan type, term, new versus seasoned and interest rate. The valuation is completed by an independent third party.</w:t>
      </w:r>
    </w:p>
    <w:p>
      <w:pPr>
        <w:spacing w:after="0" w:line="16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Company’s mortgage servicing rights relating to loans serviced for others represent an asset of the Company. This asset is initially capitalized and included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Company, including the estimated prepayment speed of the loan and the discount rate used to present value the servicing right. For example, if the mortgage loan is prepaid, the Company will receive fewer servicing fees, meaning that the present value of the mortgage servicing rights is less than the carrying value of those rights on the Company’s balance sheet. Therefore, in an attempt to reflect an accurate expected value to the Company of the mortgage servicing rights, the Company receives a valuation of its mortgage servicing rights from an independent third party. The independent third party’s valuation of the mortgage servicing rights is based on relevant characteristics of the Company’s loan servicing portfolio, such as loan terms, interest rates and recent national prepayment experience, as well as current national market interest rate levels, market forecasts and other economic conditions. Management, with the advice from its third party valuation firm, review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Company’s mortgage servicing rights, management then establishes a valuation allowance by each strata, if necessary, to quantify the likely impairment of the value of the mortgage servicing rights to the Company. The estimates of prepayment speeds and discount rates are inherently uncertain, and different estimates could have a material impact on the Company’s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can be directly tied back to the fact that management has only been required to record minor valuation allowances through its income statement based upon the valuation of each stratum of serving rights.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more information regarding the estimates and calculations used to establish the ALLL and the value of Mortgage Servicing Rights, please see Note 1 to the consolidated financial statements provided herewith.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2021 in Review</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2021 was highlighted by the execution of the second year of the Company’s strategic plan. The growth goal of having a $3 billion asset size by 2023, is well within our reach due to the two bank acquisitions in 2021 complimented with extremely strong organic loan growth in assets.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F&amp;M Commercial Banking Division completed the second round of PPP as it began 2021 and then moved into the forgiveness process. F&amp;M had strong loan demand in 2021 and most of this activity is spread throughout the tri-state footprint. Client performance and impact from the pandemic was closely monitored during 2021. Overall results were positive; however, our clients were still impacted by the availability of workforce and the general interruptions and delays in the supply chain. Credit quality of the portfolio remains solid, and we analyzed most of the commercial portfolio. Past dues and delinquencies were at record lows at December 31 and the watch list and criticized assets were managed well and reduced in 2021. Interest income was boosted by PPP. Outside of PPP, loan growth occurred both organically and through acquisitions. The Bank grew loans 15.9%, excluding PPP balances and acquired loans, in 2021 as compared to 2020. The Bank’s three Loan Production Offices (LPO) led the way. The F&amp;M commercial team performed very well during a time when the pandemic created much uncertainty.</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results of 2021 for most of our agricultural customer base were positive. Favorable growing conditions provided average to above average yields. Demand for commodities has been strong pushing prices to levels that are very profitable. The livestock portion of our portfolio has been stable. Agri-businesses have benefited from strong farm net income. Rising input cost and supply issues are challenges moving forward, but commodity prices for 2022 are currently profitable. The agriculture portfolio saw growth in 2021 and remains sound.</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Home loan production and performance was stronger than anticipated in 2021 with rates remaining low. A slight uptick in rates is occurring in the long-term rates which may impact 2022 production. The rates, however, even slightly higher are still low in looking over the past 10 years. With the increased footprint of the Bank’s market area, home loan production is only expected to slow slightly.</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Additional pieces to the execution of the strategic plan were implementation of four major new software programs. The software programs employed involved three main lines of business, transactional (teller), home loan and consumer loan processing, along with our employee experience with human resources. These investments, and the implementation of, will aid to improve operating efficiencies along with the decrease of paper usage, further developing our digital strategy.</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savings was also a focus to improve our efficiency ratio. The Bank closed four offices in the first half of 2021 while adding the same number for the year overall – three due to acquisition and one new office opening in Ft. Wayne, Indiana. There was minimal to no impact on customer service and retention as three of the offices were in communities where the Bank already had another office and ATMs were maintained at the discontinued locations. The Bank is also analyzing its “Next 10 Project” in preparation for execution beginning in 2022. The Next 10 Project is the identification of the next 10 office locations for brick-and-mortar expansion to be opened in the next 3-5 years. Many factors were considered in developing the plan including potential growth, placement to better connect and service our entire existing footprint. This plan will supplement any future acquisitions. We have learned that it can take more than a year to open a new office.</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Yields on earning assets decreased more than the cost of funds. Driving the larger decrease in the earning assets was the increased liquidity which grew cash and investment balances by $135.7 million or 27.5% at year-end 2021 as compared to 2020. Astounding is the $728.8 million growth in total assets during the same one-year time frame. As the liquidity decreases with loan growth, the asset yield percentage will improve. A larger cost of funds decrease was hampered by the higher cost of funds associated with the last acquisition and the additional borrowings needed in the last quarter by the Company to complete the acquisition.</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last piece to discuss of the Company’s strategic plan is Talent Optimization. The Company experienced the same effects of COVID to our workforce as most other companies. The Bank experienced higher compensation costs and faced challenges in finding skilled employees. This was an area that was helped with the acquisitions as the Bank was able to offer and retain more team members to fill much needed support staff. Enhancements were completed and were implemented, or will be early in 2022, to our team members benefits such as an earlier and automatic inclusion into the 401-K and the combining of PTO and vacation days for ease of use. The Bank also adjusted our base living wage. The Bank continues to analyze and adjust our structure and the development of our team members to help us realize our full potential and to handle our current and expected growth plans.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Earnings were a record high with net income at $23.5 million. Tax adjusted acquisition costs of $3.1 million were offset by the tax adjusted net income from</w:t>
      </w:r>
    </w:p>
    <w:p>
      <w:pPr>
        <w:spacing w:after="0" w:line="38" w:lineRule="exact"/>
        <w:rPr>
          <w:sz w:val="20"/>
          <w:szCs w:val="20"/>
          <w:color w:val="auto"/>
        </w:rPr>
      </w:pPr>
    </w:p>
    <w:p>
      <w:pPr>
        <w:jc w:val="both"/>
        <w:ind w:firstLine="5"/>
        <w:spacing w:after="0" w:line="286" w:lineRule="auto"/>
        <w:tabs>
          <w:tab w:leader="none" w:pos="35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activity of $3.5 million for 2021. The Company’s trend of increasing profitability year over year continued as evidenced by the 16.9% increase in net income for 2021 as compared to 2020. This followed a strong 2020 increase of 9.2% over 2019. The Company continues to recognize the importance of our shareholders from the improved earnings as we have increased the declared dividends consistently over the last 27 years. In 2021, declared dividends were 7.6% higher than 2020 at $8.2 million.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positioned to continue to provide strong earnings in 2022 with minimal impact from our prior acquisitions and PPP expected. The execution will continue as the Company prepares to update the strategic plan during the second half of 2022 with new expectations to focus for the next three to five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Changes in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discussion now centers on the individual line items of the consolidated statement of income and their effect on net income. This section will focus on the most traditional source of revenue contributing to the profitability of the Company which is net interest income.</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Net interest income is the difference between interest income earned on interest earning assets, such as loans and securities, and interest expense paid on interest bearing liabilities used to fund those assets, such as interest bearing deposits and other borrowings. Net interest income is affected by changes in both interest rates and the amount and composition of earning assets and liabilities. The change in net interest income is most often measured by two statistics – interest spread and net interest margin. The difference between the yields earned on earning assets and the rates paid for interest bearing liabilities represents the interest spread. The net interest margin is the difference of funds (interest expense) between the yield on earning assets and the cost as a percentage of earning assets. Because noninterest bearing sources of funds such as demand deposits and stockholders’ equity also support earning assets, the net interest margin exceeds the net interest spread.</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largest factor of the record earnings for 2021 was the $9.7 million improvement in net interest income as compared to 2020. In 2020, net interest income increased $6.2 million as compared to 2019. Interest and fee income from loans were responsible for the improvement. Interest income from loans, including fees, increased $6.3 million in 2021 as compared to 2020. This was preceded by an increase in 2020 of $3.1 million as compared to 2019. The underlying factors for the reason of the increase differed between the two time periods. 2019 was aided by prime rate increases which drove the effective interest rates on the Bank’s variable loans over their floor rates. During the second half of 2019, the prime rate decreased 75 basis points in a 91-day time period which was followed by a decrease of 50 basis points on March 3</w:t>
      </w:r>
      <w:r>
        <w:rPr>
          <w:rFonts w:ascii="Arial" w:cs="Arial" w:eastAsia="Arial" w:hAnsi="Arial"/>
          <w:sz w:val="13"/>
          <w:szCs w:val="13"/>
          <w:color w:val="auto"/>
        </w:rPr>
        <w:t>rd</w:t>
      </w:r>
      <w:r>
        <w:rPr>
          <w:rFonts w:ascii="Arial" w:cs="Arial" w:eastAsia="Arial" w:hAnsi="Arial"/>
          <w:sz w:val="16"/>
          <w:szCs w:val="16"/>
          <w:color w:val="auto"/>
        </w:rPr>
        <w:t xml:space="preserve"> and a decrease of 100 basis points on March 15</w:t>
      </w:r>
      <w:r>
        <w:rPr>
          <w:rFonts w:ascii="Arial" w:cs="Arial" w:eastAsia="Arial" w:hAnsi="Arial"/>
          <w:sz w:val="13"/>
          <w:szCs w:val="13"/>
          <w:color w:val="auto"/>
        </w:rPr>
        <w:t>th</w:t>
      </w:r>
      <w:r>
        <w:rPr>
          <w:rFonts w:ascii="Arial" w:cs="Arial" w:eastAsia="Arial" w:hAnsi="Arial"/>
          <w:sz w:val="16"/>
          <w:szCs w:val="16"/>
          <w:color w:val="auto"/>
        </w:rPr>
        <w:t>. In 2021 and 2020, PPP loans generated $4.5 and $2.8 million in loan interest and fee income, respectively. 2019 loan interest income included $1.985 million for the reversal of a credit loss established for two commercial purchased credit-impaired loans that were paid off during the second quarter. In both 2021 and 2020, the volume of loan growth was the largest contributing factor to the improved profitability. The security portfolio increased $152.3 million in average during 2021 as compared to 2020, and $47.1 million in average over 2019 average balances. Increased cash funds from stimulus and acquisitions were placed in securities to earn a greater return. Interest income from that balance sheet component increased $250 thousand over 2020 while 2020 increased $119 thousand over 2019. Overall, total interest income was $6.7 million higher for 2021 than 2020 and was $1.9 million higher for 2020 than 2019.</w:t>
      </w:r>
    </w:p>
    <w:p>
      <w:pPr>
        <w:spacing w:after="0" w:line="17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Interest expense decreased from all interest bearing funding sources in 2021 over the time period of 2020. During 2021, the Company issued subordinated notes and incurred $490 thousand of interest expense. Refer to Note 9 for further discussion regarding subordinated notes. During 2020, interest expense decreased in all interest bearing funding sources with the exception of federal funds purchased and securities sold under agreement to repurchase as compared to 2019. Overall, the funding goal the last three years has been to grow core deposits. Two strategies have been employed through the years, one of allowing expensive time deposits to run off until needed for funding and secondly to offer new non-interest bearing deposit products. Both of these strategies were to assist in controlling interest expense in a rising rate environment. Competition forced us to increase rates for deposits in 2019 while rates were lowered in 2020 in response to the prime rate drop of 150 basis points. Rates have continued to be reviewed and adjusted as necessary in 2021. Even with the interest rate decreases, average interest bearing deposits increased $307.7 million compared to 2020. During 2021, interest expense from deposits decreased by $3.2 million from 2020 and 2020 decreased $4.3 million from 2019. The majority, approximately 160.0%, of the decreased expense of 2021 and approximately137.4%, of the decreased expense of 2020 was influenced by decreased rates rather than due to additional cost associated with deposit growth.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jc w:val="both"/>
        <w:spacing w:after="0" w:line="291" w:lineRule="auto"/>
        <w:rPr>
          <w:sz w:val="20"/>
          <w:szCs w:val="20"/>
          <w:color w:val="auto"/>
        </w:rPr>
      </w:pPr>
      <w:r>
        <w:rPr>
          <w:rFonts w:ascii="Arial" w:cs="Arial" w:eastAsia="Arial" w:hAnsi="Arial"/>
          <w:sz w:val="16"/>
          <w:szCs w:val="16"/>
          <w:color w:val="auto"/>
        </w:rPr>
        <w:t>Total interest expense (which includes deposit, federal funds purchased, securities sold under agreement to repurchase, borrowed funds and subordinated notes) totaled $7.3, $10.4 and $14.8 million for 2021, 2020 and 2019 respectively. The decreased expense is approximately 189.9% attributable to the falling interest rate environment in 2021 as compared to 2020 and approximately 134.1% in the 2020 to 2019 comparison. Borrowed fund balances increased in January of 2019, as a result of the acquisition of Bank of Geneva, and in October of 2021 with the acquisition of Perpetual Federal Savings Bank.</w:t>
      </w:r>
    </w:p>
    <w:p>
      <w:pPr>
        <w:spacing w:after="0" w:line="162" w:lineRule="exact"/>
        <w:rPr>
          <w:sz w:val="20"/>
          <w:szCs w:val="20"/>
          <w:color w:val="auto"/>
        </w:rPr>
      </w:pPr>
    </w:p>
    <w:p>
      <w:pPr>
        <w:jc w:val="both"/>
        <w:spacing w:after="0" w:line="362" w:lineRule="auto"/>
        <w:rPr>
          <w:sz w:val="20"/>
          <w:szCs w:val="20"/>
          <w:color w:val="auto"/>
        </w:rPr>
      </w:pPr>
      <w:r>
        <w:rPr>
          <w:rFonts w:ascii="Arial" w:cs="Arial" w:eastAsia="Arial" w:hAnsi="Arial"/>
          <w:sz w:val="15"/>
          <w:szCs w:val="15"/>
          <w:color w:val="auto"/>
        </w:rPr>
        <w:t>The success in improving net interest income confirmed that management’s long term strategy of repositioning the balance sheet and increasing loan balances was the correct approach. Funding loan growth with internal funds, whether from the liquidation of investment securities or core deposits, was a beneficial move.</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concludes the discussion by dollar amount of the improvement. Now the discussion moves on to the percentages and the change in the net interest margin and spread.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Overall, we have seen a decrease in the net interest margin and spread from 2019 to 2021. Interest margin and spread decreased in 2021 as compared to 2020 with the lower asset yields only being partly offset by the decreased cost of funds. Looking at the components behind the change in net interest margin for 2021 as compared to 2020, increased average balances in loans of $208.4 million stands out. Loans acquired with the two acquisitions were $387.1 million. The additional revenue of $6.3 million that those balances were responsible for was the largest contributor to the increased interest income of $6.7 million. In 2019, loan revenue was positively impacted by the change in the interest rate. The majority of variable loans with floor rates attained the point where rate increases caused the rate to go above the floor. 2019 had three rate decreases of 25 basis points. As mentioned previously, March of 2020 had two rate decreases of 50 and 100 basis points. The large revenue gain in loan interest was aided by the increased earnings in securities of $250 thousand. The overall asset yield in 2021 decreased by 59 basis points over 2020.</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decreased interest expense in 2021 correlated to the lower rate environment which differed from 2019’s high rate environment in which competition for deposits forced higher interest rates. In the area where the strategic plan was to gather core deposits, the average balance in savings grew by $266 million during 2021 as compared to 2020’s average balance. Interest bearing deposits acquired with the two acquisitions were $390.1 million. The other average balance increase for core deposits was the change in non-interest bearing demand deposits. 2021’s average balance in this portfolio was $96.5 million higher than 2020’s average balance. Non-interest bearing demand deposits acquired with the two acquisitions were $36.5 million. Overall, cost of funds decreased 39 basis points for 2021 over 2020. The reason behind the decrease was largely due to rate decreases, not the volume increases.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net interest margin for 2021 was 3.31% compared to 2020 which was 3.62%. The 0.31% decrease for 2021 was directly related to the decreased interest income which was greater than the decreased interest expense. Net interest spread was 3.18% for 2021 compared to 2020’s 3.38%, creating a 20 basis point difference in the spread. Loans as a percentage of earning assets was 72.3% while loans to total assets was 68.3% for 2021. The goal is, as always, to improve the net interest margin and spread and thereby improve profitability.</w:t>
      </w:r>
    </w:p>
    <w:p>
      <w:pPr>
        <w:spacing w:after="0" w:line="191" w:lineRule="exact"/>
        <w:rPr>
          <w:sz w:val="20"/>
          <w:szCs w:val="20"/>
          <w:color w:val="auto"/>
        </w:rPr>
      </w:pPr>
    </w:p>
    <w:p>
      <w:pPr>
        <w:jc w:val="both"/>
        <w:spacing w:after="0" w:line="362" w:lineRule="auto"/>
        <w:rPr>
          <w:sz w:val="20"/>
          <w:szCs w:val="20"/>
          <w:color w:val="auto"/>
        </w:rPr>
      </w:pPr>
      <w:r>
        <w:rPr>
          <w:rFonts w:ascii="Arial" w:cs="Arial" w:eastAsia="Arial" w:hAnsi="Arial"/>
          <w:sz w:val="15"/>
          <w:szCs w:val="15"/>
          <w:color w:val="auto"/>
        </w:rPr>
        <w:t>In comparing 2020 to 2019, loan volume was primarily responsible for the improvement in interest income; however, the yield on the overall loan portfolio decreased 53 basis points during 2020. All categories of asset yield decreased in 2020. Overall, asset yield decreased 60 basis points in 2020 as compared to 2019.</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net interest margin fell in 2020, ending 18 basis points below 2019. Asset yield decreased 60 basis points while the cost of funds decreased 55 basis points. The yields on the individual segments did not cause improvement as all decreased in 2020 from 2019. In addition, loans as a percentage of earning assets increased to 79.3% in 2020 compared to 79.9% in 2019. Loans to total assets also increased to 74.2% for 2020 compared to 2019’s 75.3%. Overall yield improves when the balances of the highest yield asset increases, which is loans.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the cost of funds, the Bank’s goal is to grow the least expensive category of funding sources. The largest average balance increase for 2020 was $158.8 million in savings deposits over 2019’s average balances. This growth was mostly responsible for the decrease in funding expense of 57 basis points when comparing 2020 to 2019.</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will always prefer to see improvement in real dollars over percentages. The strategy for increasing core deposits, in order to mitigate the higher cost of funds and to continue to establish the opportunity for fee dollars from services provided, remains for 2022.</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assets of the Company increased overall as did the earning assets in both average and year-end during 2021 and 2020. This matched the movement in interest dollars. The percentage of average earning assets to total average assets reflects the best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jc w:val="both"/>
        <w:spacing w:after="0" w:line="291" w:lineRule="auto"/>
        <w:rPr>
          <w:sz w:val="20"/>
          <w:szCs w:val="20"/>
          <w:color w:val="auto"/>
        </w:rPr>
      </w:pPr>
      <w:r>
        <w:rPr>
          <w:rFonts w:ascii="Arial" w:cs="Arial" w:eastAsia="Arial" w:hAnsi="Arial"/>
          <w:sz w:val="16"/>
          <w:szCs w:val="16"/>
          <w:color w:val="auto"/>
        </w:rPr>
        <w:t>utilization of funds. For 2021, the percentage at 94.41% was slightly higher than 2020 at 93.60%. The addition of new offices increased the non-earning assets with cash balances held at the new offices and also the investment in the capital assets of their building and furniture. One of the things that helped to improve the profitability of 2021 was the percentage of average loans to total assets. For 2021 the average balance of loans to total average assets was 68.26%, for 2020, 74.21%, for 2019, 75.32%. Loans are the highest yielding asset for the Company.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Net interest spread is the difference between what the Company earns on its assets and what it pays on its liabilities. It is generally from this spread that the Company must fund its operations and generate profit. When the asset yield decreases so must funding costs in order to maintain profitability. It becomes increasingly challenging as the asset yield gets closer to the prime lending rate, or the break-even point, of operations. In a rising rate environment, the challenge is to hold the cost steady while allowing time for the asset portfolio to rise. Floors and ceilings on variable products also impact the level of increase in either scenario. The floors provide yield protection in the current lower rate environment while the rising rates will not benefit the asset yield until the spread plus prime is higher than the floor. The challenge is to increase the spread during renewals and on new loans. After the rate hikes in 2017 and 2018, the majority of the loans were now either equal to or over the floors which contributed to the increased asset yield in 2019. With the rate decreases in 2019 and 2020, many loans reverted back to the floors.</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terms of interest expense, 2021’s decrease as compared to 2020 was approximately 189.9% due to the decrease in rates. 2020’s decrease was approximately 134.1% due to the decrease in rates as compared to 2019.</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impact of the change in the portfolio mix was a factor in the liabilities as it was in the assets. In comparing to 2020, 2021 had movements as average balances increased in savings deposits, time deposits, other borrowed money and subordinated notes. Other borrowed money, consisting of both short and long term borrowings, and subordinated notes increased with the acquisition of Perpetual Federal Savings Bank. Federal funds purchased and securities sold under agreement to repurchase decreased in 2021 from 2020. In comparing to 2019, 2020 had movements as average balances increased in savings deposits, federal funds purchased, and securities sold to repurchase. Other borrowed money decreased as advances were paid down or matured. The advances were part of the acquisition of Bank of Geneva with the final advance maturing in 2028. Time deposits decreased $219 thousand compared to 2019.</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tables present net interest income, interest spread and net interest margin for the three years 2019 through 2021, comparing average outstanding balances of earning assets and interest bearing liabilities with the associated interest income and expense. The tables show the corresponding average rates of interest earned and paid. Average outstanding loan balances include non-performing loans and mortgage loans held for sale. Average outstanding security balances are computed based on carrying values including unrealized gains and losses on available-for-sale securities. The average cost of funds for 2021 was 0.48%, 39 basis points lower than 2020’s 0.87% for interest bearing liabilities.</w:t>
      </w:r>
    </w:p>
    <w:p>
      <w:pPr>
        <w:spacing w:after="0" w:line="165"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The yield on tax-exempt investment securities shown in the following charts were computed on a tax equivalent basis. The yield on loans has been tax adjusted for the portion of tax-exempt IDB loans included in the total. Total interest earning assets is therefore also reflecting a tax equivalent yield in both line items, also with the net interest spread and margin. The adjustments were based on a 21% tax rate for all years. The tax-exempt interest income was $551, $694 and $813 thousand for 2021, 2020 and 2019, respectively which resulted in a federal income tax savings of $116, $146, and $171 thousand,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4"/>
              </w:rPr>
              <w:t>2021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w w:val="95"/>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w w:val="95"/>
              </w:rPr>
              <w:t>Balance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Yield/Rate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22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1,522,088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71,645</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377,887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4,514</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other</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0.19%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2,105,343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76,840</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Non-Interest Earning Assets: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2,229,992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Borders>
              <w:top w:val="single" w:sz="8" w:color="CFF0FC"/>
              <w:bottom w:val="single" w:sz="8" w:color="CFF0FC"/>
            </w:tcBorders>
            <w:vMerge w:val="restart"/>
          </w:tcPr>
          <w:p>
            <w:pPr>
              <w:ind w:left="66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1,145,636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2,467</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2,951</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785</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Subordinated notes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3.32%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1,526,323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Non-Interest Bearing Liabilities: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Non-interest bearing demand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400,801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1,971,467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258,525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vMerge w:val="continue"/>
            <w:shd w:val="clear" w:color="auto" w:fill="CFF0FC"/>
          </w:tcPr>
          <w:p>
            <w:pPr>
              <w:spacing w:after="0"/>
              <w:rPr>
                <w:sz w:val="18"/>
                <w:szCs w:val="18"/>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2,229,992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Interest/Dividend income/yield</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76,840</w:t>
            </w:r>
          </w:p>
        </w:tc>
        <w:tc>
          <w:tcPr>
            <w:tcW w:w="200" w:type="dxa"/>
            <w:vAlign w:val="bottom"/>
          </w:tcPr>
          <w:p>
            <w:pPr>
              <w:spacing w:after="0" w:line="20" w:lineRule="exact"/>
              <w:rPr>
                <w:sz w:val="1"/>
                <w:szCs w:val="1"/>
                <w:color w:val="auto"/>
              </w:rPr>
            </w:pP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3.66%</w:t>
            </w: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Expense/cost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Interest Spread</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69,498</w:t>
            </w:r>
          </w:p>
        </w:tc>
        <w:tc>
          <w:tcPr>
            <w:tcW w:w="2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Net Interest Margin</w:t>
            </w: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vMerge w:val="continue"/>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3.31%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900" w:type="dxa"/>
            <w:vAlign w:val="bottom"/>
            <w:tcBorders>
              <w:top w:val="single" w:sz="8" w:color="CFF0FC"/>
              <w:bottom w:val="single" w:sz="8" w:color="CFF0FC"/>
            </w:tcBorders>
            <w:vMerge w:val="restart"/>
          </w:tcPr>
          <w:p>
            <w:pPr>
              <w:ind w:left="4400"/>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140" w:type="dxa"/>
            <w:vAlign w:val="bottom"/>
            <w:vMerge w:val="continue"/>
          </w:tcPr>
          <w:p>
            <w:pPr>
              <w:spacing w:after="0"/>
              <w:rPr>
                <w:sz w:val="24"/>
                <w:szCs w:val="24"/>
                <w:color w:val="auto"/>
              </w:rPr>
            </w:pPr>
          </w:p>
        </w:tc>
        <w:tc>
          <w:tcPr>
            <w:tcW w:w="4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4"/>
              </w:rPr>
              <w:t>2020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w w:val="95"/>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w w:val="95"/>
              </w:rPr>
              <w:t>Balance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Yield/Rate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22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1,313,675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65,317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219,044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4,136</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other</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0.26%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1,656,981</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70,169</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Non-Interest Earning Assets: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88,027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1,770,284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Borders>
              <w:top w:val="single" w:sz="8" w:color="CFF0FC"/>
              <w:bottom w:val="single" w:sz="8" w:color="CFF0FC"/>
            </w:tcBorders>
            <w:vMerge w:val="restart"/>
          </w:tcPr>
          <w:p>
            <w:pPr>
              <w:ind w:left="66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879,669</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3,942</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264,827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32,363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Subordinated notes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1,198,104</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10,393</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Non-Interest Bearing Liabilities: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Non-interest bearing demand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1,530,586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239,698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vMerge w:val="continue"/>
            <w:shd w:val="clear" w:color="auto" w:fill="CFF0FC"/>
          </w:tcPr>
          <w:p>
            <w:pPr>
              <w:spacing w:after="0"/>
              <w:rPr>
                <w:sz w:val="18"/>
                <w:szCs w:val="18"/>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1,770,284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Interest/Dividend income/yield</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70,169</w:t>
            </w:r>
          </w:p>
        </w:tc>
        <w:tc>
          <w:tcPr>
            <w:tcW w:w="200" w:type="dxa"/>
            <w:vAlign w:val="bottom"/>
          </w:tcPr>
          <w:p>
            <w:pPr>
              <w:spacing w:after="0" w:line="20" w:lineRule="exact"/>
              <w:rPr>
                <w:sz w:val="1"/>
                <w:szCs w:val="1"/>
                <w:color w:val="auto"/>
              </w:rPr>
            </w:pP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4.25%</w:t>
            </w: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Expense/cost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10,393</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Interest Spread</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59,776</w:t>
            </w:r>
          </w:p>
        </w:tc>
        <w:tc>
          <w:tcPr>
            <w:tcW w:w="2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Net Interest Margin</w:t>
            </w: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vMerge w:val="continue"/>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3.62%</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900" w:type="dxa"/>
            <w:vAlign w:val="bottom"/>
            <w:tcBorders>
              <w:top w:val="single" w:sz="8" w:color="CFF0FC"/>
              <w:bottom w:val="single" w:sz="8" w:color="CFF0FC"/>
            </w:tcBorders>
            <w:vMerge w:val="restart"/>
          </w:tcPr>
          <w:p>
            <w:pPr>
              <w:ind w:left="4400"/>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140" w:type="dxa"/>
            <w:vAlign w:val="bottom"/>
            <w:vMerge w:val="continue"/>
          </w:tcPr>
          <w:p>
            <w:pPr>
              <w:spacing w:after="0"/>
              <w:rPr>
                <w:sz w:val="24"/>
                <w:szCs w:val="24"/>
                <w:color w:val="auto"/>
              </w:rPr>
            </w:pPr>
          </w:p>
        </w:tc>
        <w:tc>
          <w:tcPr>
            <w:tcW w:w="4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4"/>
              </w:rPr>
              <w:t>2019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Average</w:t>
            </w: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Balance</w:t>
            </w:r>
          </w:p>
        </w:tc>
        <w:tc>
          <w:tcPr>
            <w:tcW w:w="1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Yield/Rate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22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1,129,231</w:t>
            </w: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62,213</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163,777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3,832</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33,112</w:t>
            </w: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interest bearing deposits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86,971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20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1.86%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1,413,091</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68,306</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Non-Interest Earning Assets: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20,974</w:t>
            </w: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1,499,210</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Borders>
              <w:top w:val="single" w:sz="8" w:color="CFF0FC"/>
              <w:bottom w:val="single" w:sz="8" w:color="CFF0FC"/>
            </w:tcBorders>
            <w:vMerge w:val="restart"/>
          </w:tcPr>
          <w:p>
            <w:pPr>
              <w:ind w:left="66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720,879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7,323</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265,046</w:t>
            </w: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29,859</w:t>
            </w: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Subordinated notes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1,041,322</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14,759</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Non-Interest Bearing Liabilities: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Non-interest bearing demand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243,551</w:t>
            </w: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(8,541)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1,276,332</w:t>
            </w: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222,878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4900" w:type="dxa"/>
            <w:vAlign w:val="bottom"/>
            <w:vMerge w:val="continue"/>
            <w:shd w:val="clear" w:color="auto" w:fill="CFF0FC"/>
          </w:tcPr>
          <w:p>
            <w:pPr>
              <w:spacing w:after="0"/>
              <w:rPr>
                <w:sz w:val="18"/>
                <w:szCs w:val="18"/>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1,499,210</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Interest/Dividend income/yield</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68,306</w:t>
            </w:r>
          </w:p>
        </w:tc>
        <w:tc>
          <w:tcPr>
            <w:tcW w:w="200" w:type="dxa"/>
            <w:vAlign w:val="bottom"/>
          </w:tcPr>
          <w:p>
            <w:pPr>
              <w:spacing w:after="0" w:line="20" w:lineRule="exact"/>
              <w:rPr>
                <w:sz w:val="1"/>
                <w:szCs w:val="1"/>
                <w:color w:val="auto"/>
              </w:rPr>
            </w:pP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4.85%</w:t>
            </w: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Expense/cost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14,759</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Interest Spread</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53,547</w:t>
            </w:r>
          </w:p>
        </w:tc>
        <w:tc>
          <w:tcPr>
            <w:tcW w:w="2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Net Interest Margin</w:t>
            </w: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vMerge w:val="continue"/>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3.80%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900" w:type="dxa"/>
            <w:vAlign w:val="bottom"/>
            <w:tcBorders>
              <w:top w:val="single" w:sz="8" w:color="CFF0FC"/>
              <w:bottom w:val="single" w:sz="8" w:color="CFF0FC"/>
            </w:tcBorders>
            <w:vMerge w:val="restart"/>
          </w:tcPr>
          <w:p>
            <w:pPr>
              <w:ind w:left="4400"/>
              <w:spacing w:after="0"/>
              <w:rPr>
                <w:sz w:val="20"/>
                <w:szCs w:val="20"/>
                <w:color w:val="auto"/>
              </w:rPr>
            </w:pPr>
            <w:r>
              <w:rPr>
                <w:rFonts w:ascii="Arial" w:cs="Arial" w:eastAsia="Arial" w:hAnsi="Arial"/>
                <w:sz w:val="18"/>
                <w:szCs w:val="18"/>
                <w:color w:val="auto"/>
              </w:rPr>
              <w:t>30</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140" w:type="dxa"/>
            <w:vAlign w:val="bottom"/>
            <w:vMerge w:val="continue"/>
          </w:tcPr>
          <w:p>
            <w:pPr>
              <w:spacing w:after="0"/>
              <w:rPr>
                <w:sz w:val="24"/>
                <w:szCs w:val="24"/>
                <w:color w:val="auto"/>
              </w:rPr>
            </w:pPr>
          </w:p>
        </w:tc>
        <w:tc>
          <w:tcPr>
            <w:tcW w:w="4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0" w:name="page31"/>
    <w:bookmarkEnd w:id="30"/>
    <w:p>
      <w:pPr>
        <w:jc w:val="both"/>
        <w:spacing w:after="0" w:line="262" w:lineRule="auto"/>
        <w:rPr>
          <w:sz w:val="20"/>
          <w:szCs w:val="20"/>
          <w:color w:val="auto"/>
        </w:rPr>
      </w:pPr>
      <w:r>
        <w:rPr>
          <w:rFonts w:ascii="Arial" w:cs="Arial" w:eastAsia="Arial" w:hAnsi="Arial"/>
          <w:sz w:val="18"/>
          <w:szCs w:val="18"/>
          <w:color w:val="auto"/>
        </w:rPr>
        <w:t>The following tables show changes in interest income, interest expense and net interest resulting from changes in volume and rate variances for major categories of earnings assets and interest bearing liabilities.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6"/>
              </w:rPr>
              <w:t>2021 vs 2020</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Net</w:t>
            </w:r>
          </w:p>
        </w:tc>
        <w:tc>
          <w:tcPr>
            <w:tcW w:w="1340" w:type="dxa"/>
            <w:vAlign w:val="bottom"/>
            <w:gridSpan w:val="4"/>
          </w:tcPr>
          <w:p>
            <w:pPr>
              <w:ind w:left="80"/>
              <w:spacing w:after="0"/>
              <w:rPr>
                <w:sz w:val="20"/>
                <w:szCs w:val="20"/>
                <w:color w:val="auto"/>
              </w:rPr>
            </w:pPr>
            <w:r>
              <w:rPr>
                <w:rFonts w:ascii="Arial" w:cs="Arial" w:eastAsia="Arial" w:hAnsi="Arial"/>
                <w:sz w:val="18"/>
                <w:szCs w:val="18"/>
                <w:color w:val="auto"/>
              </w:rPr>
              <w:t>Change Due to</w:t>
            </w:r>
          </w:p>
        </w:tc>
        <w:tc>
          <w:tcPr>
            <w:tcW w:w="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w w:val="94"/>
              </w:rPr>
              <w:t>Change Due to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2"/>
              </w:rPr>
              <w:t>Change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Volume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Earning Assets:</w:t>
            </w:r>
          </w:p>
        </w:tc>
        <w:tc>
          <w:tcPr>
            <w:tcW w:w="9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Loans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6,328</w:t>
            </w:r>
          </w:p>
        </w:tc>
        <w:tc>
          <w:tcPr>
            <w:tcW w:w="12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10,373</w:t>
            </w:r>
          </w:p>
        </w:tc>
        <w:tc>
          <w:tcPr>
            <w:tcW w:w="18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Taxable investment securities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Tax-exempt investment securities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 funds sold &amp; other</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Total Interest Earning Assets</w:t>
            </w: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vMerge w:val="continue"/>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6,671</w:t>
            </w:r>
          </w:p>
        </w:tc>
        <w:tc>
          <w:tcPr>
            <w:tcW w:w="120" w:type="dxa"/>
            <w:vAlign w:val="bottom"/>
          </w:tcPr>
          <w:p>
            <w:pPr>
              <w:spacing w:after="0"/>
              <w:rPr>
                <w:sz w:val="22"/>
                <w:szCs w:val="22"/>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13,451</w:t>
            </w:r>
          </w:p>
        </w:tc>
        <w:tc>
          <w:tcPr>
            <w:tcW w:w="180" w:type="dxa"/>
            <w:vAlign w:val="bottom"/>
          </w:tcPr>
          <w:p>
            <w:pPr>
              <w:spacing w:after="0"/>
              <w:rPr>
                <w:sz w:val="22"/>
                <w:szCs w:val="22"/>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Interest Bearing Liabilities: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Savings deposits</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(1,475)</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Other time deposits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borrowed money</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Federal funds purchased and securities sold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under agreement to repurchase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Subordinated notes</w:t>
            </w:r>
          </w:p>
        </w:tc>
        <w:tc>
          <w:tcPr>
            <w:tcW w:w="9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(3,051)</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2,742</w:t>
            </w:r>
          </w:p>
        </w:tc>
        <w:tc>
          <w:tcPr>
            <w:tcW w:w="18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6"/>
              </w:rPr>
              <w:t>2020 vs 2019</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Net</w:t>
            </w:r>
          </w:p>
        </w:tc>
        <w:tc>
          <w:tcPr>
            <w:tcW w:w="1340" w:type="dxa"/>
            <w:vAlign w:val="bottom"/>
            <w:gridSpan w:val="4"/>
          </w:tcPr>
          <w:p>
            <w:pPr>
              <w:ind w:left="80"/>
              <w:spacing w:after="0"/>
              <w:rPr>
                <w:sz w:val="20"/>
                <w:szCs w:val="20"/>
                <w:color w:val="auto"/>
              </w:rPr>
            </w:pPr>
            <w:r>
              <w:rPr>
                <w:rFonts w:ascii="Arial" w:cs="Arial" w:eastAsia="Arial" w:hAnsi="Arial"/>
                <w:sz w:val="18"/>
                <w:szCs w:val="18"/>
                <w:color w:val="auto"/>
              </w:rPr>
              <w:t>Change Due to</w:t>
            </w:r>
          </w:p>
        </w:tc>
        <w:tc>
          <w:tcPr>
            <w:tcW w:w="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w w:val="94"/>
              </w:rPr>
              <w:t>Change Due to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2"/>
              </w:rPr>
              <w:t>Change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Volume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Earning Assets:</w:t>
            </w:r>
          </w:p>
        </w:tc>
        <w:tc>
          <w:tcPr>
            <w:tcW w:w="9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Loans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10,169</w:t>
            </w:r>
          </w:p>
        </w:tc>
        <w:tc>
          <w:tcPr>
            <w:tcW w:w="18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Taxable investment securities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Tax-exempt investment securities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 funds sold &amp; interest bearing deposits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Total Interest Earning Assets</w:t>
            </w: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vMerge w:val="continue"/>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2"/>
                <w:szCs w:val="22"/>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11,493</w:t>
            </w:r>
          </w:p>
        </w:tc>
        <w:tc>
          <w:tcPr>
            <w:tcW w:w="180" w:type="dxa"/>
            <w:vAlign w:val="bottom"/>
          </w:tcPr>
          <w:p>
            <w:pPr>
              <w:spacing w:after="0"/>
              <w:rPr>
                <w:sz w:val="22"/>
                <w:szCs w:val="22"/>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Interest Bearing Liabilities: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Savings deposits</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(3,381)</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Other time deposits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borrowed money</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Federal funds purchased and securities sold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under agreement to repurchase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Subordinated notes</w:t>
            </w:r>
          </w:p>
        </w:tc>
        <w:tc>
          <w:tcPr>
            <w:tcW w:w="9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(4,366)</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discussion now focuses on the noninterest income and expense generated by the Company for the years ended 2019 through 2021. Noninterest income increased by 4.9% in total for 2021 as compared to 2020, ending at $17.6 million. 2020 had noninterest income of $16.8 million which exceeded 2019’s $11.8 million by 42.0%.</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two line items of noninterest income on the consolidated income statement for 2021 which improved over both 2020 and 2019 were customer service fee revenue and net gain (loss) on sale of available-for sale-securities which will be discussed in a separate paragraph. 2021 customer service fee revenue was $778.0 thousand higher than 2020, mostly due to increased debit card income while 2020 was $2.2 million higher than 2019, mainly due to increased mortgage servicing rights income, debit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jc w:val="both"/>
        <w:spacing w:after="0" w:line="310" w:lineRule="auto"/>
        <w:rPr>
          <w:sz w:val="20"/>
          <w:szCs w:val="20"/>
          <w:color w:val="auto"/>
        </w:rPr>
      </w:pPr>
      <w:r>
        <w:rPr>
          <w:rFonts w:ascii="Arial" w:cs="Arial" w:eastAsia="Arial" w:hAnsi="Arial"/>
          <w:sz w:val="15"/>
          <w:szCs w:val="15"/>
          <w:color w:val="auto"/>
        </w:rPr>
        <w:t>card income and mortgage release fees. In 2020, the Bank purchased additional bank owned life insurance policies which contributed $302.5 thousand of income in 2021. 2020 included a one-time $429.9 thousand gain on the settlement of a bank owned life insurance contract. Other service charges and fees increased $146.0 thousand from 2020 which decreased $841.3 thousand over 2019’s $4.4 million. The majority of the increase for 2021 was related to services charges from business and consumer accounts while the decrease for 2020 was attributed to overdraft, returned check charges and recurring overdraft fees from combined business accounts and consumer accounts. Upgrades to our digital products and services continue to occur in both retail and business lines.</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Bank has long promoted the use of debit cards by its customers and continues to build on that philosophy with the introduction of new products. During 2021 the Bank collected interchange revenue, combined with fees collected on foreign ATM usage (noncustomers utilizing our ATMs), of $4.8 million which was $938.5 thousand higher than 2020 and $518.2 thousand higher than 2019. 2021 included a Mastercard growth credit of $151 thousand. In December of 2019, the Bank became a principal with MasterCard and received a $1.75 million signing bonus. The signing bonus is based on achieving $1.1 billion in signature transactions within the next five years. The bonus is being recognized over 60 months with $350.8 thousand included in 2021 and 2020’s $4.8 million and $3.9 million, respectively. While this revenue stream continues to improve with more depositors using electronic methods for purchasing, the expense attributable to card fraud has offset a portion of the revenue gain. Further discussion can be found in the noninterest expense section regarding the net effect of debit card activity.</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Noninterest income from net gain on sales of loans was the highest in 2020 of the three year periods shown. The change was related to the decrease in rates after a couple of years of a rising interest rate environment. The net gain on sale of loans is derived from sales of real estate loans into the secondary market. Of these loan types, the Bank sells 100% of the residential loans and 90% of the agricultural loans. 47.4% of the gains were attributed to the residential loans in 2021, 65.2% in 2020 and 56.0% in 2019. In conjunction with these sales, the Bank maintains servicing rights and those income amounts during all three years are included in the customer service fee income line item and accounted for $1.4 million in 2021, $1.7 million in 2020 and $731.4 thousand in revenue for 2019.</w:t>
      </w:r>
    </w:p>
    <w:p>
      <w:pPr>
        <w:spacing w:after="0" w:line="19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last item in the noninterest income section is the net gain of sale of investments. The Bank has sold securities over the last three years for two main purposes: to provide funds for loan growth and to take advantage of the position of the yield curve when a gain can be recognized on sales without extending the duration of the portfolio longer than wanted. In March of 2021, the Company sold and recognized a gain on the sale of securities from the holding company of $293 thousand in preparation for the acquisition of Ossian State Bank. In February of 2020, the Bank completed security swap transactions that resulted in a gain of $270 thousand. 2019 had limited sales for gain recognition due to the flatness of the yield curve which began to occur in second half of 2017. The Bank will not increase short-term gains at the sacrifice of long-term profitability. The Bank recognized net losses of $26.3 thousand in 2019. The Company also recognized a gain on sale of securities from the holding company of $0.4 thousand in 2019. The net effect of the consolidated number is what shows on the line item of net loss of $26 thousand for 2019. The available for sale security portfolio switched from an unrealized gain position in 2019 and 2020 into an unrealized loss position in 2021.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Noninterest expense increased 22.1% in 2021 as compared to 2020 and was preceded by a 7.0% increase in 2020 as compared to 2019. Represented in dollars, 2021 was $9.8 million higher than 2020 and 2020 was $2.9 million higher than 2019. Acquisition costs incurred in 2021 and 2019 totaled $3.9 million and $1.3 million, respectively with expenses being recorded in multiple line items. The largest factor behind the increase in both years was the expense of employee salaries and wages. During 2021, an additional $1.7 million was spent over 2020 which correlates to a 9.2% increase. When making the same analysis for 2020 as compared to 2019, 2020’s costs increased $2.2 million or 13.2%. Three main components flow into salaries and wages: base salary, deferred costs, and incentives comprised of the expense of restricted stock awards and performance incentives. 2021 increased with the addition of one new office and the acquisition of Ossian State Bank and Perpetual Federal Savings Bank offices. Base pay increased in 2020 with the creation of pay grades and a minimum living wage of $26,000 or $12.50 per hour. 2019 increased with the addition of the six offices acquired from Bank of Geneva. Normal yearly increases to the employees would be included in all years. Base pay was up $1.2 million for 2021 over the previous year and 2020 was up $2.9 million over 2019. The full time equivalent number of employees at each year-end increased to 385 for 2021, to 367 for 2020 compared to 2019’s 357.</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Incentive pay as it related to performance was up $320.9 thousand in 2021 over 2020 and up $194.0 thousand in 2020 over 2019. The Return on Assets multiple used to award incentive pay increased in 2021 to 1.165 compared to 2020 and 2019’s 1.0. In 2021, acquisition costs were eliminated from the calculation and 2020 excluded the accelerated net fee income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jc w:val="both"/>
        <w:spacing w:after="0" w:line="281" w:lineRule="auto"/>
        <w:rPr>
          <w:sz w:val="20"/>
          <w:szCs w:val="20"/>
          <w:color w:val="auto"/>
        </w:rPr>
      </w:pPr>
      <w:r>
        <w:rPr>
          <w:rFonts w:ascii="Arial" w:cs="Arial" w:eastAsia="Arial" w:hAnsi="Arial"/>
          <w:sz w:val="16"/>
          <w:szCs w:val="16"/>
          <w:color w:val="auto"/>
        </w:rPr>
        <w:t>recognized with the forgiveness of PPP loans. The effect of acquisition costs and fair value accretions/amortizations were removed in 2019 for the calculation. The expense for the restricted stock awards decreased in 2021 even though more shares have been granted to a slightly larger number of employees and the market value of the shares increased compared to 2020; however down from 2019 and 2018 awards. 11,368 additional shares were awarded in 2021 with a higher value as compared to 2020; however, the expense for 2021 was lower by $201.6 thousand which included accelerated expense due to retirement of $32.6 thousand as compared to 2020. 718 less shares were awarded in 2020 with a lower value as compared to 2019; therefore, the expense for 2020 was lower by $63.9 thousand which included accelerated expense due to retirement and other of $163.4 thousand as compared to 2019. The awards incorporate a three year vesting period so the increase of any one year carries forward through the next two years. This expense should continue to increase as the Company continues its expansion strategy. For further discussion in incentive pay and restricted stock awards, see Note 11 of the consolidated financial statements.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Along with the salary and wage increase was an increase in employee benefits in 2021 as compared to 2020. Miscellaneous personnel expense accounted for the largest portion of the cost, which was an increase of $774.3 thousand over 2020. Acquisition related costs included in this line were $825.5 thousand. The cost of the 401-K retirement plan increased $856.5 thousand for 2021 as compared to 2020. 2021 included $345 thousand for 2020’s employer match. The contribution portion relating to the discretionary profit-sharing percentage was 5.0% in 2021 compared to 4.6% for 2020. Workers compensation increased $184 thousand compared to 2020 with the bureau issuing three dividend checks totaling $185.9 thousand in 2020. Overall, employee benefits increased $1.7 million or 30.7% from 2020.</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Along with the salary and wage increase was a slight increase in employee benefits in 2020 as compared to 2019. Employee group insurance accounted for the largest portion of the cost, which was an increase of $441.6 thousand over 2019. This was due to an increase in the cost to provide to a larger number of employees along with a higher level of medical claims. The cost of the 401-K retirement plan decreased $185.1 thousand for 2020 as compared to 2019. The contribution portion relating to the discretionary profit-sharing percentage was 4.6% in 2020 compared to 5.25% for 2019. Workers compensation decreased $173.1 thousand compared to 2019 due to the bureau issuing three dividend checks. Overall, employee benefits increased $43.0 thousand or 0.8% from 2019.</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Net occupancy expense typically increases as the Company expands; however, a decrease occurred for 2021 through 2019. One factor that can offset occupancy expense is the receipt by the Company of building rent as it is netted out of occupancy expense. The greatest contributor to building rent comes from the division of FM Investments within the Bank. This division experienced a stronger 2021 than 2020 and a stronger 2020 than 2019. The acquisition of Adams County Financial Resources has contributed to this improvement. For 2021, building rent as generated from FM Investments was higher by $407.9 thousand. Rent is received in lieu of commissions. This increase of revenue was able to offset increased building repair and maintenance expenses of $230.9 thousand and lease expense of $57.6 thousand thus contributing to the decreased net occupancy expense of $87 thousand for 2021 as compared to 2020. Building rent as generated by FM Investments was higher by $24.8 thousand in 2020 which contributed along with decreased automobile expenses of $64.2 thousand and building repair and maintenance expenses of $69.7 thousand to the overall decrease to net occupancy of $46.0 thousand in 2020 as compared to 2019.</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1-4 family mortgage refinancing activity continued to see an increase in 2021 with the decline in interest rates. 2020 accounted for the largest number of loans being closed in the Bank’s history. A correlating expense to that activity as it relates to loans sold to the secondary market, is the amortization of mortgage servicing rights. The amortization is the expense that offsets the income recognized when the loan is first made. Income is recorded when the mortgage loan is first sold with servicing retained and is therefore recognized within one year. The amortization, however, is calculated over the life of the loan and accelerated as loans are paid off early. An increase in this expense can be driven by two activities: an increase in the number of sold loans and/or by the acceleration of the expense from payoff and refinance activity. The best picture of the bottom line impact is achieved by netting the income with the expense each year. The net income for 2021 was $251 thousand; The carrying value was greater than the market value of $3.2 million which created the need to establish a $414 thousand valuation allowance during 2021. 2020 had net income of $691 thousand and was preceded by net income of $244 thousand for 2019. Of course, the value (or income) of the mortgage servicing right when the loans are sold also impacts the net position. As of December 31, 2021, 3,961 loans are being serviced with corresponding balances of $380.8 million. 2020 had 4,034 loans serviced with corresponding balances of $377.5 million. As of December 2019, 3,691 loans were being serviced with balances of $303.9 million.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impact of mortgage servicing rights to both noninterest income and expense is shown in the following table:</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0" w:type="dxa"/>
            <w:vAlign w:val="bottom"/>
            <w:tcBorders>
              <w:bottom w:val="single" w:sz="8" w:color="CFF0FC"/>
            </w:tcBorders>
          </w:tcPr>
          <w:p>
            <w:pPr>
              <w:spacing w:after="0"/>
              <w:rPr>
                <w:sz w:val="18"/>
                <w:szCs w:val="18"/>
                <w:color w:val="auto"/>
              </w:rPr>
            </w:pPr>
          </w:p>
        </w:tc>
        <w:tc>
          <w:tcPr>
            <w:tcW w:w="16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1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0" w:type="dxa"/>
            <w:vAlign w:val="bottom"/>
          </w:tcPr>
          <w:p>
            <w:pPr>
              <w:ind w:left="240"/>
              <w:spacing w:after="0"/>
              <w:rPr>
                <w:sz w:val="20"/>
                <w:szCs w:val="20"/>
                <w:color w:val="auto"/>
              </w:rPr>
            </w:pPr>
            <w:r>
              <w:rPr>
                <w:rFonts w:ascii="Arial" w:cs="Arial" w:eastAsia="Arial" w:hAnsi="Arial"/>
                <w:sz w:val="18"/>
                <w:szCs w:val="18"/>
                <w:color w:val="auto"/>
              </w:rPr>
              <w:t>Capitalized Additions</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4"/>
        </w:trPr>
        <w:tc>
          <w:tcPr>
            <w:tcW w:w="340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End of Year</w:t>
            </w:r>
          </w:p>
        </w:tc>
        <w:tc>
          <w:tcPr>
            <w:tcW w:w="1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vMerge w:val="continue"/>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Furniture and equipment steadily increase as we continue to add facilities and invest in technology. Annual maintenance costs continue to grow and become a greater piece of the overall cost. As new services are provided to our customers, the backroom cost to supply them continues to rise. The Company accepts it is an expected cost of doing business and keeping our services relevant to the industry.</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Data processing costs were higher in 2021 as compared to 2020 by $1.7 million of which $1.4 million was acquisition related for termination fees. As the pricing on many services is based on number of accounts which the Bank fully expects to increase with the growth from the newer offices and overall Bank growth, data processing costs are expected to increase. Data processing expense decreased by $785.0 thousand during 2020 as compared to 2019 of which $867.6 thousand was acquisition related for termination fees incurred in 2019.</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ATM expense increased $156.0 thousand over 2020 while 2020 decreased $25.0 thousand from 2019. Included in this line are the debit card fees incurred which offset the debit card income as discussed above.</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FDIC assessment increased over 2020 while 2020 increased as compared to 2019. This line item speaks to the health of the Bank and the financial industry. With continued growth, the assessment base increases which leads to a greater expense. 2021’s assessment was $440 thousand over 2020. The assessment for 2020 was up $450.0 thousand compared to 2019 as a result of the total assessment base increasing. In 2020, Small Bank Assessment Credits of $125.9 thousand were applied to first quarter’s invoice. Credits in the amount of $204.2 thousand were applied to third and fourth quarter 2019’s invoice.</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Advertising and public relations increased in 2021 by $104.0 thousand and decreased in 2020 by $237.0 thousand with many events canceled due to the pandemic. With the addition of new offices, 2021 was expected to increase. The Bank also celebrates the anniversary of office openings with a special event in each community.</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last line items with significant variation in noninterest expense to discuss is “consulting fees” and “other general and administrative.” Consulting fees increased by $666.0 thousand in 2021 over 2020 and increased $300.0 thousand in 2020 compared to 2019. In 2021, $892.1 thousand was paid to firms for acquisition assistance, $150 thousand was paid as the final payment for the 2019 profit enhancement project, $36.6 thousand for market studies and $51.4 thousand for PPP loan administrative assistance. In 2020, $167.0 thousand was paid to the firm who assisted with identifying profit enhancements, $48.0 thousand for Chief Information Officer search, $25.0 thousand to Kasasa for contract termination and $34.0 thousand to develop a predictive customer behavior model. During 2019, consultants were used to complete a pay study review, assist with developing a three year strategic plan and to identify profit enhancement initiatives. Acquisition expenses included in the other general and administrative line were $743.3 thousand for 2021 and $199.8 thousand for 2019. Customer list intangible expense which is included in the other general and administrative line increased in 2021 compared to 2020 by $107.0 thousand with the acquisition of Adams County Financial Resources in November of 2020. Loan and collection expenses increased $326.0 thousand over 2020 and legal expenses increased $409.8 thousand over 2020 of which $398.5 thousand was acquisition related. Auditing and exam fees increased $210.3 thousand which included $81.1 thousand of acquisition related costs over 2020 and 2020 increased $82.5 thousand over 2019.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Provision expense decreased by $3.5 million for 2021 as compared to 2020 and increased by $5.8 million for 2020 as compared to 2019. The large increase in provision expense for 2020 was attributable to the uncertainties associated with COVID-19 and its effects on the ability of individuals, businesses and other entities to meet their financial obligations. Therefore, it was prudent to incorporate the impact of COVID-19 in the evaluation of the adequacy of Allowance for Loan and Lease Losses (ALLL). The restaurant and hospitality sectors have been hit especially hard. Risk in the Consumer and 1-4 Family Portfolio has increased but the full impact remains unknown. Increases to the Bank’s ALLL centered around current customers and businesses that are particularly vulnerable and qualitative factors were adjusted accordingly. The portfolios for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jc w:val="both"/>
        <w:spacing w:after="0" w:line="284" w:lineRule="auto"/>
        <w:rPr>
          <w:sz w:val="20"/>
          <w:szCs w:val="20"/>
          <w:color w:val="auto"/>
        </w:rPr>
      </w:pPr>
      <w:r>
        <w:rPr>
          <w:rFonts w:ascii="Arial" w:cs="Arial" w:eastAsia="Arial" w:hAnsi="Arial"/>
          <w:sz w:val="16"/>
          <w:szCs w:val="16"/>
          <w:color w:val="auto"/>
        </w:rPr>
        <w:t>which we had concerns with the COVID-19 impact in 2020 have performed and recovered nicely and have allowed us not to continue to allocate funds to the ALLL in 2021. The majority of the uncertainties have decreased though we do continue to keep a watchful eye on the situation. Management continues to monitor asset quality, making adjustments to the provision as necessary. The commercial and industrial portfolio had the highest level of charge-off activity in 2021 at $814 thousand while the consumer portfolio had the highest levels of charge-off activity in 2020 and 2019 at $380 and $491 thousand respectively. Net charge-offs in the commercial and industrial portfolio were $557 thousand in 2021 while the consumer portfolio net charge-offs were $240 and $371 thousand for 2020 and 2019 respectively. Total net charge-offs were $874, $537 and $685 thousand for 2021, 2020 and 2019, respectively.</w:t>
      </w:r>
    </w:p>
    <w:p>
      <w:pPr>
        <w:spacing w:after="0" w:line="16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The Company segregates its Allowance for Credit Losses (ACL) into two reserves: The ALLL and the Allowance for Unfunded Loan Commitments and Letters of Credit (AULC). When combined, these reserves constitute the total ACL. The AUCL is included in other liabilities on the consolidated balance sheets.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Bank’s ALLL methodology captures trends in leading, current, and lagging indicators which will directly affect the Bank’s allocation amount. The Bank monitors trends in such leading indicators as delinquency, unemployment changes in the Bank’s service area, experience and ability of staff, regulatory trends, and credit concentrations. A current indicator such as the total watch list loan amount to Capital, and a lagging indicator such as the charge-off amount are referenced as well. A matrix formed by loan type from these indicators is used in making ALLL adjustments.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Watch list loan balances are comprised of loans graded 5-8. At year-end December 31, 2021, these loans totaled $55.4 million and were approximately $1.0 million lower than December 31, 2020. Grade 5 increased $4.4 million in 2021 as compared to 2020 and Grade 6 decreased $4.3 million in the same comparison. Grade 7 decreased $1.1 million in 2021 as compared to 2020.</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year-end December 31, 2020 these loans totaled $56.3 million and were $3.9 million lower than December 31, 2019. Grade 5 decreased $6.1 million in 2020 as compared to 2019 and Grade 6 increased by $2.2 million in the same comparison. Grade 7 increased a mere $29 thousand in 2020 as compared to 2019.</w:t>
      </w:r>
    </w:p>
    <w:p>
      <w:pPr>
        <w:spacing w:after="0" w:line="18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At year-end December 31, 2019, the watch list loans totaled $60.2 million. Grade 5 loans were $23.7 million, Grade 6 were $35.4 million and Grade 7 loans were $1.1 million. Much of the total increase in 2019, $33.4 million, is in the agricultural real estate portfolio which expanded with the acquired loan portfolio.</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2021, 39.7% of the watch list was classified as special mention, with an additional 60.3% classified as substandard of the $56.2 million watch list was classified as doubtful. At year-end 2020, 31.2% of the watch list was classified as special mention, with an additional 66.8% classified as substandard and a small 2.0% or $1.1 million of the $56.3 million watch list was classified as doubtful.</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aggregate watch list loan balances, as of December 31, 2019, 39.3% of the watch list was classified as special mention, with an additional 58.9% classified as substandard. A small 1.8% or $1.1 million of the $60.2 million watch list was classified as doubtful.</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response to these fluctuations and loan growth during 2019 through 2020, the Bank’s ALLL to outstanding loan coverage percentage changed to 0.87% as of December 31, 2021, 1.05% as of December 31, 2020 and 0.59% as of December 31, 2019. In addition, for 2021, 2020 and 2019, our allowance for loan and lease losses does not include a $1.2, $1.7 and $2.1 million credit mark, respectively associated with the Limberlost acquisition. For 2021, our allowance for loan and lease losses also does not include a $966 thousand credit mark associated with the Ossian acquisition or a $5.5 million credit mark associated with the Perpetual Federal Savings Bank acquisition which further supports the current position of the ALLL.</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above indicators impacting the ALLL are reviewed at a minimum quarterly. Some of the indicators are quantifiable and, as such, will automatically adjust the ALLL once calculated. These indicators include the ratio of past due loans to total loans, loans past due greater than 30 days, and the ratio of watch list loans to capital, with the watch list made up of loans graded 5, 6 or 7 on a scale of 1 (best) to 7 (worst). Other indicators consist of more subjective data used to evaluate the potential for inherent losses in the Bank’s loan portfolio. For example, the economic indicator uses the unemployment statistics from the communities in our market area to help determine whether the ALLL should be adjusted. At the end of 2019, improvements were noted in unemployment figures. In 2020, a COVID-19 factor was added and adjusted during the year.</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commercial and agricultural relationships with lines of credit greater than $50,000 and aggregate loan exposure greater than $250,000 are reviewed annually by the Bank’s Credit Department. All commercial and agricultural relationships 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jc w:val="both"/>
        <w:spacing w:after="0" w:line="262" w:lineRule="auto"/>
        <w:rPr>
          <w:sz w:val="20"/>
          <w:szCs w:val="20"/>
          <w:color w:val="auto"/>
        </w:rPr>
      </w:pPr>
      <w:r>
        <w:rPr>
          <w:rFonts w:ascii="Arial" w:cs="Arial" w:eastAsia="Arial" w:hAnsi="Arial"/>
          <w:sz w:val="18"/>
          <w:szCs w:val="18"/>
          <w:color w:val="auto"/>
        </w:rPr>
        <w:t>term debt only and aggregate loan exposure greater than $750,000 are also reviewed by the Bank’s Credit Department. These reviews are conducted to identify early signs of deterioration.</w:t>
      </w:r>
    </w:p>
    <w:p>
      <w:pPr>
        <w:spacing w:after="0" w:line="180"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To establish the specific reserve allocation for real estate, a discount to the market value is established to account for liquidation expenses. The discounting percentage used for real estate mirrors the discounting of real estate as provided for in the Bank’s Loan Policy. However, unique or unusual circumstances may be present which will affect the real estate value and, when appropriately identified, can adjust the discounting percentage at the discretion of management.</w:t>
      </w:r>
    </w:p>
    <w:p>
      <w:pPr>
        <w:spacing w:after="0" w:line="136"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The ACL increased $3.0 million during 2021 while increasing $6.6 million and $658 thousand during 2020 and 2019 respectively. The percentage of ACL to the total loan portfolio was 0.63% as of December 31, 2019 and 1.1% as of December 31, 2020, and 0.93% as of December 31, 2021. December 31, 2018 and 2021 had the lowest loans past due 30+ day percentage at 0.09% in the last ten years. December 31, 2019 and 2020 were still at respectable lows of 0.18% and 0.29%.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4 in the consolidated financial statement for additional tables regarding the composition of the ACL.</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Income tax expense was $891 thousand more for 2021 than 2020 as result of approximately $4.3 million of additional income. The Tax Cuts and Jobs Act, which was signed into law on December 22, 2017, became effective for the Company’s 2018 fiscal year and created a single corporate tax rate of 21%. Effective tax rates were 20.35%, 20.28% and 19.15% for 2021, 2020 and 2019 respectively. The effect of tax-exempt interest from holding tax-exempt securities and Industrial Development Bonds (IDBs) was $119, $150 and $182 thousand for 2021, 2020 and 2019, respectively less the TEFRA adjustments of $3, $4 and $12 thousand respectively. One of the benefits from the establishment of the Captive subsidiary was a lower effective tax rate.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Changes in Financial Condition</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shifts in the balance sheet during 2021 through 2019 have positioned the Company for continued improvement in profitability. On the asset side, interest income increased primarily from loan growth with funding for the increase provided by growth in core deposits and growth in other borrowings primarily related to the acquisition of the Bank of Geneva and Perpetual Federal Savings Bank. The cost of funds has been impacted by the increase of both interest bearing liabilities and the pressure on rates from competition for funds. In 2020, the rate pressure from competition basically subsided. Increased balances in non-interest bearing deposits aided in profitability also. Loan growth and a widened net interest margin contributed to improved profitability in 2019 while loan growth contributed to an increase in profitability in 2020 and 2021. With the rate decreases in 2020, net interest margin decreased 18 basis points compared to 2019 and 31 basis points compared to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Average earning assets increased in balances through 2021 and 2020. Loan growth in both years was the main factor.</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investment portfolio is primarily used to provide overall liquidity for the Bank. It is also used to provide required collateral for pledging to the Bank’s Ohio public depositors for amounts on deposit in excess of the FDIC coverage limits. It may also be used to pledge for additional borrowings from third parties. Investments are made with the above criteria in mind while still seeking a fair market rate of return and looking for maturities that fall within the projected overall strategy of the Bank. The possible need to fund future loan growth is also a consideration.</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Bank uses Promontory’s ICS product which utilizes a nation-wide bank network to provide FDIC insurance coverage to the Bank’s depositors to protect balances over $250 thousand. The Bank is using the product to replace pledging securities for the Bank’s Ohio public customers and commercial sweep customers; thereby increasing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of the Bank’s security portfolio is categorized as available for sale and as such is recorded at market value.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6" w:name="page37"/>
    <w:bookmarkEnd w:id="36"/>
    <w:p>
      <w:pPr>
        <w:ind w:right="40"/>
        <w:spacing w:after="0" w:line="262" w:lineRule="auto"/>
        <w:rPr>
          <w:sz w:val="20"/>
          <w:szCs w:val="20"/>
          <w:color w:val="auto"/>
        </w:rPr>
      </w:pPr>
      <w:r>
        <w:rPr>
          <w:rFonts w:ascii="Arial" w:cs="Arial" w:eastAsia="Arial" w:hAnsi="Arial"/>
          <w:sz w:val="18"/>
          <w:szCs w:val="18"/>
          <w:color w:val="auto"/>
        </w:rPr>
        <w:t>Our cash position increased with each of the acquisitions and the excess cash was partially invested in the security portfolio. Security balances as of December 31 are summarized below:</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3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7"/>
              </w:rPr>
              <w:t>(In Thousands)</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3200" w:type="dxa"/>
            <w:vAlign w:val="bottom"/>
            <w:tcBorders>
              <w:bottom w:val="single" w:sz="8" w:color="CFF0FC"/>
            </w:tcBorders>
          </w:tcPr>
          <w:p>
            <w:pPr>
              <w:spacing w:after="0"/>
              <w:rPr>
                <w:sz w:val="18"/>
                <w:szCs w:val="18"/>
                <w:color w:val="auto"/>
              </w:rPr>
            </w:pPr>
          </w:p>
        </w:tc>
        <w:tc>
          <w:tcPr>
            <w:tcW w:w="1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8"/>
                <w:szCs w:val="18"/>
                <w:color w:val="auto"/>
              </w:rPr>
            </w:pPr>
          </w:p>
        </w:tc>
      </w:tr>
      <w:tr>
        <w:trPr>
          <w:trHeight w:val="217"/>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89,177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80" w:type="dxa"/>
            <w:vAlign w:val="bottom"/>
            <w:shd w:val="clear" w:color="auto" w:fill="CFF0FC"/>
          </w:tcPr>
          <w:p>
            <w:pPr>
              <w:spacing w:after="0"/>
              <w:rPr>
                <w:sz w:val="18"/>
                <w:szCs w:val="18"/>
                <w:color w:val="auto"/>
              </w:rPr>
            </w:pP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156,886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124,241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62,445</w:t>
            </w:r>
          </w:p>
        </w:tc>
        <w:tc>
          <w:tcPr>
            <w:tcW w:w="80" w:type="dxa"/>
            <w:vAlign w:val="bottom"/>
          </w:tcPr>
          <w:p>
            <w:pPr>
              <w:spacing w:after="0"/>
              <w:rPr>
                <w:sz w:val="19"/>
                <w:szCs w:val="19"/>
                <w:color w:val="auto"/>
              </w:rPr>
            </w:pPr>
          </w:p>
        </w:tc>
      </w:tr>
      <w:tr>
        <w:trPr>
          <w:trHeight w:val="224"/>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113,056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95,197</w:t>
            </w:r>
          </w:p>
        </w:tc>
        <w:tc>
          <w:tcPr>
            <w:tcW w:w="80" w:type="dxa"/>
            <w:vAlign w:val="bottom"/>
            <w:shd w:val="clear" w:color="auto" w:fill="CFF0FC"/>
          </w:tcPr>
          <w:p>
            <w:pPr>
              <w:spacing w:after="0"/>
              <w:rPr>
                <w:sz w:val="19"/>
                <w:szCs w:val="19"/>
                <w:color w:val="auto"/>
              </w:rPr>
            </w:pPr>
          </w:p>
        </w:tc>
      </w:tr>
      <w:tr>
        <w:trPr>
          <w:trHeight w:val="224"/>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1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65,941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54,630</w:t>
            </w:r>
          </w:p>
        </w:tc>
        <w:tc>
          <w:tcPr>
            <w:tcW w:w="80" w:type="dxa"/>
            <w:vAlign w:val="bottom"/>
            <w:tcBorders>
              <w:bottom w:val="single" w:sz="8" w:color="CFF0FC"/>
            </w:tcBorders>
          </w:tcPr>
          <w:p>
            <w:pPr>
              <w:spacing w:after="0"/>
              <w:rPr>
                <w:sz w:val="19"/>
                <w:szCs w:val="19"/>
                <w:color w:val="auto"/>
              </w:rPr>
            </w:pPr>
          </w:p>
        </w:tc>
      </w:tr>
      <w:tr>
        <w:trPr>
          <w:trHeight w:val="217"/>
        </w:trPr>
        <w:tc>
          <w:tcPr>
            <w:tcW w:w="3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429,931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307,812</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222,293</w:t>
            </w:r>
          </w:p>
        </w:tc>
        <w:tc>
          <w:tcPr>
            <w:tcW w:w="80" w:type="dxa"/>
            <w:vAlign w:val="bottom"/>
            <w:shd w:val="clear" w:color="auto" w:fill="CFF0FC"/>
          </w:tcPr>
          <w:p>
            <w:pPr>
              <w:spacing w:after="0"/>
              <w:rPr>
                <w:sz w:val="18"/>
                <w:szCs w:val="18"/>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sets forth the maturities of investment securities as of December 31, 2021 and the weighted average yields of such securities calculated on the basis of cost and effective yields weighted for the scheduled maturity of each security. Tax-equivalent adjustments, using a twenty-one percent rate, have been made in yields on obligations of state and political subdivisions. Stocks of domestic corporations have not been included. Maturities of mortgage-backed securities are based on the stated maturity date of the security. Due to prepayments, actual maturities may be different.</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Maturities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4"/>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color w:val="auto"/>
              </w:rPr>
              <w:t>(Amounts in Thousands)</w:t>
            </w:r>
          </w:p>
        </w:tc>
        <w:tc>
          <w:tcPr>
            <w:tcW w:w="1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3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4"/>
          </w:tcPr>
          <w:p>
            <w:pPr>
              <w:jc w:val="center"/>
              <w:ind w:right="400"/>
              <w:spacing w:after="0"/>
              <w:rPr>
                <w:sz w:val="20"/>
                <w:szCs w:val="20"/>
                <w:color w:val="auto"/>
              </w:rPr>
            </w:pPr>
            <w:r>
              <w:rPr>
                <w:rFonts w:ascii="Arial" w:cs="Arial" w:eastAsia="Arial" w:hAnsi="Arial"/>
                <w:sz w:val="18"/>
                <w:szCs w:val="18"/>
                <w:color w:val="auto"/>
                <w:w w:val="88"/>
              </w:rPr>
              <w:t>After One Year</w:t>
            </w:r>
          </w:p>
        </w:tc>
      </w:tr>
      <w:tr>
        <w:trPr>
          <w:trHeight w:val="224"/>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color w:val="auto"/>
              </w:rPr>
              <w:t>Within One Year</w:t>
            </w:r>
          </w:p>
        </w:tc>
        <w:tc>
          <w:tcPr>
            <w:tcW w:w="3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center"/>
              <w:ind w:right="132"/>
              <w:spacing w:after="0"/>
              <w:rPr>
                <w:sz w:val="20"/>
                <w:szCs w:val="20"/>
                <w:color w:val="auto"/>
              </w:rPr>
            </w:pPr>
            <w:r>
              <w:rPr>
                <w:rFonts w:ascii="Arial" w:cs="Arial" w:eastAsia="Arial" w:hAnsi="Arial"/>
                <w:sz w:val="18"/>
                <w:szCs w:val="18"/>
                <w:color w:val="auto"/>
                <w:w w:val="89"/>
              </w:rPr>
              <w:t>Within Five Years</w:t>
            </w:r>
          </w:p>
        </w:tc>
        <w:tc>
          <w:tcPr>
            <w:tcW w:w="180" w:type="dxa"/>
            <w:vAlign w:val="bottom"/>
          </w:tcPr>
          <w:p>
            <w:pPr>
              <w:spacing w:after="0"/>
              <w:rPr>
                <w:sz w:val="19"/>
                <w:szCs w:val="19"/>
                <w:color w:val="auto"/>
              </w:rPr>
            </w:pPr>
          </w:p>
        </w:tc>
      </w:tr>
      <w:tr>
        <w:trPr>
          <w:trHeight w:val="217"/>
        </w:trPr>
        <w:tc>
          <w:tcPr>
            <w:tcW w:w="38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9"/>
              </w:rPr>
              <w:t>Yield</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Yield</w:t>
            </w:r>
          </w:p>
        </w:tc>
        <w:tc>
          <w:tcPr>
            <w:tcW w:w="180" w:type="dxa"/>
            <w:vAlign w:val="bottom"/>
            <w:tcBorders>
              <w:bottom w:val="single" w:sz="8" w:color="CFF0FC"/>
            </w:tcBorders>
          </w:tcPr>
          <w:p>
            <w:pPr>
              <w:spacing w:after="0"/>
              <w:rPr>
                <w:sz w:val="18"/>
                <w:szCs w:val="18"/>
                <w:color w:val="auto"/>
              </w:rPr>
            </w:pPr>
          </w:p>
        </w:tc>
      </w:tr>
      <w:tr>
        <w:trPr>
          <w:trHeight w:val="21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0.00%</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44,090</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0.64%</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6,530</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1.73%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79,585</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24"/>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0.00%</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1.36%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12,608</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r>
      <w:tr>
        <w:trPr>
          <w:trHeight w:val="224"/>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Taxable state and local governments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1.91%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w:t>
            </w:r>
          </w:p>
        </w:tc>
      </w:tr>
      <w:tr>
        <w:trPr>
          <w:trHeight w:val="434"/>
        </w:trPr>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4"/>
          </w:tcPr>
          <w:p>
            <w:pPr>
              <w:ind w:left="380"/>
              <w:spacing w:after="0"/>
              <w:rPr>
                <w:sz w:val="20"/>
                <w:szCs w:val="20"/>
                <w:color w:val="auto"/>
              </w:rPr>
            </w:pPr>
            <w:r>
              <w:rPr>
                <w:rFonts w:ascii="Arial" w:cs="Arial" w:eastAsia="Arial" w:hAnsi="Arial"/>
                <w:sz w:val="18"/>
                <w:szCs w:val="18"/>
                <w:color w:val="auto"/>
              </w:rPr>
              <w:t>After Five Years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4"/>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Within Ten Years</w:t>
            </w:r>
          </w:p>
        </w:tc>
        <w:tc>
          <w:tcPr>
            <w:tcW w:w="3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center"/>
              <w:ind w:right="132"/>
              <w:spacing w:after="0"/>
              <w:rPr>
                <w:sz w:val="20"/>
                <w:szCs w:val="20"/>
                <w:color w:val="auto"/>
              </w:rPr>
            </w:pPr>
            <w:r>
              <w:rPr>
                <w:rFonts w:ascii="Arial" w:cs="Arial" w:eastAsia="Arial" w:hAnsi="Arial"/>
                <w:sz w:val="18"/>
                <w:szCs w:val="18"/>
                <w:color w:val="auto"/>
                <w:w w:val="87"/>
              </w:rPr>
              <w:t>After Ten Years</w:t>
            </w:r>
          </w:p>
        </w:tc>
        <w:tc>
          <w:tcPr>
            <w:tcW w:w="180" w:type="dxa"/>
            <w:vAlign w:val="bottom"/>
          </w:tcPr>
          <w:p>
            <w:pPr>
              <w:spacing w:after="0"/>
              <w:rPr>
                <w:sz w:val="19"/>
                <w:szCs w:val="19"/>
                <w:color w:val="auto"/>
              </w:rPr>
            </w:pPr>
          </w:p>
        </w:tc>
      </w:tr>
      <w:tr>
        <w:trPr>
          <w:trHeight w:val="217"/>
        </w:trPr>
        <w:tc>
          <w:tcPr>
            <w:tcW w:w="38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9"/>
              </w:rPr>
              <w:t>Yield</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Yield</w:t>
            </w:r>
          </w:p>
        </w:tc>
        <w:tc>
          <w:tcPr>
            <w:tcW w:w="180" w:type="dxa"/>
            <w:vAlign w:val="bottom"/>
            <w:tcBorders>
              <w:bottom w:val="single" w:sz="8" w:color="CFF0FC"/>
            </w:tcBorders>
          </w:tcPr>
          <w:p>
            <w:pPr>
              <w:spacing w:after="0"/>
              <w:rPr>
                <w:sz w:val="18"/>
                <w:szCs w:val="18"/>
                <w:color w:val="auto"/>
              </w:rPr>
            </w:pPr>
          </w:p>
        </w:tc>
      </w:tr>
      <w:tr>
        <w:trPr>
          <w:trHeight w:val="21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45,087</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1.02%</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70,771</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0.94%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24"/>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10,766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1.50%</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105,610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4,313</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1.73%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24"/>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Taxable state and local governments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33,970</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1.89%</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2021, the Bank also holds stock in the Federal Home Loan Bank of Cincinnati and Indianapolis at a cost of $7.3 million. This is required in order to obtain Federal Home Loan Bank loans.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Bank’s various loan portfolios are subject to varying levels of credit risk. Management mitigates these risks through portfolio diversification and through standardization of lending policies and procedures.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Risks are mitigated through an adherence to the Bank’s loan policies, with any exception being recorded and approved by senior management or committees comprised of senior management. The Bank’s loan policies define parameters to essential underwriting guidelines such as loan-to-value ratio, cash flow and debt-to-income ratio, loan requirements and covenants, financial information tracking, collection practice and others. The maximum loan amount to any one borrower is limited by the Bank’s legal lending limits and is stated in policy. On a broader basis, the Bank restricts total aggregate funding in comparison to Bank capital to any one business or agricultural sector by an approved sector percentage to capital limitation.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spacing w:after="0" w:line="263" w:lineRule="auto"/>
        <w:rPr>
          <w:sz w:val="20"/>
          <w:szCs w:val="20"/>
          <w:color w:val="auto"/>
        </w:rPr>
      </w:pPr>
      <w:r>
        <w:rPr>
          <w:rFonts w:ascii="Arial" w:cs="Arial" w:eastAsia="Arial" w:hAnsi="Arial"/>
          <w:sz w:val="18"/>
          <w:szCs w:val="18"/>
          <w:color w:val="auto"/>
        </w:rPr>
        <w:t>The following table shows the Bank’s loan portfolio, excluding loans held for sale, by category of loan as of December 31</w:t>
      </w:r>
      <w:r>
        <w:rPr>
          <w:rFonts w:ascii="Arial" w:cs="Arial" w:eastAsia="Arial" w:hAnsi="Arial"/>
          <w:sz w:val="14"/>
          <w:szCs w:val="14"/>
          <w:color w:val="auto"/>
        </w:rPr>
        <w:t>st</w:t>
      </w:r>
      <w:r>
        <w:rPr>
          <w:rFonts w:ascii="Arial" w:cs="Arial" w:eastAsia="Arial" w:hAnsi="Arial"/>
          <w:sz w:val="18"/>
          <w:szCs w:val="18"/>
          <w:color w:val="auto"/>
        </w:rPr>
        <w:t xml:space="preserve"> of each year, net of deferred fees and costs: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4"/>
              </w:rPr>
              <w:t>(In Thousands)</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5440" w:type="dxa"/>
            <w:vAlign w:val="bottom"/>
            <w:gridSpan w:val="2"/>
          </w:tcPr>
          <w:p>
            <w:pPr>
              <w:spacing w:after="0" w:line="178" w:lineRule="exact"/>
              <w:rPr>
                <w:sz w:val="20"/>
                <w:szCs w:val="20"/>
                <w:color w:val="auto"/>
              </w:rPr>
            </w:pPr>
            <w:r>
              <w:rPr>
                <w:rFonts w:ascii="Arial" w:cs="Arial" w:eastAsia="Arial" w:hAnsi="Arial"/>
                <w:sz w:val="18"/>
                <w:szCs w:val="18"/>
                <w:color w:val="auto"/>
              </w:rPr>
              <w:t>Loans:</w:t>
            </w:r>
          </w:p>
        </w:tc>
        <w:tc>
          <w:tcPr>
            <w:tcW w:w="160" w:type="dxa"/>
            <w:vAlign w:val="bottom"/>
          </w:tcPr>
          <w:p>
            <w:pPr>
              <w:spacing w:after="0"/>
              <w:rPr>
                <w:sz w:val="15"/>
                <w:szCs w:val="15"/>
                <w:color w:val="auto"/>
              </w:rPr>
            </w:pPr>
          </w:p>
        </w:tc>
        <w:tc>
          <w:tcPr>
            <w:tcW w:w="800" w:type="dxa"/>
            <w:vAlign w:val="bottom"/>
          </w:tcPr>
          <w:p>
            <w:pPr>
              <w:jc w:val="right"/>
              <w:ind w:right="232"/>
              <w:spacing w:after="0" w:line="178" w:lineRule="exact"/>
              <w:rPr>
                <w:sz w:val="20"/>
                <w:szCs w:val="20"/>
                <w:color w:val="auto"/>
              </w:rPr>
            </w:pPr>
            <w:r>
              <w:rPr>
                <w:rFonts w:ascii="Arial" w:cs="Arial" w:eastAsia="Arial" w:hAnsi="Arial"/>
                <w:sz w:val="18"/>
                <w:szCs w:val="18"/>
                <w:color w:val="auto"/>
              </w:rPr>
              <w:t>2021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12"/>
              <w:spacing w:after="0" w:line="178" w:lineRule="exact"/>
              <w:rPr>
                <w:sz w:val="20"/>
                <w:szCs w:val="20"/>
                <w:color w:val="auto"/>
              </w:rPr>
            </w:pPr>
            <w:r>
              <w:rPr>
                <w:rFonts w:ascii="Arial" w:cs="Arial" w:eastAsia="Arial" w:hAnsi="Arial"/>
                <w:sz w:val="18"/>
                <w:szCs w:val="18"/>
                <w:color w:val="auto"/>
              </w:rPr>
              <w:t>2020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12"/>
              <w:spacing w:after="0" w:line="178" w:lineRule="exact"/>
              <w:rPr>
                <w:sz w:val="20"/>
                <w:szCs w:val="20"/>
                <w:color w:val="auto"/>
              </w:rPr>
            </w:pPr>
            <w:r>
              <w:rPr>
                <w:rFonts w:ascii="Arial" w:cs="Arial" w:eastAsia="Arial" w:hAnsi="Arial"/>
                <w:sz w:val="18"/>
                <w:szCs w:val="18"/>
                <w:color w:val="auto"/>
              </w:rPr>
              <w:t>2019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2"/>
              <w:spacing w:after="0" w:line="178" w:lineRule="exact"/>
              <w:rPr>
                <w:sz w:val="20"/>
                <w:szCs w:val="20"/>
                <w:color w:val="auto"/>
              </w:rPr>
            </w:pPr>
            <w:r>
              <w:rPr>
                <w:rFonts w:ascii="Arial" w:cs="Arial" w:eastAsia="Arial" w:hAnsi="Arial"/>
                <w:sz w:val="18"/>
                <w:szCs w:val="18"/>
                <w:color w:val="auto"/>
              </w:rPr>
              <w:t>2018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12"/>
              <w:spacing w:after="0" w:line="178"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5"/>
                <w:szCs w:val="15"/>
                <w:color w:val="auto"/>
              </w:rPr>
            </w:pPr>
          </w:p>
        </w:tc>
      </w:tr>
      <w:tr>
        <w:trPr>
          <w:trHeight w:val="20"/>
        </w:trPr>
        <w:tc>
          <w:tcPr>
            <w:tcW w:w="480" w:type="dxa"/>
            <w:vAlign w:val="bottom"/>
            <w:tcBorders>
              <w:top w:val="single" w:sz="8" w:color="auto"/>
              <w:bottom w:val="single" w:sz="8" w:color="CFF0FC"/>
            </w:tcBorders>
          </w:tcPr>
          <w:p>
            <w:pPr>
              <w:spacing w:after="0" w:line="20" w:lineRule="exact"/>
              <w:rPr>
                <w:sz w:val="1"/>
                <w:szCs w:val="1"/>
                <w:color w:val="auto"/>
              </w:rPr>
            </w:pPr>
          </w:p>
        </w:tc>
        <w:tc>
          <w:tcPr>
            <w:tcW w:w="49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17"/>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395,873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175,588</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165,349</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83,620</w:t>
            </w:r>
          </w:p>
        </w:tc>
        <w:tc>
          <w:tcPr>
            <w:tcW w:w="100" w:type="dxa"/>
            <w:vAlign w:val="bottom"/>
            <w:shd w:val="clear" w:color="auto" w:fill="CFF0FC"/>
          </w:tcPr>
          <w:p>
            <w:pPr>
              <w:spacing w:after="0"/>
              <w:rPr>
                <w:sz w:val="18"/>
                <w:szCs w:val="18"/>
                <w:color w:val="auto"/>
              </w:rPr>
            </w:pPr>
          </w:p>
        </w:tc>
      </w:tr>
      <w:tr>
        <w:trPr>
          <w:trHeight w:val="224"/>
        </w:trPr>
        <w:tc>
          <w:tcPr>
            <w:tcW w:w="544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198,343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189,159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199,105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64,073</w:t>
            </w:r>
          </w:p>
        </w:tc>
        <w:tc>
          <w:tcPr>
            <w:tcW w:w="100" w:type="dxa"/>
            <w:vAlign w:val="bottom"/>
          </w:tcPr>
          <w:p>
            <w:pPr>
              <w:spacing w:after="0"/>
              <w:rPr>
                <w:sz w:val="19"/>
                <w:szCs w:val="19"/>
                <w:color w:val="auto"/>
              </w:rPr>
            </w:pPr>
          </w:p>
        </w:tc>
      </w:tr>
      <w:tr>
        <w:trPr>
          <w:trHeight w:val="224"/>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118,368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94,358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95,111</w:t>
            </w:r>
          </w:p>
        </w:tc>
        <w:tc>
          <w:tcPr>
            <w:tcW w:w="100" w:type="dxa"/>
            <w:vAlign w:val="bottom"/>
            <w:shd w:val="clear" w:color="auto" w:fill="CFF0FC"/>
          </w:tcPr>
          <w:p>
            <w:pPr>
              <w:spacing w:after="0"/>
              <w:rPr>
                <w:sz w:val="19"/>
                <w:szCs w:val="19"/>
                <w:color w:val="auto"/>
              </w:rPr>
            </w:pPr>
          </w:p>
        </w:tc>
      </w:tr>
      <w:tr>
        <w:trPr>
          <w:trHeight w:val="224"/>
        </w:trPr>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848,477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588,825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551,309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419,784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410,520</w:t>
            </w:r>
          </w:p>
        </w:tc>
        <w:tc>
          <w:tcPr>
            <w:tcW w:w="100" w:type="dxa"/>
            <w:vAlign w:val="bottom"/>
          </w:tcPr>
          <w:p>
            <w:pPr>
              <w:spacing w:after="0"/>
              <w:rPr>
                <w:sz w:val="19"/>
                <w:szCs w:val="19"/>
                <w:color w:val="auto"/>
              </w:rPr>
            </w:pPr>
          </w:p>
        </w:tc>
      </w:tr>
      <w:tr>
        <w:trPr>
          <w:trHeight w:val="224"/>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208,270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189,246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126,275</w:t>
            </w:r>
          </w:p>
        </w:tc>
        <w:tc>
          <w:tcPr>
            <w:tcW w:w="100" w:type="dxa"/>
            <w:vAlign w:val="bottom"/>
            <w:shd w:val="clear" w:color="auto" w:fill="CFF0FC"/>
          </w:tcPr>
          <w:p>
            <w:pPr>
              <w:spacing w:after="0"/>
              <w:rPr>
                <w:sz w:val="19"/>
                <w:szCs w:val="19"/>
                <w:color w:val="auto"/>
              </w:rPr>
            </w:pPr>
          </w:p>
        </w:tc>
      </w:tr>
      <w:tr>
        <w:trPr>
          <w:trHeight w:val="224"/>
        </w:trPr>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57,737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37,757</w:t>
            </w:r>
          </w:p>
        </w:tc>
        <w:tc>
          <w:tcPr>
            <w:tcW w:w="100" w:type="dxa"/>
            <w:vAlign w:val="bottom"/>
          </w:tcPr>
          <w:p>
            <w:pPr>
              <w:spacing w:after="0"/>
              <w:rPr>
                <w:sz w:val="19"/>
                <w:szCs w:val="19"/>
                <w:color w:val="auto"/>
              </w:rPr>
            </w:pPr>
          </w:p>
        </w:tc>
      </w:tr>
      <w:tr>
        <w:trPr>
          <w:trHeight w:val="224"/>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32,089</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15,757</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100" w:type="dxa"/>
            <w:vAlign w:val="bottom"/>
            <w:shd w:val="clear" w:color="auto" w:fill="CFF0FC"/>
          </w:tcPr>
          <w:p>
            <w:pPr>
              <w:spacing w:after="0"/>
              <w:rPr>
                <w:sz w:val="19"/>
                <w:szCs w:val="19"/>
                <w:color w:val="auto"/>
              </w:rPr>
            </w:pPr>
          </w:p>
        </w:tc>
      </w:tr>
      <w:tr>
        <w:trPr>
          <w:trHeight w:val="217"/>
        </w:trPr>
        <w:tc>
          <w:tcPr>
            <w:tcW w:w="4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1,859,157</w:t>
            </w:r>
          </w:p>
        </w:tc>
        <w:tc>
          <w:tcPr>
            <w:tcW w:w="2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1,305,473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1,220,765</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847,289</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823,771</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maturity of loans excluding fair value adjustments as of December 31, 2021:</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3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After One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36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Within</w:t>
            </w:r>
          </w:p>
        </w:tc>
        <w:tc>
          <w:tcPr>
            <w:tcW w:w="220" w:type="dxa"/>
            <w:vAlign w:val="bottom"/>
          </w:tcPr>
          <w:p>
            <w:pPr>
              <w:spacing w:after="0"/>
              <w:rPr>
                <w:sz w:val="19"/>
                <w:szCs w:val="19"/>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Year Within</w:t>
            </w:r>
          </w:p>
        </w:tc>
        <w:tc>
          <w:tcPr>
            <w:tcW w:w="100" w:type="dxa"/>
            <w:vAlign w:val="bottom"/>
          </w:tcPr>
          <w:p>
            <w:pPr>
              <w:spacing w:after="0"/>
              <w:rPr>
                <w:sz w:val="19"/>
                <w:szCs w:val="19"/>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After</w:t>
            </w:r>
          </w:p>
        </w:tc>
      </w:tr>
      <w:tr>
        <w:trPr>
          <w:trHeight w:val="224"/>
        </w:trPr>
        <w:tc>
          <w:tcPr>
            <w:tcW w:w="364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One Year</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5"/>
              </w:rPr>
              <w:t>Five Years</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8"/>
              </w:rPr>
              <w:t>Five Years</w:t>
            </w:r>
          </w:p>
        </w:tc>
        <w:tc>
          <w:tcPr>
            <w:tcW w:w="80" w:type="dxa"/>
            <w:vAlign w:val="bottom"/>
            <w:tcBorders>
              <w:bottom w:val="single" w:sz="8" w:color="CFF0FC"/>
            </w:tcBorders>
          </w:tcPr>
          <w:p>
            <w:pPr>
              <w:spacing w:after="0"/>
              <w:rPr>
                <w:sz w:val="19"/>
                <w:szCs w:val="19"/>
                <w:color w:val="auto"/>
              </w:rPr>
            </w:pPr>
          </w:p>
        </w:tc>
      </w:tr>
      <w:tr>
        <w:trPr>
          <w:trHeight w:val="217"/>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355,773</w:t>
            </w:r>
          </w:p>
        </w:tc>
        <w:tc>
          <w:tcPr>
            <w:tcW w:w="80" w:type="dxa"/>
            <w:vAlign w:val="bottom"/>
            <w:shd w:val="clear" w:color="auto" w:fill="CFF0FC"/>
          </w:tcPr>
          <w:p>
            <w:pPr>
              <w:spacing w:after="0"/>
              <w:rPr>
                <w:sz w:val="18"/>
                <w:szCs w:val="18"/>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188,486</w:t>
            </w:r>
          </w:p>
        </w:tc>
        <w:tc>
          <w:tcPr>
            <w:tcW w:w="80" w:type="dxa"/>
            <w:vAlign w:val="bottom"/>
          </w:tcPr>
          <w:p>
            <w:pPr>
              <w:spacing w:after="0"/>
              <w:rPr>
                <w:sz w:val="19"/>
                <w:szCs w:val="19"/>
                <w:color w:val="auto"/>
              </w:rPr>
            </w:pPr>
          </w:p>
        </w:tc>
      </w:tr>
      <w:tr>
        <w:trPr>
          <w:trHeight w:val="224"/>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16,399</w:t>
            </w:r>
          </w:p>
        </w:tc>
        <w:tc>
          <w:tcPr>
            <w:tcW w:w="80" w:type="dxa"/>
            <w:vAlign w:val="bottom"/>
            <w:shd w:val="clear" w:color="auto" w:fill="CFF0FC"/>
          </w:tcPr>
          <w:p>
            <w:pPr>
              <w:spacing w:after="0"/>
              <w:rPr>
                <w:sz w:val="19"/>
                <w:szCs w:val="19"/>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287,809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521,442</w:t>
            </w:r>
          </w:p>
        </w:tc>
        <w:tc>
          <w:tcPr>
            <w:tcW w:w="80" w:type="dxa"/>
            <w:vAlign w:val="bottom"/>
          </w:tcPr>
          <w:p>
            <w:pPr>
              <w:spacing w:after="0"/>
              <w:rPr>
                <w:sz w:val="19"/>
                <w:szCs w:val="19"/>
                <w:color w:val="auto"/>
              </w:rPr>
            </w:pPr>
          </w:p>
        </w:tc>
      </w:tr>
      <w:tr>
        <w:trPr>
          <w:trHeight w:val="224"/>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87,047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50,951</w:t>
            </w:r>
          </w:p>
        </w:tc>
        <w:tc>
          <w:tcPr>
            <w:tcW w:w="80" w:type="dxa"/>
            <w:vAlign w:val="bottom"/>
            <w:shd w:val="clear" w:color="auto" w:fill="CFF0FC"/>
          </w:tcPr>
          <w:p>
            <w:pPr>
              <w:spacing w:after="0"/>
              <w:rPr>
                <w:sz w:val="19"/>
                <w:szCs w:val="19"/>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Consumer</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14,840</w:t>
            </w:r>
          </w:p>
        </w:tc>
        <w:tc>
          <w:tcPr>
            <w:tcW w:w="80" w:type="dxa"/>
            <w:vAlign w:val="bottom"/>
          </w:tcPr>
          <w:p>
            <w:pPr>
              <w:spacing w:after="0"/>
              <w:rPr>
                <w:sz w:val="19"/>
                <w:szCs w:val="19"/>
                <w:color w:val="auto"/>
              </w:rPr>
            </w:pPr>
          </w:p>
        </w:tc>
      </w:tr>
      <w:tr>
        <w:trPr>
          <w:trHeight w:val="224"/>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30,224</w:t>
            </w:r>
          </w:p>
        </w:tc>
        <w:tc>
          <w:tcPr>
            <w:tcW w:w="80" w:type="dxa"/>
            <w:vAlign w:val="bottom"/>
            <w:shd w:val="clear" w:color="auto" w:fill="CFF0FC"/>
          </w:tcPr>
          <w:p>
            <w:pPr>
              <w:spacing w:after="0"/>
              <w:rPr>
                <w:sz w:val="19"/>
                <w:szCs w:val="19"/>
                <w:color w:val="auto"/>
              </w:rPr>
            </w:pPr>
          </w:p>
        </w:tc>
      </w:tr>
      <w:tr>
        <w:trPr>
          <w:trHeight w:val="217"/>
        </w:trPr>
        <w:tc>
          <w:tcPr>
            <w:tcW w:w="364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194,950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492,158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1,178,115</w:t>
            </w:r>
          </w:p>
        </w:tc>
        <w:tc>
          <w:tcPr>
            <w:tcW w:w="8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total of loans excluding fair value adjustments due after one year which has either 1) predetermined interest rates (fixed) or 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floating or adjustable interest rates (variable):</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3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Fixed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Variable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364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Rate</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4"/>
              </w:rPr>
              <w:t>Rate</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FF0FC"/>
            </w:tcBorders>
          </w:tcPr>
          <w:p>
            <w:pPr>
              <w:spacing w:after="0"/>
              <w:rPr>
                <w:sz w:val="19"/>
                <w:szCs w:val="19"/>
                <w:color w:val="auto"/>
              </w:rPr>
            </w:pPr>
          </w:p>
        </w:tc>
      </w:tr>
      <w:tr>
        <w:trPr>
          <w:trHeight w:val="217"/>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372,127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391,552</w:t>
            </w:r>
          </w:p>
        </w:tc>
        <w:tc>
          <w:tcPr>
            <w:tcW w:w="80" w:type="dxa"/>
            <w:vAlign w:val="bottom"/>
            <w:shd w:val="clear" w:color="auto" w:fill="CFF0FC"/>
          </w:tcPr>
          <w:p>
            <w:pPr>
              <w:spacing w:after="0"/>
              <w:rPr>
                <w:sz w:val="18"/>
                <w:szCs w:val="18"/>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169,436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24,070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193,506</w:t>
            </w:r>
          </w:p>
        </w:tc>
        <w:tc>
          <w:tcPr>
            <w:tcW w:w="80" w:type="dxa"/>
            <w:vAlign w:val="bottom"/>
          </w:tcPr>
          <w:p>
            <w:pPr>
              <w:spacing w:after="0"/>
              <w:rPr>
                <w:sz w:val="19"/>
                <w:szCs w:val="19"/>
                <w:color w:val="auto"/>
              </w:rPr>
            </w:pPr>
          </w:p>
        </w:tc>
      </w:tr>
      <w:tr>
        <w:trPr>
          <w:trHeight w:val="224"/>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51,525</w:t>
            </w:r>
          </w:p>
        </w:tc>
        <w:tc>
          <w:tcPr>
            <w:tcW w:w="80" w:type="dxa"/>
            <w:vAlign w:val="bottom"/>
            <w:shd w:val="clear" w:color="auto" w:fill="CFF0FC"/>
          </w:tcPr>
          <w:p>
            <w:pPr>
              <w:spacing w:after="0"/>
              <w:rPr>
                <w:sz w:val="19"/>
                <w:szCs w:val="19"/>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718,238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91,013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809,251</w:t>
            </w:r>
          </w:p>
        </w:tc>
        <w:tc>
          <w:tcPr>
            <w:tcW w:w="80" w:type="dxa"/>
            <w:vAlign w:val="bottom"/>
          </w:tcPr>
          <w:p>
            <w:pPr>
              <w:spacing w:after="0"/>
              <w:rPr>
                <w:sz w:val="19"/>
                <w:szCs w:val="19"/>
                <w:color w:val="auto"/>
              </w:rPr>
            </w:pPr>
          </w:p>
        </w:tc>
      </w:tr>
      <w:tr>
        <w:trPr>
          <w:trHeight w:val="224"/>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125,115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137,998</w:t>
            </w:r>
          </w:p>
        </w:tc>
        <w:tc>
          <w:tcPr>
            <w:tcW w:w="80" w:type="dxa"/>
            <w:vAlign w:val="bottom"/>
            <w:shd w:val="clear" w:color="auto" w:fill="CFF0FC"/>
          </w:tcPr>
          <w:p>
            <w:pPr>
              <w:spacing w:after="0"/>
              <w:rPr>
                <w:sz w:val="19"/>
                <w:szCs w:val="19"/>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Consumer</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54,586</w:t>
            </w:r>
          </w:p>
        </w:tc>
        <w:tc>
          <w:tcPr>
            <w:tcW w:w="80" w:type="dxa"/>
            <w:vAlign w:val="bottom"/>
          </w:tcPr>
          <w:p>
            <w:pPr>
              <w:spacing w:after="0"/>
              <w:rPr>
                <w:sz w:val="19"/>
                <w:szCs w:val="19"/>
                <w:color w:val="auto"/>
              </w:rPr>
            </w:pPr>
          </w:p>
        </w:tc>
      </w:tr>
      <w:tr>
        <w:trPr>
          <w:trHeight w:val="224"/>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31,855</w:t>
            </w:r>
          </w:p>
        </w:tc>
        <w:tc>
          <w:tcPr>
            <w:tcW w:w="80" w:type="dxa"/>
            <w:vAlign w:val="bottom"/>
            <w:shd w:val="clear" w:color="auto" w:fill="CFF0FC"/>
          </w:tcPr>
          <w:p>
            <w:pPr>
              <w:spacing w:after="0"/>
              <w:rPr>
                <w:sz w:val="19"/>
                <w:szCs w:val="19"/>
                <w:color w:val="auto"/>
              </w:rPr>
            </w:pPr>
          </w:p>
        </w:tc>
      </w:tr>
      <w:tr>
        <w:trPr>
          <w:trHeight w:val="217"/>
        </w:trPr>
        <w:tc>
          <w:tcPr>
            <w:tcW w:w="36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1,510,219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160,054</w:t>
            </w:r>
          </w:p>
        </w:tc>
        <w:tc>
          <w:tcPr>
            <w:tcW w:w="2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1,670,273</w:t>
            </w:r>
          </w:p>
        </w:tc>
        <w:tc>
          <w:tcPr>
            <w:tcW w:w="8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nonaccrual, past due 90 days or more and still accruing loans, and accruing troubled debt restructurings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each of the last five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53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18"/>
                <w:szCs w:val="18"/>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FF0FC"/>
          </w:tcPr>
          <w:p>
            <w:pPr>
              <w:spacing w:after="0"/>
              <w:rPr>
                <w:sz w:val="18"/>
                <w:szCs w:val="18"/>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Accruing loans past due 90 days or more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Troubled Debt Restructurings, not included above</w:t>
            </w: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FF0FC"/>
          </w:tcPr>
          <w:p>
            <w:pPr>
              <w:spacing w:after="0"/>
              <w:rPr>
                <w:sz w:val="19"/>
                <w:szCs w:val="19"/>
                <w:color w:val="auto"/>
              </w:rPr>
            </w:pPr>
          </w:p>
        </w:tc>
      </w:tr>
      <w:tr>
        <w:trPr>
          <w:trHeight w:val="217"/>
        </w:trPr>
        <w:tc>
          <w:tcPr>
            <w:tcW w:w="536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9,152</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10,345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4,380</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2"/>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12"/>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2"/>
        </w:trPr>
        <w:tc>
          <w:tcPr>
            <w:tcW w:w="5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8" w:name="page39"/>
    <w:bookmarkEnd w:id="38"/>
    <w:p>
      <w:pPr>
        <w:jc w:val="both"/>
        <w:spacing w:after="0" w:line="310" w:lineRule="auto"/>
        <w:rPr>
          <w:sz w:val="20"/>
          <w:szCs w:val="20"/>
          <w:color w:val="auto"/>
        </w:rPr>
      </w:pPr>
      <w:r>
        <w:rPr>
          <w:rFonts w:ascii="Arial" w:cs="Arial" w:eastAsia="Arial" w:hAnsi="Arial"/>
          <w:sz w:val="15"/>
          <w:szCs w:val="15"/>
          <w:color w:val="auto"/>
        </w:rPr>
        <w:t>Although loans may be classified as non-performing, some pay on a regular basis, and many continue to pay interest irregularly or at less than original contractual rates. Interest income that would have been recorded under the original terms of these loans would have aggregated $502 thousand for 2021, $272 for 2020 and $193 thousand for 2019. Any collections of interest on nonaccrual loans are included in interest income when collected unless it is on an impaired loan with a specific allocation. A collection of interest on an impaired loan with a specific allocation is applied to the loan balance to decrease the allocation. Total interest collections, whether on an accrued or cash basis, amounted to $292 thousand for 2021, $269 thousand for 2020 and $117 thousand for 2019.</w:t>
      </w:r>
    </w:p>
    <w:p>
      <w:pPr>
        <w:spacing w:after="0" w:line="15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Loans are placed on nonaccrual status in the event that the loan is in past due status for more than 90 days or payment in full of principal and interest is not expected. The Bank had nonaccrual loan balances of $8.1 million at December 31, 2021 compared to balances of $9.4 million and $3.4 million as of year-end 2020 and 2019. All of the balances of nonaccrual loans for the past three years were collaterally secured.</w:t>
      </w:r>
    </w:p>
    <w:p>
      <w:pPr>
        <w:spacing w:after="0" w:line="15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2021, the Bank had $55.4 million of loans which it considers to be “potential problem loans” in that the borrowers are experiencing financial difficulties which are not reflected in the table above. At December 31, 2020, the Bank had $56.3 million of these loans and at December 31, 2019, the Bank had $60.2 million of these loans. These loans are subject to constant management attention and are reviewed at least monthly. The amount of the potential problem loans was considered in management’s review of the loan loss reserve at December 31, 2021 and 2020.</w:t>
      </w:r>
    </w:p>
    <w:p>
      <w:pPr>
        <w:spacing w:after="0" w:line="162"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In extending credit to families, businesses and governments, banks accept a measure of risk against which an allowance for possible loan loss is established by way of expense charges to earnings. This expense is determined by management based on a detailed monthly review of the risk factors affecting the loan portfolio, including general economic conditions, changes in the portfolio mix, past due loan-loss experience and the financial condition of the Bank’s borrowers.</w:t>
      </w:r>
    </w:p>
    <w:p>
      <w:pPr>
        <w:spacing w:after="0" w:line="13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As of December 31, 2021, the Bank had loans outstanding to individuals and firms engaged in the various fields of agriculture in the amount of $118.4 million with an additional $198.3 million in agricultural real estate loans which compared to $94.4 and $189.2 million respectively as of December 31, 2020. The ratio of this segment of loans to the total loan portfolio is not considered unusual for a bank engaged in and servicing rural communities.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rate modification to reflect a decrease in market interest rates or maintain a relationship with the debtor, where the debtor is not experiencing financial difficulty and can obtain funding from other sources, is not considered a troubled debt restructuring. As of December 31, 2021, the Bank had $7.6 million of its loans that were classified as troubled debt restructurings, of which $6.5 million are included in nonaccrual loans. This compares to $6.5 million of troubled debt restructurings, of which $5.6 million are included in nonaccrual loans for 2020 and $956.3 thousand of troubled debt restructuring, of which $50.3 thousand are included in nonaccrual loans for 2019.</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Updated appraisals are required on all collateral dependent loans once they are deemed impaired. The Bank may also require an updated appraisal of a watch list loan which the Bank monitors under their loan policy. On a quarterly basis, Bank management reviews properties supporting asset dependent loans to consider market events that may indicate a change in value has occurred.</w:t>
      </w:r>
    </w:p>
    <w:p>
      <w:pPr>
        <w:spacing w:after="0" w:line="18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To determine observable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existing collateral value used.</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Performing “non-watch list” loans secured in whole or in part by real estate, do not require an updated appraisal unless the loan is rewritten and additional funds advanced. Watch List loans secured in whole or in part by real estate require updated appraisals every two years. All loans are subject to loan to values as found in the Bank’s loan policies irrespective of their grade. The Bank’s watch list is reviewed on a quarterly basis by management and any questions to value are addressed at that time.</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majority of the Bank’s loans are made in the market by lenders who live and work in the market. Thus, their evaluation of the independent valuation is also valuable and serves as a double check.</w:t>
      </w:r>
    </w:p>
    <w:p>
      <w:pPr>
        <w:spacing w:after="0" w:line="180"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On extremely rare occasions, the Bank will make adjustments to the recorded values of collateral securing commercial real estate loans without acquiring an updated appraisal for the subject property. The Bank has no formalized policy for determining when collateral value adjustments between regularly scheduled appraisals are necessary, nor does it use any specific methodology for applying such adjustments. However, on a quarterly basis as part of its normal operations,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jc w:val="both"/>
        <w:spacing w:after="0" w:line="281" w:lineRule="auto"/>
        <w:rPr>
          <w:sz w:val="20"/>
          <w:szCs w:val="20"/>
          <w:color w:val="auto"/>
        </w:rPr>
      </w:pPr>
      <w:r>
        <w:rPr>
          <w:rFonts w:ascii="Arial" w:cs="Arial" w:eastAsia="Arial" w:hAnsi="Arial"/>
          <w:sz w:val="16"/>
          <w:szCs w:val="16"/>
          <w:color w:val="auto"/>
        </w:rPr>
        <w:t>Bank’s senior management and the Loan Review Committee will meet to review all commercial credits either deemed to be impaired or on the Bank’s watch list. In addition to analyzing the recent performance of these loans, management and the Enterprise Risk Management Committee will also consider any general market conditions that might warrant adjustments to the value of particular real estate collateralizing commercial loans. In addition, management conducts annual reviews of all commercial loans exceeding certain outstanding balance thresholds. In each of these situations, any information available to management regarding market conditions impacting a specific property or other relevant factors are considered, and lenders familiar with a particular commercial real estate loan and the underlying collateral may be present to provide their opinion on such factors. If the available information leads management to conclude a valuation adjustment is warranted, such an adjustment may be applied on the basis of the information available. If management concludes that an adjustment is warranted but lacks the specific information needed to reasonably quantify the adjustment, management will order a new appraisal on the subject property even though one may not be required under the Bank’s general policies for updating appraisal.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4 of the Consolidated Financial Statements may also be reviewed for additional tables dealing with the Bank’s loans and ALLL.</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ALLL is evaluated based on an assessment of the losses inherent in the loan portfolio. This assessment results in an allowance consisting of two components, allocated and unallocated.</w:t>
      </w:r>
    </w:p>
    <w:p>
      <w:pPr>
        <w:spacing w:after="0" w:line="18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Management considers several different risk assessments in determining ALLL. The allocated component of ALLL reflects expected losses resulting from an analysis of individual loans, developed through specific credit allocations for individual loans and historical loss experience for each loan category. For those loans where the internal credit rating is at or below a predetermined classification and management can reasonably estimate the loss that will be sustained based upon collateral, the borrowers operating activity and economic conditions in which the borrower operates, a specific allocation is made. For those borrowers that are not currently behind in their payment, but for which management believes, based on economic conditions and operating activities of the borrower, the possibility exists for future collection problems, a reserve is established. The amount of reserve allocated to each loan portfolio is based on past loss experiences and the different levels of risk within each loan portfolio. The historical loan loss portion is determined using a historical loss analysis by loan category.</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unallocated portion of the reserve for loan losses is determined based on management’s assessment of general economic conditions as well as specific economic factors in the Bank’s marketing area. This assessment inherently involves a higher degree of uncertainty. It represents estimated inherent but undetected losses within the portfolio that are probable due to uncertainties in economic conditions, delays in obtaining information, including unfavorable information about a borrower’s financial condition and other current risk factors that may not have yet manifested themselves in the Bank’s historical loss factors used to determine the allocated component of the allowance.</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Actual charge-off of loan balances is based upon periodic evaluations of the loan portfolio by management. These evaluations consider several factors, including, but not limited to, general economic conditions, financial condition of the borrower, and collateral.</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presented in the table on the next page, charge-offs increased to $1.3 million for 2021. 61.1% of the charge-offs stemmed from the commercial and industrial portfolio. Charge-offs were $720 thousand for 2020, $841 thousand for 2019, preceded by $580 thousand for 2018 and $288 thousand for 2017. Recoveries were $458 thousand in 2021 compared to $183, $156, $163 and $150 thousand for 2020, 2019, 2018 and 2017, respectively. The net charge-offs for the last five years were all under $900 thousand with 2021 the highest at $874 thousand and 2017 the lowest at $138 thousand.</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Higher provision expense was used to fund the ALLL for loan growth in 2019. 2021 and 2020 had higher provision expense due to the uncertainty surrounding COVID-19 and its impact on individuals and businesses. For 2017 and 2018, the provision was used to replenish the balance decreased by the net charge-off activity. Overall, the ALLL increased from $6.9 million at year-end 2017 to $16.2 million at year-end 2021. After adding the allowance for unfunded loan commitments, the ACL ended 2021 at $17.3 million. As the ratios on the bottom of the following table show, the trends for each have improved or remained constant over the five years shown. Asset quality and the ACL are both strong and emphasize the level of credit quality.</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reviewing the bigger picture of the allowance for loan and lease loss, the years with the higher percentage of ALLL to total nonperforming loans ratio account for the lower level of nonaccrual loans. This demonstrates the extended time period with which it has taken to achieve resolution and/or collection of these loans. The ratio of ALLL to nonperforming loans increased beginning in 2017 with a significant drop in 2019 followed by a slight drop in 2020 and a slight increase in 2021. 2020’s provision expense was the highest of the five years shown largely due to the uncertainty surrounding COVID-19. Loan growth in 2021, 2020 and 2019 reached double-digit percentage increases for all three years. The ALLL to nonperforming loans for all years remained more than adequate and emphasizes the existing strong level of credit quality.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The following table presents a reconciliation of the allowance for credit losses for the years ended December 31, 2021, 2020, 2019, 2018 and 2017:</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1,857,419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1,302,990</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1,218,999</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846,374</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823,024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1,522,088</w:t>
            </w:r>
          </w:p>
        </w:tc>
        <w:tc>
          <w:tcPr>
            <w:tcW w:w="300" w:type="dxa"/>
            <w:vAlign w:val="bottom"/>
          </w:tcPr>
          <w:p>
            <w:pPr>
              <w:spacing w:after="0"/>
              <w:rPr>
                <w:sz w:val="19"/>
                <w:szCs w:val="19"/>
                <w:color w:val="auto"/>
              </w:rPr>
            </w:pPr>
          </w:p>
        </w:tc>
        <w:tc>
          <w:tcPr>
            <w:tcW w:w="240" w:type="dxa"/>
            <w:vAlign w:val="bottom"/>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1,313,675</w:t>
            </w:r>
          </w:p>
        </w:tc>
        <w:tc>
          <w:tcPr>
            <w:tcW w:w="220" w:type="dxa"/>
            <w:vAlign w:val="bottom"/>
          </w:tcPr>
          <w:p>
            <w:pPr>
              <w:spacing w:after="0"/>
              <w:rPr>
                <w:sz w:val="19"/>
                <w:szCs w:val="19"/>
                <w:color w:val="auto"/>
              </w:rPr>
            </w:pPr>
          </w:p>
        </w:tc>
        <w:tc>
          <w:tcPr>
            <w:tcW w:w="32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1,129,231</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831,614</w:t>
            </w:r>
          </w:p>
        </w:tc>
        <w:tc>
          <w:tcPr>
            <w:tcW w:w="220" w:type="dxa"/>
            <w:vAlign w:val="bottom"/>
          </w:tcPr>
          <w:p>
            <w:pPr>
              <w:spacing w:after="0"/>
              <w:rPr>
                <w:sz w:val="19"/>
                <w:szCs w:val="19"/>
                <w:color w:val="auto"/>
              </w:rPr>
            </w:pP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783,140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60" w:type="dxa"/>
            <w:vAlign w:val="bottom"/>
            <w:vMerge w:val="continue"/>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2"/>
              <w:spacing w:after="0" w:line="204"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8,076</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2"/>
              <w:spacing w:after="0" w:line="204"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9,404</w:t>
            </w:r>
          </w:p>
        </w:tc>
        <w:tc>
          <w:tcPr>
            <w:tcW w:w="2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ind w:left="10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3,400</w:t>
            </w:r>
          </w:p>
        </w:tc>
        <w:tc>
          <w:tcPr>
            <w:tcW w:w="2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line="204"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542</w:t>
            </w:r>
          </w:p>
        </w:tc>
        <w:tc>
          <w:tcPr>
            <w:tcW w:w="2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1,003</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Nonperforming loans</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8,076</w:t>
            </w:r>
          </w:p>
        </w:tc>
        <w:tc>
          <w:tcPr>
            <w:tcW w:w="3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9,404</w:t>
            </w:r>
          </w:p>
        </w:tc>
        <w:tc>
          <w:tcPr>
            <w:tcW w:w="220" w:type="dxa"/>
            <w:vAlign w:val="bottom"/>
          </w:tcPr>
          <w:p>
            <w:pPr>
              <w:spacing w:after="0"/>
              <w:rPr>
                <w:sz w:val="19"/>
                <w:szCs w:val="19"/>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3,400</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Losses - Jan 1</w:t>
            </w:r>
          </w:p>
        </w:tc>
        <w:tc>
          <w:tcPr>
            <w:tcW w:w="84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Consumer Real Estate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Agricultural Real Estate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Agricultural</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and Industrial</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Consumer</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3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tcPr>
          <w:p>
            <w:pPr>
              <w:ind w:left="240"/>
              <w:spacing w:after="0"/>
              <w:rPr>
                <w:sz w:val="20"/>
                <w:szCs w:val="20"/>
                <w:color w:val="auto"/>
              </w:rPr>
            </w:pPr>
            <w:r>
              <w:rPr>
                <w:rFonts w:ascii="Arial" w:cs="Arial" w:eastAsia="Arial" w:hAnsi="Arial"/>
                <w:sz w:val="18"/>
                <w:szCs w:val="18"/>
                <w:color w:val="auto"/>
              </w:rPr>
              <w:t>Loan Recoveries: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Consumer Real Estate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Agricultural Real Estate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Agricultural</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and Industrial</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Consumer</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3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tcPr>
          <w:p>
            <w:pPr>
              <w:ind w:left="240"/>
              <w:spacing w:after="0"/>
              <w:rPr>
                <w:sz w:val="20"/>
                <w:szCs w:val="20"/>
                <w:color w:val="auto"/>
              </w:rPr>
            </w:pPr>
            <w:r>
              <w:rPr>
                <w:rFonts w:ascii="Arial" w:cs="Arial" w:eastAsia="Arial" w:hAnsi="Arial"/>
                <w:sz w:val="18"/>
                <w:szCs w:val="18"/>
                <w:color w:val="auto"/>
              </w:rPr>
              <w:t>Net Charge-offs: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Consumer Real Estate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Agricultural Real Estate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Agricultural</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and Industrial</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Consumer</w:t>
            </w: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Provision for loan loss</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480"/>
              <w:spacing w:after="0"/>
              <w:rPr>
                <w:sz w:val="20"/>
                <w:szCs w:val="20"/>
                <w:color w:val="auto"/>
              </w:rPr>
            </w:pPr>
            <w:r>
              <w:rPr>
                <w:rFonts w:ascii="Arial" w:cs="Arial" w:eastAsia="Arial" w:hAnsi="Arial"/>
                <w:sz w:val="18"/>
                <w:szCs w:val="18"/>
                <w:color w:val="auto"/>
              </w:rPr>
              <w:t>Acquisition provision for loan loss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&amp; Lease Losses - Dec 31</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20"/>
                <w:szCs w:val="20"/>
                <w:color w:val="auto"/>
              </w:rPr>
            </w:pPr>
            <w:r>
              <w:rPr>
                <w:rFonts w:ascii="Arial" w:cs="Arial" w:eastAsia="Arial" w:hAnsi="Arial"/>
                <w:sz w:val="18"/>
                <w:szCs w:val="18"/>
                <w:color w:val="auto"/>
              </w:rPr>
              <w:t>Allowance for Unfunded Loan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Commitments &amp; Letters of Credit - Dec 31</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Allowance for Credit Losses - Dec 31</w:t>
            </w:r>
          </w:p>
        </w:tc>
        <w:tc>
          <w:tcPr>
            <w:tcW w:w="84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14,313</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Ratio of Net Charge-offs to Average</w:t>
            </w: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Outstanding Loans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Ratio of Nonaccrual Loans to Loans</w:t>
            </w: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vMerge w:val="continue"/>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0.43%</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0.72%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0.28%</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0.06%</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Ratio of the Allowance for Loan &amp; Lease</w:t>
            </w: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860" w:type="dxa"/>
            <w:vAlign w:val="bottom"/>
          </w:tcPr>
          <w:p>
            <w:pPr>
              <w:ind w:left="140"/>
              <w:spacing w:after="0"/>
              <w:rPr>
                <w:sz w:val="20"/>
                <w:szCs w:val="20"/>
                <w:color w:val="auto"/>
              </w:rPr>
            </w:pPr>
            <w:r>
              <w:rPr>
                <w:rFonts w:ascii="Arial" w:cs="Arial" w:eastAsia="Arial" w:hAnsi="Arial"/>
                <w:sz w:val="18"/>
                <w:szCs w:val="18"/>
                <w:color w:val="auto"/>
              </w:rPr>
              <w:t>Losses to Loans</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0.87%</w:t>
            </w:r>
          </w:p>
        </w:tc>
        <w:tc>
          <w:tcPr>
            <w:tcW w:w="24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0.80%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191"/>
        </w:trPr>
        <w:tc>
          <w:tcPr>
            <w:tcW w:w="386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Ratio of the Allowance for Loan &amp; Lease</w:t>
            </w:r>
          </w:p>
        </w:tc>
        <w:tc>
          <w:tcPr>
            <w:tcW w:w="6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Losses to Nonaccrual Loans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201.11%</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145.47%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209.70%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1249.57%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Ratio of the Allowance for Loan &amp; Lease</w:t>
            </w: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140"/>
              <w:spacing w:after="0"/>
              <w:rPr>
                <w:sz w:val="20"/>
                <w:szCs w:val="20"/>
                <w:color w:val="auto"/>
              </w:rPr>
            </w:pPr>
            <w:r>
              <w:rPr>
                <w:rFonts w:ascii="Arial" w:cs="Arial" w:eastAsia="Arial" w:hAnsi="Arial"/>
                <w:sz w:val="18"/>
                <w:szCs w:val="18"/>
                <w:color w:val="auto"/>
              </w:rPr>
              <w:t>Losses to Nonperforming Loans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201.11%</w:t>
            </w: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145.47%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209.70%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1249.57%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are defined as all loans on nonaccrual, plus any loans past due 90 days not on nonaccrual.</w:t>
      </w:r>
    </w:p>
    <w:p>
      <w:pPr>
        <w:spacing w:after="0" w:line="2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Allocation of ALLL per Loan Category in terms of dollars and percentage of loans in each category to total loans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326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326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5"/>
        </w:trPr>
        <w:tc>
          <w:tcPr>
            <w:tcW w:w="32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23"/>
        </w:trPr>
        <w:tc>
          <w:tcPr>
            <w:tcW w:w="3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Applicable To:</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21.31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13.45</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13.51</w:t>
            </w: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9.48</w:t>
            </w: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19"/>
                <w:szCs w:val="19"/>
                <w:color w:val="auto"/>
              </w:rPr>
            </w:pPr>
          </w:p>
        </w:tc>
      </w:tr>
      <w:tr>
        <w:trPr>
          <w:trHeight w:val="224"/>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FF0FC"/>
          </w:tcPr>
          <w:p>
            <w:pPr>
              <w:spacing w:after="0"/>
              <w:rPr>
                <w:sz w:val="19"/>
                <w:szCs w:val="19"/>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19"/>
                <w:szCs w:val="19"/>
                <w:color w:val="auto"/>
              </w:rPr>
            </w:pPr>
          </w:p>
        </w:tc>
      </w:tr>
      <w:tr>
        <w:trPr>
          <w:trHeight w:val="224"/>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3,634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3,217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3,149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w:t>
            </w:r>
          </w:p>
        </w:tc>
        <w:tc>
          <w:tcPr>
            <w:tcW w:w="60" w:type="dxa"/>
            <w:vAlign w:val="bottom"/>
            <w:shd w:val="clear" w:color="auto" w:fill="CFF0FC"/>
          </w:tcPr>
          <w:p>
            <w:pPr>
              <w:spacing w:after="0"/>
              <w:rPr>
                <w:sz w:val="19"/>
                <w:szCs w:val="19"/>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1,727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16.14</w:t>
            </w:r>
          </w:p>
        </w:tc>
        <w:tc>
          <w:tcPr>
            <w:tcW w:w="60" w:type="dxa"/>
            <w:vAlign w:val="bottom"/>
          </w:tcPr>
          <w:p>
            <w:pPr>
              <w:spacing w:after="0"/>
              <w:rPr>
                <w:sz w:val="19"/>
                <w:szCs w:val="19"/>
                <w:color w:val="auto"/>
              </w:rPr>
            </w:pPr>
          </w:p>
        </w:tc>
      </w:tr>
      <w:tr>
        <w:trPr>
          <w:trHeight w:val="224"/>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60" w:type="dxa"/>
            <w:vAlign w:val="bottom"/>
            <w:shd w:val="clear" w:color="auto" w:fill="CFF0FC"/>
          </w:tcPr>
          <w:p>
            <w:pPr>
              <w:spacing w:after="0"/>
              <w:rPr>
                <w:sz w:val="19"/>
                <w:szCs w:val="19"/>
                <w:color w:val="auto"/>
              </w:rPr>
            </w:pPr>
          </w:p>
        </w:tc>
      </w:tr>
      <w:tr>
        <w:trPr>
          <w:trHeight w:val="224"/>
        </w:trPr>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60" w:type="dxa"/>
            <w:vAlign w:val="bottom"/>
            <w:tcBorders>
              <w:bottom w:val="single" w:sz="8" w:color="CFF0FC"/>
            </w:tcBorders>
          </w:tcPr>
          <w:p>
            <w:pPr>
              <w:spacing w:after="0"/>
              <w:rPr>
                <w:sz w:val="19"/>
                <w:szCs w:val="19"/>
                <w:color w:val="auto"/>
              </w:rPr>
            </w:pPr>
          </w:p>
        </w:tc>
      </w:tr>
      <w:tr>
        <w:trPr>
          <w:trHeight w:val="205"/>
        </w:trPr>
        <w:tc>
          <w:tcPr>
            <w:tcW w:w="3260" w:type="dxa"/>
            <w:vAlign w:val="bottom"/>
            <w:shd w:val="clear" w:color="auto" w:fill="CFF0FC"/>
          </w:tcPr>
          <w:p>
            <w:pPr>
              <w:ind w:left="240"/>
              <w:spacing w:after="0" w:line="205" w:lineRule="exact"/>
              <w:rPr>
                <w:sz w:val="20"/>
                <w:szCs w:val="20"/>
                <w:color w:val="auto"/>
              </w:rPr>
            </w:pPr>
            <w:r>
              <w:rPr>
                <w:rFonts w:ascii="Arial" w:cs="Arial" w:eastAsia="Arial" w:hAnsi="Arial"/>
                <w:sz w:val="18"/>
                <w:szCs w:val="18"/>
                <w:color w:val="auto"/>
              </w:rPr>
              <w:t>Allowance for Loan &amp; Lease</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3"/>
        </w:trPr>
        <w:tc>
          <w:tcPr>
            <w:tcW w:w="3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Losses</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16,242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13,672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7,228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6,775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6,868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60" w:type="dxa"/>
            <w:vAlign w:val="bottom"/>
            <w:shd w:val="clear" w:color="auto" w:fill="CFF0FC"/>
          </w:tcPr>
          <w:p>
            <w:pPr>
              <w:spacing w:after="0"/>
              <w:rPr>
                <w:sz w:val="19"/>
                <w:szCs w:val="19"/>
                <w:color w:val="auto"/>
              </w:rPr>
            </w:pPr>
          </w:p>
        </w:tc>
      </w:tr>
      <w:tr>
        <w:trPr>
          <w:trHeight w:val="212"/>
        </w:trPr>
        <w:tc>
          <w:tcPr>
            <w:tcW w:w="3260" w:type="dxa"/>
            <w:vAlign w:val="bottom"/>
          </w:tcPr>
          <w:p>
            <w:pPr>
              <w:ind w:left="240"/>
              <w:spacing w:after="0"/>
              <w:rPr>
                <w:sz w:val="20"/>
                <w:szCs w:val="20"/>
                <w:color w:val="auto"/>
              </w:rPr>
            </w:pPr>
            <w:r>
              <w:rPr>
                <w:rFonts w:ascii="Arial" w:cs="Arial" w:eastAsia="Arial" w:hAnsi="Arial"/>
                <w:sz w:val="18"/>
                <w:szCs w:val="18"/>
                <w:color w:val="auto"/>
              </w:rPr>
              <w:t>Off Balance Sheet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2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Commitments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r>
      <w:tr>
        <w:trPr>
          <w:trHeight w:val="205"/>
        </w:trPr>
        <w:tc>
          <w:tcPr>
            <w:tcW w:w="3260" w:type="dxa"/>
            <w:vAlign w:val="bottom"/>
            <w:shd w:val="clear" w:color="auto" w:fill="CFF0FC"/>
          </w:tcPr>
          <w:p>
            <w:pPr>
              <w:ind w:left="480"/>
              <w:spacing w:after="0" w:line="205" w:lineRule="exact"/>
              <w:rPr>
                <w:sz w:val="20"/>
                <w:szCs w:val="20"/>
                <w:color w:val="auto"/>
              </w:rPr>
            </w:pPr>
            <w:r>
              <w:rPr>
                <w:rFonts w:ascii="Arial" w:cs="Arial" w:eastAsia="Arial" w:hAnsi="Arial"/>
                <w:sz w:val="18"/>
                <w:szCs w:val="18"/>
                <w:color w:val="auto"/>
              </w:rPr>
              <w:t>Total Allowance for</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3"/>
        </w:trPr>
        <w:tc>
          <w:tcPr>
            <w:tcW w:w="32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Credit Losses</w:t>
            </w:r>
          </w:p>
        </w:tc>
        <w:tc>
          <w:tcPr>
            <w:tcW w:w="100" w:type="dxa"/>
            <w:vAlign w:val="bottom"/>
            <w:shd w:val="clear" w:color="auto" w:fill="CFF0FC"/>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17,283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14,313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7,707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7,049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7,095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of outstanding time certificates of deposits and other time deposits in amounts of $100,000 or more by maturity both in total and uninsured greater than $250,000 as of December 31, 2021 are as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Over Three</w:t>
            </w: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Over Six</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Months</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Months Less</w:t>
            </w:r>
          </w:p>
        </w:tc>
        <w:tc>
          <w:tcPr>
            <w:tcW w:w="200" w:type="dxa"/>
            <w:vAlign w:val="bottom"/>
          </w:tcPr>
          <w:p>
            <w:pPr>
              <w:spacing w:after="0"/>
              <w:rPr>
                <w:sz w:val="19"/>
                <w:szCs w:val="19"/>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Over</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Under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Less than</w:t>
            </w:r>
          </w:p>
        </w:tc>
        <w:tc>
          <w:tcPr>
            <w:tcW w:w="12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Than One</w:t>
            </w:r>
          </w:p>
        </w:tc>
        <w:tc>
          <w:tcPr>
            <w:tcW w:w="2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One</w:t>
            </w:r>
          </w:p>
        </w:tc>
        <w:tc>
          <w:tcPr>
            <w:tcW w:w="0" w:type="dxa"/>
            <w:vAlign w:val="bottom"/>
          </w:tcPr>
          <w:p>
            <w:pPr>
              <w:spacing w:after="0"/>
              <w:rPr>
                <w:sz w:val="1"/>
                <w:szCs w:val="1"/>
                <w:color w:val="auto"/>
              </w:rPr>
            </w:pPr>
          </w:p>
        </w:tc>
      </w:tr>
      <w:tr>
        <w:trPr>
          <w:trHeight w:val="224"/>
        </w:trPr>
        <w:tc>
          <w:tcPr>
            <w:tcW w:w="350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Three Months</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9"/>
              </w:rPr>
              <w:t>Six Months</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Year</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4"/>
              </w:rPr>
              <w:t>Year</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7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47,976</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38,079</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66,438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Uninsured Time Deposits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1900" w:type="dxa"/>
            <w:vAlign w:val="bottom"/>
            <w:gridSpan w:val="2"/>
          </w:tcPr>
          <w:p>
            <w:pPr>
              <w:ind w:left="170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13,294</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29,595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28,071</w:t>
            </w:r>
          </w:p>
        </w:tc>
        <w:tc>
          <w:tcPr>
            <w:tcW w:w="2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average amount of and average rate paid on each deposit category:</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1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1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Non-Interest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Interest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Savings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Time</w:t>
            </w:r>
          </w:p>
        </w:tc>
      </w:tr>
      <w:tr>
        <w:trPr>
          <w:trHeight w:val="224"/>
        </w:trPr>
        <w:tc>
          <w:tcPr>
            <w:tcW w:w="1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DDAs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DDAs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Accounts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Accounts</w:t>
            </w:r>
          </w:p>
        </w:tc>
      </w:tr>
      <w:tr>
        <w:trPr>
          <w:trHeight w:val="197"/>
        </w:trPr>
        <w:tc>
          <w:tcPr>
            <w:tcW w:w="3200" w:type="dxa"/>
            <w:vAlign w:val="bottom"/>
            <w:tcBorders>
              <w:top w:val="single" w:sz="8" w:color="CFF0FC"/>
            </w:tcBorders>
            <w:gridSpan w:val="2"/>
            <w:shd w:val="clear" w:color="auto" w:fill="CFF0FC"/>
          </w:tcPr>
          <w:p>
            <w:pPr>
              <w:spacing w:after="0" w:line="178" w:lineRule="exact"/>
              <w:rPr>
                <w:sz w:val="20"/>
                <w:szCs w:val="20"/>
                <w:color w:val="auto"/>
              </w:rPr>
            </w:pPr>
            <w:r>
              <w:rPr>
                <w:rFonts w:ascii="Arial" w:cs="Arial" w:eastAsia="Arial" w:hAnsi="Arial"/>
                <w:sz w:val="18"/>
                <w:szCs w:val="18"/>
                <w:color w:val="auto"/>
              </w:rPr>
              <w:t>December 31, 2021:</w:t>
            </w:r>
          </w:p>
        </w:tc>
        <w:tc>
          <w:tcPr>
            <w:tcW w:w="18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24"/>
        </w:trPr>
        <w:tc>
          <w:tcPr>
            <w:tcW w:w="1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5"/>
              </w:rPr>
              <w:t>Average balance</w:t>
            </w:r>
          </w:p>
        </w:tc>
        <w:tc>
          <w:tcPr>
            <w:tcW w:w="1780" w:type="dxa"/>
            <w:vAlign w:val="bottom"/>
            <w:tcBorders>
              <w:top w:val="single" w:sz="8" w:color="CFF0FC"/>
            </w:tcBorders>
          </w:tcPr>
          <w:p>
            <w:pPr>
              <w:spacing w:after="0"/>
              <w:rPr>
                <w:sz w:val="19"/>
                <w:szCs w:val="19"/>
                <w:color w:val="auto"/>
              </w:rPr>
            </w:pPr>
          </w:p>
        </w:tc>
        <w:tc>
          <w:tcPr>
            <w:tcW w:w="1980" w:type="dxa"/>
            <w:vAlign w:val="bottom"/>
            <w:tcBorders>
              <w:top w:val="single" w:sz="8" w:color="CFF0FC"/>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400,801</w:t>
            </w: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635,544</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510,092</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306,600</w:t>
            </w:r>
          </w:p>
        </w:tc>
        <w:tc>
          <w:tcPr>
            <w:tcW w:w="180" w:type="dxa"/>
            <w:vAlign w:val="bottom"/>
            <w:tcBorders>
              <w:top w:val="single" w:sz="8" w:color="CFF0FC"/>
            </w:tcBorders>
          </w:tcPr>
          <w:p>
            <w:pPr>
              <w:spacing w:after="0"/>
              <w:rPr>
                <w:sz w:val="19"/>
                <w:szCs w:val="19"/>
                <w:color w:val="auto"/>
              </w:rPr>
            </w:pPr>
          </w:p>
        </w:tc>
      </w:tr>
      <w:tr>
        <w:trPr>
          <w:trHeight w:val="224"/>
        </w:trPr>
        <w:tc>
          <w:tcPr>
            <w:tcW w:w="3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Average rate</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r>
      <w:tr>
        <w:trPr>
          <w:trHeight w:val="194"/>
        </w:trPr>
        <w:tc>
          <w:tcPr>
            <w:tcW w:w="3200" w:type="dxa"/>
            <w:vAlign w:val="bottom"/>
            <w:gridSpan w:val="2"/>
          </w:tcPr>
          <w:p>
            <w:pPr>
              <w:spacing w:after="0" w:line="184" w:lineRule="exact"/>
              <w:rPr>
                <w:sz w:val="20"/>
                <w:szCs w:val="20"/>
                <w:color w:val="auto"/>
              </w:rPr>
            </w:pPr>
            <w:r>
              <w:rPr>
                <w:rFonts w:ascii="Arial" w:cs="Arial" w:eastAsia="Arial" w:hAnsi="Arial"/>
                <w:sz w:val="18"/>
                <w:szCs w:val="18"/>
                <w:color w:val="auto"/>
              </w:rPr>
              <w:t>December 31, 2020:</w:t>
            </w: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4"/>
        </w:trPr>
        <w:tc>
          <w:tcPr>
            <w:tcW w:w="14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85"/>
              </w:rPr>
              <w:t>Average balance</w:t>
            </w:r>
          </w:p>
        </w:tc>
        <w:tc>
          <w:tcPr>
            <w:tcW w:w="178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304,276</w:t>
            </w:r>
          </w:p>
        </w:tc>
        <w:tc>
          <w:tcPr>
            <w:tcW w:w="2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503,771</w:t>
            </w:r>
          </w:p>
        </w:tc>
        <w:tc>
          <w:tcPr>
            <w:tcW w:w="2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375,898</w:t>
            </w:r>
          </w:p>
        </w:tc>
        <w:tc>
          <w:tcPr>
            <w:tcW w:w="2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264,827</w:t>
            </w:r>
          </w:p>
        </w:tc>
        <w:tc>
          <w:tcPr>
            <w:tcW w:w="180" w:type="dxa"/>
            <w:vAlign w:val="bottom"/>
            <w:shd w:val="clear" w:color="auto" w:fill="CFF0FC"/>
          </w:tcPr>
          <w:p>
            <w:pPr>
              <w:spacing w:after="0"/>
              <w:rPr>
                <w:sz w:val="20"/>
                <w:szCs w:val="20"/>
                <w:color w:val="auto"/>
              </w:rPr>
            </w:pPr>
          </w:p>
        </w:tc>
      </w:tr>
      <w:tr>
        <w:trPr>
          <w:trHeight w:val="224"/>
        </w:trPr>
        <w:tc>
          <w:tcPr>
            <w:tcW w:w="3200" w:type="dxa"/>
            <w:vAlign w:val="bottom"/>
            <w:gridSpan w:val="2"/>
          </w:tcPr>
          <w:p>
            <w:pPr>
              <w:ind w:left="240"/>
              <w:spacing w:after="0"/>
              <w:rPr>
                <w:sz w:val="20"/>
                <w:szCs w:val="20"/>
                <w:color w:val="auto"/>
              </w:rPr>
            </w:pPr>
            <w:r>
              <w:rPr>
                <w:rFonts w:ascii="Arial" w:cs="Arial" w:eastAsia="Arial" w:hAnsi="Arial"/>
                <w:sz w:val="18"/>
                <w:szCs w:val="18"/>
                <w:color w:val="auto"/>
              </w:rPr>
              <w:t>Average rate</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0.66%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r>
      <w:tr>
        <w:trPr>
          <w:trHeight w:val="204"/>
        </w:trPr>
        <w:tc>
          <w:tcPr>
            <w:tcW w:w="3200" w:type="dxa"/>
            <w:vAlign w:val="bottom"/>
            <w:gridSpan w:val="2"/>
            <w:shd w:val="clear" w:color="auto" w:fill="CFF0FC"/>
          </w:tcPr>
          <w:p>
            <w:pPr>
              <w:spacing w:after="0" w:line="185" w:lineRule="exact"/>
              <w:rPr>
                <w:sz w:val="20"/>
                <w:szCs w:val="20"/>
                <w:color w:val="auto"/>
              </w:rPr>
            </w:pPr>
            <w:r>
              <w:rPr>
                <w:rFonts w:ascii="Arial" w:cs="Arial" w:eastAsia="Arial" w:hAnsi="Arial"/>
                <w:sz w:val="18"/>
                <w:szCs w:val="18"/>
                <w:color w:val="auto"/>
              </w:rPr>
              <w:t>December 31, 2019:</w:t>
            </w:r>
          </w:p>
        </w:tc>
        <w:tc>
          <w:tcPr>
            <w:tcW w:w="1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24"/>
        </w:trPr>
        <w:tc>
          <w:tcPr>
            <w:tcW w:w="1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5"/>
              </w:rPr>
              <w:t>Average balance</w:t>
            </w:r>
          </w:p>
        </w:tc>
        <w:tc>
          <w:tcPr>
            <w:tcW w:w="1780" w:type="dxa"/>
            <w:vAlign w:val="bottom"/>
            <w:tcBorders>
              <w:top w:val="single" w:sz="8" w:color="CFF0FC"/>
            </w:tcBorders>
          </w:tcPr>
          <w:p>
            <w:pPr>
              <w:spacing w:after="0"/>
              <w:rPr>
                <w:sz w:val="19"/>
                <w:szCs w:val="19"/>
                <w:color w:val="auto"/>
              </w:rPr>
            </w:pPr>
          </w:p>
        </w:tc>
        <w:tc>
          <w:tcPr>
            <w:tcW w:w="1980" w:type="dxa"/>
            <w:vAlign w:val="bottom"/>
            <w:tcBorders>
              <w:top w:val="single" w:sz="8" w:color="CFF0FC"/>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243,551</w:t>
            </w: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422,778</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298,101</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265,046</w:t>
            </w:r>
          </w:p>
        </w:tc>
        <w:tc>
          <w:tcPr>
            <w:tcW w:w="180" w:type="dxa"/>
            <w:vAlign w:val="bottom"/>
            <w:tcBorders>
              <w:top w:val="single" w:sz="8" w:color="CFF0FC"/>
            </w:tcBorders>
          </w:tcPr>
          <w:p>
            <w:pPr>
              <w:spacing w:after="0"/>
              <w:rPr>
                <w:sz w:val="19"/>
                <w:szCs w:val="19"/>
                <w:color w:val="auto"/>
              </w:rPr>
            </w:pPr>
          </w:p>
        </w:tc>
      </w:tr>
      <w:tr>
        <w:trPr>
          <w:trHeight w:val="224"/>
        </w:trPr>
        <w:tc>
          <w:tcPr>
            <w:tcW w:w="3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Average rate</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Uninsured deposits greater than $250,000 are presented by year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87"/>
              </w:rPr>
              <w:t>(In Thousands)</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880" w:type="dxa"/>
            <w:vAlign w:val="bottom"/>
            <w:tcBorders>
              <w:bottom w:val="single" w:sz="8" w:color="CFF0FC"/>
            </w:tcBorders>
          </w:tcPr>
          <w:p>
            <w:pPr>
              <w:spacing w:after="0"/>
              <w:rPr>
                <w:sz w:val="18"/>
                <w:szCs w:val="18"/>
                <w:color w:val="auto"/>
              </w:rPr>
            </w:pPr>
          </w:p>
        </w:tc>
        <w:tc>
          <w:tcPr>
            <w:tcW w:w="24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Uninsured Deposits</w:t>
            </w:r>
          </w:p>
        </w:tc>
        <w:tc>
          <w:tcPr>
            <w:tcW w:w="2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436,628</w:t>
            </w:r>
          </w:p>
        </w:tc>
        <w:tc>
          <w:tcPr>
            <w:tcW w:w="4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320,483</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213,371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bottom w:val="single" w:sz="8" w:color="CFF0FC"/>
            </w:tcBorders>
            <w:vMerge w:val="restart"/>
          </w:tcPr>
          <w:p>
            <w:pPr>
              <w:jc w:val="right"/>
              <w:ind w:right="612"/>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Liquidity remains adequate and up from prior years as the Bank has increased the investment portfolio in 2020 and 2021. The Bank has access to $69.0 million of unsecured borrowings through correspondent banks, $94.2 million through a Cash Management Advance with the Federal Home Loan Bank and $313.6 million of unpledged securities which may be sold or used as collateral. The amount of unpledged securities increased almost $106.9 million as compared to 2020. For the Bank, an additional $91.2 million is also available from the Federal Home Loan Bank based on current collateral pledging. At the present time, only 1-4 family and home equity portfolios are pledged. Additional borrowings would be available if additional portfolios (i.e. commercial real estate) were pledged.</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Maintaining sufficient funds to meet depositor and borrower needs on a daily basis continues to be among management’s top priorities. This is accomplished not only by immediate liquid resources of cash, due from banks and federal funds sold, but also by the Bank’s available for sale securities portfolio. The average aggregate balance of these assets was $396.3 for 2021, $244.0 for 2020 and $196.9 million for 2019. This represented 17.8%, 13.8%, and 13.1% of total average assets, respectively. Of the almost $420.9 million of debt securities in the Bank’s portfolio as of December 31, 2021, $8.8 million, or 0.2% of the portfolio, is expected to receive payments or mature in 2022. This liquidity provides the opportunity to fund loan growth by analysis of the lowest cost and source of funds whether by increasing deposits, sales or runoff of investments or utilizing debt.</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the Bank’s investment portfolio, the Company has $9.0 million held in the holding company’s investment portfolio. $703.3 thousand of those investments will mature or receive payments in the next twelve months. These funds provide liquidity to the Company. The Bank has been declaring additional dividends each quarter to provide this liquidity to the Company. The Captive has also upstreamed dividends to the Company and is expected to continue annually as long as reserve levels are adequately provided for. This provides additional liquidity for Company activities.</w:t>
      </w:r>
    </w:p>
    <w:p>
      <w:pPr>
        <w:spacing w:after="0" w:line="16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Historically, the primary source of liquidity has been core deposits that include noninterest bearing and interest bearing demand deposits, savings, money market accounts and time deposits of individuals. Core deposit balances increased in all categories as of December 31, 2021 compared to same date 2020. Average total savings balances increased $266.0 million in 2021 as compared to 2020. Core deposit balances as of year-end 2020 increased in all categories except for time deposits as compared to 2019. Overall deposits increased an average of $219.3 million in 2020 and $299.7 million in 2019. The Bank did not purchase Federal Funds during 2021; however, did purchase Federal Funds at times during 2019 through 2020. The average balance for 2020 was $2.2 million and for 2019 $2.1 million. The Bank is comfortable accessing these funds on a regular basis.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Historically, the primary use of new funds is placing the funds back into the community through loans for the acquisition of new homes, consumer products and for business development. The use of new funds for loans is measured by the loan to deposit ratio. The Bank’s average loan to deposit ratio was 82.1% for 2021, 90.7% for 2020 and 91.8% for 2019. The Bank’s goal is for this ratio to be higher in the 80-90 percent range with loan growth being the driver. The Bank ended the year 2021 at an 84.8% loan to deposit ratio.</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Short-term debt such as federal funds purchased, and securities sold under agreement to repurchase also provides the Company with liquidity. Short-term debt for both federal funds purchased, and securities sold under agreement to repurchase amounted to $29.3 million at December 31, 2021, $30.2 million at December 31, 2020, and $48.1 million at the end of 2019. These accounts are used to provide a sweep product to the Bank’s commercial customers and for some term deposits. The repurchase agreements are for term deposits only.</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 borrowings” are also a source of funds. Other borrowings consist of loans from the Federal Home Loan Bank of Cincinnati and Indianapolis and a correspondent bank. These funds are then used to provide loans in our community. On January 1, 2019, the Bank acquired $49.5 million of borrowings from the Federal Home Loan Bank of Indianapolis. During 2021, 2020 and 2019, $157.8 thousand, $7.5 million and $23.9 million, respectively either matured and was paid off or was paid down. On October 1, 2021, the Bank acquired $6.0 million of borrowings due in 2024 from the Federal Home Loan Bank of Cincinnati.</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Asset/Liability Management</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primary functions of asset/liability management are to assure adequate liquidity and maintain an appropriate balance between interest earning assets and interest bearing liabilities. It involves the management of the balance sheet mix, maturities, re-pricing characteristics and pricing components to provide an adequate and stable net interest margin with an acceptable level of risk. Interest rate sensitivity management seeks to avoid fluctuating net interest margins and to enhance consistent growth of net interest income through periods of changing interest rates.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spacing w:after="0" w:line="253" w:lineRule="auto"/>
        <w:rPr>
          <w:sz w:val="20"/>
          <w:szCs w:val="20"/>
          <w:color w:val="auto"/>
        </w:rPr>
      </w:pPr>
      <w:r>
        <w:rPr>
          <w:rFonts w:ascii="Arial" w:cs="Arial" w:eastAsia="Arial" w:hAnsi="Arial"/>
          <w:sz w:val="18"/>
          <w:szCs w:val="18"/>
          <w:color w:val="auto"/>
        </w:rPr>
        <w:t>Changes in net income, other than those related to volume arise when interest rates on assets re-price in a time frame or interest rate environment that is different from that of the re-pricing period for liabilities. Changes in net interest income also arise from changes in the mix of interest-earning assets and interest-bearing liabilities.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Historically, the Bank has maintained liquidity through cash flows generated in the normal course of business, loan repayments, maturing earning assets, the acquisition of new deposits, and borrowings. The Bank's asset and liability management program is designed to maximize net interest income over the long term while taking into consideration both credit and interest rate risk. Interest rate sensitivity varies with different types of interest-earning assets and interest-bearing liabilities. Overnight federal funds on which rates change daily and loans that are tied to the market rate differ considerably from long-term investment securities and fixed rate loans. Similarly, time deposits over $100,000 and money market certificates are much more interest rate sensitive than passbook savings accounts. The Bank utilizes shock analysis to examine the amount of exposure an immediate rate change of 100, 200, 300 and 400 basis points in both increasing and decreasing directions would have on the financials. Acceptable ranges of earnings and equity at risk are established and decisions are made to maintain those levels based on the shock results.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Changing Prices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consolidated financial statements and notes thereto presented herein have been prepared in accordance with generally accepted accounting principles, which require the measurement of financial position and operating results in terms of historical dollars without considering the changes in the relative purchasing power of money over time due to inflation. The impact of inflation is reflected in the increased cost of the Company’s operations. Unlike most industrial companies, nearly all the assets and liabilities of the Company are monetary in nature. As a result, interest rates have a greater impact on the Company’s performance than do the effects of general levels of inflation. Interest rates do not necessarily move in the same direction or to the same extent as the prices of goods and service.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Contractual Obligations of the Company totaled $603.7 million as of December 31, 2021. Time deposits, contractual agreements for certificates of deposits held by its customers, were $471.5 million. Securities sold under agreement to repurchase were $29.3 million. Short term debt, two loans secured for the acquisition of Perpetual Federal Savings Bank, was $40.0 million while long term debt, borrowings with the Federal Home Loan Bank and subordinated notes, was 59.1 million. Short term and long term debt is further defined in Note 9 of the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Stockholders’ equity was $297.2 million as of December 31, 2021 compared to $249.2 million at December 31, 2020. Dividends declared during 2021 were $0.71 per share totaling $8.2 million and dividends declared during 2020 were $0.66 per share totaling $7.3 million. Throughout 2021, the Company awarded 48,750 shares of restricted stock awards to 96 employees. During 2020, the Company awarded 37,382 shares of restricted stock to 92 employees. For a summary of activity as it relates to the Company’s restricted stock awards, please refer to Note 11: Employee Benefit Plans in the consolidated financial statements. On December 31, 2021 the Company held 997,766 shares in Treasury Stock and 111,131 unvested shares of restricted stock. At year-end 2020, the Company held 1,032,456 shares in Treasury stock and 88,226 unvested shares of restricted stock. On January 25, 2022 the Company announced the authorization by its Board of Directors for the Company’s repurchase, either on the open market, or in privately negotiated transactions, of up to 600,000 shares of its outstanding common stock commencing January 25, 2022 and ending December 31, 2022. The Company has a history of approving a similar resolution to be in effect each year for at least the last five years.</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continues to have a strong capital base and maintains regulatory capital ratios that are above the defined regulatory capital ratios. At December 31, 2021, the Bank had total risk-based capital ratio of 15.22%. Core capital to risk-based asset ratio of 14.26% for the Bank, is well in excess of regulatory guidelines. The Bank’s leverage ratio of 10.25% is also substantially in excess of regulatory guidelines. Under Basel III, the common equity Tier 1 Capital to risk-weighted assets ratio is also well above the required 4.50% and the 6.50% well capitalized levels with the Bank at 14.26%. As a result of the passage of the Economic Growth, Regulatory Relief and Consumer Protection Act (EGRRCPA) in 2018, the Company is no longer subject to regulatory capital ratio requirements as long as its total consolidating assets are less than $3.0 billion. For further discussion and analysis of regulatory capital requirements, refer to Note 15 of the Audited Financial Statements.</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subsidiaries are restricted by regulations from making dividend distributions in excess of certain prescribed amounts. Upon prior regulatory approval, the Bank may be allowed to pay above the prescribed amount.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ind w:right="4160"/>
        <w:spacing w:after="0" w:line="370" w:lineRule="auto"/>
        <w:rPr>
          <w:sz w:val="20"/>
          <w:szCs w:val="20"/>
          <w:color w:val="auto"/>
        </w:rPr>
      </w:pPr>
      <w:r>
        <w:rPr>
          <w:rFonts w:ascii="Arial" w:cs="Arial" w:eastAsia="Arial" w:hAnsi="Arial"/>
          <w:sz w:val="18"/>
          <w:szCs w:val="18"/>
          <w:b w:val="1"/>
          <w:bCs w:val="1"/>
          <w:u w:val="single" w:color="auto"/>
          <w:color w:val="auto"/>
        </w:rPr>
        <w:t xml:space="preserve">ITEM 7a. QUANTITATIVE AND QUALITATIVE DISCLOSURES ABOUT MARKET RISK </w:t>
      </w:r>
      <w:r>
        <w:rPr>
          <w:rFonts w:ascii="Arial" w:cs="Arial" w:eastAsia="Arial" w:hAnsi="Arial"/>
          <w:sz w:val="18"/>
          <w:szCs w:val="18"/>
          <w:b w:val="1"/>
          <w:bCs w:val="1"/>
          <w:color w:val="auto"/>
        </w:rPr>
        <w:t>Market Risk</w:t>
      </w:r>
    </w:p>
    <w:p>
      <w:pPr>
        <w:jc w:val="both"/>
        <w:spacing w:after="0" w:line="248" w:lineRule="auto"/>
        <w:rPr>
          <w:sz w:val="20"/>
          <w:szCs w:val="20"/>
          <w:color w:val="auto"/>
        </w:rPr>
      </w:pPr>
      <w:r>
        <w:rPr>
          <w:rFonts w:ascii="Arial" w:cs="Arial" w:eastAsia="Arial" w:hAnsi="Arial"/>
          <w:sz w:val="18"/>
          <w:szCs w:val="18"/>
          <w:color w:val="auto"/>
        </w:rPr>
        <w:t>Market risk is the exposure to loss resulting from changes in interest rates and equity prices. The primary market risk to which we are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The Company employs a sensitivity analysis utilizing interest rate shocks to help in this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the shocks presented below assume an immediate change of rate in the percentages and directions shown: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0" w:type="dxa"/>
            <w:vAlign w:val="bottom"/>
            <w:gridSpan w:val="4"/>
          </w:tcPr>
          <w:p>
            <w:pPr>
              <w:jc w:val="center"/>
              <w:ind w:right="280"/>
              <w:spacing w:after="0"/>
              <w:rPr>
                <w:sz w:val="20"/>
                <w:szCs w:val="20"/>
                <w:color w:val="auto"/>
              </w:rPr>
            </w:pPr>
            <w:r>
              <w:rPr>
                <w:rFonts w:ascii="Arial" w:cs="Arial" w:eastAsia="Arial" w:hAnsi="Arial"/>
                <w:sz w:val="18"/>
                <w:szCs w:val="18"/>
                <w:color w:val="auto"/>
                <w:w w:val="87"/>
              </w:rPr>
              <w:t>Interest Rate Shock on</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40" w:type="dxa"/>
            <w:vAlign w:val="bottom"/>
            <w:gridSpan w:val="4"/>
          </w:tcPr>
          <w:p>
            <w:pPr>
              <w:jc w:val="center"/>
              <w:ind w:right="120"/>
              <w:spacing w:after="0"/>
              <w:rPr>
                <w:sz w:val="20"/>
                <w:szCs w:val="20"/>
                <w:color w:val="auto"/>
              </w:rPr>
            </w:pPr>
            <w:r>
              <w:rPr>
                <w:rFonts w:ascii="Arial" w:cs="Arial" w:eastAsia="Arial" w:hAnsi="Arial"/>
                <w:sz w:val="18"/>
                <w:szCs w:val="18"/>
                <w:color w:val="auto"/>
                <w:w w:val="87"/>
              </w:rPr>
              <w:t>Interest Rate Shock on</w:t>
            </w:r>
          </w:p>
        </w:tc>
      </w:tr>
      <w:tr>
        <w:trPr>
          <w:trHeight w:val="224"/>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Net Interest Margin</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Net Interest Income</w:t>
            </w:r>
          </w:p>
        </w:tc>
        <w:tc>
          <w:tcPr>
            <w:tcW w:w="100" w:type="dxa"/>
            <w:vAlign w:val="bottom"/>
          </w:tcPr>
          <w:p>
            <w:pPr>
              <w:spacing w:after="0"/>
              <w:rPr>
                <w:sz w:val="19"/>
                <w:szCs w:val="19"/>
                <w:color w:val="auto"/>
              </w:rPr>
            </w:pPr>
          </w:p>
        </w:tc>
      </w:tr>
      <w:tr>
        <w:trPr>
          <w:trHeight w:val="217"/>
        </w:trPr>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Net Interest</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 Change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Rate</w:t>
            </w: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Rate</w:t>
            </w:r>
          </w:p>
        </w:tc>
        <w:tc>
          <w:tcPr>
            <w:tcW w:w="1900" w:type="dxa"/>
            <w:vAlign w:val="bottom"/>
            <w:gridSpan w:val="2"/>
          </w:tcPr>
          <w:p>
            <w:pPr>
              <w:ind w:left="400"/>
              <w:spacing w:after="0"/>
              <w:rPr>
                <w:sz w:val="20"/>
                <w:szCs w:val="20"/>
                <w:color w:val="auto"/>
              </w:rPr>
            </w:pPr>
            <w:r>
              <w:rPr>
                <w:rFonts w:ascii="Arial" w:cs="Arial" w:eastAsia="Arial" w:hAnsi="Arial"/>
                <w:sz w:val="18"/>
                <w:szCs w:val="18"/>
                <w:color w:val="auto"/>
              </w:rPr>
              <w:t>Cumulative</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 Change</w:t>
            </w:r>
          </w:p>
        </w:tc>
      </w:tr>
      <w:tr>
        <w:trPr>
          <w:trHeight w:val="22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Margin (Ratio)</w:t>
            </w:r>
          </w:p>
        </w:tc>
        <w:tc>
          <w:tcPr>
            <w:tcW w:w="28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 Flat Rate</w:t>
            </w:r>
          </w:p>
        </w:tc>
        <w:tc>
          <w:tcPr>
            <w:tcW w:w="280" w:type="dxa"/>
            <w:vAlign w:val="bottom"/>
            <w:tcBorders>
              <w:bottom w:val="single" w:sz="8" w:color="CFF0FC"/>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Direction</w:t>
            </w:r>
          </w:p>
        </w:tc>
        <w:tc>
          <w:tcPr>
            <w:tcW w:w="16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changes by</w:t>
            </w:r>
          </w:p>
        </w:tc>
        <w:tc>
          <w:tcPr>
            <w:tcW w:w="26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Total ($000)</w:t>
            </w:r>
          </w:p>
        </w:tc>
        <w:tc>
          <w:tcPr>
            <w:tcW w:w="28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 Flat Rate</w:t>
            </w:r>
          </w:p>
        </w:tc>
        <w:tc>
          <w:tcPr>
            <w:tcW w:w="100" w:type="dxa"/>
            <w:vAlign w:val="bottom"/>
            <w:tcBorders>
              <w:bottom w:val="single" w:sz="8" w:color="CFF0FC"/>
            </w:tcBorders>
          </w:tcPr>
          <w:p>
            <w:pPr>
              <w:spacing w:after="0"/>
              <w:rPr>
                <w:sz w:val="19"/>
                <w:szCs w:val="19"/>
                <w:color w:val="auto"/>
              </w:rPr>
            </w:pPr>
          </w:p>
        </w:tc>
      </w:tr>
      <w:tr>
        <w:trPr>
          <w:trHeight w:val="217"/>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3.55%</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7.78%</w:t>
            </w:r>
          </w:p>
        </w:tc>
        <w:tc>
          <w:tcPr>
            <w:tcW w:w="2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Rising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80,262</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8.66%</w:t>
            </w:r>
          </w:p>
        </w:tc>
        <w:tc>
          <w:tcPr>
            <w:tcW w:w="100" w:type="dxa"/>
            <w:vAlign w:val="bottom"/>
            <w:shd w:val="clear" w:color="auto" w:fill="CFF0FC"/>
          </w:tcPr>
          <w:p>
            <w:pPr>
              <w:spacing w:after="0"/>
              <w:rPr>
                <w:sz w:val="18"/>
                <w:szCs w:val="18"/>
                <w:color w:val="auto"/>
              </w:rPr>
            </w:pPr>
          </w:p>
        </w:tc>
      </w:tr>
      <w:tr>
        <w:trPr>
          <w:trHeight w:val="224"/>
        </w:trPr>
        <w:tc>
          <w:tcPr>
            <w:tcW w:w="1620" w:type="dxa"/>
            <w:vAlign w:val="bottom"/>
          </w:tcPr>
          <w:p>
            <w:pPr>
              <w:jc w:val="center"/>
              <w:spacing w:after="0"/>
              <w:rPr>
                <w:sz w:val="20"/>
                <w:szCs w:val="20"/>
                <w:color w:val="auto"/>
              </w:rPr>
            </w:pPr>
            <w:r>
              <w:rPr>
                <w:rFonts w:ascii="Arial" w:cs="Arial" w:eastAsia="Arial" w:hAnsi="Arial"/>
                <w:sz w:val="18"/>
                <w:szCs w:val="18"/>
                <w:color w:val="auto"/>
                <w:w w:val="90"/>
              </w:rPr>
              <w:t>3.51%</w:t>
            </w:r>
          </w:p>
        </w:tc>
        <w:tc>
          <w:tcPr>
            <w:tcW w:w="2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6.55%</w:t>
            </w:r>
          </w:p>
        </w:tc>
        <w:tc>
          <w:tcPr>
            <w:tcW w:w="280" w:type="dxa"/>
            <w:vAlign w:val="bottom"/>
          </w:tcPr>
          <w:p>
            <w:pPr>
              <w:spacing w:after="0"/>
              <w:rPr>
                <w:sz w:val="19"/>
                <w:szCs w:val="19"/>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Rising</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260" w:type="dxa"/>
            <w:vAlign w:val="bottom"/>
          </w:tcPr>
          <w:p>
            <w:pPr>
              <w:spacing w:after="0"/>
              <w:rPr>
                <w:sz w:val="19"/>
                <w:szCs w:val="19"/>
                <w:color w:val="auto"/>
              </w:rPr>
            </w:pPr>
          </w:p>
        </w:tc>
        <w:tc>
          <w:tcPr>
            <w:tcW w:w="1620" w:type="dxa"/>
            <w:vAlign w:val="bottom"/>
          </w:tcPr>
          <w:p>
            <w:pPr>
              <w:jc w:val="right"/>
              <w:ind w:right="432"/>
              <w:spacing w:after="0"/>
              <w:rPr>
                <w:sz w:val="20"/>
                <w:szCs w:val="20"/>
                <w:color w:val="auto"/>
              </w:rPr>
            </w:pPr>
            <w:r>
              <w:rPr>
                <w:rFonts w:ascii="Arial" w:cs="Arial" w:eastAsia="Arial" w:hAnsi="Arial"/>
                <w:sz w:val="18"/>
                <w:szCs w:val="18"/>
                <w:color w:val="auto"/>
              </w:rPr>
              <w:t>79,132</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7.13%</w:t>
            </w:r>
          </w:p>
        </w:tc>
        <w:tc>
          <w:tcPr>
            <w:tcW w:w="100" w:type="dxa"/>
            <w:vAlign w:val="bottom"/>
          </w:tcPr>
          <w:p>
            <w:pPr>
              <w:spacing w:after="0"/>
              <w:rPr>
                <w:sz w:val="19"/>
                <w:szCs w:val="19"/>
                <w:color w:val="auto"/>
              </w:rPr>
            </w:pPr>
          </w:p>
        </w:tc>
      </w:tr>
      <w:tr>
        <w:trPr>
          <w:trHeight w:val="224"/>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3.44%</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4.25%</w:t>
            </w:r>
          </w:p>
        </w:tc>
        <w:tc>
          <w:tcPr>
            <w:tcW w:w="2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Rising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77,207</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4.53%</w:t>
            </w:r>
          </w:p>
        </w:tc>
        <w:tc>
          <w:tcPr>
            <w:tcW w:w="100" w:type="dxa"/>
            <w:vAlign w:val="bottom"/>
            <w:shd w:val="clear" w:color="auto" w:fill="CFF0FC"/>
          </w:tcPr>
          <w:p>
            <w:pPr>
              <w:spacing w:after="0"/>
              <w:rPr>
                <w:sz w:val="19"/>
                <w:szCs w:val="19"/>
                <w:color w:val="auto"/>
              </w:rPr>
            </w:pPr>
          </w:p>
        </w:tc>
      </w:tr>
      <w:tr>
        <w:trPr>
          <w:trHeight w:val="224"/>
        </w:trPr>
        <w:tc>
          <w:tcPr>
            <w:tcW w:w="1620" w:type="dxa"/>
            <w:vAlign w:val="bottom"/>
          </w:tcPr>
          <w:p>
            <w:pPr>
              <w:jc w:val="center"/>
              <w:spacing w:after="0"/>
              <w:rPr>
                <w:sz w:val="20"/>
                <w:szCs w:val="20"/>
                <w:color w:val="auto"/>
              </w:rPr>
            </w:pPr>
            <w:r>
              <w:rPr>
                <w:rFonts w:ascii="Arial" w:cs="Arial" w:eastAsia="Arial" w:hAnsi="Arial"/>
                <w:sz w:val="18"/>
                <w:szCs w:val="18"/>
                <w:color w:val="auto"/>
                <w:w w:val="90"/>
              </w:rPr>
              <w:t>3.30%</w:t>
            </w:r>
          </w:p>
        </w:tc>
        <w:tc>
          <w:tcPr>
            <w:tcW w:w="2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tcPr>
          <w:p>
            <w:pPr>
              <w:spacing w:after="0"/>
              <w:rPr>
                <w:sz w:val="19"/>
                <w:szCs w:val="19"/>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Flat</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60" w:type="dxa"/>
            <w:vAlign w:val="bottom"/>
          </w:tcPr>
          <w:p>
            <w:pPr>
              <w:spacing w:after="0"/>
              <w:rPr>
                <w:sz w:val="19"/>
                <w:szCs w:val="19"/>
                <w:color w:val="auto"/>
              </w:rPr>
            </w:pPr>
          </w:p>
        </w:tc>
        <w:tc>
          <w:tcPr>
            <w:tcW w:w="1620" w:type="dxa"/>
            <w:vAlign w:val="bottom"/>
          </w:tcPr>
          <w:p>
            <w:pPr>
              <w:jc w:val="right"/>
              <w:ind w:right="432"/>
              <w:spacing w:after="0"/>
              <w:rPr>
                <w:sz w:val="20"/>
                <w:szCs w:val="20"/>
                <w:color w:val="auto"/>
              </w:rPr>
            </w:pPr>
            <w:r>
              <w:rPr>
                <w:rFonts w:ascii="Arial" w:cs="Arial" w:eastAsia="Arial" w:hAnsi="Arial"/>
                <w:sz w:val="18"/>
                <w:szCs w:val="18"/>
                <w:color w:val="auto"/>
              </w:rPr>
              <w:t>73,863</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tcPr>
          <w:p>
            <w:pPr>
              <w:spacing w:after="0"/>
              <w:rPr>
                <w:sz w:val="19"/>
                <w:szCs w:val="19"/>
                <w:color w:val="auto"/>
              </w:rPr>
            </w:pPr>
          </w:p>
        </w:tc>
      </w:tr>
      <w:tr>
        <w:trPr>
          <w:trHeight w:val="224"/>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3.15%</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-4.28%</w:t>
            </w:r>
          </w:p>
        </w:tc>
        <w:tc>
          <w:tcPr>
            <w:tcW w:w="2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4"/>
              </w:rPr>
              <w:t>Falling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-1.00%</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70,695</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-4.29%</w:t>
            </w:r>
          </w:p>
        </w:tc>
        <w:tc>
          <w:tcPr>
            <w:tcW w:w="100" w:type="dxa"/>
            <w:vAlign w:val="bottom"/>
            <w:shd w:val="clear" w:color="auto" w:fill="CFF0FC"/>
          </w:tcPr>
          <w:p>
            <w:pPr>
              <w:spacing w:after="0"/>
              <w:rPr>
                <w:sz w:val="19"/>
                <w:szCs w:val="19"/>
                <w:color w:val="auto"/>
              </w:rPr>
            </w:pPr>
          </w:p>
        </w:tc>
      </w:tr>
      <w:tr>
        <w:trPr>
          <w:trHeight w:val="224"/>
        </w:trPr>
        <w:tc>
          <w:tcPr>
            <w:tcW w:w="1620" w:type="dxa"/>
            <w:vAlign w:val="bottom"/>
          </w:tcPr>
          <w:p>
            <w:pPr>
              <w:jc w:val="center"/>
              <w:spacing w:after="0"/>
              <w:rPr>
                <w:sz w:val="20"/>
                <w:szCs w:val="20"/>
                <w:color w:val="auto"/>
              </w:rPr>
            </w:pPr>
            <w:r>
              <w:rPr>
                <w:rFonts w:ascii="Arial" w:cs="Arial" w:eastAsia="Arial" w:hAnsi="Arial"/>
                <w:sz w:val="18"/>
                <w:szCs w:val="18"/>
                <w:color w:val="auto"/>
                <w:w w:val="90"/>
              </w:rPr>
              <w:t>3.03%</w:t>
            </w:r>
          </w:p>
        </w:tc>
        <w:tc>
          <w:tcPr>
            <w:tcW w:w="2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-8.04%</w:t>
            </w:r>
          </w:p>
        </w:tc>
        <w:tc>
          <w:tcPr>
            <w:tcW w:w="280" w:type="dxa"/>
            <w:vAlign w:val="bottom"/>
          </w:tcPr>
          <w:p>
            <w:pPr>
              <w:spacing w:after="0"/>
              <w:rPr>
                <w:sz w:val="19"/>
                <w:szCs w:val="19"/>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Falling</w:t>
            </w: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-2.00%</w:t>
            </w:r>
          </w:p>
        </w:tc>
        <w:tc>
          <w:tcPr>
            <w:tcW w:w="260" w:type="dxa"/>
            <w:vAlign w:val="bottom"/>
          </w:tcPr>
          <w:p>
            <w:pPr>
              <w:spacing w:after="0"/>
              <w:rPr>
                <w:sz w:val="19"/>
                <w:szCs w:val="19"/>
                <w:color w:val="auto"/>
              </w:rPr>
            </w:pPr>
          </w:p>
        </w:tc>
        <w:tc>
          <w:tcPr>
            <w:tcW w:w="1620" w:type="dxa"/>
            <w:vAlign w:val="bottom"/>
          </w:tcPr>
          <w:p>
            <w:pPr>
              <w:jc w:val="right"/>
              <w:ind w:right="432"/>
              <w:spacing w:after="0"/>
              <w:rPr>
                <w:sz w:val="20"/>
                <w:szCs w:val="20"/>
                <w:color w:val="auto"/>
              </w:rPr>
            </w:pPr>
            <w:r>
              <w:rPr>
                <w:rFonts w:ascii="Arial" w:cs="Arial" w:eastAsia="Arial" w:hAnsi="Arial"/>
                <w:sz w:val="18"/>
                <w:szCs w:val="18"/>
                <w:color w:val="auto"/>
              </w:rPr>
              <w:t>67,918</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-8.05%</w:t>
            </w:r>
          </w:p>
        </w:tc>
        <w:tc>
          <w:tcPr>
            <w:tcW w:w="100" w:type="dxa"/>
            <w:vAlign w:val="bottom"/>
          </w:tcPr>
          <w:p>
            <w:pPr>
              <w:spacing w:after="0"/>
              <w:rPr>
                <w:sz w:val="19"/>
                <w:szCs w:val="19"/>
                <w:color w:val="auto"/>
              </w:rPr>
            </w:pPr>
          </w:p>
        </w:tc>
      </w:tr>
      <w:tr>
        <w:trPr>
          <w:trHeight w:val="224"/>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2.90%</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-12.14%</w:t>
            </w:r>
          </w:p>
        </w:tc>
        <w:tc>
          <w:tcPr>
            <w:tcW w:w="2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4"/>
              </w:rPr>
              <w:t>Falling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-3.00%</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64,885</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-12.16%</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 shock chart currently shows a widening in net interest margin over the next twelve months in an increasing rate environment and a tightening in a falling rate environment. With the rate decreases in the second half of 2019 and the first quarter of 2020, the model predicts an expansion in a rising rate environment. The basis rising rates scenarios are predicted to expand the net interest margin and produce higher levels of net interest income. This would indicate that the assets yield is predicted to increase faster than the cost of funds will rise. The Bank continues to enhance its use of the software model and performs additional stress tests whose results management and the director’s review. </w:t>
      </w:r>
      <w:r>
        <w:rPr>
          <w:rFonts w:ascii="Arial" w:cs="Arial" w:eastAsia="Arial" w:hAnsi="Arial"/>
          <w:sz w:val="18"/>
          <w:szCs w:val="18"/>
          <w:color w:val="auto"/>
        </w:rPr>
        <w:t>The Bank also monitors and adjusts the assumptions for decay rates and key rate ties on certain</w:t>
      </w:r>
      <w:r>
        <w:rPr>
          <w:rFonts w:ascii="Arial" w:cs="Arial" w:eastAsia="Arial" w:hAnsi="Arial"/>
          <w:sz w:val="17"/>
          <w:szCs w:val="17"/>
          <w:color w:val="auto"/>
        </w:rPr>
        <w:t xml:space="preserve"> </w:t>
      </w:r>
      <w:r>
        <w:rPr>
          <w:rFonts w:ascii="Arial" w:cs="Arial" w:eastAsia="Arial" w:hAnsi="Arial"/>
          <w:sz w:val="18"/>
          <w:szCs w:val="18"/>
          <w:color w:val="auto"/>
        </w:rPr>
        <w:t xml:space="preserve">deposit accounts and continues to review and modify those rates as the index rates change. </w:t>
      </w:r>
      <w:r>
        <w:rPr>
          <w:rFonts w:ascii="Arial" w:cs="Arial" w:eastAsia="Arial" w:hAnsi="Arial"/>
          <w:sz w:val="16"/>
          <w:szCs w:val="16"/>
          <w:color w:val="auto"/>
        </w:rPr>
        <w:t>Both directional changes are well within risk exposure</w:t>
      </w:r>
      <w:r>
        <w:rPr>
          <w:rFonts w:ascii="Arial" w:cs="Arial" w:eastAsia="Arial" w:hAnsi="Arial"/>
          <w:sz w:val="18"/>
          <w:szCs w:val="18"/>
          <w:color w:val="auto"/>
        </w:rPr>
        <w:t xml:space="preserve"> </w:t>
      </w:r>
      <w:r>
        <w:rPr>
          <w:rFonts w:ascii="Arial" w:cs="Arial" w:eastAsia="Arial" w:hAnsi="Arial"/>
          <w:sz w:val="16"/>
          <w:szCs w:val="16"/>
          <w:color w:val="auto"/>
        </w:rPr>
        <w:t>guidelines. The effect of the rate shocks may be mitigated to the extent that not all lines of business are directly tied to an external index and actual balance sheet composition may differ from prediction.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ITEM 8.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December 31, 2021 and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2021, 2020 and 2019.</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Comprehensive Income for the years ended December 31, 2021, 2020 and 2019.</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Changes to Shareholders’ Equity for the years ended December 31, 2021, 2020 and 2019.</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2021, 2020 and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859" w:right="1440" w:bottom="1440" w:gutter="0" w:footer="0" w:header="0"/>
        </w:sectPr>
      </w:pPr>
    </w:p>
    <w:bookmarkStart w:id="46" w:name="page47"/>
    <w:bookmarkEnd w:id="46"/>
    <w:p>
      <w:pPr>
        <w:jc w:val="center"/>
        <w:spacing w:after="0" w:line="300" w:lineRule="auto"/>
        <w:rPr>
          <w:sz w:val="20"/>
          <w:szCs w:val="20"/>
          <w:color w:val="auto"/>
        </w:rPr>
      </w:pPr>
      <w:r>
        <w:rPr>
          <w:sz w:val="1"/>
          <w:szCs w:val="1"/>
          <w:color w:val="auto"/>
        </w:rPr>
        <w:drawing>
          <wp:inline distT="0" distB="0" distL="0" distR="0">
            <wp:extent cx="5613400" cy="6191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13400" cy="619125"/>
                    </a:xfrm>
                    <a:prstGeom prst="rect">
                      <a:avLst/>
                    </a:prstGeom>
                    <a:noFill/>
                    <a:ln>
                      <a:noFill/>
                    </a:ln>
                  </pic:spPr>
                </pic:pic>
              </a:graphicData>
            </a:graphic>
          </wp:inline>
        </w:drawing>
      </w: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Board of Directors and Audit Committee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Farmers &amp; Merchants Bancorp, Inc.</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Archbold, Ohio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08"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We have audited the accompanying consolidated balance sheets of Farmers &amp; Merchants Bancorp, Inc. (Company) as of December 31, 2021 and 2020, the related consolidated statements of income, comprehensive income, changes to shareholders’ equity and cash flows for each of the years in the three-year period ended December 31, 2021, and the related notes (collectively referred to as the “financial statements”). 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accounting principles generally accepted in the United States of America.</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Loan Losses</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As described in Note 4 to the consolidated financial statements, the Company’s consolidated allowance for loan and lease losses (ALLL) was $16.24 million at December 31, 2021. The Company also describes in Note 1 of the consolidated financial statements the "Allowance for Loan Losses" accounting policy around this estimate. The allowance for loan losses is evaluated on a regular basis by management and is based on management’s periodic review of the collectability of loans in light of historical experiences, the nature and volume of the loan portfolio, adverse situations that may affect the borrower’s ability to repay, estimated value of any underlying collateral, and prevailing economic conditions. The allowance consists of specific, general and unallocated components. The specific component relates to loans that are classified as impaired and an allowance is established when the discounted cash flows (or collateral value) of the impaired loan is lower than the carrying value of that loan. The general component covers non-classified loans and is based on historical loss experience adjusted for qualitative factors. The unallocated component is maintained to cover uncertainties that could affect management’s estimate of probable losses.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primary reason for our determination that the allowance for loan losses is a critical audit matter is that it involved significant judgement and complex review as there is a high degree of subjectivity in evaluating management’s estimate, such as evaluating management's assessment of economic conditions and other environmental factors, evaluating the adequacy of specific allowances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associated with impaired loans and assessing the appropriateness of loan grades.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estimated allowance for loan losses included:</w:t>
      </w:r>
    </w:p>
    <w:p>
      <w:pPr>
        <w:spacing w:after="0" w:line="108" w:lineRule="exact"/>
        <w:rPr>
          <w:sz w:val="20"/>
          <w:szCs w:val="20"/>
          <w:color w:val="auto"/>
        </w:rPr>
      </w:pPr>
    </w:p>
    <w:p>
      <w:pPr>
        <w:jc w:val="both"/>
        <w:ind w:left="600" w:hanging="397"/>
        <w:spacing w:after="0" w:line="247"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7"/>
          <w:szCs w:val="17"/>
          <w:color w:val="auto"/>
        </w:rPr>
        <w:t>Testing the design effectiveness of internal controls, including those related to technology, over the ALLL including data completeness and accuracy, classifications of loans by loan segment, historical loss data, the calculation of a loss rate, the establishment of qualitative adjustments, grading and risk classification of loans, establishment of specific reserves on impaired loans, and management’s review controls over the ALLL balance as a whole including attending internal Company Historical Loss Factors &amp; Minimums meeting, Qualitative Analysis Adjustments Committee meeting and Audit Committee discussions and analysis</w:t>
      </w:r>
    </w:p>
    <w:p>
      <w:pPr>
        <w:spacing w:after="0" w:line="87" w:lineRule="exact"/>
        <w:rPr>
          <w:rFonts w:ascii="Arial" w:cs="Arial" w:eastAsia="Arial" w:hAnsi="Arial"/>
          <w:sz w:val="16"/>
          <w:szCs w:val="16"/>
          <w:color w:val="auto"/>
        </w:rPr>
      </w:pPr>
    </w:p>
    <w:p>
      <w:pPr>
        <w:ind w:left="600" w:hanging="397"/>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7"/>
          <w:szCs w:val="17"/>
          <w:color w:val="auto"/>
        </w:rPr>
        <w:t>Testing clerical/computational accuracy of the formulas within the Company’s ALLL calculation</w:t>
      </w:r>
    </w:p>
    <w:p>
      <w:pPr>
        <w:spacing w:after="0" w:line="120" w:lineRule="exact"/>
        <w:rPr>
          <w:rFonts w:ascii="Arial" w:cs="Arial" w:eastAsia="Arial" w:hAnsi="Arial"/>
          <w:sz w:val="16"/>
          <w:szCs w:val="16"/>
          <w:color w:val="auto"/>
        </w:rPr>
      </w:pPr>
    </w:p>
    <w:p>
      <w:pPr>
        <w:ind w:left="600" w:hanging="397"/>
        <w:spacing w:after="0"/>
        <w:tabs>
          <w:tab w:leader="none" w:pos="600" w:val="left"/>
        </w:tabs>
        <w:numPr>
          <w:ilvl w:val="0"/>
          <w:numId w:val="15"/>
        </w:numPr>
        <w:rPr>
          <w:rFonts w:ascii="Arial" w:cs="Arial" w:eastAsia="Arial" w:hAnsi="Arial"/>
          <w:sz w:val="14"/>
          <w:szCs w:val="14"/>
          <w:color w:val="auto"/>
        </w:rPr>
      </w:pPr>
      <w:r>
        <w:rPr>
          <w:rFonts w:ascii="Arial" w:cs="Arial" w:eastAsia="Arial" w:hAnsi="Arial"/>
          <w:sz w:val="15"/>
          <w:szCs w:val="15"/>
          <w:color w:val="auto"/>
        </w:rPr>
        <w:t>Testing of completeness and accuracy of the underlying data utilized in the ALLL, including reports used in management review controls over the ALLL</w:t>
      </w:r>
    </w:p>
    <w:p>
      <w:pPr>
        <w:spacing w:after="0" w:line="143" w:lineRule="exact"/>
        <w:rPr>
          <w:rFonts w:ascii="Arial" w:cs="Arial" w:eastAsia="Arial" w:hAnsi="Arial"/>
          <w:sz w:val="14"/>
          <w:szCs w:val="14"/>
          <w:color w:val="auto"/>
        </w:rPr>
      </w:pPr>
    </w:p>
    <w:p>
      <w:pPr>
        <w:ind w:left="600" w:hanging="397"/>
        <w:spacing w:after="0" w:line="263"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7"/>
          <w:szCs w:val="17"/>
          <w:color w:val="auto"/>
        </w:rPr>
        <w:t>Testing of the loan review function and the accuracy of loan grades determined. Specifically, utilizing internal loan review professionals to assist us in evaluating the appropriateness of loan grades and to assess the reasonableness of specific impairments on impaired loans</w:t>
      </w:r>
    </w:p>
    <w:p>
      <w:pPr>
        <w:spacing w:after="0" w:line="72" w:lineRule="exact"/>
        <w:rPr>
          <w:rFonts w:ascii="Arial" w:cs="Arial" w:eastAsia="Arial" w:hAnsi="Arial"/>
          <w:sz w:val="16"/>
          <w:szCs w:val="16"/>
          <w:color w:val="auto"/>
        </w:rPr>
      </w:pPr>
    </w:p>
    <w:p>
      <w:pPr>
        <w:ind w:left="600" w:hanging="397"/>
        <w:spacing w:after="0" w:line="263"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7"/>
          <w:szCs w:val="17"/>
          <w:color w:val="auto"/>
        </w:rPr>
        <w:t>Evaluating the overall reasonableness of qualitative factor adjustments to historical loss and the appropriateness of their direction and magnitude and the Company’s support for the direction and magnitude compared to previous years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Mergers and Acquisitions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As described in Note 2 to the consolidated financial statements, the Company consummated the acquisitions of two financial institutions during the year ended December 31, 2021, resulting in the expansion of the Company’s operating foot print and additional goodwill of approximately $33 million being recognized on the Company’s consolidated balance sheet. As part of the acquisitions consummated during the year, management determined that the acquisitions qualified as a business and accordingly all identifiable assets and liabilities acquired were valuated at fair value as part of the purchase price allocation as of acquisition date. The identification and valuation of such acquired assets and assumed liabilities requires management to exercise significant judgment and consider the use of outside vendors to estimate the fair value allocations.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identified the consummated acquisitions and the valuation of acquired assets and assumed liabilities as a critical audit matter. Auditing the acquired balance sheets and acquisition related considerations involved a high degree of subjectivity in evaluating management's operational assumptions of the newly acquired divisions, fair value estimates, purchase price allocations and assessing the appropriateness of outside vendor valuation models.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primary procedures we performed to address this critical audit matter included:</w:t>
      </w:r>
    </w:p>
    <w:p>
      <w:pPr>
        <w:spacing w:after="0" w:line="108" w:lineRule="exact"/>
        <w:rPr>
          <w:sz w:val="20"/>
          <w:szCs w:val="20"/>
          <w:color w:val="auto"/>
        </w:rPr>
      </w:pPr>
    </w:p>
    <w:p>
      <w:pPr>
        <w:ind w:left="600" w:hanging="397"/>
        <w:spacing w:after="0" w:line="263"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Obtaining and reviewing executed Plan and Agreement of Merger documents to gain an understanding of the underlying terms of the consummated acquisition;</w:t>
      </w:r>
    </w:p>
    <w:p>
      <w:pPr>
        <w:spacing w:after="0" w:line="72" w:lineRule="exact"/>
        <w:rPr>
          <w:rFonts w:ascii="Arial" w:cs="Arial" w:eastAsia="Arial" w:hAnsi="Arial"/>
          <w:sz w:val="16"/>
          <w:szCs w:val="16"/>
          <w:color w:val="auto"/>
        </w:rPr>
      </w:pPr>
    </w:p>
    <w:p>
      <w:pPr>
        <w:ind w:left="600" w:hanging="397"/>
        <w:spacing w:after="0" w:line="263"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Testing the design effectiveness of management’s acquisition controls to gain an understanding of cut-off procedures performed and asset/liability identification considerations made;</w:t>
      </w:r>
    </w:p>
    <w:p>
      <w:pPr>
        <w:spacing w:after="0" w:line="72" w:lineRule="exact"/>
        <w:rPr>
          <w:rFonts w:ascii="Arial" w:cs="Arial" w:eastAsia="Arial" w:hAnsi="Arial"/>
          <w:sz w:val="16"/>
          <w:szCs w:val="16"/>
          <w:color w:val="auto"/>
        </w:rPr>
      </w:pPr>
    </w:p>
    <w:p>
      <w:pPr>
        <w:ind w:left="600" w:hanging="397"/>
        <w:spacing w:after="0" w:line="263"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Testing management’s purchase accounting spreadsheets focusing on the completeness and accuracy of the balance sheet acquired and related fair value purchase price allocations made to identified assets acquired and liabilities assumed;</w:t>
      </w:r>
    </w:p>
    <w:p>
      <w:pPr>
        <w:spacing w:after="0" w:line="72" w:lineRule="exact"/>
        <w:rPr>
          <w:rFonts w:ascii="Arial" w:cs="Arial" w:eastAsia="Arial" w:hAnsi="Arial"/>
          <w:sz w:val="16"/>
          <w:szCs w:val="16"/>
          <w:color w:val="auto"/>
        </w:rPr>
      </w:pPr>
    </w:p>
    <w:p>
      <w:pPr>
        <w:jc w:val="both"/>
        <w:ind w:left="600" w:hanging="397"/>
        <w:spacing w:after="0" w:line="253"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Obtaining all significant outside vendor valuation estimates and challenging management’s analysis of the appropriateness of the valuations allocated to assets acquired and liabilities assumed; including but not limited to, testing all critical inputs, assumptions applied, and valuation models utilized by the outside vendors;</w:t>
      </w:r>
    </w:p>
    <w:p>
      <w:pPr>
        <w:spacing w:after="0" w:line="80" w:lineRule="exact"/>
        <w:rPr>
          <w:rFonts w:ascii="Arial" w:cs="Arial" w:eastAsia="Arial" w:hAnsi="Arial"/>
          <w:sz w:val="16"/>
          <w:szCs w:val="16"/>
          <w:color w:val="auto"/>
        </w:rPr>
      </w:pPr>
    </w:p>
    <w:p>
      <w:pPr>
        <w:ind w:left="600" w:right="20" w:hanging="397"/>
        <w:spacing w:after="0" w:line="263"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Utilization of BKD Forensics &amp; Valuation Services group to assist with testing the related fair value purchase price allocations made to identified assets acquired and liabilities assumed;</w:t>
      </w:r>
    </w:p>
    <w:p>
      <w:pPr>
        <w:spacing w:after="0" w:line="72" w:lineRule="exact"/>
        <w:rPr>
          <w:rFonts w:ascii="Arial" w:cs="Arial" w:eastAsia="Arial" w:hAnsi="Arial"/>
          <w:sz w:val="16"/>
          <w:szCs w:val="16"/>
          <w:color w:val="auto"/>
        </w:rPr>
      </w:pPr>
    </w:p>
    <w:p>
      <w:pPr>
        <w:ind w:left="600" w:hanging="397"/>
        <w:spacing w:after="0" w:line="263"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Testing the goodwill calculation resulting from the acquisition consummated, being the difference between the total net consideration paid and the fair value of the net assets acquired;</w:t>
      </w:r>
    </w:p>
    <w:p>
      <w:pPr>
        <w:spacing w:after="0" w:line="72" w:lineRule="exact"/>
        <w:rPr>
          <w:rFonts w:ascii="Arial" w:cs="Arial" w:eastAsia="Arial" w:hAnsi="Arial"/>
          <w:sz w:val="16"/>
          <w:szCs w:val="16"/>
          <w:color w:val="auto"/>
        </w:rPr>
      </w:pPr>
    </w:p>
    <w:p>
      <w:pPr>
        <w:ind w:left="600" w:hanging="397"/>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Reviewing and evaluating the adequacy of the disclosures made in the footnotes of the Company’s SEC filings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1020445" cy="300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0445" cy="30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Fort Wayne, 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Consolidated Balance Sheets</w:t>
            </w:r>
          </w:p>
        </w:tc>
        <w:tc>
          <w:tcPr>
            <w:tcW w:w="0" w:type="dxa"/>
            <w:vAlign w:val="bottom"/>
          </w:tcPr>
          <w:p>
            <w:pPr>
              <w:spacing w:after="0"/>
              <w:rPr>
                <w:sz w:val="1"/>
                <w:szCs w:val="1"/>
                <w:color w:val="auto"/>
              </w:rPr>
            </w:pPr>
          </w:p>
        </w:tc>
      </w:tr>
      <w:tr>
        <w:trPr>
          <w:trHeight w:val="211"/>
        </w:trPr>
        <w:tc>
          <w:tcPr>
            <w:tcW w:w="6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December 31, 2021 and 2020</w:t>
            </w:r>
          </w:p>
        </w:tc>
        <w:tc>
          <w:tcPr>
            <w:tcW w:w="0" w:type="dxa"/>
            <w:vAlign w:val="bottom"/>
          </w:tcPr>
          <w:p>
            <w:pPr>
              <w:spacing w:after="0"/>
              <w:rPr>
                <w:sz w:val="1"/>
                <w:szCs w:val="1"/>
                <w:color w:val="auto"/>
              </w:rPr>
            </w:pPr>
          </w:p>
        </w:tc>
      </w:tr>
      <w:tr>
        <w:trPr>
          <w:trHeight w:val="228"/>
        </w:trPr>
        <w:tc>
          <w:tcPr>
            <w:tcW w:w="6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(000’s Omitted, Except Share Data)</w:t>
            </w:r>
          </w:p>
        </w:tc>
        <w:tc>
          <w:tcPr>
            <w:tcW w:w="0" w:type="dxa"/>
            <w:vAlign w:val="bottom"/>
          </w:tcPr>
          <w:p>
            <w:pPr>
              <w:spacing w:after="0"/>
              <w:rPr>
                <w:sz w:val="1"/>
                <w:szCs w:val="1"/>
                <w:color w:val="auto"/>
              </w:rPr>
            </w:pPr>
          </w:p>
        </w:tc>
      </w:tr>
      <w:tr>
        <w:trPr>
          <w:trHeight w:val="435"/>
        </w:trPr>
        <w:tc>
          <w:tcPr>
            <w:tcW w:w="6860" w:type="dxa"/>
            <w:vAlign w:val="bottom"/>
            <w:tcBorders>
              <w:bottom w:val="single" w:sz="8" w:color="CFF0FC"/>
            </w:tcBorders>
          </w:tcPr>
          <w:p>
            <w:pPr>
              <w:spacing w:after="0"/>
              <w:rPr>
                <w:sz w:val="24"/>
                <w:szCs w:val="24"/>
                <w:color w:val="auto"/>
              </w:rPr>
            </w:pPr>
          </w:p>
        </w:tc>
        <w:tc>
          <w:tcPr>
            <w:tcW w:w="13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FF0FC"/>
          </w:tcPr>
          <w:p>
            <w:pPr>
              <w:ind w:left="3780"/>
              <w:spacing w:after="0"/>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due from banks</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135,485</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w:t>
            </w:r>
          </w:p>
        </w:tc>
        <w:tc>
          <w:tcPr>
            <w:tcW w:w="1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cash and cash equivalents</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Interest-bearing time deposits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 available-for-sale</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Other securities, at cost</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held for sale</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Loans, net</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1,841,177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1,289,318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Premises and equipment</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Mortgage servicing rights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Other real estate owned</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Bank owned life insurance</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1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2,638,300</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bottom w:val="single" w:sz="8" w:color="CFF0FC"/>
            </w:tcBorders>
            <w:vMerge w:val="restart"/>
          </w:tcPr>
          <w:p>
            <w:pPr>
              <w:ind w:left="2660"/>
              <w:spacing w:after="0"/>
              <w:rPr>
                <w:sz w:val="20"/>
                <w:szCs w:val="20"/>
                <w:color w:val="auto"/>
              </w:rPr>
            </w:pPr>
            <w:r>
              <w:rPr>
                <w:rFonts w:ascii="Arial" w:cs="Arial" w:eastAsia="Arial" w:hAnsi="Arial"/>
                <w:sz w:val="18"/>
                <w:szCs w:val="18"/>
                <w:b w:val="1"/>
                <w:bCs w:val="1"/>
                <w:color w:val="auto"/>
              </w:rPr>
              <w:t>Liabilities and Stockholders' Equity</w:t>
            </w:r>
          </w:p>
        </w:tc>
        <w:tc>
          <w:tcPr>
            <w:tcW w:w="1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Deposits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Noninterest-bearing</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473,689</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480"/>
              <w:spacing w:after="0"/>
              <w:rPr>
                <w:sz w:val="20"/>
                <w:szCs w:val="20"/>
                <w:color w:val="auto"/>
              </w:rPr>
            </w:pPr>
            <w:r>
              <w:rPr>
                <w:rFonts w:ascii="Arial" w:cs="Arial" w:eastAsia="Arial" w:hAnsi="Arial"/>
                <w:sz w:val="18"/>
                <w:szCs w:val="18"/>
                <w:color w:val="auto"/>
              </w:rPr>
              <w:t>Interest-bearing</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NOW accounts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650,466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720"/>
              <w:spacing w:after="0"/>
              <w:rPr>
                <w:sz w:val="20"/>
                <w:szCs w:val="20"/>
                <w:color w:val="auto"/>
              </w:rPr>
            </w:pPr>
            <w:r>
              <w:rPr>
                <w:rFonts w:ascii="Arial" w:cs="Arial" w:eastAsia="Arial" w:hAnsi="Arial"/>
                <w:sz w:val="18"/>
                <w:szCs w:val="18"/>
                <w:color w:val="auto"/>
              </w:rPr>
              <w:t>Savings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597,828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Time</w:t>
            </w:r>
          </w:p>
        </w:tc>
        <w:tc>
          <w:tcPr>
            <w:tcW w:w="1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tcPr>
          <w:p>
            <w:pPr>
              <w:ind w:left="960"/>
              <w:spacing w:after="0"/>
              <w:rPr>
                <w:sz w:val="20"/>
                <w:szCs w:val="20"/>
                <w:color w:val="auto"/>
              </w:rPr>
            </w:pPr>
            <w:r>
              <w:rPr>
                <w:rFonts w:ascii="Arial" w:cs="Arial" w:eastAsia="Arial" w:hAnsi="Arial"/>
                <w:sz w:val="18"/>
                <w:szCs w:val="18"/>
                <w:color w:val="auto"/>
              </w:rPr>
              <w:t>Total deposits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2,193,462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1,596,162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 agreement to repurchase</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Federal Home Loan Bank (FHLB) advances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borrowings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Subordinated notes, net of unamortized issuance costs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 payable</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1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FF0FC"/>
          </w:tcPr>
          <w:p>
            <w:pPr>
              <w:ind w:left="960"/>
              <w:spacing w:after="0"/>
              <w:rPr>
                <w:sz w:val="20"/>
                <w:szCs w:val="20"/>
                <w:color w:val="auto"/>
              </w:rPr>
            </w:pPr>
            <w:r>
              <w:rPr>
                <w:rFonts w:ascii="Arial" w:cs="Arial" w:eastAsia="Arial" w:hAnsi="Arial"/>
                <w:sz w:val="18"/>
                <w:szCs w:val="18"/>
                <w:color w:val="auto"/>
              </w:rPr>
              <w:t>Total liabilities</w:t>
            </w:r>
          </w:p>
        </w:tc>
        <w:tc>
          <w:tcPr>
            <w:tcW w:w="13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2,341,133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860" w:type="dxa"/>
            <w:vAlign w:val="bottom"/>
          </w:tcPr>
          <w:p>
            <w:pPr>
              <w:ind w:left="240"/>
              <w:spacing w:after="0"/>
              <w:rPr>
                <w:sz w:val="20"/>
                <w:szCs w:val="20"/>
                <w:color w:val="auto"/>
              </w:rPr>
            </w:pPr>
            <w:r>
              <w:rPr>
                <w:rFonts w:ascii="Arial" w:cs="Arial" w:eastAsia="Arial" w:hAnsi="Arial"/>
                <w:sz w:val="18"/>
                <w:szCs w:val="18"/>
                <w:color w:val="auto"/>
              </w:rPr>
              <w:t>Common stock - No par value 20,000,000 shares authorized; issued and</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380"/>
              <w:spacing w:after="0"/>
              <w:rPr>
                <w:sz w:val="20"/>
                <w:szCs w:val="20"/>
                <w:color w:val="auto"/>
              </w:rPr>
            </w:pPr>
            <w:r>
              <w:rPr>
                <w:rFonts w:ascii="Arial" w:cs="Arial" w:eastAsia="Arial" w:hAnsi="Arial"/>
                <w:sz w:val="18"/>
                <w:szCs w:val="18"/>
                <w:color w:val="auto"/>
              </w:rPr>
              <w:t>outstanding 14,063,999 shares 12/31/21 and 12,230,000 shares 12/31/20</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122,674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- 997,766 shares 12/31/21, 1,032,456 shares 12/31/20</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(11,724)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189,401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tcBorders>
              <w:bottom w:val="single" w:sz="8" w:color="CFF0FC"/>
            </w:tcBorders>
          </w:tcPr>
          <w:p>
            <w:pPr>
              <w:ind w:left="960"/>
              <w:spacing w:after="0"/>
              <w:rPr>
                <w:sz w:val="20"/>
                <w:szCs w:val="20"/>
                <w:color w:val="auto"/>
              </w:rPr>
            </w:pPr>
            <w:r>
              <w:rPr>
                <w:rFonts w:ascii="Arial" w:cs="Arial" w:eastAsia="Arial" w:hAnsi="Arial"/>
                <w:sz w:val="18"/>
                <w:szCs w:val="18"/>
                <w:color w:val="auto"/>
              </w:rPr>
              <w:t>Total stockholders' equity</w:t>
            </w:r>
          </w:p>
        </w:tc>
        <w:tc>
          <w:tcPr>
            <w:tcW w:w="136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297,167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249,160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2,638,300</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8"/>
        </w:trPr>
        <w:tc>
          <w:tcPr>
            <w:tcW w:w="610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gridSpan w:val="7"/>
          </w:tcPr>
          <w:p>
            <w:pPr>
              <w:ind w:left="260"/>
              <w:spacing w:after="0"/>
              <w:rPr>
                <w:sz w:val="20"/>
                <w:szCs w:val="20"/>
                <w:color w:val="auto"/>
              </w:rPr>
            </w:pPr>
            <w:r>
              <w:rPr>
                <w:rFonts w:ascii="Arial" w:cs="Arial" w:eastAsia="Arial" w:hAnsi="Arial"/>
                <w:sz w:val="18"/>
                <w:szCs w:val="18"/>
                <w:b w:val="1"/>
                <w:bCs w:val="1"/>
                <w:color w:val="auto"/>
                <w:w w:val="85"/>
              </w:rPr>
              <w:t>Consolidated Statements of Income</w:t>
            </w:r>
          </w:p>
        </w:tc>
        <w:tc>
          <w:tcPr>
            <w:tcW w:w="0" w:type="dxa"/>
            <w:vAlign w:val="bottom"/>
          </w:tcPr>
          <w:p>
            <w:pPr>
              <w:spacing w:after="0"/>
              <w:rPr>
                <w:sz w:val="1"/>
                <w:szCs w:val="1"/>
                <w:color w:val="auto"/>
              </w:rPr>
            </w:pPr>
          </w:p>
        </w:tc>
      </w:tr>
      <w:tr>
        <w:trPr>
          <w:trHeight w:val="211"/>
        </w:trPr>
        <w:tc>
          <w:tcPr>
            <w:tcW w:w="6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gridSpan w:val="8"/>
          </w:tcPr>
          <w:p>
            <w:pPr>
              <w:jc w:val="right"/>
              <w:spacing w:after="0"/>
              <w:rPr>
                <w:sz w:val="20"/>
                <w:szCs w:val="20"/>
                <w:color w:val="auto"/>
              </w:rPr>
            </w:pPr>
            <w:r>
              <w:rPr>
                <w:rFonts w:ascii="Arial" w:cs="Arial" w:eastAsia="Arial" w:hAnsi="Arial"/>
                <w:sz w:val="18"/>
                <w:szCs w:val="18"/>
                <w:b w:val="1"/>
                <w:bCs w:val="1"/>
                <w:color w:val="auto"/>
                <w:w w:val="92"/>
              </w:rPr>
              <w:t>Years Ended December 31, 2021, 2020 and 2019</w:t>
            </w:r>
          </w:p>
        </w:tc>
        <w:tc>
          <w:tcPr>
            <w:tcW w:w="0" w:type="dxa"/>
            <w:vAlign w:val="bottom"/>
          </w:tcPr>
          <w:p>
            <w:pPr>
              <w:spacing w:after="0"/>
              <w:rPr>
                <w:sz w:val="1"/>
                <w:szCs w:val="1"/>
                <w:color w:val="auto"/>
              </w:rPr>
            </w:pPr>
          </w:p>
        </w:tc>
      </w:tr>
      <w:tr>
        <w:trPr>
          <w:trHeight w:val="228"/>
        </w:trPr>
        <w:tc>
          <w:tcPr>
            <w:tcW w:w="6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0" w:type="dxa"/>
            <w:vAlign w:val="bottom"/>
            <w:gridSpan w:val="8"/>
          </w:tcPr>
          <w:p>
            <w:pPr>
              <w:jc w:val="right"/>
              <w:ind w:right="40"/>
              <w:spacing w:after="0"/>
              <w:rPr>
                <w:sz w:val="20"/>
                <w:szCs w:val="20"/>
                <w:color w:val="auto"/>
              </w:rPr>
            </w:pPr>
            <w:r>
              <w:rPr>
                <w:rFonts w:ascii="Arial" w:cs="Arial" w:eastAsia="Arial" w:hAnsi="Arial"/>
                <w:sz w:val="18"/>
                <w:szCs w:val="18"/>
                <w:b w:val="1"/>
                <w:bCs w:val="1"/>
                <w:color w:val="auto"/>
              </w:rPr>
              <w:t>(000’s Omitted, Except Per Share Data)</w:t>
            </w:r>
          </w:p>
        </w:tc>
        <w:tc>
          <w:tcPr>
            <w:tcW w:w="0" w:type="dxa"/>
            <w:vAlign w:val="bottom"/>
          </w:tcPr>
          <w:p>
            <w:pPr>
              <w:spacing w:after="0"/>
              <w:rPr>
                <w:sz w:val="1"/>
                <w:szCs w:val="1"/>
                <w:color w:val="auto"/>
              </w:rPr>
            </w:pPr>
          </w:p>
        </w:tc>
      </w:tr>
      <w:tr>
        <w:trPr>
          <w:trHeight w:val="435"/>
        </w:trPr>
        <w:tc>
          <w:tcPr>
            <w:tcW w:w="6100" w:type="dxa"/>
            <w:vAlign w:val="bottom"/>
            <w:tcBorders>
              <w:bottom w:val="single" w:sz="8" w:color="CFF0FC"/>
            </w:tcBorders>
          </w:tcPr>
          <w:p>
            <w:pPr>
              <w:spacing w:after="0"/>
              <w:rPr>
                <w:sz w:val="24"/>
                <w:szCs w:val="24"/>
                <w:color w:val="auto"/>
              </w:rPr>
            </w:pPr>
          </w:p>
        </w:tc>
        <w:tc>
          <w:tcPr>
            <w:tcW w:w="1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480"/>
              <w:spacing w:after="0"/>
              <w:rPr>
                <w:sz w:val="20"/>
                <w:szCs w:val="20"/>
                <w:color w:val="auto"/>
              </w:rPr>
            </w:pPr>
            <w:r>
              <w:rPr>
                <w:rFonts w:ascii="Arial" w:cs="Arial" w:eastAsia="Arial" w:hAnsi="Arial"/>
                <w:sz w:val="18"/>
                <w:szCs w:val="18"/>
                <w:color w:val="auto"/>
              </w:rPr>
              <w:t>Loans, including fees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71,645</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65,317</w:t>
            </w:r>
          </w:p>
        </w:tc>
        <w:tc>
          <w:tcPr>
            <w:tcW w:w="28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Debt securities: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720"/>
              <w:spacing w:after="0"/>
              <w:rPr>
                <w:sz w:val="20"/>
                <w:szCs w:val="20"/>
                <w:color w:val="auto"/>
              </w:rPr>
            </w:pPr>
            <w:r>
              <w:rPr>
                <w:rFonts w:ascii="Arial" w:cs="Arial" w:eastAsia="Arial" w:hAnsi="Arial"/>
                <w:sz w:val="18"/>
                <w:szCs w:val="18"/>
                <w:color w:val="auto"/>
              </w:rPr>
              <w:t>U.S. Treasury and government agencies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720"/>
              <w:spacing w:after="0"/>
              <w:rPr>
                <w:sz w:val="20"/>
                <w:szCs w:val="20"/>
                <w:color w:val="auto"/>
              </w:rPr>
            </w:pPr>
            <w:r>
              <w:rPr>
                <w:rFonts w:ascii="Arial" w:cs="Arial" w:eastAsia="Arial" w:hAnsi="Arial"/>
                <w:sz w:val="18"/>
                <w:szCs w:val="18"/>
                <w:color w:val="auto"/>
              </w:rPr>
              <w:t>Municipalities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480"/>
              <w:spacing w:after="0"/>
              <w:rPr>
                <w:sz w:val="20"/>
                <w:szCs w:val="20"/>
                <w:color w:val="auto"/>
              </w:rPr>
            </w:pPr>
            <w:r>
              <w:rPr>
                <w:rFonts w:ascii="Arial" w:cs="Arial" w:eastAsia="Arial" w:hAnsi="Arial"/>
                <w:sz w:val="18"/>
                <w:szCs w:val="18"/>
                <w:color w:val="auto"/>
              </w:rPr>
              <w:t>Dividends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Federal funds sold</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interest income</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76,840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70,169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Deposits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00" w:type="dxa"/>
            <w:vAlign w:val="bottom"/>
          </w:tcPr>
          <w:p>
            <w:pPr>
              <w:ind w:left="480"/>
              <w:spacing w:after="0"/>
              <w:rPr>
                <w:sz w:val="20"/>
                <w:szCs w:val="20"/>
                <w:color w:val="auto"/>
              </w:rPr>
            </w:pPr>
            <w:r>
              <w:rPr>
                <w:rFonts w:ascii="Arial" w:cs="Arial" w:eastAsia="Arial" w:hAnsi="Arial"/>
                <w:sz w:val="18"/>
                <w:szCs w:val="18"/>
                <w:color w:val="auto"/>
              </w:rPr>
              <w:t>Federal funds purchased and securities sold under agreements to</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620"/>
              <w:spacing w:after="0"/>
              <w:rPr>
                <w:sz w:val="20"/>
                <w:szCs w:val="20"/>
                <w:color w:val="auto"/>
              </w:rPr>
            </w:pPr>
            <w:r>
              <w:rPr>
                <w:rFonts w:ascii="Arial" w:cs="Arial" w:eastAsia="Arial" w:hAnsi="Arial"/>
                <w:sz w:val="18"/>
                <w:szCs w:val="18"/>
                <w:color w:val="auto"/>
              </w:rPr>
              <w:t>repurchase</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Borrowed funds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Subordinated notes</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interest expense</w:t>
            </w:r>
          </w:p>
        </w:tc>
        <w:tc>
          <w:tcPr>
            <w:tcW w:w="1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10,393</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Pr>
          <w:p>
            <w:pPr>
              <w:spacing w:after="0"/>
              <w:rPr>
                <w:sz w:val="20"/>
                <w:szCs w:val="20"/>
                <w:color w:val="auto"/>
              </w:rPr>
            </w:pPr>
            <w:r>
              <w:rPr>
                <w:rFonts w:ascii="Arial" w:cs="Arial" w:eastAsia="Arial" w:hAnsi="Arial"/>
                <w:sz w:val="18"/>
                <w:szCs w:val="18"/>
                <w:b w:val="1"/>
                <w:bCs w:val="1"/>
                <w:color w:val="auto"/>
              </w:rPr>
              <w:t>Net Interest Income Before Provision for Loan Losses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69,498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Provision for Loan Losses</w:t>
            </w:r>
          </w:p>
        </w:tc>
        <w:tc>
          <w:tcPr>
            <w:tcW w:w="1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0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66,054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Income</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480"/>
              <w:spacing w:after="0"/>
              <w:rPr>
                <w:sz w:val="20"/>
                <w:szCs w:val="20"/>
                <w:color w:val="auto"/>
              </w:rPr>
            </w:pPr>
            <w:r>
              <w:rPr>
                <w:rFonts w:ascii="Arial" w:cs="Arial" w:eastAsia="Arial" w:hAnsi="Arial"/>
                <w:sz w:val="18"/>
                <w:szCs w:val="18"/>
                <w:color w:val="auto"/>
              </w:rPr>
              <w:t>Customer service fees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service charges and fees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480"/>
              <w:spacing w:after="0"/>
              <w:rPr>
                <w:sz w:val="20"/>
                <w:szCs w:val="20"/>
                <w:color w:val="auto"/>
              </w:rPr>
            </w:pPr>
            <w:r>
              <w:rPr>
                <w:rFonts w:ascii="Arial" w:cs="Arial" w:eastAsia="Arial" w:hAnsi="Arial"/>
                <w:sz w:val="18"/>
                <w:szCs w:val="18"/>
                <w:color w:val="auto"/>
              </w:rPr>
              <w:t>Net gain on sale of loans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gain (loss) on sale of available-for-sale securities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6100" w:type="dxa"/>
            <w:vAlign w:val="bottom"/>
          </w:tcPr>
          <w:p>
            <w:pPr>
              <w:ind w:left="720"/>
              <w:spacing w:after="0"/>
              <w:rPr>
                <w:sz w:val="20"/>
                <w:szCs w:val="20"/>
                <w:color w:val="auto"/>
              </w:rPr>
            </w:pPr>
            <w:r>
              <w:rPr>
                <w:rFonts w:ascii="Arial" w:cs="Arial" w:eastAsia="Arial" w:hAnsi="Arial"/>
                <w:sz w:val="18"/>
                <w:szCs w:val="18"/>
                <w:color w:val="auto"/>
              </w:rPr>
              <w:t>Total noninterest income</w:t>
            </w:r>
          </w:p>
        </w:tc>
        <w:tc>
          <w:tcPr>
            <w:tcW w:w="1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16,787</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Expense</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480"/>
              <w:spacing w:after="0"/>
              <w:rPr>
                <w:sz w:val="20"/>
                <w:szCs w:val="20"/>
                <w:color w:val="auto"/>
              </w:rPr>
            </w:pPr>
            <w:r>
              <w:rPr>
                <w:rFonts w:ascii="Arial" w:cs="Arial" w:eastAsia="Arial" w:hAnsi="Arial"/>
                <w:sz w:val="18"/>
                <w:szCs w:val="18"/>
                <w:color w:val="auto"/>
              </w:rPr>
              <w:t>Salaries and wages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20,184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Employee benefits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480"/>
              <w:spacing w:after="0"/>
              <w:rPr>
                <w:sz w:val="20"/>
                <w:szCs w:val="20"/>
                <w:color w:val="auto"/>
              </w:rPr>
            </w:pPr>
            <w:r>
              <w:rPr>
                <w:rFonts w:ascii="Arial" w:cs="Arial" w:eastAsia="Arial" w:hAnsi="Arial"/>
                <w:sz w:val="18"/>
                <w:szCs w:val="18"/>
                <w:color w:val="auto"/>
              </w:rPr>
              <w:t>Net occupancy expense</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Furniture and equipment</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480"/>
              <w:spacing w:after="0"/>
              <w:rPr>
                <w:sz w:val="20"/>
                <w:szCs w:val="20"/>
                <w:color w:val="auto"/>
              </w:rPr>
            </w:pPr>
            <w:r>
              <w:rPr>
                <w:rFonts w:ascii="Arial" w:cs="Arial" w:eastAsia="Arial" w:hAnsi="Arial"/>
                <w:sz w:val="18"/>
                <w:szCs w:val="18"/>
                <w:color w:val="auto"/>
              </w:rPr>
              <w:t>Data processing</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Franchise taxes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480"/>
              <w:spacing w:after="0"/>
              <w:rPr>
                <w:sz w:val="20"/>
                <w:szCs w:val="20"/>
                <w:color w:val="auto"/>
              </w:rPr>
            </w:pPr>
            <w:r>
              <w:rPr>
                <w:rFonts w:ascii="Arial" w:cs="Arial" w:eastAsia="Arial" w:hAnsi="Arial"/>
                <w:sz w:val="18"/>
                <w:szCs w:val="18"/>
                <w:color w:val="auto"/>
              </w:rPr>
              <w:t>ATM expense</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Advertising</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480"/>
              <w:spacing w:after="0"/>
              <w:rPr>
                <w:sz w:val="20"/>
                <w:szCs w:val="20"/>
                <w:color w:val="auto"/>
              </w:rPr>
            </w:pPr>
            <w:r>
              <w:rPr>
                <w:rFonts w:ascii="Arial" w:cs="Arial" w:eastAsia="Arial" w:hAnsi="Arial"/>
                <w:sz w:val="18"/>
                <w:szCs w:val="18"/>
                <w:color w:val="auto"/>
              </w:rPr>
              <w:t>Net loss on sale of other assets owned</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FDIC assessment</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Pr>
          <w:p>
            <w:pPr>
              <w:ind w:left="480"/>
              <w:spacing w:after="0"/>
              <w:rPr>
                <w:sz w:val="20"/>
                <w:szCs w:val="20"/>
                <w:color w:val="auto"/>
              </w:rPr>
            </w:pPr>
            <w:r>
              <w:rPr>
                <w:rFonts w:ascii="Arial" w:cs="Arial" w:eastAsia="Arial" w:hAnsi="Arial"/>
                <w:sz w:val="18"/>
                <w:szCs w:val="18"/>
                <w:color w:val="auto"/>
              </w:rPr>
              <w:t>Mortgage servicing rights amortization</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Consulting fees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 general and administrative</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noninterest expense</w:t>
            </w:r>
          </w:p>
        </w:tc>
        <w:tc>
          <w:tcPr>
            <w:tcW w:w="1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54,166</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44,376</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w:t>
            </w:r>
          </w:p>
        </w:tc>
        <w:tc>
          <w:tcPr>
            <w:tcW w:w="1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6,002</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23,495</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20,095</w:t>
            </w:r>
          </w:p>
        </w:tc>
        <w:tc>
          <w:tcPr>
            <w:tcW w:w="280" w:type="dxa"/>
            <w:vAlign w:val="bottom"/>
          </w:tcPr>
          <w:p>
            <w:pPr>
              <w:spacing w:after="0"/>
              <w:rPr>
                <w:sz w:val="22"/>
                <w:szCs w:val="22"/>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1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10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Dividends Declared</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vMerge w:val="continue"/>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0.71</w:t>
            </w:r>
          </w:p>
        </w:tc>
        <w:tc>
          <w:tcPr>
            <w:tcW w:w="500" w:type="dxa"/>
            <w:vAlign w:val="bottom"/>
            <w:gridSpan w:val="2"/>
            <w:shd w:val="clear" w:color="auto" w:fill="CFF0FC"/>
          </w:tcPr>
          <w:p>
            <w:pPr>
              <w:ind w:left="26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0.66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0.61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8"/>
        </w:trPr>
        <w:tc>
          <w:tcPr>
            <w:tcW w:w="586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gridSpan w:val="9"/>
          </w:tcPr>
          <w:p>
            <w:pPr>
              <w:jc w:val="right"/>
              <w:spacing w:after="0"/>
              <w:rPr>
                <w:sz w:val="20"/>
                <w:szCs w:val="20"/>
                <w:color w:val="auto"/>
              </w:rPr>
            </w:pPr>
            <w:r>
              <w:rPr>
                <w:rFonts w:ascii="Arial" w:cs="Arial" w:eastAsia="Arial" w:hAnsi="Arial"/>
                <w:sz w:val="18"/>
                <w:szCs w:val="18"/>
                <w:b w:val="1"/>
                <w:bCs w:val="1"/>
                <w:color w:val="auto"/>
                <w:w w:val="86"/>
              </w:rPr>
              <w:t>Consolidated Statements of Comprehensive Income</w:t>
            </w:r>
          </w:p>
        </w:tc>
        <w:tc>
          <w:tcPr>
            <w:tcW w:w="0" w:type="dxa"/>
            <w:vAlign w:val="bottom"/>
          </w:tcPr>
          <w:p>
            <w:pPr>
              <w:spacing w:after="0"/>
              <w:rPr>
                <w:sz w:val="1"/>
                <w:szCs w:val="1"/>
                <w:color w:val="auto"/>
              </w:rPr>
            </w:pPr>
          </w:p>
        </w:tc>
      </w:tr>
      <w:tr>
        <w:trPr>
          <w:trHeight w:val="211"/>
        </w:trPr>
        <w:tc>
          <w:tcPr>
            <w:tcW w:w="5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9"/>
          </w:tcPr>
          <w:p>
            <w:pPr>
              <w:jc w:val="right"/>
              <w:spacing w:after="0"/>
              <w:rPr>
                <w:sz w:val="20"/>
                <w:szCs w:val="20"/>
                <w:color w:val="auto"/>
              </w:rPr>
            </w:pPr>
            <w:r>
              <w:rPr>
                <w:rFonts w:ascii="Arial" w:cs="Arial" w:eastAsia="Arial" w:hAnsi="Arial"/>
                <w:sz w:val="18"/>
                <w:szCs w:val="18"/>
                <w:b w:val="1"/>
                <w:bCs w:val="1"/>
                <w:color w:val="auto"/>
                <w:w w:val="95"/>
              </w:rPr>
              <w:t>Years Ended December 31, 2021, 2020 and 2019</w:t>
            </w:r>
          </w:p>
        </w:tc>
        <w:tc>
          <w:tcPr>
            <w:tcW w:w="0" w:type="dxa"/>
            <w:vAlign w:val="bottom"/>
          </w:tcPr>
          <w:p>
            <w:pPr>
              <w:spacing w:after="0"/>
              <w:rPr>
                <w:sz w:val="1"/>
                <w:szCs w:val="1"/>
                <w:color w:val="auto"/>
              </w:rPr>
            </w:pPr>
          </w:p>
        </w:tc>
      </w:tr>
      <w:tr>
        <w:trPr>
          <w:trHeight w:val="228"/>
        </w:trPr>
        <w:tc>
          <w:tcPr>
            <w:tcW w:w="5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0"/>
              </w:rPr>
              <w:t>(000’s Omitted)</w:t>
            </w:r>
          </w:p>
        </w:tc>
        <w:tc>
          <w:tcPr>
            <w:tcW w:w="0" w:type="dxa"/>
            <w:vAlign w:val="bottom"/>
          </w:tcPr>
          <w:p>
            <w:pPr>
              <w:spacing w:after="0"/>
              <w:rPr>
                <w:sz w:val="1"/>
                <w:szCs w:val="1"/>
                <w:color w:val="auto"/>
              </w:rPr>
            </w:pPr>
          </w:p>
        </w:tc>
      </w:tr>
      <w:tr>
        <w:trPr>
          <w:trHeight w:val="435"/>
        </w:trPr>
        <w:tc>
          <w:tcPr>
            <w:tcW w:w="5860" w:type="dxa"/>
            <w:vAlign w:val="bottom"/>
            <w:tcBorders>
              <w:bottom w:val="single" w:sz="8" w:color="CFF0FC"/>
            </w:tcBorders>
          </w:tcPr>
          <w:p>
            <w:pPr>
              <w:spacing w:after="0"/>
              <w:rPr>
                <w:sz w:val="24"/>
                <w:szCs w:val="24"/>
                <w:color w:val="auto"/>
              </w:rPr>
            </w:pPr>
          </w:p>
        </w:tc>
        <w:tc>
          <w:tcPr>
            <w:tcW w:w="134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23,495</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unrealized gain (loss) on available-for-sale securities</w:t>
            </w: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(10,948)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60" w:type="dxa"/>
            <w:vAlign w:val="bottom"/>
          </w:tcPr>
          <w:p>
            <w:pPr>
              <w:ind w:left="240"/>
              <w:spacing w:after="0"/>
              <w:rPr>
                <w:sz w:val="20"/>
                <w:szCs w:val="20"/>
                <w:color w:val="auto"/>
              </w:rPr>
            </w:pPr>
            <w:r>
              <w:rPr>
                <w:rFonts w:ascii="Arial" w:cs="Arial" w:eastAsia="Arial" w:hAnsi="Arial"/>
                <w:sz w:val="18"/>
                <w:szCs w:val="18"/>
                <w:color w:val="auto"/>
              </w:rPr>
              <w:t>Reclassification adjustment for realized (gain) loss on sale of</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unrealized gain (loss) on available-for-sale securities</w:t>
            </w:r>
          </w:p>
        </w:tc>
        <w:tc>
          <w:tcPr>
            <w:tcW w:w="1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vMerge w:val="continue"/>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(11,241)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60" w:type="dxa"/>
            <w:vAlign w:val="bottom"/>
          </w:tcPr>
          <w:p>
            <w:pPr>
              <w:ind w:left="240"/>
              <w:spacing w:after="0"/>
              <w:rPr>
                <w:sz w:val="20"/>
                <w:szCs w:val="20"/>
                <w:color w:val="auto"/>
              </w:rPr>
            </w:pPr>
            <w:r>
              <w:rPr>
                <w:rFonts w:ascii="Arial" w:cs="Arial" w:eastAsia="Arial" w:hAnsi="Arial"/>
                <w:sz w:val="18"/>
                <w:szCs w:val="18"/>
                <w:color w:val="auto"/>
              </w:rPr>
              <w:t>Tax expense (benefit)</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Other comprehensive income (loss)</w:t>
            </w:r>
          </w:p>
        </w:tc>
        <w:tc>
          <w:tcPr>
            <w:tcW w:w="1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vMerge w:val="continue"/>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(8,881)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vMerge w:val="continue"/>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14,614</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24,694</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Consolidated Statements of Changes to Stockholders’ Equity</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(000’s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Omitted,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Except Per</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Share</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Accumulated</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Shares of</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4"/>
        </w:trPr>
        <w:tc>
          <w:tcPr>
            <w:tcW w:w="478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Common</w:t>
            </w:r>
          </w:p>
        </w:tc>
        <w:tc>
          <w:tcPr>
            <w:tcW w:w="8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Treasury</w:t>
            </w:r>
          </w:p>
        </w:tc>
        <w:tc>
          <w:tcPr>
            <w:tcW w:w="80" w:type="dxa"/>
            <w:vAlign w:val="bottom"/>
          </w:tcPr>
          <w:p>
            <w:pPr>
              <w:spacing w:after="0"/>
              <w:rPr>
                <w:sz w:val="19"/>
                <w:szCs w:val="19"/>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Retained</w:t>
            </w: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Comprehensive</w:t>
            </w:r>
          </w:p>
        </w:tc>
        <w:tc>
          <w:tcPr>
            <w:tcW w:w="1060" w:type="dxa"/>
            <w:vAlign w:val="bottom"/>
            <w:gridSpan w:val="3"/>
          </w:tcPr>
          <w:p>
            <w:pPr>
              <w:spacing w:after="0"/>
              <w:rPr>
                <w:sz w:val="20"/>
                <w:szCs w:val="20"/>
                <w:color w:val="auto"/>
              </w:rPr>
            </w:pPr>
            <w:r>
              <w:rPr>
                <w:rFonts w:ascii="Arial" w:cs="Arial" w:eastAsia="Arial" w:hAnsi="Arial"/>
                <w:sz w:val="18"/>
                <w:szCs w:val="18"/>
                <w:color w:val="auto"/>
                <w:w w:val="96"/>
              </w:rPr>
              <w:t>Stockholders'</w:t>
            </w:r>
          </w:p>
        </w:tc>
        <w:tc>
          <w:tcPr>
            <w:tcW w:w="0" w:type="dxa"/>
            <w:vAlign w:val="bottom"/>
          </w:tcPr>
          <w:p>
            <w:pPr>
              <w:spacing w:after="0"/>
              <w:rPr>
                <w:sz w:val="1"/>
                <w:szCs w:val="1"/>
                <w:color w:val="auto"/>
              </w:rPr>
            </w:pPr>
          </w:p>
        </w:tc>
      </w:tr>
      <w:tr>
        <w:trPr>
          <w:trHeight w:val="224"/>
        </w:trPr>
        <w:tc>
          <w:tcPr>
            <w:tcW w:w="47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3"/>
              </w:rPr>
              <w:t>Stock</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3"/>
              </w:rPr>
              <w:t>Stock</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Earnings</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Income (Loss)</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Equity</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 January 1, 2019</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9,285,261</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10,823</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(12,409)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147,887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(3,014)</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w w:val="92"/>
              </w:rPr>
              <w:t>Issuance of 1,830,000 shares of common stock in acquisition</w:t>
            </w:r>
          </w:p>
        </w:tc>
        <w:tc>
          <w:tcPr>
            <w:tcW w:w="920" w:type="dxa"/>
            <w:vAlign w:val="bottom"/>
          </w:tcPr>
          <w:p>
            <w:pPr>
              <w:jc w:val="right"/>
              <w:spacing w:after="0"/>
              <w:rPr>
                <w:sz w:val="20"/>
                <w:szCs w:val="20"/>
                <w:color w:val="auto"/>
              </w:rPr>
            </w:pPr>
            <w:r>
              <w:rPr>
                <w:rFonts w:ascii="Arial" w:cs="Arial" w:eastAsia="Arial" w:hAnsi="Arial"/>
                <w:sz w:val="18"/>
                <w:szCs w:val="18"/>
                <w:color w:val="auto"/>
              </w:rPr>
              <w:t>1,830,000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70,437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treasury stock</w:t>
            </w: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(13,206)</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2"/>
        </w:trPr>
        <w:tc>
          <w:tcPr>
            <w:tcW w:w="4780" w:type="dxa"/>
            <w:vAlign w:val="bottom"/>
          </w:tcPr>
          <w:p>
            <w:pPr>
              <w:ind w:left="240"/>
              <w:spacing w:after="0"/>
              <w:rPr>
                <w:sz w:val="20"/>
                <w:szCs w:val="20"/>
                <w:color w:val="auto"/>
              </w:rPr>
            </w:pPr>
            <w:r>
              <w:rPr>
                <w:rFonts w:ascii="Arial" w:cs="Arial" w:eastAsia="Arial" w:hAnsi="Arial"/>
                <w:sz w:val="18"/>
                <w:szCs w:val="18"/>
                <w:color w:val="auto"/>
              </w:rPr>
              <w:t>Issuance of 38,100 shares of restricted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80"/>
              <w:spacing w:after="0"/>
              <w:rPr>
                <w:sz w:val="20"/>
                <w:szCs w:val="20"/>
                <w:color w:val="auto"/>
              </w:rPr>
            </w:pPr>
            <w:r>
              <w:rPr>
                <w:rFonts w:ascii="Arial" w:cs="Arial" w:eastAsia="Arial" w:hAnsi="Arial"/>
                <w:sz w:val="18"/>
                <w:szCs w:val="18"/>
                <w:color w:val="auto"/>
              </w:rPr>
              <w:t>(Net of forfeitures - 3,220)</w:t>
            </w:r>
          </w:p>
        </w:tc>
        <w:tc>
          <w:tcPr>
            <w:tcW w:w="920" w:type="dxa"/>
            <w:vAlign w:val="bottom"/>
          </w:tcPr>
          <w:p>
            <w:pPr>
              <w:jc w:val="right"/>
              <w:spacing w:after="0"/>
              <w:rPr>
                <w:sz w:val="20"/>
                <w:szCs w:val="20"/>
                <w:color w:val="auto"/>
              </w:rPr>
            </w:pPr>
            <w:r>
              <w:rPr>
                <w:rFonts w:ascii="Arial" w:cs="Arial" w:eastAsia="Arial" w:hAnsi="Arial"/>
                <w:sz w:val="18"/>
                <w:szCs w:val="18"/>
                <w:color w:val="auto"/>
              </w:rPr>
              <w:t>34,880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Cash dividends declared - $0.61 per share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(6,734)</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2019</w:t>
            </w: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11,136,935</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(12,456)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160,081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20,095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w w:val="97"/>
              </w:rPr>
              <w:t>Issuance of 40,049 shares of common stock in acquisition</w:t>
            </w:r>
          </w:p>
        </w:tc>
        <w:tc>
          <w:tcPr>
            <w:tcW w:w="920" w:type="dxa"/>
            <w:vAlign w:val="bottom"/>
          </w:tcPr>
          <w:p>
            <w:pPr>
              <w:jc w:val="right"/>
              <w:spacing w:after="0"/>
              <w:rPr>
                <w:sz w:val="20"/>
                <w:szCs w:val="20"/>
                <w:color w:val="auto"/>
              </w:rPr>
            </w:pPr>
            <w:r>
              <w:rPr>
                <w:rFonts w:ascii="Arial" w:cs="Arial" w:eastAsia="Arial" w:hAnsi="Arial"/>
                <w:sz w:val="18"/>
                <w:szCs w:val="18"/>
                <w:color w:val="auto"/>
              </w:rPr>
              <w:t>40,049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treasury stock</w:t>
            </w: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(16,779)</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2"/>
        </w:trPr>
        <w:tc>
          <w:tcPr>
            <w:tcW w:w="4780" w:type="dxa"/>
            <w:vAlign w:val="bottom"/>
          </w:tcPr>
          <w:p>
            <w:pPr>
              <w:ind w:left="240"/>
              <w:spacing w:after="0"/>
              <w:rPr>
                <w:sz w:val="20"/>
                <w:szCs w:val="20"/>
                <w:color w:val="auto"/>
              </w:rPr>
            </w:pPr>
            <w:r>
              <w:rPr>
                <w:rFonts w:ascii="Arial" w:cs="Arial" w:eastAsia="Arial" w:hAnsi="Arial"/>
                <w:sz w:val="18"/>
                <w:szCs w:val="18"/>
                <w:color w:val="auto"/>
              </w:rPr>
              <w:t>Issuance of 37,382 shares of restricted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80"/>
              <w:spacing w:after="0"/>
              <w:rPr>
                <w:sz w:val="20"/>
                <w:szCs w:val="20"/>
                <w:color w:val="auto"/>
              </w:rPr>
            </w:pPr>
            <w:r>
              <w:rPr>
                <w:rFonts w:ascii="Arial" w:cs="Arial" w:eastAsia="Arial" w:hAnsi="Arial"/>
                <w:sz w:val="18"/>
                <w:szCs w:val="18"/>
                <w:color w:val="auto"/>
              </w:rPr>
              <w:t>(Net of forfeitures - 2,175)</w:t>
            </w:r>
          </w:p>
        </w:tc>
        <w:tc>
          <w:tcPr>
            <w:tcW w:w="920" w:type="dxa"/>
            <w:vAlign w:val="bottom"/>
          </w:tcPr>
          <w:p>
            <w:pPr>
              <w:jc w:val="right"/>
              <w:spacing w:after="0"/>
              <w:rPr>
                <w:sz w:val="20"/>
                <w:szCs w:val="20"/>
                <w:color w:val="auto"/>
              </w:rPr>
            </w:pPr>
            <w:r>
              <w:rPr>
                <w:rFonts w:ascii="Arial" w:cs="Arial" w:eastAsia="Arial" w:hAnsi="Arial"/>
                <w:sz w:val="18"/>
                <w:szCs w:val="18"/>
                <w:color w:val="auto"/>
              </w:rPr>
              <w:t>35,207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Director stock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2,132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dividends declared - $0.66 per share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(7,307)</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(7,307)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Balance - December 31, 2020</w:t>
            </w: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11,197,544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81,804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(11,932)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173,591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(8,881)</w:t>
            </w: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Issuance of 1,833,845 shares of common stock in acquisition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1,833,845</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Purchase of treasury stock</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(14,611)</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2"/>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of 48,750 shares of restricted stock</w:t>
            </w:r>
          </w:p>
        </w:tc>
        <w:tc>
          <w:tcPr>
            <w:tcW w:w="9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- 2,575)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46,175</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Director stock awards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40"/>
              <w:spacing w:after="0"/>
              <w:rPr>
                <w:sz w:val="20"/>
                <w:szCs w:val="20"/>
                <w:color w:val="auto"/>
              </w:rPr>
            </w:pPr>
            <w:r>
              <w:rPr>
                <w:rFonts w:ascii="Arial" w:cs="Arial" w:eastAsia="Arial" w:hAnsi="Arial"/>
                <w:sz w:val="18"/>
                <w:szCs w:val="18"/>
                <w:color w:val="auto"/>
              </w:rPr>
              <w:t>Cash dividends declared - $0.71 per share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(8,242)</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 December 31, 2021</w:t>
            </w: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13,066,233</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122,674</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(11,724)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189,401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(3,184)</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Years Ended December 31, 2021, 2020, 2019</w:t>
      </w:r>
    </w:p>
    <w:p>
      <w:pPr>
        <w:spacing w:after="0" w:line="4"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(000’s Omitted)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23,495</w:t>
            </w:r>
          </w:p>
        </w:tc>
        <w:tc>
          <w:tcPr>
            <w:tcW w:w="30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20,095</w:t>
            </w:r>
          </w:p>
        </w:tc>
        <w:tc>
          <w:tcPr>
            <w:tcW w:w="3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w:t>
            </w:r>
          </w:p>
        </w:tc>
        <w:tc>
          <w:tcPr>
            <w:tcW w:w="1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operating activities:</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Depreciation</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premiums on available-for-sale securities, net</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Servicing rights amortization and impairment</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Amortization of customer list intangible</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(accretion) of fair value adjustments</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(1,231)</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Amortization of subordinated note issuance costs</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Director stock awards</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(1,805)</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(1,691)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 held for sale</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(3,897)</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(4,022)</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Originations of loans held for sale</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(121,172)</w:t>
            </w: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(210,029)</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(73,562)</w:t>
            </w: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loans held for sale</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125,095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210,559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Loss on sale of other assets owned</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sales of available-for-sale securities</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(293)</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Increase in cash surrender value of bank owned life insurance</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Gain on bank owned life insurance</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Change in other assets and other liabilities, net</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(573)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6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34,741</w:t>
            </w: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27,382</w:t>
            </w: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Activity in available-for-sale securities:</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40"/>
              <w:spacing w:after="0"/>
              <w:rPr>
                <w:sz w:val="20"/>
                <w:szCs w:val="20"/>
                <w:color w:val="auto"/>
              </w:rPr>
            </w:pPr>
            <w:r>
              <w:rPr>
                <w:rFonts w:ascii="Arial" w:cs="Arial" w:eastAsia="Arial" w:hAnsi="Arial"/>
                <w:sz w:val="18"/>
                <w:szCs w:val="18"/>
                <w:color w:val="auto"/>
              </w:rPr>
              <w:t>Maturities, prepayments and calls</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91,003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(170,629)</w:t>
            </w: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(183,563)</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(110,166)</w:t>
            </w: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Activity in other securities, at cost:</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40"/>
              <w:spacing w:after="0"/>
              <w:rPr>
                <w:sz w:val="20"/>
                <w:szCs w:val="20"/>
                <w:color w:val="auto"/>
              </w:rPr>
            </w:pPr>
            <w:r>
              <w:rPr>
                <w:rFonts w:ascii="Arial" w:cs="Arial" w:eastAsia="Arial" w:hAnsi="Arial"/>
                <w:sz w:val="18"/>
                <w:szCs w:val="18"/>
                <w:color w:val="auto"/>
              </w:rPr>
              <w:t>Sales</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(670)</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Purchase of bank owned life insurance</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bank owned life insurance</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redemption of FHLB stock</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Proceeds from sales of other assets owned</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premises and equipment</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(1,965)</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(3,222)</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(167,867)</w:t>
            </w: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(84,354)</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(112,212)</w:t>
            </w: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Limberlost, net of cash received</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w w:val="97"/>
              </w:rPr>
              <w:t>Acquisition of Ossian Financial Services, Inc., net of cash received</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w w:val="94"/>
              </w:rPr>
              <w:t>Acquisition of Perpetual Federal Savings Bank, net of cash received</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(12,588)</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(265,694)</w:t>
            </w: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(177,724)</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(149,316)</w:t>
            </w:r>
          </w:p>
        </w:tc>
        <w:tc>
          <w:tcPr>
            <w:tcW w:w="0" w:type="dxa"/>
            <w:vAlign w:val="bottom"/>
          </w:tcPr>
          <w:p>
            <w:pPr>
              <w:spacing w:after="0"/>
              <w:rPr>
                <w:sz w:val="1"/>
                <w:szCs w:val="1"/>
                <w:color w:val="auto"/>
              </w:rPr>
            </w:pPr>
          </w:p>
        </w:tc>
      </w:tr>
      <w:tr>
        <w:trPr>
          <w:trHeight w:val="217"/>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Net change in deposits</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170,785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307,648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federal funds purchased and</w:t>
            </w:r>
          </w:p>
        </w:tc>
        <w:tc>
          <w:tcPr>
            <w:tcW w:w="1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 sold under agreements to repurchase</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(971)</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(17,834)</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Repayment of FHLB advances</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(7,493)</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(23,938)</w:t>
            </w:r>
          </w:p>
        </w:tc>
        <w:tc>
          <w:tcPr>
            <w:tcW w:w="0" w:type="dxa"/>
            <w:vAlign w:val="bottom"/>
          </w:tcPr>
          <w:p>
            <w:pPr>
              <w:spacing w:after="0"/>
              <w:rPr>
                <w:sz w:val="1"/>
                <w:szCs w:val="1"/>
                <w:color w:val="auto"/>
              </w:rPr>
            </w:pPr>
          </w:p>
        </w:tc>
      </w:tr>
      <w:tr>
        <w:trPr>
          <w:trHeight w:val="422"/>
        </w:trPr>
        <w:tc>
          <w:tcPr>
            <w:tcW w:w="5160" w:type="dxa"/>
            <w:vAlign w:val="bottom"/>
          </w:tcPr>
          <w:p>
            <w:pPr>
              <w:spacing w:after="0"/>
              <w:rPr>
                <w:sz w:val="24"/>
                <w:szCs w:val="24"/>
                <w:color w:val="auto"/>
              </w:rPr>
            </w:pPr>
          </w:p>
        </w:tc>
        <w:tc>
          <w:tcPr>
            <w:tcW w:w="1660" w:type="dxa"/>
            <w:vAlign w:val="bottom"/>
          </w:tcPr>
          <w:p>
            <w:pPr>
              <w:jc w:val="right"/>
              <w:ind w:right="1012"/>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1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Farmers &amp; Merchants Bancorp, Inc.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428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Consolidated Statements of Cash Flows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tcPr>
          <w:p>
            <w:pPr>
              <w:spacing w:after="0"/>
              <w:rPr>
                <w:sz w:val="18"/>
                <w:szCs w:val="18"/>
                <w:color w:val="auto"/>
              </w:rPr>
            </w:pPr>
          </w:p>
        </w:tc>
        <w:tc>
          <w:tcPr>
            <w:tcW w:w="428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Years Ended December 31, 2021, 2020, 2019</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80" w:type="dxa"/>
            <w:vAlign w:val="bottom"/>
          </w:tcPr>
          <w:p>
            <w:pPr>
              <w:spacing w:after="0"/>
              <w:rPr>
                <w:sz w:val="19"/>
                <w:szCs w:val="19"/>
                <w:color w:val="auto"/>
              </w:rPr>
            </w:pPr>
          </w:p>
        </w:tc>
        <w:tc>
          <w:tcPr>
            <w:tcW w:w="428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(000’s Omitted)</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Proceeds of other borrowings</w:t>
            </w:r>
          </w:p>
        </w:tc>
        <w:tc>
          <w:tcPr>
            <w:tcW w:w="31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2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(338)</w:t>
            </w:r>
          </w:p>
        </w:tc>
        <w:tc>
          <w:tcPr>
            <w:tcW w:w="3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(383)</w:t>
            </w:r>
          </w:p>
        </w:tc>
        <w:tc>
          <w:tcPr>
            <w:tcW w:w="3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4"/>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subordinated notes</w:t>
            </w:r>
          </w:p>
        </w:tc>
        <w:tc>
          <w:tcPr>
            <w:tcW w:w="2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spacing w:after="0"/>
              <w:rPr>
                <w:sz w:val="20"/>
                <w:szCs w:val="20"/>
                <w:color w:val="auto"/>
              </w:rPr>
            </w:pPr>
            <w:r>
              <w:rPr>
                <w:rFonts w:ascii="Arial" w:cs="Arial" w:eastAsia="Arial" w:hAnsi="Arial"/>
                <w:sz w:val="18"/>
                <w:szCs w:val="18"/>
                <w:color w:val="auto"/>
              </w:rPr>
              <w:t>Cash dividends paid on common stock</w:t>
            </w:r>
          </w:p>
        </w:tc>
        <w:tc>
          <w:tcPr>
            <w:tcW w:w="2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(7,670)</w:t>
            </w:r>
          </w:p>
        </w:tc>
        <w:tc>
          <w:tcPr>
            <w:tcW w:w="3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(7,186)</w:t>
            </w:r>
          </w:p>
        </w:tc>
        <w:tc>
          <w:tcPr>
            <w:tcW w:w="3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17"/>
        </w:trPr>
        <w:tc>
          <w:tcPr>
            <w:tcW w:w="40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27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236,070</w:t>
            </w:r>
          </w:p>
        </w:tc>
        <w:tc>
          <w:tcPr>
            <w:tcW w:w="3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274,752</w:t>
            </w:r>
          </w:p>
        </w:tc>
        <w:tc>
          <w:tcPr>
            <w:tcW w:w="3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138,316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124,410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Cash and Cash Equivalents - Beginning of Year</w:t>
            </w:r>
          </w:p>
        </w:tc>
        <w:tc>
          <w:tcPr>
            <w:tcW w:w="27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175,706</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51,296</w:t>
            </w:r>
          </w:p>
        </w:tc>
        <w:tc>
          <w:tcPr>
            <w:tcW w:w="3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274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180,823</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175,706</w:t>
            </w: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740" w:type="dxa"/>
            <w:vAlign w:val="bottom"/>
            <w:vMerge w:val="restart"/>
          </w:tcPr>
          <w:p>
            <w:pPr>
              <w:jc w:val="right"/>
              <w:ind w:right="1012"/>
              <w:spacing w:after="0"/>
              <w:rPr>
                <w:sz w:val="20"/>
                <w:szCs w:val="20"/>
                <w:color w:val="auto"/>
              </w:rPr>
            </w:pPr>
            <w:r>
              <w:rPr>
                <w:rFonts w:ascii="Arial" w:cs="Arial" w:eastAsia="Arial" w:hAnsi="Arial"/>
                <w:sz w:val="18"/>
                <w:szCs w:val="18"/>
                <w:color w:val="auto"/>
              </w:rPr>
              <w:t>54</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40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Farmers &amp; Merchants Bancorp, Inc.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3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Years Ended December 31, 2021, 2020, 2019</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87"/>
              </w:rPr>
              <w:t>(000’s Omitted)</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6"/>
        </w:trPr>
        <w:tc>
          <w:tcPr>
            <w:tcW w:w="68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Information</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2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paid</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tcPr>
          <w:p>
            <w:pPr>
              <w:ind w:left="120"/>
              <w:spacing w:after="0"/>
              <w:rPr>
                <w:sz w:val="20"/>
                <w:szCs w:val="20"/>
                <w:color w:val="auto"/>
              </w:rPr>
            </w:pPr>
            <w:r>
              <w:rPr>
                <w:rFonts w:ascii="Arial" w:cs="Arial" w:eastAsia="Arial" w:hAnsi="Arial"/>
                <w:sz w:val="18"/>
                <w:szCs w:val="18"/>
                <w:color w:val="auto"/>
              </w:rPr>
              <w:t>Income taxes paid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6,473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Supplemental noncash disclosures: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tcPr>
          <w:p>
            <w:pPr>
              <w:ind w:left="120"/>
              <w:spacing w:after="0"/>
              <w:rPr>
                <w:sz w:val="20"/>
                <w:szCs w:val="20"/>
                <w:color w:val="auto"/>
              </w:rPr>
            </w:pPr>
            <w:r>
              <w:rPr>
                <w:rFonts w:ascii="Arial" w:cs="Arial" w:eastAsia="Arial" w:hAnsi="Arial"/>
                <w:sz w:val="18"/>
                <w:szCs w:val="18"/>
                <w:color w:val="auto"/>
              </w:rPr>
              <w:t>Transfer of loans to other real estate owned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dividends declared not paid</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820" w:type="dxa"/>
            <w:vAlign w:val="bottom"/>
          </w:tcPr>
          <w:p>
            <w:pPr>
              <w:spacing w:after="0"/>
              <w:rPr>
                <w:sz w:val="20"/>
                <w:szCs w:val="20"/>
                <w:color w:val="auto"/>
              </w:rPr>
            </w:pPr>
            <w:r>
              <w:rPr>
                <w:rFonts w:ascii="Arial" w:cs="Arial" w:eastAsia="Arial" w:hAnsi="Arial"/>
                <w:sz w:val="18"/>
                <w:szCs w:val="18"/>
                <w:color w:val="auto"/>
                <w:w w:val="97"/>
              </w:rPr>
              <w:t>The Company purchased all of the capital stock of Limberlost for $78,902 on January 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2019. In conjunction with the acquisition, liabilities were assumed as follows: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of assets acquired</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tcPr>
          <w:p>
            <w:pPr>
              <w:ind w:left="240"/>
              <w:spacing w:after="0"/>
              <w:rPr>
                <w:sz w:val="20"/>
                <w:szCs w:val="20"/>
                <w:color w:val="auto"/>
              </w:rPr>
            </w:pPr>
            <w:r>
              <w:rPr>
                <w:rFonts w:ascii="Arial" w:cs="Arial" w:eastAsia="Arial" w:hAnsi="Arial"/>
                <w:sz w:val="18"/>
                <w:szCs w:val="18"/>
                <w:color w:val="auto"/>
              </w:rPr>
              <w:t>Less: common stock issued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the capital stock</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Liabilities assumed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257,478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20" w:type="dxa"/>
            <w:vAlign w:val="bottom"/>
            <w:shd w:val="clear" w:color="auto" w:fill="CFF0FC"/>
          </w:tcPr>
          <w:p>
            <w:pPr>
              <w:spacing w:after="0" w:line="191" w:lineRule="exact"/>
              <w:rPr>
                <w:sz w:val="20"/>
                <w:szCs w:val="20"/>
                <w:color w:val="auto"/>
              </w:rPr>
            </w:pPr>
            <w:r>
              <w:rPr>
                <w:rFonts w:ascii="Arial" w:cs="Arial" w:eastAsia="Arial" w:hAnsi="Arial"/>
                <w:sz w:val="18"/>
                <w:szCs w:val="18"/>
                <w:color w:val="auto"/>
                <w:w w:val="91"/>
              </w:rPr>
              <w:t>The Company purchased the assets of Adams County Financial Resources by issuing 40,049</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shares of common stock on November 16, 2020.</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tcPr>
          <w:p>
            <w:pPr>
              <w:ind w:left="240"/>
              <w:spacing w:after="0"/>
              <w:rPr>
                <w:sz w:val="20"/>
                <w:szCs w:val="20"/>
                <w:color w:val="auto"/>
              </w:rPr>
            </w:pPr>
            <w:r>
              <w:rPr>
                <w:rFonts w:ascii="Arial" w:cs="Arial" w:eastAsia="Arial" w:hAnsi="Arial"/>
                <w:sz w:val="18"/>
                <w:szCs w:val="18"/>
                <w:color w:val="auto"/>
              </w:rPr>
              <w:t>Fair value of assets acquired</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825</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common stock issued</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Cash paid for the capital stock</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Liabilities assumed</w:t>
            </w: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w w:val="94"/>
              </w:rPr>
              <w:t>The Company purchased the assets of Ossian Financial Services, Inc. for $20,001 on April</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30, 2021. In conjunction with the acquisition, liabilities were assumed as follows: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of assets acquired</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137,058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tcPr>
          <w:p>
            <w:pPr>
              <w:ind w:left="240"/>
              <w:spacing w:after="0"/>
              <w:rPr>
                <w:sz w:val="20"/>
                <w:szCs w:val="20"/>
                <w:color w:val="auto"/>
              </w:rPr>
            </w:pPr>
            <w:r>
              <w:rPr>
                <w:rFonts w:ascii="Arial" w:cs="Arial" w:eastAsia="Arial" w:hAnsi="Arial"/>
                <w:sz w:val="18"/>
                <w:szCs w:val="18"/>
                <w:color w:val="auto"/>
              </w:rPr>
              <w:t>Less: common stock issued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the capital stock</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20,001</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Liabilities assumed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117,057</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20" w:type="dxa"/>
            <w:vAlign w:val="bottom"/>
            <w:shd w:val="clear" w:color="auto" w:fill="CFF0FC"/>
          </w:tcPr>
          <w:p>
            <w:pPr>
              <w:spacing w:after="0" w:line="191" w:lineRule="exact"/>
              <w:rPr>
                <w:sz w:val="20"/>
                <w:szCs w:val="20"/>
                <w:color w:val="auto"/>
              </w:rPr>
            </w:pPr>
            <w:r>
              <w:rPr>
                <w:rFonts w:ascii="Arial" w:cs="Arial" w:eastAsia="Arial" w:hAnsi="Arial"/>
                <w:sz w:val="18"/>
                <w:szCs w:val="18"/>
                <w:color w:val="auto"/>
                <w:w w:val="98"/>
              </w:rPr>
              <w:t>The Company purchased all of the capital stock of Perpetual Federal Savings Bank for</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w w:val="92"/>
              </w:rPr>
              <w:t>$100,312 on October 1, 2021. In conjunction with the acquisition, liabilities were assumed as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follows: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tcPr>
          <w:p>
            <w:pPr>
              <w:ind w:left="240"/>
              <w:spacing w:after="0"/>
              <w:rPr>
                <w:sz w:val="20"/>
                <w:szCs w:val="20"/>
                <w:color w:val="auto"/>
              </w:rPr>
            </w:pPr>
            <w:r>
              <w:rPr>
                <w:rFonts w:ascii="Arial" w:cs="Arial" w:eastAsia="Arial" w:hAnsi="Arial"/>
                <w:sz w:val="18"/>
                <w:szCs w:val="18"/>
                <w:color w:val="auto"/>
              </w:rPr>
              <w:t>Fair value of assets acquired</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420,162</w:t>
            </w:r>
          </w:p>
        </w:tc>
        <w:tc>
          <w:tcPr>
            <w:tcW w:w="30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common stock issued</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Cash paid for the capital stock</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59,234</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Liabilities assumed</w:t>
            </w: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319,850</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Nature of Operations</w:t>
      </w:r>
    </w:p>
    <w:p>
      <w:pPr>
        <w:spacing w:after="0" w:line="115" w:lineRule="exact"/>
        <w:rPr>
          <w:sz w:val="20"/>
          <w:szCs w:val="20"/>
          <w:color w:val="auto"/>
        </w:rPr>
      </w:pPr>
    </w:p>
    <w:p>
      <w:pPr>
        <w:ind w:left="800"/>
        <w:spacing w:after="0" w:line="325" w:lineRule="auto"/>
        <w:rPr>
          <w:sz w:val="20"/>
          <w:szCs w:val="20"/>
          <w:color w:val="auto"/>
        </w:rPr>
      </w:pPr>
      <w:r>
        <w:rPr>
          <w:rFonts w:ascii="Arial" w:cs="Arial" w:eastAsia="Arial" w:hAnsi="Arial"/>
          <w:sz w:val="16"/>
          <w:szCs w:val="16"/>
          <w:color w:val="auto"/>
        </w:rPr>
        <w:t>The Farmers &amp; Merchants Bancorp, Inc. (the Company) through its bank subsidiary, The Farmers &amp; Merchants State Bank (the Bank) provides a variety of financial services to individuals and small businesses through its offices in Northwest Ohio and Northeast Indiana.</w:t>
      </w:r>
    </w:p>
    <w:p>
      <w:pPr>
        <w:spacing w:after="0" w:line="12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Consolidation Policy</w:t>
      </w:r>
    </w:p>
    <w:p>
      <w:pPr>
        <w:spacing w:after="0" w:line="11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consolidated financial statements include the accounts of Farmers &amp; Merchants Bancorp, Inc. and its wholly-owned subsidiaries, The Farmers</w:t>
      </w:r>
    </w:p>
    <w:p>
      <w:pPr>
        <w:spacing w:after="0" w:line="38" w:lineRule="exact"/>
        <w:rPr>
          <w:sz w:val="20"/>
          <w:szCs w:val="20"/>
          <w:color w:val="auto"/>
        </w:rPr>
      </w:pPr>
    </w:p>
    <w:p>
      <w:pPr>
        <w:ind w:left="800" w:firstLine="8"/>
        <w:spacing w:after="0" w:line="248" w:lineRule="auto"/>
        <w:tabs>
          <w:tab w:leader="none" w:pos="9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Merchants State Bank (the Bank), a commercial banking institution and Farmers &amp; Merchants Risk Management, Inc. (the Captive), a Captive insurance company. All significant inter-company balances and transactions have been eliminated.</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Use of Estimates</w:t>
      </w:r>
    </w:p>
    <w:p>
      <w:pPr>
        <w:spacing w:after="0" w:line="115"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Material estimates that are particularly susceptible to significant change in the near term relate to the determination of the allowance for loan losses and the valuation of mortgage servicing rights. Actual results could differ from those estimates.</w:t>
      </w:r>
    </w:p>
    <w:p>
      <w:pPr>
        <w:spacing w:after="0" w:line="16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w:t>
      </w:r>
    </w:p>
    <w:p>
      <w:pPr>
        <w:spacing w:after="0" w:line="189"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Bank’s loans are generally secured by specific items of collateral including real property, consumer assets, and business assets. Although the Bank has a diversified loan portfolio, a substantial portion of its debtors’ ability to honor their contracts is dependent on local economic conditions in the agricultural industry.</w:t>
      </w:r>
    </w:p>
    <w:p>
      <w:pPr>
        <w:spacing w:after="0" w:line="189"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While management uses available information to recognize losses on loans, further reductions in the carrying amounts of loans may be necessary based on changes in local economic conditions.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Cash and Cash Equivalents</w:t>
      </w:r>
    </w:p>
    <w:p>
      <w:pPr>
        <w:spacing w:after="0" w:line="11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For purposes of the consolidated statement of cash flows, the Company considers all highly liquid debt instruments purchased with an original maturity of three months or less to be cash equivalents. This includes cash on hand, amounts due from banks, and federal funds sold. Generally, federal funds sold are outstanding for one day periods.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Restrictions on Cash and Amounts Due from Banks</w:t>
      </w:r>
    </w:p>
    <w:p>
      <w:pPr>
        <w:spacing w:after="0" w:line="11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Effective March 26, 2020, the Bank is no longer required to maintain average balances on hand with the Federal Reserve Bank. The Company and its subsidiaries maintain cash balances with high quality financial institutions. At times such balances may be in excess of the federally insured limits.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20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Securities</w:t>
      </w:r>
    </w:p>
    <w:p>
      <w:pPr>
        <w:spacing w:after="0" w:line="115"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Debt securities are classified as available-for-sale. Securities available-for-sale are carried at fair value with unrealized gains and losses reported in other comprehensive income (loss). Net realized gains and losses on securities available for sale are included in noninterest income and, when applicable, are reported as a reclassification adjustment, net of tax, in other comprehensive income (loss). Gains and losses on sales of securities are determined on the specific-identification method.</w:t>
      </w:r>
    </w:p>
    <w:p>
      <w:pPr>
        <w:spacing w:after="0" w:line="191"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Declines in the fair value of securities below their cost that are deemed to be other than temporary are reflected in earnings as realized losses. In estimating other-than-temporary impairment losses, management considers (1) the length of time and the extent to which the fair value has been less than cost, (2) the financial condition and near-term prospects of the issuer, and (3) the intent and ability of the Company to retain its investment in the issuer for a period of time sufficient to allow for any anticipated recovery in fair value. The related write-downs are included in earnings as realized losses.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Other Securities</w:t>
      </w:r>
    </w:p>
    <w:p>
      <w:pPr>
        <w:spacing w:after="0" w:line="115"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Other Securities consist of stock in the Federal Home Loan Banks of Cincinnati and Indianapolis (the “FHLBs”), which is held to enable the Bank to conduct business with the entities. The FHLBs sell and purchase their stock at par. The FHLBs stock is carried at cost and held as collateral security for all indebtedness of the Bank to the Federal Home Loan Bank. The FHLBs stock is evaluated for impairment as conditions warrant. Other Securities also include the Bank’s capital contributions to three Ohio Equity Funds for Housing Limited Partnership.</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Loans</w:t>
      </w:r>
    </w:p>
    <w:p>
      <w:pPr>
        <w:spacing w:after="0" w:line="11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Loans that management has the intent and ability to hold for the foreseeable future or until maturity or pay-off are reported at the amount of unpaid principal, reduced by unearned discounts, unamortized premiums or discounts on purchased loans, and deferred loan fees and costs, as well as, by the allowance for loan losses. Interest income is accrued on a daily basis based on the principal outstanding.</w:t>
      </w:r>
    </w:p>
    <w:p>
      <w:pPr>
        <w:spacing w:after="0" w:line="153" w:lineRule="exact"/>
        <w:rPr>
          <w:sz w:val="20"/>
          <w:szCs w:val="20"/>
          <w:color w:val="auto"/>
        </w:rPr>
      </w:pPr>
    </w:p>
    <w:p>
      <w:pPr>
        <w:jc w:val="both"/>
        <w:ind w:left="800"/>
        <w:spacing w:after="0" w:line="316" w:lineRule="auto"/>
        <w:rPr>
          <w:sz w:val="20"/>
          <w:szCs w:val="20"/>
          <w:color w:val="auto"/>
        </w:rPr>
      </w:pPr>
      <w:r>
        <w:rPr>
          <w:rFonts w:ascii="Arial" w:cs="Arial" w:eastAsia="Arial" w:hAnsi="Arial"/>
          <w:sz w:val="15"/>
          <w:szCs w:val="15"/>
          <w:color w:val="auto"/>
        </w:rPr>
        <w:t>Generally, a loan is classified as nonaccrual and the accrual of interest income is generally discontinued when a loan becomes ninety days past due as to principal or interest and these loans are placed on a “cash basis” for purposes of income recognition. Management may elect to continue the accrual of interest when the estimated net realizable value of collateral is sufficient to cover the principal and accrued interest, and the loan is in the process of collection. When a loan is placed on nonaccrual status, all previously accrued and unpaid interest receivable is charged against income.</w:t>
      </w:r>
    </w:p>
    <w:p>
      <w:pPr>
        <w:spacing w:after="0" w:line="14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Loan origination and commitment fees and certain direct loan origination costs are deferred and amortized as a net adjustment to the related loan’s yield. The Bank is generally amortizing these costs over the contractual life of such loans.</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Allowance for Loan Losses</w:t>
      </w:r>
    </w:p>
    <w:p>
      <w:pPr>
        <w:spacing w:after="0" w:line="115" w:lineRule="exact"/>
        <w:rPr>
          <w:sz w:val="20"/>
          <w:szCs w:val="20"/>
          <w:color w:val="auto"/>
        </w:rPr>
      </w:pPr>
    </w:p>
    <w:p>
      <w:pPr>
        <w:jc w:val="both"/>
        <w:ind w:left="800"/>
        <w:spacing w:after="0" w:line="362" w:lineRule="auto"/>
        <w:rPr>
          <w:sz w:val="20"/>
          <w:szCs w:val="20"/>
          <w:color w:val="auto"/>
        </w:rPr>
      </w:pPr>
      <w:r>
        <w:rPr>
          <w:rFonts w:ascii="Arial" w:cs="Arial" w:eastAsia="Arial" w:hAnsi="Arial"/>
          <w:sz w:val="15"/>
          <w:szCs w:val="15"/>
          <w:color w:val="auto"/>
        </w:rPr>
        <w:t>The allowance for loan losses is established through a provision for loan losses charged to income. Loans deemed to be uncollectable and changes in the allowance relating to loans are charged against the allowance for loan losses, and subsequent recoveries, if any, are credited to the allowance.</w:t>
      </w:r>
    </w:p>
    <w:p>
      <w:pPr>
        <w:spacing w:after="0" w:line="112"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experiences, the nature and volume of the loan portfolio, adverse situations that may affect the borrower’s ability to repay, estimated value of any underlying collateral, and prevailing economic conditions. This evaluation is inherently subjective, as it requires estimates that are subject to revision as more information becomes available.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The allowance consists of specific, general and unallocated components. The specific component relates to loans that are classified as doubtful, substandard or special mention. For such loans that are also classified as impaired, an allowance is established when the discounted cash flows (or collateral value) of the impaired loan is lower than the carrying value of that loan. The general component covers non-classified loans and is based on historical loss experience adjusted for qualitative factors. The unallocated component is maintained to cover uncertainties that could affect management’s estimate of probable losses.</w:t>
      </w:r>
    </w:p>
    <w:p>
      <w:pPr>
        <w:spacing w:after="0" w:line="195" w:lineRule="exact"/>
        <w:rPr>
          <w:sz w:val="20"/>
          <w:szCs w:val="20"/>
          <w:color w:val="auto"/>
        </w:rPr>
      </w:pPr>
    </w:p>
    <w:p>
      <w:pPr>
        <w:jc w:val="both"/>
        <w:ind w:left="800"/>
        <w:spacing w:after="0" w:line="281" w:lineRule="auto"/>
        <w:rPr>
          <w:sz w:val="20"/>
          <w:szCs w:val="20"/>
          <w:color w:val="auto"/>
        </w:rPr>
      </w:pPr>
      <w:r>
        <w:rPr>
          <w:rFonts w:ascii="Arial" w:cs="Arial" w:eastAsia="Arial" w:hAnsi="Arial"/>
          <w:sz w:val="16"/>
          <w:szCs w:val="16"/>
          <w:color w:val="auto"/>
        </w:rPr>
        <w:t>A loan is considered impaired when, based on current information and events, it is probable that the Bank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length of the delay, the reasons for the delay, the borrower's prior payment record, and the amount of the shortfall in relation to the principal and interest owed. Impairment is measured on a loan by loan basis for commercial and agricultural loans by either the present value of expected future cash flows discounted at the loan's effective interest rate or the fair value of the collateral if the loan is collateral dependent.</w:t>
      </w:r>
    </w:p>
    <w:p>
      <w:pPr>
        <w:spacing w:after="0" w:line="169"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189"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95"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Large groups of homogeneous loans are collectively evaluated for impairment. Accordingly, the Bank does not separately identify individual consumer loans for impairment, unless such loans are the subject of a restructuring agreement due to financial difficulties of the borrower.</w:t>
      </w:r>
    </w:p>
    <w:p>
      <w:pPr>
        <w:spacing w:after="0" w:line="134"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For more information regarding the actual composition and classification of loans involved in the establishment of the allowance for loan loss, please see Note 4 provided here with the notes to consolidated financial statements.</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Loans Held for Sale</w:t>
      </w:r>
    </w:p>
    <w:p>
      <w:pPr>
        <w:spacing w:after="0" w:line="1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Loans originated and intended for sale in the secondary market are carried at the lower of cost or estimated fair value in the aggregate. Net unrealized losses, if any, are recognized in a valuation allowance by charges to income.</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ervicing Assets</w:t>
      </w:r>
    </w:p>
    <w:p>
      <w:pPr>
        <w:spacing w:after="0" w:line="115" w:lineRule="exact"/>
        <w:rPr>
          <w:sz w:val="20"/>
          <w:szCs w:val="20"/>
          <w:color w:val="auto"/>
        </w:rPr>
      </w:pPr>
    </w:p>
    <w:p>
      <w:pPr>
        <w:jc w:val="both"/>
        <w:ind w:left="800"/>
        <w:spacing w:after="0" w:line="283" w:lineRule="auto"/>
        <w:rPr>
          <w:sz w:val="20"/>
          <w:szCs w:val="20"/>
          <w:color w:val="auto"/>
        </w:rPr>
      </w:pPr>
      <w:r>
        <w:rPr>
          <w:rFonts w:ascii="Arial" w:cs="Arial" w:eastAsia="Arial" w:hAnsi="Arial"/>
          <w:sz w:val="16"/>
          <w:szCs w:val="16"/>
          <w:color w:val="auto"/>
        </w:rPr>
        <w:t>Servicing assets are recognized as separate assets when rights are acquired through purchase or sale of financial assets. Capitalized servicing rights are amortized into noninterest expense in proportion to, and over the period of, the estimated future net servicing income of the underlying financial assets. Servicing assets are evaluated for impairment based upon the fair value of the rights as compared to amortized cost. Impairment is determined by stratifying rights by predominant characteristics, such as interest rates and terms. Fair value is determined using prices for similar assets with similar characteristics, when available, or based upon discounted cash flows using market-based assumptions. Impairment is recognized through a valuation allowance for an individual stratum, to the extent that fair value is less than the capitalized amount for the stratum. Fees received for servicing loans owned by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jc w:val="both"/>
        <w:ind w:left="800" w:right="20"/>
        <w:spacing w:after="0" w:line="262" w:lineRule="auto"/>
        <w:rPr>
          <w:sz w:val="20"/>
          <w:szCs w:val="20"/>
          <w:color w:val="auto"/>
        </w:rPr>
      </w:pPr>
      <w:r>
        <w:rPr>
          <w:rFonts w:ascii="Arial" w:cs="Arial" w:eastAsia="Arial" w:hAnsi="Arial"/>
          <w:sz w:val="18"/>
          <w:szCs w:val="18"/>
          <w:color w:val="auto"/>
        </w:rPr>
        <w:t>investors are based on a percentage of the outstanding monthly principal balance of such loans and are included in operating income as loan payments are received. Costs of servicing loans are charged to expense as incurred.</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15" w:lineRule="exact"/>
        <w:rPr>
          <w:sz w:val="20"/>
          <w:szCs w:val="20"/>
          <w:color w:val="auto"/>
        </w:rPr>
      </w:pPr>
    </w:p>
    <w:p>
      <w:pPr>
        <w:jc w:val="both"/>
        <w:ind w:left="800"/>
        <w:spacing w:after="0" w:line="280" w:lineRule="auto"/>
        <w:rPr>
          <w:sz w:val="20"/>
          <w:szCs w:val="20"/>
          <w:color w:val="auto"/>
        </w:rPr>
      </w:pPr>
      <w:r>
        <w:rPr>
          <w:rFonts w:ascii="Arial" w:cs="Arial" w:eastAsia="Arial" w:hAnsi="Arial"/>
          <w:sz w:val="16"/>
          <w:szCs w:val="16"/>
          <w:color w:val="auto"/>
        </w:rPr>
        <w:t>Goodwill results from business acquisitions and represents the excess of the purchase price over the fair value of acquired tangible assets and liabilities and identifiable intangible assets. Goodwill is assessed for impairment at least annually. If possible impairment is likely, the Bank will utilize the assistance of an independent third party for an appraisal and any such impairment is recognized in the period identified. Periodically, the Bank will have an independent third party assess the possibility of impairment of Goodwill. Such an assessment was performed as of September 30, 2020. The goodwill impairment analysis consisted of a first step goodwill impairment test which was used to identify potential impairment by comparing the fair value of the relevant reporting entity with its carrying value, including goodwill. The analysis was performed under guidance of FASB ASC 350. In quantitative testing completed as of November 30, 2021, the excess fair value of capital was $48.8 million or 14.5% over the carrying value and was over 60% the value of goodwill being carried. Therefore, the Bank concluded it is unlikely impairment of goodwill has occurred from the goodwill established from the Bank’s acquisition of Knisely on December 31, 2007, the acquisition of Bank of Geneva on January 1, 2019, the acquisition of Ossian State Bank on April 30, 2021 and the acquisition of Perpetual Federal Savings Bank on October 1, 2021.</w:t>
      </w:r>
    </w:p>
    <w:p>
      <w:pPr>
        <w:spacing w:after="0" w:line="172"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Other intangible assets consist of core deposit and customer list intangible assets arising from business acquisitions. They are initially measured at fair value and then are amortized on a straight line method over their estimated useful lives and evaluated for impairment. These assets are included in other assets on the consolidated balance sheets.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Off Balance Sheet Instruments</w:t>
      </w:r>
    </w:p>
    <w:p>
      <w:pPr>
        <w:spacing w:after="0" w:line="115"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In the ordinary course of business, the Bank has entered into commitments to extend credit, including commitments under credit card arrangements, commercial letters of credit and standby letters of credit. Such financial instruments are recorded when they are funded.</w:t>
      </w:r>
    </w:p>
    <w:p>
      <w:pPr>
        <w:spacing w:after="0" w:line="12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Foreclosed Real Estate</w:t>
      </w:r>
    </w:p>
    <w:p>
      <w:pPr>
        <w:spacing w:after="0" w:line="115"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Foreclosed real estate held for sale is carried at the lower of fair value minus estimated costs to sell, or cost. Costs of holding foreclosed real estate are charged to expense in the current period, except for significant property improvements, which are capitalized. Valuations are periodically performed by management and an allowance is established by a charge to noninterest expense if the carrying value exceeds the fair value minus the estimated costs to sell. Foreclosed real estate is classified as other real estate owned. The net loss from operations of foreclosed real estate held for sale is reported in noninterest expense. At December 31, the Bank’s holding of other real estate owned totaled $159 thousand and $71 thousand for 2021 and 2020, respectively.</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Bank Premises and Equipment</w:t>
      </w:r>
    </w:p>
    <w:p>
      <w:pPr>
        <w:spacing w:after="0" w:line="11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Land is carried at cost. Bank premises and equipment are stated at cost less accumulated depreciation. Depreciation is based on the estimated useful lives of the various properties and is computed using straight line and accelerated methods. Costs for maintenance and repairs are charged to operations as incurred. Gains and losses on dispositions are included in current operations.</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Bank Owned Life Insurance</w:t>
      </w:r>
    </w:p>
    <w:p>
      <w:pPr>
        <w:spacing w:after="0" w:line="1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Bank owned life insurance policies are carried at their cash surrender value. The Bank recognizes tax-free income from the periodic increases in the cash surrender value of these policies and from death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Revenue Recognition</w:t>
      </w:r>
    </w:p>
    <w:p>
      <w:pPr>
        <w:spacing w:after="0" w:line="115"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Accounting Standards Codification 606, “Revenue from Contracts with Customer” (ASC 606) provides that an entity should recognize revenue to depict the transfer of promised goods or services to customers in an amount that reflects the consideration to which the entity expects to be entitled in exchange for those goods or services. Revenue generated from financial instruments, including loans and investment securities, are not included within the scope of ASC 606. The adoption of ASC 606 did not result in a change to the accounting for any of the Company’s revenue streams that are within scope of the amendments. Revenue-generating activities that are within the scope of ASC 606 that are presented as noninterest income in the Company’s consolidated statements of income include:</w:t>
      </w:r>
    </w:p>
    <w:p>
      <w:pPr>
        <w:spacing w:after="0" w:line="64" w:lineRule="exact"/>
        <w:rPr>
          <w:sz w:val="20"/>
          <w:szCs w:val="20"/>
          <w:color w:val="auto"/>
        </w:rPr>
      </w:pPr>
    </w:p>
    <w:p>
      <w:pPr>
        <w:jc w:val="both"/>
        <w:ind w:left="1600" w:hanging="396"/>
        <w:spacing w:after="0" w:line="243" w:lineRule="auto"/>
        <w:tabs>
          <w:tab w:leader="none" w:pos="160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Customer service fees – these include miscellaneous service fees and transaction-based fees charged for certain services, such as debit card or credit card. Revenue is recognized when the performance obligation is completed, which is generally after a transaction is completed or monthly for account maintenance services.</w:t>
      </w:r>
    </w:p>
    <w:p>
      <w:pPr>
        <w:spacing w:after="0" w:line="92" w:lineRule="exact"/>
        <w:rPr>
          <w:rFonts w:ascii="Courier New" w:cs="Courier New" w:eastAsia="Courier New" w:hAnsi="Courier New"/>
          <w:sz w:val="18"/>
          <w:szCs w:val="18"/>
          <w:color w:val="auto"/>
        </w:rPr>
      </w:pPr>
    </w:p>
    <w:p>
      <w:pPr>
        <w:jc w:val="both"/>
        <w:ind w:left="1600" w:hanging="396"/>
        <w:spacing w:after="0" w:line="244" w:lineRule="auto"/>
        <w:tabs>
          <w:tab w:leader="none" w:pos="160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Other service charges and fees – these include service fees charged for deposit account maintenance and activity along with transaction-based fees charged for certain services, such as overdraft activities, returned check charges and wire transfers. Revenue is recognized when the performance obligation is completed, which is generally after a transaction is completed or monthly for account maintenance services.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Income Tax</w:t>
      </w:r>
    </w:p>
    <w:p>
      <w:pPr>
        <w:spacing w:after="0" w:line="115"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The Company’s income tax expense consists of the following components for federal and state: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65" w:lineRule="exact"/>
        <w:rPr>
          <w:sz w:val="20"/>
          <w:szCs w:val="20"/>
          <w:color w:val="auto"/>
        </w:rPr>
      </w:pPr>
    </w:p>
    <w:p>
      <w:pPr>
        <w:jc w:val="both"/>
        <w:ind w:left="800"/>
        <w:spacing w:after="0" w:line="281" w:lineRule="auto"/>
        <w:rPr>
          <w:sz w:val="20"/>
          <w:szCs w:val="20"/>
          <w:color w:val="auto"/>
        </w:rPr>
      </w:pPr>
      <w:r>
        <w:rPr>
          <w:rFonts w:ascii="Arial" w:cs="Arial" w:eastAsia="Arial" w:hAnsi="Arial"/>
          <w:sz w:val="16"/>
          <w:szCs w:val="16"/>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169"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Company recognizes interest and penalties, if any, related to unrecognized tax benefits in tax expense. Based on management’s analysis, the Company did not have any uncertain tax positions as of December 31, 2021 and 2020. With a few exceptions, the Company is no longer subject to U.S. Federal, state or local examinations by tax authorities for years before 2018.</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Earnings Per Share</w:t>
      </w:r>
    </w:p>
    <w:p>
      <w:pPr>
        <w:spacing w:after="0" w:line="1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Basic earnings per share represent income available to common stockholders divided by the weighted-average number of common shares outstanding during the period. See Note 12 for additional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Stock-Based Compensation</w:t>
      </w:r>
    </w:p>
    <w:p>
      <w:pPr>
        <w:spacing w:after="0" w:line="11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fair value of restricted common stock is their fair market value on the date of grant. The fair value of restricted stock is amortized as compensation expense on a straight-line basis over the vesting period of the grants. Compensation expense recognized is included in salaries and wages in the consolidated statements of income.</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Transfers of Financial Assets</w:t>
      </w:r>
    </w:p>
    <w:p>
      <w:pPr>
        <w:spacing w:after="0" w:line="115"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Transfers of financial assets are accounted for as sales, when control over the assets has been surrendered. Control over transferred assets is deemed to be surrendered when (1) the assets have been isolated from the Corporation – put presumptively beyond the reach of the transferor and its creditors, even in bankruptcy or other receivership, (2) the transferee obtains the right (free of conditions that constrain it from taking advantage of that right) to pledge or exchange the transferred assets and (3) the Corporation does not maintain effective control over the transferred assets through an agreement to repurchase them before their maturity or the ability to unilaterally cause the holder to return specific assets.</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Treasury Stock</w:t>
      </w:r>
    </w:p>
    <w:p>
      <w:pPr>
        <w:spacing w:after="0" w:line="1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Common stock shares repurchased are recorded at market value on date of purchase. Restricted shares when awarded are removed from treasury stock using the weighted average method.</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Other Comprehensive Income (Loss)</w:t>
      </w:r>
    </w:p>
    <w:p>
      <w:pPr>
        <w:spacing w:after="0" w:line="11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Accounting principles generally require that recognized revenue, expenses, gains and losses be included in net income. Certain changes in assets and liabilities, such as unrealized gains and losses on available-for-sale securities, are reported as a separate component of the equity section of the balance sheet. Such items, along with net income, are components of other comprehensive income (loss).</w:t>
      </w:r>
    </w:p>
    <w:p>
      <w:pPr>
        <w:spacing w:after="0" w:line="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components of other comprehensive income (loss) and related tax effects are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CFF0FC"/>
            </w:tcBorders>
          </w:tcPr>
          <w:p>
            <w:pPr>
              <w:spacing w:after="0"/>
              <w:rPr>
                <w:sz w:val="18"/>
                <w:szCs w:val="18"/>
                <w:color w:val="auto"/>
              </w:rPr>
            </w:pPr>
          </w:p>
        </w:tc>
        <w:tc>
          <w:tcPr>
            <w:tcW w:w="224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w w:val="89"/>
              </w:rPr>
              <w:t>Net unrealized gain (loss) on</w:t>
            </w:r>
          </w:p>
        </w:tc>
        <w:tc>
          <w:tcPr>
            <w:tcW w:w="224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color w:val="auto"/>
              </w:rPr>
              <w:t>available-for-sale</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2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(10,948)</w:t>
            </w:r>
          </w:p>
        </w:tc>
        <w:tc>
          <w:tcPr>
            <w:tcW w:w="32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20" w:type="dxa"/>
            <w:vAlign w:val="bottom"/>
            <w:gridSpan w:val="2"/>
          </w:tcPr>
          <w:p>
            <w:pPr>
              <w:spacing w:after="0"/>
              <w:rPr>
                <w:sz w:val="20"/>
                <w:szCs w:val="20"/>
                <w:color w:val="auto"/>
              </w:rPr>
            </w:pPr>
            <w:r>
              <w:rPr>
                <w:rFonts w:ascii="Arial" w:cs="Arial" w:eastAsia="Arial" w:hAnsi="Arial"/>
                <w:sz w:val="18"/>
                <w:szCs w:val="18"/>
                <w:color w:val="auto"/>
              </w:rPr>
              <w:t>Reclassification adjustment for (gain) loss on sale of</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120"/>
              <w:spacing w:after="0"/>
              <w:rPr>
                <w:sz w:val="20"/>
                <w:szCs w:val="20"/>
                <w:color w:val="auto"/>
              </w:rPr>
            </w:pPr>
            <w:r>
              <w:rPr>
                <w:rFonts w:ascii="Arial" w:cs="Arial" w:eastAsia="Arial" w:hAnsi="Arial"/>
                <w:sz w:val="18"/>
                <w:szCs w:val="18"/>
                <w:color w:val="auto"/>
                <w:w w:val="88"/>
              </w:rPr>
              <w:t>available-for-sale securities</w:t>
            </w:r>
          </w:p>
        </w:tc>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w w:val="89"/>
              </w:rPr>
              <w:t>Net unrealized gain (loss) on</w:t>
            </w:r>
          </w:p>
        </w:tc>
        <w:tc>
          <w:tcPr>
            <w:tcW w:w="2240" w:type="dxa"/>
            <w:vAlign w:val="bottom"/>
            <w:tcBorders>
              <w:top w:val="single" w:sz="8" w:color="CFF0FC"/>
            </w:tcBorders>
            <w:shd w:val="clear" w:color="auto" w:fill="CFF0FC"/>
          </w:tcPr>
          <w:p>
            <w:pPr>
              <w:ind w:left="20"/>
              <w:spacing w:after="0" w:line="205" w:lineRule="exact"/>
              <w:rPr>
                <w:sz w:val="20"/>
                <w:szCs w:val="20"/>
                <w:color w:val="auto"/>
              </w:rPr>
            </w:pPr>
            <w:r>
              <w:rPr>
                <w:rFonts w:ascii="Arial" w:cs="Arial" w:eastAsia="Arial" w:hAnsi="Arial"/>
                <w:sz w:val="18"/>
                <w:szCs w:val="18"/>
                <w:color w:val="auto"/>
              </w:rPr>
              <w:t>available-for-sale</w:t>
            </w:r>
          </w:p>
        </w:tc>
        <w:tc>
          <w:tcPr>
            <w:tcW w:w="6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2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(11,241)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80" w:type="dxa"/>
            <w:vAlign w:val="bottom"/>
          </w:tcPr>
          <w:p>
            <w:pPr>
              <w:spacing w:after="0"/>
              <w:rPr>
                <w:sz w:val="20"/>
                <w:szCs w:val="20"/>
                <w:color w:val="auto"/>
              </w:rPr>
            </w:pPr>
            <w:r>
              <w:rPr>
                <w:rFonts w:ascii="Arial" w:cs="Arial" w:eastAsia="Arial" w:hAnsi="Arial"/>
                <w:sz w:val="18"/>
                <w:szCs w:val="18"/>
                <w:color w:val="auto"/>
              </w:rPr>
              <w:t>Tax expense (benefit)</w:t>
            </w:r>
          </w:p>
        </w:tc>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gridSpan w:val="2"/>
            <w:vMerge w:val="continue"/>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(8,881)</w:t>
            </w:r>
          </w:p>
        </w:tc>
        <w:tc>
          <w:tcPr>
            <w:tcW w:w="32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Reclassification</w:t>
      </w:r>
    </w:p>
    <w:p>
      <w:pPr>
        <w:spacing w:after="0" w:line="115"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Certain amounts in the 2020 and 2019 consolidated financial statements have been reclassified to conform with the 2021 presentation. These reclassifications had no effect on net income.</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Recent Accounting Pronouncements</w:t>
      </w:r>
    </w:p>
    <w:p>
      <w:pPr>
        <w:spacing w:after="0" w:line="115" w:lineRule="exact"/>
        <w:rPr>
          <w:sz w:val="20"/>
          <w:szCs w:val="20"/>
          <w:color w:val="auto"/>
        </w:rPr>
      </w:pPr>
    </w:p>
    <w:p>
      <w:pPr>
        <w:ind w:left="800"/>
        <w:spacing w:after="0" w:line="284"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 – Credit Losses (Topic 326): Measurement of Credit Losses on Financial Instruments.” This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ind w:left="800"/>
        <w:spacing w:after="0" w:line="287" w:lineRule="auto"/>
        <w:rPr>
          <w:sz w:val="20"/>
          <w:szCs w:val="20"/>
          <w:color w:val="auto"/>
        </w:rPr>
      </w:pPr>
      <w:r>
        <w:rPr>
          <w:rFonts w:ascii="Arial" w:cs="Arial" w:eastAsia="Arial" w:hAnsi="Arial"/>
          <w:sz w:val="16"/>
          <w:szCs w:val="16"/>
          <w:color w:val="auto"/>
        </w:rPr>
        <w:t>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165" w:lineRule="exact"/>
        <w:rPr>
          <w:sz w:val="20"/>
          <w:szCs w:val="20"/>
          <w:color w:val="auto"/>
        </w:rPr>
      </w:pPr>
    </w:p>
    <w:p>
      <w:pPr>
        <w:ind w:left="800"/>
        <w:spacing w:after="0" w:line="287" w:lineRule="auto"/>
        <w:rPr>
          <w:sz w:val="20"/>
          <w:szCs w:val="20"/>
          <w:color w:val="auto"/>
        </w:rPr>
      </w:pPr>
      <w:r>
        <w:rPr>
          <w:rFonts w:ascii="Arial" w:cs="Arial" w:eastAsia="Arial" w:hAnsi="Arial"/>
          <w:sz w:val="16"/>
          <w:szCs w:val="16"/>
          <w:color w:val="auto"/>
        </w:rPr>
        <w:t>The ASU was effective for SEC filers for fiscal years, and interim periods within those fiscal years, beginning after December 15, 2019 (i.e., January 1, 2020, for calendar year entities). FASB subsequently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165" w:lineRule="exact"/>
        <w:rPr>
          <w:sz w:val="20"/>
          <w:szCs w:val="20"/>
          <w:color w:val="auto"/>
        </w:rPr>
      </w:pPr>
    </w:p>
    <w:p>
      <w:pPr>
        <w:ind w:left="800" w:right="100"/>
        <w:spacing w:after="0" w:line="250" w:lineRule="auto"/>
        <w:rPr>
          <w:sz w:val="20"/>
          <w:szCs w:val="20"/>
          <w:color w:val="auto"/>
        </w:rPr>
      </w:pPr>
      <w:r>
        <w:rPr>
          <w:rFonts w:ascii="Arial" w:cs="Arial" w:eastAsia="Arial" w:hAnsi="Arial"/>
          <w:sz w:val="18"/>
          <w:szCs w:val="18"/>
          <w:color w:val="auto"/>
        </w:rPr>
        <w:t>The Company has contracted with an external advisor and has formed a committee to determine the methodology to be used. Most importantly, the Company is gathering as much data as possible to enable management to review scenarios and determine which calculations will produce the most reliable results. The Company began working with the third-party service provider to review parallel reports starting in June 2019. The Company will adopt ASU 2016-13 on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Note 2 – Business Combination &amp; Asset Purchase</w:t>
      </w:r>
    </w:p>
    <w:p>
      <w:pPr>
        <w:spacing w:after="0" w:line="115"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w:t>
      </w:r>
      <w:r>
        <w:rPr>
          <w:rFonts w:ascii="Arial" w:cs="Arial" w:eastAsia="Arial" w:hAnsi="Arial"/>
          <w:sz w:val="21"/>
          <w:szCs w:val="21"/>
          <w:color w:val="auto"/>
        </w:rPr>
        <w:t>.</w:t>
      </w:r>
      <w:r>
        <w:rPr>
          <w:rFonts w:ascii="Arial" w:cs="Arial" w:eastAsia="Arial" w:hAnsi="Arial"/>
          <w:sz w:val="18"/>
          <w:szCs w:val="18"/>
          <w:color w:val="auto"/>
        </w:rPr>
        <w:t xml:space="preserve"> PFSB had 2,470,032 shares outstanding on October 1, 2021. The share price of Farmers &amp; Merchants Bancorp, Inc. (FMAO) stock on October 1, 2021 was $22.40. Total consideration for the acquisition was approximately $100.3 million consisting of $59.2 million in cash and $41.1 million in stock. As a result of the acquisition, the Company will have an opportunity to increase its deposit base and reduce transaction costs. The Company also expects to reduce costs through economies of scale.</w:t>
      </w:r>
    </w:p>
    <w:p>
      <w:pPr>
        <w:spacing w:after="0" w:line="194"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In 2021, the Company has incurred additional third-party acquisition-related costs of $1.7 million. These expenses are comprised of employee benefits of $131.5 thousand, data processing costs of $444.9 thousand, consulting fees of $636.8 thousand and other general and administrative expense of $488.3 thousand in the Company’s consolidated statement of income for the year ended December 31, 2021.</w:t>
      </w:r>
    </w:p>
    <w:p>
      <w:pPr>
        <w:spacing w:after="0" w:line="153"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resulting from the acquisition consists largely of the synergies and economies of scale expected from combining the operations of the Company and Perpetual Federal Savings Bank. Of that total amount, none of the purchase price is deductible for tax purposes. The following table summarizes the consideration paid for Perpetual Federal Savings Bank and the amounts of the assets acquired and liabilities assumed recognized at the acquisition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60" w:type="dxa"/>
            <w:vAlign w:val="bottom"/>
          </w:tcPr>
          <w:p>
            <w:pPr>
              <w:spacing w:after="0"/>
              <w:rPr>
                <w:sz w:val="18"/>
                <w:szCs w:val="18"/>
                <w:color w:val="auto"/>
              </w:rPr>
            </w:pPr>
          </w:p>
        </w:tc>
        <w:tc>
          <w:tcPr>
            <w:tcW w:w="4480" w:type="dxa"/>
            <w:vAlign w:val="bottom"/>
            <w:gridSpan w:val="4"/>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28"/>
        </w:trPr>
        <w:tc>
          <w:tcPr>
            <w:tcW w:w="6760" w:type="dxa"/>
            <w:vAlign w:val="bottom"/>
          </w:tcPr>
          <w:p>
            <w:pPr>
              <w:spacing w:after="0"/>
              <w:rPr>
                <w:sz w:val="19"/>
                <w:szCs w:val="19"/>
                <w:color w:val="auto"/>
              </w:rPr>
            </w:pPr>
          </w:p>
        </w:tc>
        <w:tc>
          <w:tcPr>
            <w:tcW w:w="448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 2021, 2020, 2019</w:t>
            </w:r>
          </w:p>
        </w:tc>
        <w:tc>
          <w:tcPr>
            <w:tcW w:w="0" w:type="dxa"/>
            <w:vAlign w:val="bottom"/>
          </w:tcPr>
          <w:p>
            <w:pPr>
              <w:spacing w:after="0"/>
              <w:rPr>
                <w:sz w:val="1"/>
                <w:szCs w:val="1"/>
                <w:color w:val="auto"/>
              </w:rPr>
            </w:pPr>
          </w:p>
        </w:tc>
      </w:tr>
      <w:tr>
        <w:trPr>
          <w:trHeight w:val="422"/>
        </w:trPr>
        <w:tc>
          <w:tcPr>
            <w:tcW w:w="6760" w:type="dxa"/>
            <w:vAlign w:val="bottom"/>
          </w:tcPr>
          <w:p>
            <w:pPr>
              <w:spacing w:after="0"/>
              <w:rPr>
                <w:sz w:val="20"/>
                <w:szCs w:val="20"/>
                <w:color w:val="auto"/>
              </w:rPr>
            </w:pPr>
            <w:r>
              <w:rPr>
                <w:rFonts w:ascii="Arial" w:cs="Arial" w:eastAsia="Arial" w:hAnsi="Arial"/>
                <w:sz w:val="18"/>
                <w:szCs w:val="18"/>
                <w:b w:val="1"/>
                <w:bCs w:val="1"/>
                <w:color w:val="auto"/>
              </w:rPr>
              <w:t>Note 2 – Business Combination &amp; Asset Purchase (Continued)</w:t>
            </w: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676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spacing w:after="0"/>
              <w:rPr>
                <w:sz w:val="19"/>
                <w:szCs w:val="19"/>
                <w:color w:val="auto"/>
              </w:rPr>
            </w:pPr>
          </w:p>
        </w:tc>
        <w:tc>
          <w:tcPr>
            <w:tcW w:w="2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(In Thousands)</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Shares (1,833,845 shares)</w:t>
            </w:r>
          </w:p>
        </w:tc>
        <w:tc>
          <w:tcPr>
            <w:tcW w:w="2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760" w:type="dxa"/>
            <w:vAlign w:val="bottom"/>
            <w:vMerge w:val="continue"/>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7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44,975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sold</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Interest-bearing time deposits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 at cost</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Loans, net</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334,661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Premises and equipment</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25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Assets Purchased</w:t>
            </w: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420,162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760" w:type="dxa"/>
            <w:vAlign w:val="bottom"/>
            <w:tcBorders>
              <w:top w:val="single" w:sz="8" w:color="CFF0FC"/>
            </w:tcBorders>
            <w:shd w:val="clear" w:color="auto" w:fill="CFF0FC"/>
          </w:tcPr>
          <w:p>
            <w:pPr>
              <w:spacing w:after="0"/>
              <w:rPr>
                <w:sz w:val="17"/>
                <w:szCs w:val="17"/>
                <w:color w:val="auto"/>
              </w:rPr>
            </w:pPr>
          </w:p>
        </w:tc>
        <w:tc>
          <w:tcPr>
            <w:tcW w:w="25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480"/>
              <w:spacing w:after="0"/>
              <w:rPr>
                <w:sz w:val="20"/>
                <w:szCs w:val="20"/>
                <w:color w:val="auto"/>
              </w:rPr>
            </w:pPr>
            <w:r>
              <w:rPr>
                <w:rFonts w:ascii="Arial" w:cs="Arial" w:eastAsia="Arial" w:hAnsi="Arial"/>
                <w:sz w:val="18"/>
                <w:szCs w:val="18"/>
                <w:color w:val="auto"/>
              </w:rPr>
              <w:t>Noninterest bearing</w:t>
            </w: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bearing</w:t>
            </w:r>
          </w:p>
        </w:tc>
        <w:tc>
          <w:tcPr>
            <w:tcW w:w="25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720"/>
              <w:spacing w:after="0"/>
              <w:rPr>
                <w:sz w:val="20"/>
                <w:szCs w:val="20"/>
                <w:color w:val="auto"/>
              </w:rPr>
            </w:pPr>
            <w:r>
              <w:rPr>
                <w:rFonts w:ascii="Arial" w:cs="Arial" w:eastAsia="Arial" w:hAnsi="Arial"/>
                <w:sz w:val="18"/>
                <w:szCs w:val="18"/>
                <w:color w:val="auto"/>
              </w:rPr>
              <w:t>Total deposits</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311,108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Home Loan Bank (FHLB) advances</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2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 Assumed</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right="240"/>
        <w:spacing w:after="0" w:line="325" w:lineRule="auto"/>
        <w:rPr>
          <w:sz w:val="20"/>
          <w:szCs w:val="20"/>
          <w:color w:val="auto"/>
        </w:rPr>
      </w:pPr>
      <w:r>
        <w:rPr>
          <w:rFonts w:ascii="Arial" w:cs="Arial" w:eastAsia="Arial" w:hAnsi="Arial"/>
          <w:sz w:val="16"/>
          <w:szCs w:val="16"/>
          <w:color w:val="auto"/>
        </w:rPr>
        <w:t>The fair value of the assets acquired includes loans with a fair value of $334.7 million. The gross principal and contractual interest due under the contracts is $403.3 million, of which $5.6 million is expected to be uncollectible. The loans have a weighted average life of 52 months.</w:t>
      </w:r>
    </w:p>
    <w:p>
      <w:pPr>
        <w:spacing w:after="0" w:line="134" w:lineRule="exact"/>
        <w:rPr>
          <w:sz w:val="20"/>
          <w:szCs w:val="20"/>
          <w:color w:val="auto"/>
        </w:rPr>
      </w:pPr>
    </w:p>
    <w:p>
      <w:pPr>
        <w:ind w:left="800" w:right="280"/>
        <w:spacing w:after="0" w:line="262" w:lineRule="auto"/>
        <w:rPr>
          <w:sz w:val="20"/>
          <w:szCs w:val="20"/>
          <w:color w:val="auto"/>
        </w:rPr>
      </w:pPr>
      <w:r>
        <w:rPr>
          <w:rFonts w:ascii="Arial" w:cs="Arial" w:eastAsia="Arial" w:hAnsi="Arial"/>
          <w:sz w:val="18"/>
          <w:szCs w:val="18"/>
          <w:color w:val="auto"/>
        </w:rPr>
        <w:t>The fair value of building and land included in premises and equipment was written down by $4 thousand with $297 thousand attributable to the buildings and is being amortized over the useful life of 16.2 years.</w:t>
      </w:r>
    </w:p>
    <w:p>
      <w:pPr>
        <w:spacing w:after="0" w:line="180" w:lineRule="exact"/>
        <w:rPr>
          <w:sz w:val="20"/>
          <w:szCs w:val="20"/>
          <w:color w:val="auto"/>
        </w:rPr>
      </w:pPr>
    </w:p>
    <w:p>
      <w:pPr>
        <w:ind w:left="800" w:right="220"/>
        <w:spacing w:after="0" w:line="325" w:lineRule="auto"/>
        <w:rPr>
          <w:sz w:val="20"/>
          <w:szCs w:val="20"/>
          <w:color w:val="auto"/>
        </w:rPr>
      </w:pPr>
      <w:r>
        <w:rPr>
          <w:rFonts w:ascii="Arial" w:cs="Arial" w:eastAsia="Arial" w:hAnsi="Arial"/>
          <w:sz w:val="16"/>
          <w:szCs w:val="16"/>
          <w:color w:val="auto"/>
        </w:rPr>
        <w:t>The fair value for certificates of deposit incorporates a valuation amount of $3.9 million which is being accreted over 1.6 years. The fair value of Federal Home Loan Bank (FHLB) advances included a valuation amount of $218 thousand which is being accreted over 2.6 years.</w:t>
      </w:r>
    </w:p>
    <w:p>
      <w:pPr>
        <w:spacing w:after="0" w:line="134"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80"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Loans purchased with evidence of credit deterioration since origination and for which it was probable that all contractually required payments would not be collected were considered to be credit impaired. Evidence of credit quality deterioration as of the purchase date included information such as past-due and nonaccrual status, borrower credit scores and recent loan to value percentages. Purchased credit-impaired loans were accounted for under the accounting guidance for loans and debt securities acquired with deteriorated credit quality (ASC 310-30) and initially measured at fair value, which included estimated future credit losses expected to be incurred over the life of the loan. Accordingly, an allowance for credit losses related to these loans was not carried over and recorded at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200" w:lineRule="exact"/>
        <w:rPr>
          <w:sz w:val="20"/>
          <w:szCs w:val="20"/>
          <w:color w:val="auto"/>
        </w:rPr>
      </w:pPr>
    </w:p>
    <w:p>
      <w:pPr>
        <w:spacing w:after="0" w:line="231"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acquisition date. Management estimated the cash flows expected to be collected at acquisition using our internal risk models, which incorporated the estimate of current key assumptions, such as default rates, severity and prepayment speeds.</w:t>
      </w:r>
    </w:p>
    <w:p>
      <w:pPr>
        <w:spacing w:after="0" w:line="180" w:lineRule="exact"/>
        <w:rPr>
          <w:sz w:val="20"/>
          <w:szCs w:val="20"/>
          <w:color w:val="auto"/>
        </w:rPr>
      </w:pPr>
    </w:p>
    <w:p>
      <w:pPr>
        <w:ind w:left="800" w:right="20"/>
        <w:spacing w:after="0" w:line="262" w:lineRule="auto"/>
        <w:rPr>
          <w:sz w:val="20"/>
          <w:szCs w:val="20"/>
          <w:color w:val="auto"/>
        </w:rPr>
      </w:pPr>
      <w:r>
        <w:rPr>
          <w:rFonts w:ascii="Arial" w:cs="Arial" w:eastAsia="Arial" w:hAnsi="Arial"/>
          <w:sz w:val="18"/>
          <w:szCs w:val="18"/>
          <w:color w:val="auto"/>
        </w:rPr>
        <w:t>The carrying amount of those loans is included in loans, net on the balance sheet at December 31, 2021. The amounts of loans at October 1, 2021 and December 31, 2021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r>
      <w:tr>
        <w:trPr>
          <w:trHeight w:val="224"/>
        </w:trPr>
        <w:tc>
          <w:tcPr>
            <w:tcW w:w="8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gridSpan w:val="2"/>
          </w:tcPr>
          <w:p>
            <w:pPr>
              <w:ind w:left="320"/>
              <w:spacing w:after="0"/>
              <w:rPr>
                <w:sz w:val="20"/>
                <w:szCs w:val="20"/>
                <w:color w:val="auto"/>
              </w:rPr>
            </w:pPr>
            <w:r>
              <w:rPr>
                <w:rFonts w:ascii="Arial" w:cs="Arial" w:eastAsia="Arial" w:hAnsi="Arial"/>
                <w:sz w:val="18"/>
                <w:szCs w:val="18"/>
                <w:color w:val="auto"/>
              </w:rPr>
              <w:t>(In Thousands)</w:t>
            </w:r>
          </w:p>
        </w:tc>
      </w:tr>
      <w:tr>
        <w:trPr>
          <w:trHeight w:val="217"/>
        </w:trPr>
        <w:tc>
          <w:tcPr>
            <w:tcW w:w="8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October 1, 2021</w:t>
            </w:r>
          </w:p>
        </w:tc>
        <w:tc>
          <w:tcPr>
            <w:tcW w:w="400" w:type="dxa"/>
            <w:vAlign w:val="bottom"/>
            <w:tcBorders>
              <w:top w:val="single" w:sz="8" w:color="auto"/>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860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r>
      <w:tr>
        <w:trPr>
          <w:trHeight w:val="224"/>
        </w:trPr>
        <w:tc>
          <w:tcPr>
            <w:tcW w:w="8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40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9"/>
                <w:szCs w:val="19"/>
                <w:color w:val="auto"/>
              </w:rPr>
            </w:pPr>
          </w:p>
        </w:tc>
      </w:tr>
      <w:tr>
        <w:trPr>
          <w:trHeight w:val="224"/>
        </w:trPr>
        <w:tc>
          <w:tcPr>
            <w:tcW w:w="860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r>
      <w:tr>
        <w:trPr>
          <w:trHeight w:val="224"/>
        </w:trPr>
        <w:tc>
          <w:tcPr>
            <w:tcW w:w="8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40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r>
        <w:trPr>
          <w:trHeight w:val="217"/>
        </w:trPr>
        <w:tc>
          <w:tcPr>
            <w:tcW w:w="8600" w:type="dxa"/>
            <w:vAlign w:val="bottom"/>
          </w:tcPr>
          <w:p>
            <w:pPr>
              <w:ind w:left="480"/>
              <w:spacing w:after="0"/>
              <w:rPr>
                <w:sz w:val="20"/>
                <w:szCs w:val="20"/>
                <w:color w:val="auto"/>
              </w:rPr>
            </w:pPr>
            <w:r>
              <w:rPr>
                <w:rFonts w:ascii="Arial" w:cs="Arial" w:eastAsia="Arial" w:hAnsi="Arial"/>
                <w:sz w:val="18"/>
                <w:szCs w:val="18"/>
                <w:color w:val="auto"/>
              </w:rPr>
              <w:t>Carrying amount, net of fair value adjustment of $237</w:t>
            </w: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8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4"/>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2021</w:t>
            </w:r>
          </w:p>
        </w:tc>
        <w:tc>
          <w:tcPr>
            <w:tcW w:w="40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4"/>
        </w:trPr>
        <w:tc>
          <w:tcPr>
            <w:tcW w:w="860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r>
      <w:tr>
        <w:trPr>
          <w:trHeight w:val="224"/>
        </w:trPr>
        <w:tc>
          <w:tcPr>
            <w:tcW w:w="8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40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r>
      <w:tr>
        <w:trPr>
          <w:trHeight w:val="224"/>
        </w:trPr>
        <w:tc>
          <w:tcPr>
            <w:tcW w:w="860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24"/>
        </w:trPr>
        <w:tc>
          <w:tcPr>
            <w:tcW w:w="8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40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7"/>
        </w:trPr>
        <w:tc>
          <w:tcPr>
            <w:tcW w:w="8600" w:type="dxa"/>
            <w:vAlign w:val="bottom"/>
          </w:tcPr>
          <w:p>
            <w:pPr>
              <w:ind w:left="480"/>
              <w:spacing w:after="0"/>
              <w:rPr>
                <w:sz w:val="20"/>
                <w:szCs w:val="20"/>
                <w:color w:val="auto"/>
              </w:rPr>
            </w:pPr>
            <w:r>
              <w:rPr>
                <w:rFonts w:ascii="Arial" w:cs="Arial" w:eastAsia="Arial" w:hAnsi="Arial"/>
                <w:sz w:val="18"/>
                <w:szCs w:val="18"/>
                <w:color w:val="auto"/>
              </w:rPr>
              <w:t>Carrying amount, net of fair value adjustment of $190</w:t>
            </w: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Loans acquired during 2021 for which it was probable at acquisition that all contractually required payments would not be collected are as follows:</w:t>
      </w:r>
    </w:p>
    <w:p>
      <w:pPr>
        <w:spacing w:after="0" w:line="40"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166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4"/>
        </w:trPr>
        <w:tc>
          <w:tcPr>
            <w:tcW w:w="572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2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9"/>
                <w:szCs w:val="19"/>
                <w:color w:val="auto"/>
              </w:rPr>
            </w:pPr>
          </w:p>
        </w:tc>
      </w:tr>
      <w:tr>
        <w:trPr>
          <w:trHeight w:val="224"/>
        </w:trPr>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r>
      <w:tr>
        <w:trPr>
          <w:trHeight w:val="224"/>
        </w:trPr>
        <w:tc>
          <w:tcPr>
            <w:tcW w:w="572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9"/>
                <w:szCs w:val="19"/>
                <w:color w:val="auto"/>
              </w:rPr>
            </w:pPr>
          </w:p>
        </w:tc>
      </w:tr>
      <w:tr>
        <w:trPr>
          <w:trHeight w:val="224"/>
        </w:trPr>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6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r>
      <w:tr>
        <w:trPr>
          <w:trHeight w:val="257"/>
        </w:trPr>
        <w:tc>
          <w:tcPr>
            <w:tcW w:w="5720" w:type="dxa"/>
            <w:vAlign w:val="bottom"/>
          </w:tcPr>
          <w:p>
            <w:pPr>
              <w:ind w:left="480"/>
              <w:spacing w:after="0"/>
              <w:rPr>
                <w:sz w:val="20"/>
                <w:szCs w:val="20"/>
                <w:color w:val="auto"/>
              </w:rPr>
            </w:pPr>
            <w:r>
              <w:rPr>
                <w:rFonts w:ascii="Arial" w:cs="Arial" w:eastAsia="Arial" w:hAnsi="Arial"/>
                <w:sz w:val="18"/>
                <w:szCs w:val="18"/>
                <w:color w:val="auto"/>
              </w:rPr>
              <w:t>Total required payments receivable</w:t>
            </w:r>
          </w:p>
        </w:tc>
        <w:tc>
          <w:tcPr>
            <w:tcW w:w="2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22"/>
                <w:szCs w:val="22"/>
                <w:color w:val="auto"/>
              </w:rPr>
            </w:pPr>
          </w:p>
        </w:tc>
      </w:tr>
      <w:tr>
        <w:trPr>
          <w:trHeight w:val="204"/>
        </w:trPr>
        <w:tc>
          <w:tcPr>
            <w:tcW w:w="5720" w:type="dxa"/>
            <w:vAlign w:val="bottom"/>
            <w:tcBorders>
              <w:top w:val="single" w:sz="8" w:color="CFF0FC"/>
            </w:tcBorders>
            <w:shd w:val="clear" w:color="auto" w:fill="CFF0FC"/>
          </w:tcPr>
          <w:p>
            <w:pPr>
              <w:spacing w:after="0"/>
              <w:rPr>
                <w:sz w:val="17"/>
                <w:szCs w:val="17"/>
                <w:color w:val="auto"/>
              </w:rPr>
            </w:pPr>
          </w:p>
        </w:tc>
        <w:tc>
          <w:tcPr>
            <w:tcW w:w="166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Cash flows expected to be collected at acquisition</w:t>
            </w:r>
          </w:p>
        </w:tc>
        <w:tc>
          <w:tcPr>
            <w:tcW w:w="2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r>
      <w:tr>
        <w:trPr>
          <w:trHeight w:val="224"/>
        </w:trPr>
        <w:tc>
          <w:tcPr>
            <w:tcW w:w="57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Basis in acquired loans at acquisition</w:t>
            </w:r>
          </w:p>
        </w:tc>
        <w:tc>
          <w:tcPr>
            <w:tcW w:w="2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19"/>
                <w:szCs w:val="19"/>
                <w:color w:val="auto"/>
              </w:rPr>
            </w:pPr>
          </w:p>
        </w:tc>
      </w:tr>
    </w:tbl>
    <w:p>
      <w:pPr>
        <w:spacing w:after="0" w:line="199" w:lineRule="exact"/>
        <w:rPr>
          <w:sz w:val="20"/>
          <w:szCs w:val="20"/>
          <w:color w:val="auto"/>
        </w:rPr>
      </w:pPr>
    </w:p>
    <w:p>
      <w:pPr>
        <w:ind w:left="800" w:right="20"/>
        <w:spacing w:after="0" w:line="291" w:lineRule="auto"/>
        <w:rPr>
          <w:sz w:val="20"/>
          <w:szCs w:val="20"/>
          <w:color w:val="auto"/>
        </w:rPr>
      </w:pPr>
      <w:r>
        <w:rPr>
          <w:rFonts w:ascii="Arial" w:cs="Arial" w:eastAsia="Arial" w:hAnsi="Arial"/>
          <w:sz w:val="16"/>
          <w:szCs w:val="16"/>
          <w:color w:val="auto"/>
        </w:rPr>
        <w:t>During the fourth quarter 2021, two commercial real estate and one consumer purchased credit impaired loans were paid off in full. The associated discount originally recognized at acquisition of $47.4 thousand was included in the loan interest income in the Company’s consolidated statement of income for the year ended December 31, 2021. The balance of the fair value adjustment for loans acquired and accounted for under this guidance (ASC 310-30) was $189.8 thousand at December 31, 2021 and $237.2 thousand at October 1, 2021.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60" w:type="dxa"/>
            <w:vAlign w:val="bottom"/>
            <w:gridSpan w:val="5"/>
          </w:tcPr>
          <w:p>
            <w:pPr>
              <w:ind w:left="800"/>
              <w:spacing w:after="0"/>
              <w:rPr>
                <w:sz w:val="20"/>
                <w:szCs w:val="20"/>
                <w:color w:val="auto"/>
              </w:rPr>
            </w:pPr>
            <w:r>
              <w:rPr>
                <w:rFonts w:ascii="Arial" w:cs="Arial" w:eastAsia="Arial" w:hAnsi="Arial"/>
                <w:sz w:val="18"/>
                <w:szCs w:val="18"/>
                <w:b w:val="1"/>
                <w:bCs w:val="1"/>
                <w:color w:val="auto"/>
                <w:w w:val="86"/>
              </w:rPr>
              <w:t>Notes to Consolidated Financial Statements</w:t>
            </w:r>
          </w:p>
        </w:tc>
      </w:tr>
      <w:tr>
        <w:trPr>
          <w:trHeight w:val="228"/>
        </w:trPr>
        <w:tc>
          <w:tcPr>
            <w:tcW w:w="114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3"/>
          </w:tcPr>
          <w:p>
            <w:pPr>
              <w:ind w:left="680"/>
              <w:spacing w:after="0"/>
              <w:rPr>
                <w:sz w:val="20"/>
                <w:szCs w:val="20"/>
                <w:color w:val="auto"/>
              </w:rPr>
            </w:pPr>
            <w:r>
              <w:rPr>
                <w:rFonts w:ascii="Arial" w:cs="Arial" w:eastAsia="Arial" w:hAnsi="Arial"/>
                <w:sz w:val="18"/>
                <w:szCs w:val="18"/>
                <w:b w:val="1"/>
                <w:bCs w:val="1"/>
                <w:color w:val="auto"/>
                <w:w w:val="86"/>
              </w:rPr>
              <w:t>December 31, 2021, 2020, 2019</w:t>
            </w:r>
          </w:p>
        </w:tc>
      </w:tr>
      <w:tr>
        <w:trPr>
          <w:trHeight w:val="422"/>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Note 2 – Business Combination &amp; Asset Purchase (Continued)</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43"/>
        </w:trPr>
        <w:tc>
          <w:tcPr>
            <w:tcW w:w="7180" w:type="dxa"/>
            <w:vAlign w:val="bottom"/>
            <w:gridSpan w:val="2"/>
          </w:tcPr>
          <w:p>
            <w:pPr>
              <w:ind w:left="800"/>
              <w:spacing w:after="0"/>
              <w:rPr>
                <w:sz w:val="20"/>
                <w:szCs w:val="20"/>
                <w:color w:val="auto"/>
              </w:rPr>
            </w:pPr>
            <w:r>
              <w:rPr>
                <w:rFonts w:ascii="Arial" w:cs="Arial" w:eastAsia="Arial" w:hAnsi="Arial"/>
                <w:sz w:val="18"/>
                <w:szCs w:val="18"/>
                <w:color w:val="auto"/>
              </w:rPr>
              <w:t>Changes in accretable yield, or income expected to be collected, are as follows: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5"/>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(In Thousands)</w:t>
            </w:r>
          </w:p>
        </w:tc>
        <w:tc>
          <w:tcPr>
            <w:tcW w:w="1200" w:type="dxa"/>
            <w:vAlign w:val="bottom"/>
            <w:gridSpan w:val="2"/>
          </w:tcPr>
          <w:p>
            <w:pPr>
              <w:spacing w:after="0"/>
              <w:rPr>
                <w:sz w:val="18"/>
                <w:szCs w:val="18"/>
                <w:color w:val="auto"/>
              </w:rPr>
            </w:pPr>
          </w:p>
        </w:tc>
      </w:tr>
      <w:tr>
        <w:trPr>
          <w:trHeight w:val="217"/>
        </w:trPr>
        <w:tc>
          <w:tcPr>
            <w:tcW w:w="7180" w:type="dxa"/>
            <w:vAlign w:val="bottom"/>
            <w:gridSpan w:val="2"/>
          </w:tcPr>
          <w:p>
            <w:pPr>
              <w:ind w:left="1140"/>
              <w:spacing w:after="0"/>
              <w:rPr>
                <w:sz w:val="20"/>
                <w:szCs w:val="20"/>
                <w:color w:val="auto"/>
              </w:rPr>
            </w:pPr>
            <w:r>
              <w:rPr>
                <w:rFonts w:ascii="Arial" w:cs="Arial" w:eastAsia="Arial" w:hAnsi="Arial"/>
                <w:sz w:val="18"/>
                <w:szCs w:val="18"/>
                <w:color w:val="auto"/>
              </w:rPr>
              <w:t>Beginning Balance</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4"/>
        </w:trPr>
        <w:tc>
          <w:tcPr>
            <w:tcW w:w="114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Accretion</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c>
          <w:tcPr>
            <w:tcW w:w="112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from nonaccretable difference</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6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Disposals</w:t>
            </w: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17"/>
        </w:trPr>
        <w:tc>
          <w:tcPr>
            <w:tcW w:w="114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08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On April 30, 2021, the Company acquired Ossian Financial Services, Inc., (OSFI), the bank holding company for Ossian State Bank, a community bank based in Ossian, Indiana. Ossian State Bank operated two full-service offices in the northeast Indiana communities of Ossian and Bluffton. Shareholders of OSFI received $67.71 in cash for each share. OSFI had 295,388 shares outstanding on April 30, 2021. Total consideration for the acquisition was approximately $20.0 million in cash. As a result of the acquisition, the Company will have an opportunity to increase its deposit base and reduce transaction costs. The Company also expects to reduce costs through economies of scale.</w:t>
      </w:r>
    </w:p>
    <w:p>
      <w:pPr>
        <w:spacing w:after="0" w:line="16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In 2020, the Company incurred $42.5 thousand of third-party acquisition-related costs. The expenses recognized in 2020 related to other general and administration expenses of $30.0 thousand and consulting fees of $12.5 thousand. These acquisition expenses were included in the Company’s 2020 consolidated statement of income.</w:t>
      </w:r>
    </w:p>
    <w:p>
      <w:pPr>
        <w:spacing w:after="0" w:line="189"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In 2021, the Company has incurred additional third-party acquisition-related costs of $2.2 million. These expenses are comprised of employee benefits of $694.1 thousand, data processing costs of $938.9 thousand, consulting fees of $255.2 thousand, ATM expense of $13.8 thousand and other general and administrative expense of $255.0 thousand in the Company’s consolidated statement of income for the year ended December 31, 2021.</w:t>
      </w:r>
    </w:p>
    <w:p>
      <w:pPr>
        <w:spacing w:after="0" w:line="191"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is being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 The following table summarizes the consideration paid for Ossian State Bank and the amounts of the assets acquired and liabilities assumed recognized at the acquisition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60" w:type="dxa"/>
            <w:vAlign w:val="bottom"/>
          </w:tcPr>
          <w:p>
            <w:pPr>
              <w:spacing w:after="0"/>
              <w:rPr>
                <w:sz w:val="18"/>
                <w:szCs w:val="18"/>
                <w:color w:val="auto"/>
              </w:rPr>
            </w:pPr>
          </w:p>
        </w:tc>
        <w:tc>
          <w:tcPr>
            <w:tcW w:w="4480" w:type="dxa"/>
            <w:vAlign w:val="bottom"/>
            <w:gridSpan w:val="4"/>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28"/>
        </w:trPr>
        <w:tc>
          <w:tcPr>
            <w:tcW w:w="6760" w:type="dxa"/>
            <w:vAlign w:val="bottom"/>
          </w:tcPr>
          <w:p>
            <w:pPr>
              <w:spacing w:after="0"/>
              <w:rPr>
                <w:sz w:val="19"/>
                <w:szCs w:val="19"/>
                <w:color w:val="auto"/>
              </w:rPr>
            </w:pPr>
          </w:p>
        </w:tc>
        <w:tc>
          <w:tcPr>
            <w:tcW w:w="448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 2021, 2020, 2019</w:t>
            </w:r>
          </w:p>
        </w:tc>
        <w:tc>
          <w:tcPr>
            <w:tcW w:w="0" w:type="dxa"/>
            <w:vAlign w:val="bottom"/>
          </w:tcPr>
          <w:p>
            <w:pPr>
              <w:spacing w:after="0"/>
              <w:rPr>
                <w:sz w:val="1"/>
                <w:szCs w:val="1"/>
                <w:color w:val="auto"/>
              </w:rPr>
            </w:pPr>
          </w:p>
        </w:tc>
      </w:tr>
      <w:tr>
        <w:trPr>
          <w:trHeight w:val="422"/>
        </w:trPr>
        <w:tc>
          <w:tcPr>
            <w:tcW w:w="6760" w:type="dxa"/>
            <w:vAlign w:val="bottom"/>
          </w:tcPr>
          <w:p>
            <w:pPr>
              <w:spacing w:after="0"/>
              <w:rPr>
                <w:sz w:val="20"/>
                <w:szCs w:val="20"/>
                <w:color w:val="auto"/>
              </w:rPr>
            </w:pPr>
            <w:r>
              <w:rPr>
                <w:rFonts w:ascii="Arial" w:cs="Arial" w:eastAsia="Arial" w:hAnsi="Arial"/>
                <w:sz w:val="18"/>
                <w:szCs w:val="18"/>
                <w:b w:val="1"/>
                <w:bCs w:val="1"/>
                <w:color w:val="auto"/>
              </w:rPr>
              <w:t>Note 2 – Business Combination &amp; Asset Purchase (Continued)</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676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spacing w:after="0"/>
              <w:rPr>
                <w:sz w:val="19"/>
                <w:szCs w:val="19"/>
                <w:color w:val="auto"/>
              </w:rPr>
            </w:pPr>
          </w:p>
        </w:tc>
        <w:tc>
          <w:tcPr>
            <w:tcW w:w="24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4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40"/>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76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7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7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time deposits</w:t>
            </w:r>
          </w:p>
        </w:tc>
        <w:tc>
          <w:tcPr>
            <w:tcW w:w="2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Securities - available-for-sale</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 at cost</w:t>
            </w:r>
          </w:p>
        </w:tc>
        <w:tc>
          <w:tcPr>
            <w:tcW w:w="2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Loans, net</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Premises and equipment</w:t>
            </w:r>
          </w:p>
        </w:tc>
        <w:tc>
          <w:tcPr>
            <w:tcW w:w="2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2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Assets Purchased</w:t>
            </w:r>
          </w:p>
        </w:tc>
        <w:tc>
          <w:tcPr>
            <w:tcW w:w="27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137,058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760" w:type="dxa"/>
            <w:vAlign w:val="bottom"/>
            <w:tcBorders>
              <w:top w:val="single" w:sz="8" w:color="CFF0FC"/>
            </w:tcBorders>
            <w:shd w:val="clear" w:color="auto" w:fill="CFF0FC"/>
          </w:tcPr>
          <w:p>
            <w:pPr>
              <w:spacing w:after="0"/>
              <w:rPr>
                <w:sz w:val="17"/>
                <w:szCs w:val="17"/>
                <w:color w:val="auto"/>
              </w:rPr>
            </w:pPr>
          </w:p>
        </w:tc>
        <w:tc>
          <w:tcPr>
            <w:tcW w:w="24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w:t>
            </w:r>
          </w:p>
        </w:tc>
        <w:tc>
          <w:tcPr>
            <w:tcW w:w="2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480"/>
              <w:spacing w:after="0"/>
              <w:rPr>
                <w:sz w:val="20"/>
                <w:szCs w:val="20"/>
                <w:color w:val="auto"/>
              </w:rPr>
            </w:pPr>
            <w:r>
              <w:rPr>
                <w:rFonts w:ascii="Arial" w:cs="Arial" w:eastAsia="Arial" w:hAnsi="Arial"/>
                <w:sz w:val="18"/>
                <w:szCs w:val="18"/>
                <w:color w:val="auto"/>
              </w:rPr>
              <w:t>Noninterest bearing</w:t>
            </w:r>
          </w:p>
        </w:tc>
        <w:tc>
          <w:tcPr>
            <w:tcW w:w="27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34,509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bearing</w:t>
            </w:r>
          </w:p>
        </w:tc>
        <w:tc>
          <w:tcPr>
            <w:tcW w:w="2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720"/>
              <w:spacing w:after="0"/>
              <w:rPr>
                <w:sz w:val="20"/>
                <w:szCs w:val="20"/>
                <w:color w:val="auto"/>
              </w:rPr>
            </w:pPr>
            <w:r>
              <w:rPr>
                <w:rFonts w:ascii="Arial" w:cs="Arial" w:eastAsia="Arial" w:hAnsi="Arial"/>
                <w:sz w:val="18"/>
                <w:szCs w:val="18"/>
                <w:color w:val="auto"/>
              </w:rPr>
              <w:t>Total deposits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116,044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2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Liabilities Assumed</w:t>
            </w:r>
          </w:p>
        </w:tc>
        <w:tc>
          <w:tcPr>
            <w:tcW w:w="27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117,057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right="320"/>
        <w:spacing w:after="0" w:line="325" w:lineRule="auto"/>
        <w:rPr>
          <w:sz w:val="20"/>
          <w:szCs w:val="20"/>
          <w:color w:val="auto"/>
        </w:rPr>
      </w:pPr>
      <w:r>
        <w:rPr>
          <w:rFonts w:ascii="Arial" w:cs="Arial" w:eastAsia="Arial" w:hAnsi="Arial"/>
          <w:sz w:val="16"/>
          <w:szCs w:val="16"/>
          <w:color w:val="auto"/>
        </w:rPr>
        <w:t>The fair value of the assets acquired includes loans with a fair value of $52.4 million. The gross principal and contractual interest due under the contracts is $63.7 million, of which $1.1 million is expected to be uncollectible. The loans have a weighted average life of 52 months.</w:t>
      </w:r>
    </w:p>
    <w:p>
      <w:pPr>
        <w:spacing w:after="0" w:line="134" w:lineRule="exact"/>
        <w:rPr>
          <w:sz w:val="20"/>
          <w:szCs w:val="20"/>
          <w:color w:val="auto"/>
        </w:rPr>
      </w:pPr>
    </w:p>
    <w:p>
      <w:pPr>
        <w:ind w:left="800" w:right="100"/>
        <w:spacing w:after="0" w:line="262" w:lineRule="auto"/>
        <w:rPr>
          <w:sz w:val="20"/>
          <w:szCs w:val="20"/>
          <w:color w:val="auto"/>
        </w:rPr>
      </w:pPr>
      <w:r>
        <w:rPr>
          <w:rFonts w:ascii="Arial" w:cs="Arial" w:eastAsia="Arial" w:hAnsi="Arial"/>
          <w:sz w:val="18"/>
          <w:szCs w:val="18"/>
          <w:color w:val="auto"/>
        </w:rPr>
        <w:t>The fair value of building and land included in premises and equipment was written down by $596 thousand with $244 thousand attributable to the buildings and is being accreted over the useful life of 39 years.</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fair value for certificates of deposit incorporates a valuation amount of $59 thousand which is being accreted over 1.4 years.</w:t>
      </w:r>
    </w:p>
    <w:p>
      <w:pPr>
        <w:spacing w:after="0" w:line="2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80" w:lineRule="exact"/>
        <w:rPr>
          <w:sz w:val="20"/>
          <w:szCs w:val="20"/>
          <w:color w:val="auto"/>
        </w:rPr>
      </w:pPr>
    </w:p>
    <w:p>
      <w:pPr>
        <w:jc w:val="both"/>
        <w:ind w:left="800"/>
        <w:spacing w:after="0" w:line="246" w:lineRule="auto"/>
        <w:rPr>
          <w:sz w:val="20"/>
          <w:szCs w:val="20"/>
          <w:color w:val="auto"/>
        </w:rPr>
      </w:pPr>
      <w:r>
        <w:rPr>
          <w:rFonts w:ascii="Arial" w:cs="Arial" w:eastAsia="Arial" w:hAnsi="Arial"/>
          <w:sz w:val="18"/>
          <w:szCs w:val="18"/>
          <w:color w:val="auto"/>
        </w:rPr>
        <w:t>Loans purchased with evidence of credit deterioration since origination and for which it was probable that all contractually required payments would not be collected were considered to be credit impaired. Evidence of credit quality deterioration as of the purchase date included information such as past-due and nonaccrual status, borrower credit scores and recent loan to value percentages. Purchased credit-impaired loans were accounted for under the accounting guidance for loans and debt securities acquired with deteriorated credit quality (ASC 310-30) and initially measured at fair value, which included estimated future credit losses expected to be incurred over the life of the loan. Accordingly, an allowance for credit losses related to these loans was not carried over and recorded at the acquisition date. Management estimated the cash flows expected to be collected at acquisition using our internal risk models, which incorporated the estimate of current key assumptions, such as default rates, severity and prepayment speeds.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200" w:lineRule="exact"/>
        <w:rPr>
          <w:sz w:val="20"/>
          <w:szCs w:val="20"/>
          <w:color w:val="auto"/>
        </w:rPr>
      </w:pPr>
    </w:p>
    <w:p>
      <w:pPr>
        <w:spacing w:after="0" w:line="231"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The carrying amount of those loans is included in loans, net on the balance sheet at December 31, 2021. The amounts of loans at April 30, 2021 and December 31, 2021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24"/>
        </w:trPr>
        <w:tc>
          <w:tcPr>
            <w:tcW w:w="8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2"/>
          </w:tcPr>
          <w:p>
            <w:pPr>
              <w:ind w:left="320"/>
              <w:spacing w:after="0"/>
              <w:rPr>
                <w:sz w:val="20"/>
                <w:szCs w:val="20"/>
                <w:color w:val="auto"/>
              </w:rPr>
            </w:pPr>
            <w:r>
              <w:rPr>
                <w:rFonts w:ascii="Arial" w:cs="Arial" w:eastAsia="Arial" w:hAnsi="Arial"/>
                <w:sz w:val="18"/>
                <w:szCs w:val="18"/>
                <w:color w:val="auto"/>
              </w:rPr>
              <w:t>(In Thousands)</w:t>
            </w:r>
          </w:p>
        </w:tc>
      </w:tr>
      <w:tr>
        <w:trPr>
          <w:trHeight w:val="217"/>
        </w:trPr>
        <w:tc>
          <w:tcPr>
            <w:tcW w:w="8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April 30, 2021</w:t>
            </w:r>
          </w:p>
        </w:tc>
        <w:tc>
          <w:tcPr>
            <w:tcW w:w="420" w:type="dxa"/>
            <w:vAlign w:val="bottom"/>
            <w:tcBorders>
              <w:top w:val="single" w:sz="8" w:color="auto"/>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858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4"/>
        </w:trPr>
        <w:tc>
          <w:tcPr>
            <w:tcW w:w="8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42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FF0FC"/>
          </w:tcPr>
          <w:p>
            <w:pPr>
              <w:spacing w:after="0"/>
              <w:rPr>
                <w:sz w:val="19"/>
                <w:szCs w:val="19"/>
                <w:color w:val="auto"/>
              </w:rPr>
            </w:pPr>
          </w:p>
        </w:tc>
      </w:tr>
      <w:tr>
        <w:trPr>
          <w:trHeight w:val="224"/>
        </w:trPr>
        <w:tc>
          <w:tcPr>
            <w:tcW w:w="858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4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r>
      <w:tr>
        <w:trPr>
          <w:trHeight w:val="224"/>
        </w:trPr>
        <w:tc>
          <w:tcPr>
            <w:tcW w:w="8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42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r>
      <w:tr>
        <w:trPr>
          <w:trHeight w:val="217"/>
        </w:trPr>
        <w:tc>
          <w:tcPr>
            <w:tcW w:w="8580" w:type="dxa"/>
            <w:vAlign w:val="bottom"/>
          </w:tcPr>
          <w:p>
            <w:pPr>
              <w:ind w:left="480"/>
              <w:spacing w:after="0"/>
              <w:rPr>
                <w:sz w:val="20"/>
                <w:szCs w:val="20"/>
                <w:color w:val="auto"/>
              </w:rPr>
            </w:pPr>
            <w:r>
              <w:rPr>
                <w:rFonts w:ascii="Arial" w:cs="Arial" w:eastAsia="Arial" w:hAnsi="Arial"/>
                <w:sz w:val="18"/>
                <w:szCs w:val="18"/>
                <w:color w:val="auto"/>
              </w:rPr>
              <w:t>Carrying amount, net of fair value adjustment of $325</w:t>
            </w: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8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2021</w:t>
            </w:r>
          </w:p>
        </w:tc>
        <w:tc>
          <w:tcPr>
            <w:tcW w:w="4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858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24"/>
        </w:trPr>
        <w:tc>
          <w:tcPr>
            <w:tcW w:w="8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42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4"/>
        </w:trPr>
        <w:tc>
          <w:tcPr>
            <w:tcW w:w="858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4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r>
      <w:tr>
        <w:trPr>
          <w:trHeight w:val="224"/>
        </w:trPr>
        <w:tc>
          <w:tcPr>
            <w:tcW w:w="8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42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FF0FC"/>
          </w:tcPr>
          <w:p>
            <w:pPr>
              <w:spacing w:after="0"/>
              <w:rPr>
                <w:sz w:val="19"/>
                <w:szCs w:val="19"/>
                <w:color w:val="auto"/>
              </w:rPr>
            </w:pPr>
          </w:p>
        </w:tc>
      </w:tr>
      <w:tr>
        <w:trPr>
          <w:trHeight w:val="217"/>
        </w:trPr>
        <w:tc>
          <w:tcPr>
            <w:tcW w:w="8580" w:type="dxa"/>
            <w:vAlign w:val="bottom"/>
          </w:tcPr>
          <w:p>
            <w:pPr>
              <w:ind w:left="480"/>
              <w:spacing w:after="0"/>
              <w:rPr>
                <w:sz w:val="20"/>
                <w:szCs w:val="20"/>
                <w:color w:val="auto"/>
              </w:rPr>
            </w:pPr>
            <w:r>
              <w:rPr>
                <w:rFonts w:ascii="Arial" w:cs="Arial" w:eastAsia="Arial" w:hAnsi="Arial"/>
                <w:sz w:val="18"/>
                <w:szCs w:val="18"/>
                <w:color w:val="auto"/>
              </w:rPr>
              <w:t>Carrying amount, net of fair value adjustment of $321</w:t>
            </w: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Loans acquired during 2021 for which it was probable at acquisition that all contractually required payments would not be collected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(In Thousands)</w:t>
            </w:r>
          </w:p>
        </w:tc>
      </w:tr>
      <w:tr>
        <w:trPr>
          <w:trHeight w:val="217"/>
        </w:trPr>
        <w:tc>
          <w:tcPr>
            <w:tcW w:w="9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2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924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24"/>
        </w:trPr>
        <w:tc>
          <w:tcPr>
            <w:tcW w:w="9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FF0FC"/>
          </w:tcPr>
          <w:p>
            <w:pPr>
              <w:spacing w:after="0"/>
              <w:rPr>
                <w:sz w:val="19"/>
                <w:szCs w:val="19"/>
                <w:color w:val="auto"/>
              </w:rPr>
            </w:pPr>
          </w:p>
        </w:tc>
      </w:tr>
      <w:tr>
        <w:trPr>
          <w:trHeight w:val="224"/>
        </w:trPr>
        <w:tc>
          <w:tcPr>
            <w:tcW w:w="92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r>
      <w:tr>
        <w:trPr>
          <w:trHeight w:val="224"/>
        </w:trPr>
        <w:tc>
          <w:tcPr>
            <w:tcW w:w="9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2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9"/>
                <w:szCs w:val="19"/>
                <w:color w:val="auto"/>
              </w:rPr>
            </w:pPr>
          </w:p>
        </w:tc>
      </w:tr>
      <w:tr>
        <w:trPr>
          <w:trHeight w:val="257"/>
        </w:trPr>
        <w:tc>
          <w:tcPr>
            <w:tcW w:w="92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required payments receivable</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FF0FC"/>
            </w:tcBorders>
          </w:tcPr>
          <w:p>
            <w:pPr>
              <w:spacing w:after="0"/>
              <w:rPr>
                <w:sz w:val="22"/>
                <w:szCs w:val="22"/>
                <w:color w:val="auto"/>
              </w:rPr>
            </w:pPr>
          </w:p>
        </w:tc>
      </w:tr>
      <w:tr>
        <w:trPr>
          <w:trHeight w:val="204"/>
        </w:trPr>
        <w:tc>
          <w:tcPr>
            <w:tcW w:w="9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9240" w:type="dxa"/>
            <w:vAlign w:val="bottom"/>
          </w:tcPr>
          <w:p>
            <w:pPr>
              <w:spacing w:after="0"/>
              <w:rPr>
                <w:sz w:val="20"/>
                <w:szCs w:val="20"/>
                <w:color w:val="auto"/>
              </w:rPr>
            </w:pPr>
            <w:r>
              <w:rPr>
                <w:rFonts w:ascii="Arial" w:cs="Arial" w:eastAsia="Arial" w:hAnsi="Arial"/>
                <w:sz w:val="18"/>
                <w:szCs w:val="18"/>
                <w:color w:val="auto"/>
              </w:rPr>
              <w:t>Cash flows expected to be collected at acquisition</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r>
      <w:tr>
        <w:trPr>
          <w:trHeight w:val="224"/>
        </w:trPr>
        <w:tc>
          <w:tcPr>
            <w:tcW w:w="9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Basis in acquired loans at acquisition</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9"/>
                <w:szCs w:val="19"/>
                <w:color w:val="auto"/>
              </w:rPr>
            </w:pPr>
          </w:p>
        </w:tc>
      </w:tr>
    </w:tbl>
    <w:p>
      <w:pPr>
        <w:spacing w:after="0" w:line="199" w:lineRule="exact"/>
        <w:rPr>
          <w:sz w:val="20"/>
          <w:szCs w:val="20"/>
          <w:color w:val="auto"/>
        </w:rPr>
      </w:pPr>
    </w:p>
    <w:p>
      <w:pPr>
        <w:ind w:left="800" w:right="60"/>
        <w:spacing w:after="0" w:line="291" w:lineRule="auto"/>
        <w:rPr>
          <w:sz w:val="20"/>
          <w:szCs w:val="20"/>
          <w:color w:val="auto"/>
        </w:rPr>
      </w:pPr>
      <w:r>
        <w:rPr>
          <w:rFonts w:ascii="Arial" w:cs="Arial" w:eastAsia="Arial" w:hAnsi="Arial"/>
          <w:sz w:val="16"/>
          <w:szCs w:val="16"/>
          <w:color w:val="auto"/>
        </w:rPr>
        <w:t>During the third quarter 2021, two agricultural real purchased credit impaired loans were paid off in full. The associated discount originally recognized at acquisition of $4.2 thousand was included in the loan interest income in the Company’s consolidated statement of income for the year ended December 31, 2021. The balance of the fair value adjustment for loans acquired and accounted for under this guidance (ASC 310-30) was $320.6 thousand at December 31, 2021 and $324.8 thousand at April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260" w:type="dxa"/>
            <w:vAlign w:val="bottom"/>
            <w:gridSpan w:val="4"/>
          </w:tcPr>
          <w:p>
            <w:pPr>
              <w:spacing w:after="0"/>
              <w:rPr>
                <w:sz w:val="20"/>
                <w:szCs w:val="20"/>
                <w:color w:val="auto"/>
              </w:rPr>
            </w:pPr>
            <w:r>
              <w:rPr>
                <w:rFonts w:ascii="Arial" w:cs="Arial" w:eastAsia="Arial" w:hAnsi="Arial"/>
                <w:sz w:val="18"/>
                <w:szCs w:val="18"/>
                <w:b w:val="1"/>
                <w:bCs w:val="1"/>
                <w:color w:val="auto"/>
                <w:w w:val="86"/>
              </w:rPr>
              <w:t>Notes to Consolidated Financial Statements</w:t>
            </w:r>
          </w:p>
        </w:tc>
      </w:tr>
      <w:tr>
        <w:trPr>
          <w:trHeight w:val="228"/>
        </w:trPr>
        <w:tc>
          <w:tcPr>
            <w:tcW w:w="114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3"/>
          </w:tcPr>
          <w:p>
            <w:pPr>
              <w:ind w:left="680"/>
              <w:spacing w:after="0"/>
              <w:rPr>
                <w:sz w:val="20"/>
                <w:szCs w:val="20"/>
                <w:color w:val="auto"/>
              </w:rPr>
            </w:pPr>
            <w:r>
              <w:rPr>
                <w:rFonts w:ascii="Arial" w:cs="Arial" w:eastAsia="Arial" w:hAnsi="Arial"/>
                <w:sz w:val="18"/>
                <w:szCs w:val="18"/>
                <w:b w:val="1"/>
                <w:bCs w:val="1"/>
                <w:color w:val="auto"/>
                <w:w w:val="86"/>
              </w:rPr>
              <w:t>December 31, 2021, 2020, 2019</w:t>
            </w:r>
          </w:p>
        </w:tc>
      </w:tr>
      <w:tr>
        <w:trPr>
          <w:trHeight w:val="4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Note 2 – Business Combination &amp; Asset Purchase (Continued)</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43"/>
        </w:trPr>
        <w:tc>
          <w:tcPr>
            <w:tcW w:w="7980" w:type="dxa"/>
            <w:vAlign w:val="bottom"/>
            <w:gridSpan w:val="2"/>
          </w:tcPr>
          <w:p>
            <w:pPr>
              <w:ind w:left="800"/>
              <w:spacing w:after="0"/>
              <w:rPr>
                <w:sz w:val="20"/>
                <w:szCs w:val="20"/>
                <w:color w:val="auto"/>
              </w:rPr>
            </w:pPr>
            <w:r>
              <w:rPr>
                <w:rFonts w:ascii="Arial" w:cs="Arial" w:eastAsia="Arial" w:hAnsi="Arial"/>
                <w:sz w:val="18"/>
                <w:szCs w:val="18"/>
                <w:color w:val="auto"/>
              </w:rPr>
              <w:t>Changes in accretable yield, or income expected to be collected, are as follows: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5"/>
        </w:trPr>
        <w:tc>
          <w:tcPr>
            <w:tcW w:w="11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rPr>
              <w:t>(In Thousands)</w:t>
            </w:r>
          </w:p>
        </w:tc>
      </w:tr>
      <w:tr>
        <w:trPr>
          <w:trHeight w:val="217"/>
        </w:trPr>
        <w:tc>
          <w:tcPr>
            <w:tcW w:w="1140" w:type="dxa"/>
            <w:vAlign w:val="bottom"/>
          </w:tcPr>
          <w:p>
            <w:pPr>
              <w:spacing w:after="0"/>
              <w:rPr>
                <w:sz w:val="18"/>
                <w:szCs w:val="18"/>
                <w:color w:val="auto"/>
              </w:rPr>
            </w:pPr>
          </w:p>
        </w:tc>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24"/>
        </w:trPr>
        <w:tc>
          <w:tcPr>
            <w:tcW w:w="114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762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2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w:t>
            </w:r>
          </w:p>
        </w:tc>
        <w:tc>
          <w:tcPr>
            <w:tcW w:w="112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Reclassification from nonaccretable difference</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114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Disposals</w:t>
            </w: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17"/>
        </w:trPr>
        <w:tc>
          <w:tcPr>
            <w:tcW w:w="7980" w:type="dxa"/>
            <w:vAlign w:val="bottom"/>
            <w:gridSpan w:val="2"/>
          </w:tcPr>
          <w:p>
            <w:pPr>
              <w:ind w:left="114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283" w:lineRule="auto"/>
        <w:rPr>
          <w:sz w:val="20"/>
          <w:szCs w:val="20"/>
          <w:color w:val="auto"/>
        </w:rPr>
      </w:pPr>
      <w:r>
        <w:rPr>
          <w:rFonts w:ascii="Arial" w:cs="Arial" w:eastAsia="Arial" w:hAnsi="Arial"/>
          <w:sz w:val="16"/>
          <w:szCs w:val="16"/>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has had an opportunity to increase its deposit base and reduce transaction costs. The Company has also reduced costs through economies of scale.</w:t>
      </w:r>
    </w:p>
    <w:p>
      <w:pPr>
        <w:spacing w:after="0" w:line="168"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In 2018, the Company incurred $742.1 thousand of third-party acquisition-related costs. The largest portion of the expenses recognized in 2018 related to consulting fees of $340 thousand, other general and administration expenses of $331.5 thousand and data processing expenses of $58.6 thousand. These three categories of expense accounted for 98.4% of the total acquisition expenses impacting the 2018 financial statements of the Company.</w:t>
      </w:r>
    </w:p>
    <w:p>
      <w:pPr>
        <w:spacing w:after="0" w:line="191"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In 2019, the Company has incurred additional third-party acquisition-related costs of $1.28 million. These expenses are comprised of data processing of $867.6 thousand, employee benefits of $163.0 thousand, ATM expense of $31.4 thousand, consulting fees of $19.3 thousand and other general and administrative expense of $199.8 thousand in the Company’s consolidated statement of income for the year ended December 31, 2019.</w:t>
      </w:r>
    </w:p>
    <w:p>
      <w:pPr>
        <w:spacing w:after="0" w:line="191"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 The following table summarizes the consideration paid for Bank of Geneva and the amounts of the assets acquired and liabilities assumed recognized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60" w:type="dxa"/>
            <w:vAlign w:val="bottom"/>
          </w:tcPr>
          <w:p>
            <w:pPr>
              <w:spacing w:after="0"/>
              <w:rPr>
                <w:sz w:val="18"/>
                <w:szCs w:val="18"/>
                <w:color w:val="auto"/>
              </w:rPr>
            </w:pPr>
          </w:p>
        </w:tc>
        <w:tc>
          <w:tcPr>
            <w:tcW w:w="4480" w:type="dxa"/>
            <w:vAlign w:val="bottom"/>
            <w:gridSpan w:val="4"/>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28"/>
        </w:trPr>
        <w:tc>
          <w:tcPr>
            <w:tcW w:w="6760" w:type="dxa"/>
            <w:vAlign w:val="bottom"/>
          </w:tcPr>
          <w:p>
            <w:pPr>
              <w:spacing w:after="0"/>
              <w:rPr>
                <w:sz w:val="19"/>
                <w:szCs w:val="19"/>
                <w:color w:val="auto"/>
              </w:rPr>
            </w:pPr>
          </w:p>
        </w:tc>
        <w:tc>
          <w:tcPr>
            <w:tcW w:w="448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 2021, 2020, 2019</w:t>
            </w:r>
          </w:p>
        </w:tc>
        <w:tc>
          <w:tcPr>
            <w:tcW w:w="0" w:type="dxa"/>
            <w:vAlign w:val="bottom"/>
          </w:tcPr>
          <w:p>
            <w:pPr>
              <w:spacing w:after="0"/>
              <w:rPr>
                <w:sz w:val="1"/>
                <w:szCs w:val="1"/>
                <w:color w:val="auto"/>
              </w:rPr>
            </w:pPr>
          </w:p>
        </w:tc>
      </w:tr>
      <w:tr>
        <w:trPr>
          <w:trHeight w:val="422"/>
        </w:trPr>
        <w:tc>
          <w:tcPr>
            <w:tcW w:w="6760" w:type="dxa"/>
            <w:vAlign w:val="bottom"/>
          </w:tcPr>
          <w:p>
            <w:pPr>
              <w:spacing w:after="0"/>
              <w:rPr>
                <w:sz w:val="20"/>
                <w:szCs w:val="20"/>
                <w:color w:val="auto"/>
              </w:rPr>
            </w:pPr>
            <w:r>
              <w:rPr>
                <w:rFonts w:ascii="Arial" w:cs="Arial" w:eastAsia="Arial" w:hAnsi="Arial"/>
                <w:sz w:val="18"/>
                <w:szCs w:val="18"/>
                <w:b w:val="1"/>
                <w:bCs w:val="1"/>
                <w:color w:val="auto"/>
              </w:rPr>
              <w:t>Note 2 – Business Combination &amp; Asset Purchase (Continued)</w:t>
            </w: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676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spacing w:after="0"/>
              <w:rPr>
                <w:sz w:val="19"/>
                <w:szCs w:val="19"/>
                <w:color w:val="auto"/>
              </w:rPr>
            </w:pPr>
          </w:p>
        </w:tc>
        <w:tc>
          <w:tcPr>
            <w:tcW w:w="2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(In Thousands)</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Shares (1,830,000 shares)</w:t>
            </w:r>
          </w:p>
        </w:tc>
        <w:tc>
          <w:tcPr>
            <w:tcW w:w="2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760" w:type="dxa"/>
            <w:vAlign w:val="bottom"/>
            <w:vMerge w:val="continue"/>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7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 available-for-sale</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Other securities, at cost</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Premises and equipment</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2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Deposits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Noninterest bearing</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Interest bearing</w:t>
            </w:r>
          </w:p>
        </w:tc>
        <w:tc>
          <w:tcPr>
            <w:tcW w:w="2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deposits</w:t>
            </w:r>
          </w:p>
        </w:tc>
        <w:tc>
          <w:tcPr>
            <w:tcW w:w="2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Federal Home Loan Bank (FHLB) advances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25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Liabilities Assumed</w:t>
            </w: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257,478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The fair value of the assets acquired included loans with a fair value of $257.2 million. The gross principal and contractual interest due under the contracts were $359.2 million, of which $4.7 million was expected to be uncollectible. The loans had a weighted average life of 70 months.</w:t>
      </w:r>
    </w:p>
    <w:p>
      <w:pPr>
        <w:spacing w:after="0" w:line="134"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fair value of building and land included in premises and equipment was written down by $1.2 million and is being amortized based on the remaining life of each building. The combined average remaining life was 16.75 years.</w:t>
      </w:r>
    </w:p>
    <w:p>
      <w:pPr>
        <w:spacing w:after="0" w:line="180"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The fair value for certificates of deposit incorporated a valuation amount of $0.5 million which was amortized over 1.5 years. The fair value of Federal Home Loan Bank (FHLB) advances included a valuation amount of $1.3 million which is being amortized over 2.3 years.</w:t>
      </w:r>
    </w:p>
    <w:p>
      <w:pPr>
        <w:spacing w:after="0" w:line="134"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80"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Loans purchased with evidence of credit deterioration since origination and for which it was probable that all contractually required payments would not be collected were considered to be credit impaired. Evidence of credit quality deterioration as of the purchase date included information such as past-due and nonaccrual status, borrower credit scores and recent loan to value percentages. Purchased credit-impaired loans were accounted for under the accounting guidance for loans and debt securities acquired with deteriorated credit quality (ASC 310-30) and initially measured at fair value, which included estimated future credit losses expected to be incurred over the life of the loan. Accordingly, an allowance for credit losses related to these loans was not carried over and recorded at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200" w:lineRule="exact"/>
        <w:rPr>
          <w:sz w:val="20"/>
          <w:szCs w:val="20"/>
          <w:color w:val="auto"/>
        </w:rPr>
      </w:pPr>
    </w:p>
    <w:p>
      <w:pPr>
        <w:spacing w:after="0" w:line="231"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acquisition date. Management estimated the cash flows expected to be collected at acquisition using our internal risk models, which incorporated the estimate of current key assumptions, such as default rates, severity and prepayment speeds.</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carrying amount of those loans is included in loans, net on the balance sheet at December 31, 2020. The amounts of loans at January 1, 2019,</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December 31, 2019 and December 31, 2020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center"/>
              <w:ind w:right="332"/>
              <w:spacing w:after="0"/>
              <w:rPr>
                <w:sz w:val="20"/>
                <w:szCs w:val="20"/>
                <w:color w:val="auto"/>
              </w:rPr>
            </w:pPr>
            <w:r>
              <w:rPr>
                <w:rFonts w:ascii="Arial" w:cs="Arial" w:eastAsia="Arial" w:hAnsi="Arial"/>
                <w:sz w:val="18"/>
                <w:szCs w:val="18"/>
                <w:color w:val="auto"/>
                <w:w w:val="84"/>
              </w:rPr>
              <w:t>2019</w:t>
            </w:r>
          </w:p>
        </w:tc>
        <w:tc>
          <w:tcPr>
            <w:tcW w:w="120" w:type="dxa"/>
            <w:vAlign w:val="bottom"/>
          </w:tcPr>
          <w:p>
            <w:pPr>
              <w:spacing w:after="0"/>
              <w:rPr>
                <w:sz w:val="19"/>
                <w:szCs w:val="19"/>
                <w:color w:val="auto"/>
              </w:rPr>
            </w:pPr>
          </w:p>
        </w:tc>
      </w:tr>
      <w:tr>
        <w:trPr>
          <w:trHeight w:val="224"/>
        </w:trPr>
        <w:tc>
          <w:tcPr>
            <w:tcW w:w="65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(In Thousands)</w:t>
            </w:r>
          </w:p>
        </w:tc>
      </w:tr>
      <w:tr>
        <w:trPr>
          <w:trHeight w:val="217"/>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January 1, 2019</w:t>
            </w:r>
          </w:p>
        </w:tc>
        <w:tc>
          <w:tcPr>
            <w:tcW w:w="21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65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2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4,094</w:t>
            </w:r>
          </w:p>
        </w:tc>
        <w:tc>
          <w:tcPr>
            <w:tcW w:w="120" w:type="dxa"/>
            <w:vAlign w:val="bottom"/>
          </w:tcPr>
          <w:p>
            <w:pPr>
              <w:spacing w:after="0"/>
              <w:rPr>
                <w:sz w:val="19"/>
                <w:szCs w:val="19"/>
                <w:color w:val="auto"/>
              </w:rPr>
            </w:pPr>
          </w:p>
        </w:tc>
      </w:tr>
      <w:tr>
        <w:trPr>
          <w:trHeight w:val="224"/>
        </w:trPr>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2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r>
      <w:tr>
        <w:trPr>
          <w:trHeight w:val="224"/>
        </w:trPr>
        <w:tc>
          <w:tcPr>
            <w:tcW w:w="6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2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FF0FC"/>
            </w:tcBorders>
          </w:tcPr>
          <w:p>
            <w:pPr>
              <w:spacing w:after="0"/>
              <w:rPr>
                <w:sz w:val="19"/>
                <w:szCs w:val="19"/>
                <w:color w:val="auto"/>
              </w:rPr>
            </w:pPr>
          </w:p>
        </w:tc>
      </w:tr>
      <w:tr>
        <w:trPr>
          <w:trHeight w:val="217"/>
        </w:trPr>
        <w:tc>
          <w:tcPr>
            <w:tcW w:w="6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Carrying amount, net of fair value adjustment of $2,118</w:t>
            </w:r>
          </w:p>
        </w:tc>
        <w:tc>
          <w:tcPr>
            <w:tcW w:w="2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20" w:type="dxa"/>
            <w:vAlign w:val="bottom"/>
            <w:shd w:val="clear" w:color="auto" w:fill="CFF0FC"/>
          </w:tcPr>
          <w:p>
            <w:pPr>
              <w:spacing w:after="0"/>
              <w:rPr>
                <w:sz w:val="18"/>
                <w:szCs w:val="18"/>
                <w:color w:val="auto"/>
              </w:rPr>
            </w:pPr>
          </w:p>
        </w:tc>
      </w:tr>
      <w:tr>
        <w:trPr>
          <w:trHeight w:val="20"/>
        </w:trPr>
        <w:tc>
          <w:tcPr>
            <w:tcW w:w="650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04"/>
        </w:trPr>
        <w:tc>
          <w:tcPr>
            <w:tcW w:w="6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4"/>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2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4"/>
        </w:trPr>
        <w:tc>
          <w:tcPr>
            <w:tcW w:w="65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2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r>
      <w:tr>
        <w:trPr>
          <w:trHeight w:val="224"/>
        </w:trPr>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2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4"/>
        </w:trPr>
        <w:tc>
          <w:tcPr>
            <w:tcW w:w="6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2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17"/>
        </w:trPr>
        <w:tc>
          <w:tcPr>
            <w:tcW w:w="6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Carrying amount, net of fair value adjustment of $62</w:t>
            </w:r>
          </w:p>
        </w:tc>
        <w:tc>
          <w:tcPr>
            <w:tcW w:w="2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8"/>
                <w:szCs w:val="18"/>
                <w:color w:val="auto"/>
              </w:rPr>
            </w:pPr>
          </w:p>
        </w:tc>
      </w:tr>
      <w:tr>
        <w:trPr>
          <w:trHeight w:val="20"/>
        </w:trPr>
        <w:tc>
          <w:tcPr>
            <w:tcW w:w="650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414"/>
        </w:trPr>
        <w:tc>
          <w:tcPr>
            <w:tcW w:w="6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jc w:val="center"/>
              <w:ind w:right="332"/>
              <w:spacing w:after="0"/>
              <w:rPr>
                <w:sz w:val="20"/>
                <w:szCs w:val="20"/>
                <w:color w:val="auto"/>
              </w:rPr>
            </w:pPr>
            <w:r>
              <w:rPr>
                <w:rFonts w:ascii="Arial" w:cs="Arial" w:eastAsia="Arial" w:hAnsi="Arial"/>
                <w:sz w:val="18"/>
                <w:szCs w:val="18"/>
                <w:color w:val="auto"/>
                <w:w w:val="84"/>
              </w:rPr>
              <w:t>2020</w:t>
            </w:r>
          </w:p>
        </w:tc>
        <w:tc>
          <w:tcPr>
            <w:tcW w:w="120" w:type="dxa"/>
            <w:vAlign w:val="bottom"/>
          </w:tcPr>
          <w:p>
            <w:pPr>
              <w:spacing w:after="0"/>
              <w:rPr>
                <w:sz w:val="24"/>
                <w:szCs w:val="24"/>
                <w:color w:val="auto"/>
              </w:rPr>
            </w:pPr>
          </w:p>
        </w:tc>
      </w:tr>
      <w:tr>
        <w:trPr>
          <w:trHeight w:val="224"/>
        </w:trPr>
        <w:tc>
          <w:tcPr>
            <w:tcW w:w="65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(In Thousands)</w:t>
            </w:r>
          </w:p>
        </w:tc>
      </w:tr>
      <w:tr>
        <w:trPr>
          <w:trHeight w:val="217"/>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2020</w:t>
            </w:r>
          </w:p>
        </w:tc>
        <w:tc>
          <w:tcPr>
            <w:tcW w:w="21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65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2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4"/>
        </w:trPr>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2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4"/>
        </w:trPr>
        <w:tc>
          <w:tcPr>
            <w:tcW w:w="6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2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17"/>
        </w:trPr>
        <w:tc>
          <w:tcPr>
            <w:tcW w:w="6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Carrying amount, net of fair value adjustment of $0</w:t>
            </w:r>
          </w:p>
        </w:tc>
        <w:tc>
          <w:tcPr>
            <w:tcW w:w="2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0"/>
        </w:trPr>
        <w:tc>
          <w:tcPr>
            <w:tcW w:w="650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Loans acquired during 2019 for which it was probable at acquisition that all contractually required payments would not be collected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color w:val="auto"/>
              </w:rPr>
              <w:t>(In Thousands)</w:t>
            </w:r>
          </w:p>
        </w:tc>
      </w:tr>
      <w:tr>
        <w:trPr>
          <w:trHeight w:val="217"/>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44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48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4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r>
      <w:tr>
        <w:trPr>
          <w:trHeight w:val="224"/>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4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r>
      <w:tr>
        <w:trPr>
          <w:trHeight w:val="224"/>
        </w:trPr>
        <w:tc>
          <w:tcPr>
            <w:tcW w:w="4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4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19"/>
                <w:szCs w:val="19"/>
                <w:color w:val="auto"/>
              </w:rPr>
            </w:pPr>
          </w:p>
        </w:tc>
      </w:tr>
      <w:tr>
        <w:trPr>
          <w:trHeight w:val="217"/>
        </w:trPr>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required payments receivable</w:t>
            </w:r>
          </w:p>
        </w:tc>
        <w:tc>
          <w:tcPr>
            <w:tcW w:w="4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100" w:type="dxa"/>
            <w:vAlign w:val="bottom"/>
            <w:shd w:val="clear" w:color="auto" w:fill="CFF0FC"/>
          </w:tcPr>
          <w:p>
            <w:pPr>
              <w:spacing w:after="0"/>
              <w:rPr>
                <w:sz w:val="18"/>
                <w:szCs w:val="18"/>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4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4"/>
        </w:trPr>
        <w:tc>
          <w:tcPr>
            <w:tcW w:w="48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flows expected to be collected at acquisition</w:t>
            </w:r>
          </w:p>
        </w:tc>
        <w:tc>
          <w:tcPr>
            <w:tcW w:w="4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FF0FC"/>
          </w:tcPr>
          <w:p>
            <w:pPr>
              <w:spacing w:after="0"/>
              <w:rPr>
                <w:sz w:val="19"/>
                <w:szCs w:val="19"/>
                <w:color w:val="auto"/>
              </w:rPr>
            </w:pPr>
          </w:p>
        </w:tc>
      </w:tr>
      <w:tr>
        <w:trPr>
          <w:trHeight w:val="224"/>
        </w:trPr>
        <w:tc>
          <w:tcPr>
            <w:tcW w:w="48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Basis in acquired loans at acquisition</w:t>
            </w:r>
          </w:p>
        </w:tc>
        <w:tc>
          <w:tcPr>
            <w:tcW w:w="4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FF0FC"/>
          </w:tcPr>
          <w:p>
            <w:pPr>
              <w:spacing w:after="0"/>
              <w:rPr>
                <w:sz w:val="19"/>
                <w:szCs w:val="19"/>
                <w:color w:val="auto"/>
              </w:rPr>
            </w:pPr>
          </w:p>
        </w:tc>
      </w:tr>
      <w:tr>
        <w:trPr>
          <w:trHeight w:val="632"/>
        </w:trPr>
        <w:tc>
          <w:tcPr>
            <w:tcW w:w="4800" w:type="dxa"/>
            <w:vAlign w:val="bottom"/>
          </w:tcPr>
          <w:p>
            <w:pPr>
              <w:spacing w:after="0"/>
              <w:rPr>
                <w:sz w:val="24"/>
                <w:szCs w:val="24"/>
                <w:color w:val="auto"/>
              </w:rPr>
            </w:pPr>
          </w:p>
        </w:tc>
        <w:tc>
          <w:tcPr>
            <w:tcW w:w="4460" w:type="dxa"/>
            <w:vAlign w:val="bottom"/>
          </w:tcPr>
          <w:p>
            <w:pPr>
              <w:jc w:val="right"/>
              <w:ind w:right="3452"/>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480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200" w:lineRule="exact"/>
        <w:rPr>
          <w:sz w:val="20"/>
          <w:szCs w:val="20"/>
          <w:color w:val="auto"/>
        </w:rPr>
      </w:pPr>
    </w:p>
    <w:p>
      <w:pPr>
        <w:spacing w:after="0" w:line="231"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During the second quarter 2019, two commercial purchased credit-impaired loans were paid off in full after the customer was able to secure financing at another financial institution. The associated discount originally recognized at acquisition of $1.985 million was included in loan interest income in the Company’s consolidated statement of income for the year ended December 31, 2019. The balance of the fair value adjustment for loans acquired and accounted for under this guidance (ASC 310-30) was $0 at December 31, 2020, $62 thousand at December 31, 2019, and $2.118 million on January 1,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60" w:type="dxa"/>
            <w:vAlign w:val="bottom"/>
          </w:tcPr>
          <w:p>
            <w:pPr>
              <w:ind w:left="800"/>
              <w:spacing w:after="0"/>
              <w:rPr>
                <w:sz w:val="20"/>
                <w:szCs w:val="20"/>
                <w:color w:val="auto"/>
              </w:rPr>
            </w:pPr>
            <w:r>
              <w:rPr>
                <w:rFonts w:ascii="Arial" w:cs="Arial" w:eastAsia="Arial" w:hAnsi="Arial"/>
                <w:sz w:val="18"/>
                <w:szCs w:val="18"/>
                <w:color w:val="auto"/>
                <w:w w:val="96"/>
              </w:rPr>
              <w:t>Changes in accretable yield, or income expected to be collected, are as follows:</w:t>
            </w: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5"/>
        </w:trPr>
        <w:tc>
          <w:tcPr>
            <w:tcW w:w="6960" w:type="dxa"/>
            <w:vAlign w:val="bottom"/>
          </w:tcPr>
          <w:p>
            <w:pPr>
              <w:spacing w:after="0"/>
              <w:rPr>
                <w:sz w:val="24"/>
                <w:szCs w:val="24"/>
                <w:color w:val="auto"/>
              </w:rPr>
            </w:pPr>
          </w:p>
        </w:tc>
        <w:tc>
          <w:tcPr>
            <w:tcW w:w="158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4"/>
                <w:szCs w:val="24"/>
                <w:color w:val="auto"/>
              </w:rPr>
            </w:pPr>
          </w:p>
        </w:tc>
      </w:tr>
      <w:tr>
        <w:trPr>
          <w:trHeight w:val="217"/>
        </w:trPr>
        <w:tc>
          <w:tcPr>
            <w:tcW w:w="69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(In Thousands)</w:t>
            </w:r>
          </w:p>
        </w:tc>
      </w:tr>
      <w:tr>
        <w:trPr>
          <w:trHeight w:val="217"/>
        </w:trPr>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580" w:type="dxa"/>
            <w:vAlign w:val="bottom"/>
            <w:tcBorders>
              <w:top w:val="single" w:sz="8" w:color="auto"/>
            </w:tcBorders>
            <w:shd w:val="clear" w:color="auto" w:fill="CFF0FC"/>
          </w:tcPr>
          <w:p>
            <w:pPr>
              <w:jc w:val="right"/>
              <w:ind w:right="141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1,653</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696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15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4"/>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15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(431)</w:t>
            </w:r>
          </w:p>
        </w:tc>
        <w:tc>
          <w:tcPr>
            <w:tcW w:w="2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(427)</w:t>
            </w:r>
          </w:p>
        </w:tc>
      </w:tr>
      <w:tr>
        <w:trPr>
          <w:trHeight w:val="224"/>
        </w:trPr>
        <w:tc>
          <w:tcPr>
            <w:tcW w:w="6960" w:type="dxa"/>
            <w:vAlign w:val="bottom"/>
          </w:tcPr>
          <w:p>
            <w:pPr>
              <w:ind w:left="240"/>
              <w:spacing w:after="0"/>
              <w:rPr>
                <w:sz w:val="20"/>
                <w:szCs w:val="20"/>
                <w:color w:val="auto"/>
              </w:rPr>
            </w:pPr>
            <w:r>
              <w:rPr>
                <w:rFonts w:ascii="Arial" w:cs="Arial" w:eastAsia="Arial" w:hAnsi="Arial"/>
                <w:sz w:val="18"/>
                <w:szCs w:val="18"/>
                <w:color w:val="auto"/>
              </w:rPr>
              <w:t>Reclassification from nonaccretable difference</w:t>
            </w:r>
          </w:p>
        </w:tc>
        <w:tc>
          <w:tcPr>
            <w:tcW w:w="15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r>
      <w:tr>
        <w:trPr>
          <w:trHeight w:val="224"/>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Disposals</w:t>
            </w:r>
          </w:p>
        </w:tc>
        <w:tc>
          <w:tcPr>
            <w:tcW w:w="15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Ending Balance</w:t>
            </w:r>
          </w:p>
        </w:tc>
        <w:tc>
          <w:tcPr>
            <w:tcW w:w="1580" w:type="dxa"/>
            <w:vAlign w:val="bottom"/>
            <w:tcBorders>
              <w:top w:val="single" w:sz="8" w:color="auto"/>
              <w:bottom w:val="single" w:sz="8" w:color="auto"/>
            </w:tcBorders>
          </w:tcPr>
          <w:p>
            <w:pPr>
              <w:jc w:val="right"/>
              <w:ind w:right="141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1,198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results of operations of Bank of Geneva, Ossian State Bank and Perpetual Federal Savings Bank have been included in the Company’s consolidated financial statements since the acquisition dates of January 1, 2019, April 30, 2021 and October 1, 2021, respectively. The following schedule includes pro-forma results for the years ended December 31, 2021, 2020 and 2019 as if all three acquisitions had occurred as of the beginning of the comparable prior reporting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Summary of Operations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60" w:type="dxa"/>
            <w:vAlign w:val="bottom"/>
          </w:tcPr>
          <w:p>
            <w:pPr>
              <w:spacing w:after="0"/>
              <w:rPr>
                <w:sz w:val="20"/>
                <w:szCs w:val="20"/>
                <w:color w:val="auto"/>
              </w:rPr>
            </w:pPr>
            <w:r>
              <w:rPr>
                <w:rFonts w:ascii="Arial" w:cs="Arial" w:eastAsia="Arial" w:hAnsi="Arial"/>
                <w:sz w:val="18"/>
                <w:szCs w:val="18"/>
                <w:color w:val="auto"/>
              </w:rPr>
              <w:t>Net Interest Income - Before Provision for Loan Losses</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78,064</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Losses</w:t>
            </w: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74,619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Noninterest Income</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18,548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Noninterest Expense</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54,540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38,627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30,915</w:t>
            </w: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980" w:type="dxa"/>
            <w:vAlign w:val="bottom"/>
          </w:tcPr>
          <w:p>
            <w:pPr>
              <w:jc w:val="right"/>
              <w:ind w:right="792"/>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2.65</w:t>
            </w:r>
          </w:p>
        </w:tc>
        <w:tc>
          <w:tcPr>
            <w:tcW w:w="5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The pro-forma information includes adjustments for interest income on loans, amortization of intangibles arising from the transaction, interest expense on deposits acquired, premises expense for the branches acquired and the related income tax effects.</w:t>
      </w:r>
    </w:p>
    <w:p>
      <w:pPr>
        <w:spacing w:after="0" w:line="134"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The pro-forma financial information is presented for informational purposes only and is not indicative of the results of operations that actually would have been achieved had the acquisition been consummated as of that time, nor is it intended to be a projection of future results.</w:t>
      </w:r>
    </w:p>
    <w:p>
      <w:pPr>
        <w:spacing w:after="0" w:line="134"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As mentioned previously, the acquisition of Bank of Geneva resulted in the recognition of $3.9 million in core deposit intangible assets, the acquisition of Ossian State Bank resulted in the recognition of $980.2 thousand in core deposits assets and the acquisition of Perpetual Federal Savings Bank resulted in the recognition of $668 thousand in core deposits which are all being amortized over its remaining economic useful life of 7 years on a straight line basis. Core deposit intangible is included in other assets on the consolidated balance sheets.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200" w:lineRule="exact"/>
        <w:rPr>
          <w:sz w:val="20"/>
          <w:szCs w:val="20"/>
          <w:color w:val="auto"/>
        </w:rPr>
      </w:pPr>
    </w:p>
    <w:p>
      <w:pPr>
        <w:spacing w:after="0" w:line="231" w:lineRule="exact"/>
        <w:rPr>
          <w:sz w:val="20"/>
          <w:szCs w:val="20"/>
          <w:color w:val="auto"/>
        </w:rPr>
      </w:pPr>
    </w:p>
    <w:p>
      <w:pPr>
        <w:ind w:left="800"/>
        <w:spacing w:after="0" w:line="362" w:lineRule="auto"/>
        <w:rPr>
          <w:sz w:val="20"/>
          <w:szCs w:val="20"/>
          <w:color w:val="auto"/>
        </w:rPr>
      </w:pPr>
      <w:r>
        <w:rPr>
          <w:rFonts w:ascii="Arial" w:cs="Arial" w:eastAsia="Arial" w:hAnsi="Arial"/>
          <w:sz w:val="15"/>
          <w:szCs w:val="15"/>
          <w:color w:val="auto"/>
        </w:rPr>
        <w:t>The amortization expense for the years ended December 31, 2021, 2020 and 2019 was $677, $720, and $727 thousand, respectively. Included in the 2020 and 2019 amortization expense was $160 and $167 thousand, respectively, related to the purchase of the Custar office on December 13, 2013.</w:t>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Future amortization expense of core deposit intangible assets is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Geneva</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Ossian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w w:val="85"/>
              </w:rPr>
              <w:t>Perpetual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Total</w:t>
            </w:r>
          </w:p>
        </w:tc>
      </w:tr>
      <w:tr>
        <w:trPr>
          <w:trHeight w:val="217"/>
        </w:trPr>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(In thousands)</w:t>
            </w: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FF0FC"/>
          </w:tcPr>
          <w:p>
            <w:pPr>
              <w:spacing w:after="0"/>
              <w:rPr>
                <w:sz w:val="19"/>
                <w:szCs w:val="19"/>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2023</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9"/>
                <w:szCs w:val="19"/>
                <w:color w:val="auto"/>
              </w:rPr>
            </w:pPr>
          </w:p>
        </w:tc>
      </w:tr>
      <w:tr>
        <w:trPr>
          <w:trHeight w:val="224"/>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FF0FC"/>
          </w:tcPr>
          <w:p>
            <w:pPr>
              <w:spacing w:after="0"/>
              <w:rPr>
                <w:sz w:val="19"/>
                <w:szCs w:val="19"/>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2025</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9"/>
                <w:szCs w:val="19"/>
                <w:color w:val="auto"/>
              </w:rPr>
            </w:pPr>
          </w:p>
        </w:tc>
      </w:tr>
      <w:tr>
        <w:trPr>
          <w:trHeight w:val="224"/>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19"/>
                <w:szCs w:val="19"/>
                <w:color w:val="auto"/>
              </w:rPr>
            </w:pPr>
          </w:p>
        </w:tc>
      </w:tr>
      <w:tr>
        <w:trPr>
          <w:trHeight w:val="224"/>
        </w:trPr>
        <w:tc>
          <w:tcPr>
            <w:tcW w:w="2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CFF0FC"/>
            </w:tcBorders>
          </w:tcPr>
          <w:p>
            <w:pPr>
              <w:spacing w:after="0"/>
              <w:rPr>
                <w:sz w:val="19"/>
                <w:szCs w:val="19"/>
                <w:color w:val="auto"/>
              </w:rPr>
            </w:pPr>
          </w:p>
        </w:tc>
      </w:tr>
      <w:tr>
        <w:trPr>
          <w:trHeight w:val="217"/>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w:t>
            </w:r>
          </w:p>
        </w:tc>
        <w:tc>
          <w:tcPr>
            <w:tcW w:w="80" w:type="dxa"/>
            <w:vAlign w:val="bottom"/>
            <w:shd w:val="clear" w:color="auto" w:fill="CFF0FC"/>
          </w:tcPr>
          <w:p>
            <w:pPr>
              <w:spacing w:after="0"/>
              <w:rPr>
                <w:sz w:val="18"/>
                <w:szCs w:val="18"/>
                <w:color w:val="auto"/>
              </w:rPr>
            </w:pPr>
          </w:p>
        </w:tc>
      </w:tr>
      <w:tr>
        <w:trPr>
          <w:trHeight w:val="20"/>
        </w:trPr>
        <w:tc>
          <w:tcPr>
            <w:tcW w:w="250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[Remainder of this page intentionally left blank.]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200" w:lineRule="exact"/>
        <w:rPr>
          <w:sz w:val="20"/>
          <w:szCs w:val="20"/>
          <w:color w:val="auto"/>
        </w:rPr>
      </w:pPr>
    </w:p>
    <w:p>
      <w:pPr>
        <w:spacing w:after="0" w:line="231"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On November 16, 2020, FM Investment Services, a division of the Bank, purchased the assets and clients of Adams County Financial Resources (ACFR), a full-service registered investment advisory firm located in Geneva, Indiana.</w:t>
      </w:r>
    </w:p>
    <w:p>
      <w:pPr>
        <w:spacing w:after="0" w:line="180"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ACFR was founded in 1994 by R. Lee Flueckiger and provides clients and their families with financial confidence through personalized investment planning and services. As of November 30, 2020, ACFR had approximately $83 million of assets under management and over 450 clients.</w:t>
      </w:r>
    </w:p>
    <w:p>
      <w:pPr>
        <w:spacing w:after="0" w:line="134"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Total consideration for the purchase was $825 thousand which consisted of 40,049 shares of stock. 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the consideration paid for ACFR and the amounts of the assets acquired:</w:t>
      </w:r>
    </w:p>
    <w:p>
      <w:pPr>
        <w:spacing w:after="0" w:line="200" w:lineRule="exact"/>
        <w:rPr>
          <w:sz w:val="20"/>
          <w:szCs w:val="20"/>
          <w:color w:val="auto"/>
        </w:rPr>
      </w:pP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Shares (40,049 shares)</w:t>
            </w: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7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7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40" w:type="dxa"/>
            <w:vAlign w:val="bottom"/>
          </w:tcPr>
          <w:p>
            <w:pPr>
              <w:ind w:left="220"/>
              <w:spacing w:after="0"/>
              <w:rPr>
                <w:sz w:val="20"/>
                <w:szCs w:val="20"/>
                <w:color w:val="auto"/>
              </w:rPr>
            </w:pPr>
            <w:r>
              <w:rPr>
                <w:rFonts w:ascii="Arial" w:cs="Arial" w:eastAsia="Arial" w:hAnsi="Arial"/>
                <w:sz w:val="18"/>
                <w:szCs w:val="18"/>
                <w:color w:val="auto"/>
              </w:rPr>
              <w:t>Premises and equipment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Customer list intangible</w:t>
            </w: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Total Assets Purchased</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The customer list intangible amortization expense for the years ended December 31, 2021 and 2020 was $123 and $16 thousand, respectively. Future amortization expense of customer list intangible is as follows: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(In thousands)</w:t>
            </w:r>
          </w:p>
        </w:tc>
      </w:tr>
      <w:tr>
        <w:trPr>
          <w:trHeight w:val="224"/>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4"/>
        </w:trPr>
        <w:tc>
          <w:tcPr>
            <w:tcW w:w="604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24"/>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4"/>
        </w:trPr>
        <w:tc>
          <w:tcPr>
            <w:tcW w:w="604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24"/>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4"/>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CFF0FC"/>
            </w:tcBorders>
          </w:tcPr>
          <w:p>
            <w:pPr>
              <w:spacing w:after="0"/>
              <w:rPr>
                <w:sz w:val="19"/>
                <w:szCs w:val="19"/>
                <w:color w:val="auto"/>
              </w:rPr>
            </w:pPr>
          </w:p>
        </w:tc>
      </w:tr>
      <w:tr>
        <w:trPr>
          <w:trHeight w:val="217"/>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follows: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8"/>
                <w:szCs w:val="18"/>
                <w:color w:val="auto"/>
                <w:w w:val="89"/>
              </w:rPr>
              <w:t>2021</w:t>
            </w: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Gross</w:t>
            </w:r>
          </w:p>
        </w:tc>
        <w:tc>
          <w:tcPr>
            <w:tcW w:w="8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3"/>
              </w:rPr>
              <w:t>Gross</w:t>
            </w: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Amortized</w:t>
            </w: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Unrealized</w:t>
            </w:r>
          </w:p>
        </w:tc>
        <w:tc>
          <w:tcPr>
            <w:tcW w:w="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Unrealized</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Market</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Cost</w:t>
            </w: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Gains</w:t>
            </w:r>
          </w:p>
        </w:tc>
        <w:tc>
          <w:tcPr>
            <w:tcW w:w="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7"/>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90,775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(1,598)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(3,482)</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433,962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3,032</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(7,063)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429,931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8"/>
                <w:szCs w:val="18"/>
                <w:color w:val="auto"/>
                <w:w w:val="89"/>
              </w:rPr>
              <w:t>2020</w:t>
            </w: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Gross</w:t>
            </w:r>
          </w:p>
        </w:tc>
        <w:tc>
          <w:tcPr>
            <w:tcW w:w="8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3"/>
              </w:rPr>
              <w:t>Gross</w:t>
            </w: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Amortized</w:t>
            </w: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Unrealized</w:t>
            </w:r>
          </w:p>
        </w:tc>
        <w:tc>
          <w:tcPr>
            <w:tcW w:w="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Unrealized</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Market</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Cost</w:t>
            </w: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Gains</w:t>
            </w:r>
          </w:p>
        </w:tc>
        <w:tc>
          <w:tcPr>
            <w:tcW w:w="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7"/>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110,828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300,602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7,350</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307,812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line="325" w:lineRule="auto"/>
        <w:rPr>
          <w:sz w:val="20"/>
          <w:szCs w:val="20"/>
          <w:color w:val="auto"/>
        </w:rPr>
      </w:pPr>
      <w:r>
        <w:rPr>
          <w:rFonts w:ascii="Arial" w:cs="Arial" w:eastAsia="Arial" w:hAnsi="Arial"/>
          <w:sz w:val="16"/>
          <w:szCs w:val="16"/>
          <w:color w:val="auto"/>
        </w:rPr>
        <w:t>Investment securities will at times depreciate to an unrealized loss position. The Bank utilizes the following criteria to assess whether impairment is other than temporary. No one item by itself will necessarily signal that a security should be recognized as other than temporarily impaired.</w:t>
      </w:r>
    </w:p>
    <w:p>
      <w:pPr>
        <w:spacing w:after="0" w:line="29" w:lineRule="exact"/>
        <w:rPr>
          <w:sz w:val="20"/>
          <w:szCs w:val="20"/>
          <w:color w:val="auto"/>
        </w:rPr>
      </w:pPr>
    </w:p>
    <w:p>
      <w:pPr>
        <w:ind w:left="1740" w:hanging="536"/>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109" w:lineRule="exact"/>
        <w:rPr>
          <w:rFonts w:ascii="Arial" w:cs="Arial" w:eastAsia="Arial" w:hAnsi="Arial"/>
          <w:sz w:val="18"/>
          <w:szCs w:val="18"/>
          <w:color w:val="auto"/>
        </w:rPr>
      </w:pPr>
    </w:p>
    <w:p>
      <w:pPr>
        <w:ind w:left="1740" w:hanging="536"/>
        <w:spacing w:after="0" w:line="262" w:lineRule="auto"/>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spacing w:after="0" w:line="75" w:lineRule="exact"/>
        <w:rPr>
          <w:rFonts w:ascii="Arial" w:cs="Arial" w:eastAsia="Arial" w:hAnsi="Arial"/>
          <w:sz w:val="18"/>
          <w:szCs w:val="18"/>
          <w:color w:val="auto"/>
        </w:rPr>
      </w:pPr>
    </w:p>
    <w:p>
      <w:pPr>
        <w:ind w:left="1740" w:hanging="536"/>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109" w:lineRule="exact"/>
        <w:rPr>
          <w:rFonts w:ascii="Arial" w:cs="Arial" w:eastAsia="Arial" w:hAnsi="Arial"/>
          <w:sz w:val="18"/>
          <w:szCs w:val="18"/>
          <w:color w:val="auto"/>
        </w:rPr>
      </w:pPr>
    </w:p>
    <w:p>
      <w:pPr>
        <w:ind w:left="1740" w:hanging="536"/>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109" w:lineRule="exact"/>
        <w:rPr>
          <w:rFonts w:ascii="Arial" w:cs="Arial" w:eastAsia="Arial" w:hAnsi="Arial"/>
          <w:sz w:val="18"/>
          <w:szCs w:val="18"/>
          <w:color w:val="auto"/>
        </w:rPr>
      </w:pPr>
    </w:p>
    <w:p>
      <w:pPr>
        <w:ind w:left="1740" w:hanging="536"/>
        <w:spacing w:after="0" w:line="262" w:lineRule="auto"/>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80"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Bank currently does not hold any securities with other than temporary impairment.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Farmers &amp; Merchants Bancorp, Inc. and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Securities (Continued)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p>
      <w:pPr>
        <w:spacing w:after="0" w:line="319"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Information pertaining to securities with gross unrealized losses at December 31, 2021 and 2020, aggregated by investment category and length of time that individual securities have been in a continuous loss position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8"/>
                <w:szCs w:val="18"/>
                <w:color w:val="auto"/>
                <w:w w:val="87"/>
              </w:rPr>
              <w:t>(In Thousands)</w:t>
            </w:r>
          </w:p>
        </w:tc>
        <w:tc>
          <w:tcPr>
            <w:tcW w:w="80" w:type="dxa"/>
            <w:vAlign w:val="bottom"/>
          </w:tcPr>
          <w:p>
            <w:pPr>
              <w:spacing w:after="0"/>
              <w:rPr>
                <w:sz w:val="18"/>
                <w:szCs w:val="18"/>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Less Than Twelve Months</w:t>
            </w:r>
          </w:p>
        </w:tc>
        <w:tc>
          <w:tcPr>
            <w:tcW w:w="80" w:type="dxa"/>
            <w:vAlign w:val="bottom"/>
          </w:tcPr>
          <w:p>
            <w:pPr>
              <w:spacing w:after="0"/>
              <w:rPr>
                <w:sz w:val="19"/>
                <w:szCs w:val="19"/>
                <w:color w:val="auto"/>
              </w:rPr>
            </w:pPr>
          </w:p>
        </w:tc>
        <w:tc>
          <w:tcPr>
            <w:tcW w:w="2220" w:type="dxa"/>
            <w:vAlign w:val="bottom"/>
            <w:gridSpan w:val="5"/>
          </w:tcPr>
          <w:p>
            <w:pPr>
              <w:ind w:left="180"/>
              <w:spacing w:after="0"/>
              <w:rPr>
                <w:sz w:val="20"/>
                <w:szCs w:val="20"/>
                <w:color w:val="auto"/>
              </w:rPr>
            </w:pPr>
            <w:r>
              <w:rPr>
                <w:rFonts w:ascii="Arial" w:cs="Arial" w:eastAsia="Arial" w:hAnsi="Arial"/>
                <w:sz w:val="18"/>
                <w:szCs w:val="18"/>
                <w:color w:val="auto"/>
              </w:rPr>
              <w:t>Twelve Months &amp; Over</w:t>
            </w: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right="322"/>
              <w:spacing w:after="0"/>
              <w:rPr>
                <w:sz w:val="20"/>
                <w:szCs w:val="20"/>
                <w:color w:val="auto"/>
              </w:rPr>
            </w:pPr>
            <w:r>
              <w:rPr>
                <w:rFonts w:ascii="Arial" w:cs="Arial" w:eastAsia="Arial" w:hAnsi="Arial"/>
                <w:sz w:val="18"/>
                <w:szCs w:val="18"/>
                <w:color w:val="auto"/>
                <w:w w:val="87"/>
              </w:rPr>
              <w:t>Gross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Gross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220" w:type="dxa"/>
            <w:vAlign w:val="bottom"/>
            <w:gridSpan w:val="3"/>
          </w:tcPr>
          <w:p>
            <w:pPr>
              <w:jc w:val="center"/>
              <w:ind w:right="202"/>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9"/>
                <w:szCs w:val="19"/>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Unrealized</w:t>
            </w:r>
          </w:p>
        </w:tc>
        <w:tc>
          <w:tcPr>
            <w:tcW w:w="180" w:type="dxa"/>
            <w:vAlign w:val="bottom"/>
          </w:tcPr>
          <w:p>
            <w:pPr>
              <w:spacing w:after="0"/>
              <w:rPr>
                <w:sz w:val="19"/>
                <w:szCs w:val="1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5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4"/>
              </w:rPr>
              <w:t>Losses</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6"/>
              </w:rPr>
              <w:t>Value</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Losses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220" w:type="dxa"/>
            <w:vAlign w:val="bottom"/>
            <w:shd w:val="clear" w:color="auto" w:fill="CFF0FC"/>
          </w:tcPr>
          <w:p>
            <w:pPr>
              <w:jc w:val="right"/>
              <w:ind w:right="142"/>
              <w:spacing w:after="0"/>
              <w:rPr>
                <w:sz w:val="20"/>
                <w:szCs w:val="20"/>
                <w:color w:val="auto"/>
              </w:rPr>
            </w:pPr>
            <w:r>
              <w:rPr>
                <w:rFonts w:ascii="Arial" w:cs="Arial" w:eastAsia="Arial" w:hAnsi="Arial"/>
                <w:sz w:val="8"/>
                <w:szCs w:val="8"/>
                <w:color w:val="auto"/>
                <w:w w:val="73"/>
              </w:rPr>
              <w:t>)</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89,177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100" w:type="dxa"/>
            <w:vAlign w:val="bottom"/>
            <w:gridSpan w:val="2"/>
          </w:tcPr>
          <w:p>
            <w:pPr>
              <w:jc w:val="right"/>
              <w:ind w:right="142"/>
              <w:spacing w:after="0"/>
              <w:rPr>
                <w:sz w:val="20"/>
                <w:szCs w:val="20"/>
                <w:color w:val="auto"/>
              </w:rPr>
            </w:pPr>
            <w:r>
              <w:rPr>
                <w:rFonts w:ascii="Arial" w:cs="Arial" w:eastAsia="Arial" w:hAnsi="Arial"/>
                <w:sz w:val="18"/>
                <w:szCs w:val="18"/>
                <w:color w:val="auto"/>
              </w:rPr>
              <w:t>(1,898)</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86,739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(1,584)</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left w:val="single" w:sz="8" w:color="CFF0FC"/>
            </w:tcBorders>
            <w:shd w:val="clear" w:color="auto" w:fill="CFF0FC"/>
          </w:tcPr>
          <w:p>
            <w:pPr>
              <w:spacing w:after="0"/>
              <w:rPr>
                <w:sz w:val="19"/>
                <w:szCs w:val="19"/>
                <w:color w:val="auto"/>
              </w:rPr>
            </w:pPr>
          </w:p>
        </w:tc>
        <w:tc>
          <w:tcPr>
            <w:tcW w:w="11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63,157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20" w:type="dxa"/>
            <w:vAlign w:val="bottom"/>
          </w:tcPr>
          <w:p>
            <w:pPr>
              <w:spacing w:after="0"/>
              <w:rPr>
                <w:sz w:val="19"/>
                <w:szCs w:val="19"/>
                <w:color w:val="auto"/>
              </w:rPr>
            </w:pPr>
          </w:p>
        </w:tc>
        <w:tc>
          <w:tcPr>
            <w:tcW w:w="1100" w:type="dxa"/>
            <w:vAlign w:val="bottom"/>
            <w:gridSpan w:val="2"/>
          </w:tcPr>
          <w:p>
            <w:pPr>
              <w:jc w:val="right"/>
              <w:ind w:right="142"/>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17,727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available-for-sales securities</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(4,842)</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256,800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(2,221)</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color w:val="auto"/>
                <w:w w:val="87"/>
              </w:rPr>
              <w:t>(In Thousands)</w:t>
            </w:r>
          </w:p>
        </w:tc>
        <w:tc>
          <w:tcPr>
            <w:tcW w:w="80" w:type="dxa"/>
            <w:vAlign w:val="bottom"/>
          </w:tcPr>
          <w:p>
            <w:pPr>
              <w:spacing w:after="0"/>
              <w:rPr>
                <w:sz w:val="18"/>
                <w:szCs w:val="18"/>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Less Than Twelve Months</w:t>
            </w:r>
          </w:p>
        </w:tc>
        <w:tc>
          <w:tcPr>
            <w:tcW w:w="80" w:type="dxa"/>
            <w:vAlign w:val="bottom"/>
          </w:tcPr>
          <w:p>
            <w:pPr>
              <w:spacing w:after="0"/>
              <w:rPr>
                <w:sz w:val="19"/>
                <w:szCs w:val="19"/>
                <w:color w:val="auto"/>
              </w:rPr>
            </w:pPr>
          </w:p>
        </w:tc>
        <w:tc>
          <w:tcPr>
            <w:tcW w:w="2220" w:type="dxa"/>
            <w:vAlign w:val="bottom"/>
            <w:gridSpan w:val="5"/>
          </w:tcPr>
          <w:p>
            <w:pPr>
              <w:ind w:left="180"/>
              <w:spacing w:after="0"/>
              <w:rPr>
                <w:sz w:val="20"/>
                <w:szCs w:val="20"/>
                <w:color w:val="auto"/>
              </w:rPr>
            </w:pPr>
            <w:r>
              <w:rPr>
                <w:rFonts w:ascii="Arial" w:cs="Arial" w:eastAsia="Arial" w:hAnsi="Arial"/>
                <w:sz w:val="18"/>
                <w:szCs w:val="18"/>
                <w:color w:val="auto"/>
              </w:rPr>
              <w:t>Twelve Months &amp; Over</w:t>
            </w: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right="302"/>
              <w:spacing w:after="0"/>
              <w:rPr>
                <w:sz w:val="20"/>
                <w:szCs w:val="20"/>
                <w:color w:val="auto"/>
              </w:rPr>
            </w:pPr>
            <w:r>
              <w:rPr>
                <w:rFonts w:ascii="Arial" w:cs="Arial" w:eastAsia="Arial" w:hAnsi="Arial"/>
                <w:sz w:val="18"/>
                <w:szCs w:val="18"/>
                <w:color w:val="auto"/>
                <w:w w:val="83"/>
              </w:rPr>
              <w:t>Gross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Gross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02"/>
              <w:spacing w:after="0"/>
              <w:rPr>
                <w:sz w:val="20"/>
                <w:szCs w:val="20"/>
                <w:color w:val="auto"/>
              </w:rPr>
            </w:pPr>
            <w:r>
              <w:rPr>
                <w:rFonts w:ascii="Arial" w:cs="Arial" w:eastAsia="Arial" w:hAnsi="Arial"/>
                <w:sz w:val="18"/>
                <w:szCs w:val="18"/>
                <w:color w:val="auto"/>
                <w:w w:val="88"/>
              </w:rPr>
              <w:t>Unrealized</w:t>
            </w:r>
          </w:p>
        </w:tc>
        <w:tc>
          <w:tcPr>
            <w:tcW w:w="180" w:type="dxa"/>
            <w:vAlign w:val="bottom"/>
          </w:tcPr>
          <w:p>
            <w:pPr>
              <w:spacing w:after="0"/>
              <w:rPr>
                <w:sz w:val="19"/>
                <w:szCs w:val="19"/>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Unrealized</w:t>
            </w:r>
          </w:p>
        </w:tc>
        <w:tc>
          <w:tcPr>
            <w:tcW w:w="180" w:type="dxa"/>
            <w:vAlign w:val="bottom"/>
          </w:tcPr>
          <w:p>
            <w:pPr>
              <w:spacing w:after="0"/>
              <w:rPr>
                <w:sz w:val="19"/>
                <w:szCs w:val="1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5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Losses</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6"/>
              </w:rPr>
              <w:t>Value</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Losses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100" w:type="dxa"/>
            <w:vAlign w:val="bottom"/>
            <w:gridSpan w:val="2"/>
          </w:tcPr>
          <w:p>
            <w:pPr>
              <w:jc w:val="right"/>
              <w:ind w:right="122"/>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left w:val="single" w:sz="8" w:color="CFF0FC"/>
            </w:tcBorders>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20" w:type="dxa"/>
            <w:vAlign w:val="bottom"/>
          </w:tcPr>
          <w:p>
            <w:pPr>
              <w:spacing w:after="0"/>
              <w:rPr>
                <w:sz w:val="19"/>
                <w:szCs w:val="19"/>
                <w:color w:val="auto"/>
              </w:rPr>
            </w:pPr>
          </w:p>
        </w:tc>
        <w:tc>
          <w:tcPr>
            <w:tcW w:w="1100" w:type="dxa"/>
            <w:vAlign w:val="bottom"/>
            <w:gridSpan w:val="2"/>
          </w:tcPr>
          <w:p>
            <w:pPr>
              <w:jc w:val="right"/>
              <w:ind w:right="12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available-for-sales securities</w:t>
            </w: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22"/>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51,893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Sales of $9.3, $11.8, and $11.1 million for 2021, 2020, and 2019 respectively, generated gross realized gains and losses for the years ended</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December 31, as presented below:</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0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800" w:type="dxa"/>
            <w:vAlign w:val="bottom"/>
            <w:shd w:val="clear" w:color="auto" w:fill="CFF0FC"/>
          </w:tcPr>
          <w:p>
            <w:pPr>
              <w:jc w:val="right"/>
              <w:ind w:right="6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293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80" w:type="dxa"/>
            <w:vAlign w:val="bottom"/>
          </w:tcPr>
          <w:p>
            <w:pPr>
              <w:spacing w:after="0"/>
              <w:rPr>
                <w:sz w:val="20"/>
                <w:szCs w:val="20"/>
                <w:color w:val="auto"/>
              </w:rPr>
            </w:pPr>
            <w:r>
              <w:rPr>
                <w:rFonts w:ascii="Arial" w:cs="Arial" w:eastAsia="Arial" w:hAnsi="Arial"/>
                <w:sz w:val="18"/>
                <w:szCs w:val="18"/>
                <w:color w:val="auto"/>
              </w:rPr>
              <w:t>Gross realized losses</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realized gains (losses)</w:t>
            </w: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vMerge w:val="continue"/>
            <w:shd w:val="clear" w:color="auto" w:fill="CFF0FC"/>
          </w:tcPr>
          <w:p>
            <w:pPr>
              <w:spacing w:after="0"/>
              <w:rPr>
                <w:sz w:val="18"/>
                <w:szCs w:val="18"/>
                <w:color w:val="auto"/>
              </w:rPr>
            </w:pPr>
          </w:p>
        </w:tc>
        <w:tc>
          <w:tcPr>
            <w:tcW w:w="800" w:type="dxa"/>
            <w:vAlign w:val="bottom"/>
            <w:shd w:val="clear" w:color="auto" w:fill="CFF0FC"/>
          </w:tcPr>
          <w:p>
            <w:pPr>
              <w:jc w:val="right"/>
              <w:ind w:right="6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293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Tax expense (benefit) related to net realized gains (losses)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tcPr>
          <w:p>
            <w:pPr>
              <w:spacing w:after="0"/>
              <w:rPr>
                <w:sz w:val="17"/>
                <w:szCs w:val="17"/>
                <w:color w:val="auto"/>
              </w:rPr>
            </w:pP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62</w:t>
            </w:r>
          </w:p>
        </w:tc>
        <w:tc>
          <w:tcPr>
            <w:tcW w:w="24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57</w:t>
            </w:r>
          </w:p>
        </w:tc>
        <w:tc>
          <w:tcPr>
            <w:tcW w:w="2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net realized gain (loss) on sales and related tax expense (benefit) is a reclassification out of accumulated other comprehensive income (loss). The net realized gain (loss) is included in net gain (loss) on sale of securities available-for-sale and the related tax expense (benefit) is included in income taxes in the consolidated statements of income.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Farmers &amp; Merchants Bancorp, Inc. and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Securities (Continued)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p>
      <w:pPr>
        <w:spacing w:after="0" w:line="319" w:lineRule="exact"/>
        <w:rPr>
          <w:sz w:val="20"/>
          <w:szCs w:val="20"/>
          <w:color w:val="auto"/>
        </w:rPr>
      </w:pPr>
    </w:p>
    <w:p>
      <w:pPr>
        <w:ind w:left="800"/>
        <w:spacing w:after="0" w:line="325" w:lineRule="auto"/>
        <w:rPr>
          <w:sz w:val="20"/>
          <w:szCs w:val="20"/>
          <w:color w:val="auto"/>
        </w:rPr>
      </w:pPr>
      <w:r>
        <w:rPr>
          <w:rFonts w:ascii="Arial" w:cs="Arial" w:eastAsia="Arial" w:hAnsi="Arial"/>
          <w:sz w:val="16"/>
          <w:szCs w:val="16"/>
          <w:color w:val="auto"/>
        </w:rPr>
        <w:t>The amortized cost and fair value of debt securities at December 31, 2021, by contractual maturity, are shown below. Expected maturities will differ from contractual maturities because borrowers may have the right to call or prepay obligations with or without call or prepayment penalties.</w:t>
      </w:r>
    </w:p>
    <w:p>
      <w:pPr>
        <w:spacing w:after="0" w:line="147"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5"/>
          </w:tcPr>
          <w:p>
            <w:pPr>
              <w:ind w:left="520"/>
              <w:spacing w:after="0"/>
              <w:rPr>
                <w:sz w:val="20"/>
                <w:szCs w:val="20"/>
                <w:color w:val="auto"/>
              </w:rPr>
            </w:pPr>
            <w:r>
              <w:rPr>
                <w:rFonts w:ascii="Arial" w:cs="Arial" w:eastAsia="Arial" w:hAnsi="Arial"/>
                <w:sz w:val="18"/>
                <w:szCs w:val="18"/>
                <w:color w:val="auto"/>
              </w:rPr>
              <w:t>(In Thousands)</w:t>
            </w:r>
          </w:p>
        </w:tc>
      </w:tr>
      <w:tr>
        <w:trPr>
          <w:trHeight w:val="217"/>
        </w:trPr>
        <w:tc>
          <w:tcPr>
            <w:tcW w:w="5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1"/>
              </w:rPr>
              <w:t>Amortized</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r>
      <w:tr>
        <w:trPr>
          <w:trHeight w:val="217"/>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9,413</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9,458</w:t>
            </w:r>
          </w:p>
        </w:tc>
        <w:tc>
          <w:tcPr>
            <w:tcW w:w="60" w:type="dxa"/>
            <w:vAlign w:val="bottom"/>
            <w:tcBorders>
              <w:top w:val="single" w:sz="8" w:color="CFF0FC"/>
            </w:tcBorders>
            <w:shd w:val="clear" w:color="auto" w:fill="CFF0FC"/>
          </w:tcPr>
          <w:p>
            <w:pPr>
              <w:spacing w:after="0"/>
              <w:rPr>
                <w:sz w:val="18"/>
                <w:szCs w:val="18"/>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149,169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148,405</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156,830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154,141</w:t>
            </w:r>
          </w:p>
        </w:tc>
        <w:tc>
          <w:tcPr>
            <w:tcW w:w="60" w:type="dxa"/>
            <w:vAlign w:val="bottom"/>
            <w:shd w:val="clear" w:color="auto" w:fill="CFF0FC"/>
          </w:tcPr>
          <w:p>
            <w:pPr>
              <w:spacing w:after="0"/>
              <w:rPr>
                <w:sz w:val="19"/>
                <w:szCs w:val="19"/>
                <w:color w:val="auto"/>
              </w:rPr>
            </w:pPr>
          </w:p>
        </w:tc>
      </w:tr>
      <w:tr>
        <w:trPr>
          <w:trHeight w:val="224"/>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r>
      <w:tr>
        <w:trPr>
          <w:trHeight w:val="217"/>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315,412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312,004</w:t>
            </w:r>
          </w:p>
        </w:tc>
        <w:tc>
          <w:tcPr>
            <w:tcW w:w="60" w:type="dxa"/>
            <w:vAlign w:val="bottom"/>
            <w:shd w:val="clear" w:color="auto" w:fill="CFF0FC"/>
          </w:tcPr>
          <w:p>
            <w:pPr>
              <w:spacing w:after="0"/>
              <w:rPr>
                <w:sz w:val="18"/>
                <w:szCs w:val="18"/>
                <w:color w:val="auto"/>
              </w:rPr>
            </w:pPr>
          </w:p>
        </w:tc>
      </w:tr>
      <w:tr>
        <w:trPr>
          <w:trHeight w:val="224"/>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117,927</w:t>
            </w:r>
          </w:p>
        </w:tc>
        <w:tc>
          <w:tcPr>
            <w:tcW w:w="60" w:type="dxa"/>
            <w:vAlign w:val="bottom"/>
            <w:tcBorders>
              <w:bottom w:val="single" w:sz="8" w:color="CFF0FC"/>
            </w:tcBorders>
          </w:tcPr>
          <w:p>
            <w:pPr>
              <w:spacing w:after="0"/>
              <w:rPr>
                <w:sz w:val="19"/>
                <w:szCs w:val="19"/>
                <w:color w:val="auto"/>
              </w:rPr>
            </w:pPr>
          </w:p>
        </w:tc>
      </w:tr>
      <w:tr>
        <w:trPr>
          <w:trHeight w:val="217"/>
        </w:trPr>
        <w:tc>
          <w:tcPr>
            <w:tcW w:w="5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433,962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429,931</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Investments with a carrying value and fair value of $115.0 million at December 31, 2021 and $83.2 million at December 31, 2020 were pledged to secure public deposits and securities sold under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w:t>
      </w:r>
    </w:p>
    <w:p>
      <w:pPr>
        <w:spacing w:after="0" w:line="1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Company had $7.7 million in loans held for sale at December 31, 2021 as compared to $7.7 million in loans held for sale at December 31, 2020.</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222"/>
        </w:trPr>
        <w:tc>
          <w:tcPr>
            <w:tcW w:w="6340" w:type="dxa"/>
            <w:vAlign w:val="bottom"/>
            <w:gridSpan w:val="3"/>
          </w:tcPr>
          <w:p>
            <w:pPr>
              <w:spacing w:after="0"/>
              <w:rPr>
                <w:sz w:val="20"/>
                <w:szCs w:val="20"/>
                <w:color w:val="auto"/>
              </w:rPr>
            </w:pPr>
            <w:r>
              <w:rPr>
                <w:rFonts w:ascii="Arial" w:cs="Arial" w:eastAsia="Arial" w:hAnsi="Arial"/>
                <w:sz w:val="18"/>
                <w:szCs w:val="18"/>
                <w:color w:val="auto"/>
              </w:rPr>
              <w:t>Loans at December 31 are summarized below:</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5"/>
        </w:trPr>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color w:val="auto"/>
              </w:rPr>
              <w:t>(In Thousands)</w:t>
            </w:r>
          </w:p>
        </w:tc>
      </w:tr>
      <w:tr>
        <w:trPr>
          <w:trHeight w:val="178"/>
        </w:trPr>
        <w:tc>
          <w:tcPr>
            <w:tcW w:w="6340" w:type="dxa"/>
            <w:vAlign w:val="bottom"/>
            <w:gridSpan w:val="3"/>
          </w:tcPr>
          <w:p>
            <w:pPr>
              <w:ind w:left="900"/>
              <w:spacing w:after="0" w:line="178" w:lineRule="exact"/>
              <w:rPr>
                <w:sz w:val="20"/>
                <w:szCs w:val="20"/>
                <w:color w:val="auto"/>
              </w:rPr>
            </w:pPr>
            <w:r>
              <w:rPr>
                <w:rFonts w:ascii="Arial" w:cs="Arial" w:eastAsia="Arial" w:hAnsi="Arial"/>
                <w:sz w:val="18"/>
                <w:szCs w:val="18"/>
                <w:color w:val="auto"/>
              </w:rPr>
              <w:t>Loans:</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72"/>
              <w:spacing w:after="0" w:line="178"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72"/>
              <w:spacing w:after="0" w:line="178" w:lineRule="exact"/>
              <w:rPr>
                <w:sz w:val="20"/>
                <w:szCs w:val="20"/>
                <w:color w:val="auto"/>
              </w:rPr>
            </w:pPr>
            <w:r>
              <w:rPr>
                <w:rFonts w:ascii="Arial" w:cs="Arial" w:eastAsia="Arial" w:hAnsi="Arial"/>
                <w:sz w:val="18"/>
                <w:szCs w:val="18"/>
                <w:color w:val="auto"/>
              </w:rPr>
              <w:t>2020</w:t>
            </w:r>
          </w:p>
        </w:tc>
        <w:tc>
          <w:tcPr>
            <w:tcW w:w="8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60" w:type="dxa"/>
            <w:vAlign w:val="bottom"/>
            <w:tcBorders>
              <w:top w:val="single" w:sz="8" w:color="auto"/>
              <w:bottom w:val="single" w:sz="8" w:color="CFF0FC"/>
            </w:tcBorders>
          </w:tcPr>
          <w:p>
            <w:pPr>
              <w:spacing w:after="0" w:line="20" w:lineRule="exact"/>
              <w:rPr>
                <w:sz w:val="1"/>
                <w:szCs w:val="1"/>
                <w:color w:val="auto"/>
              </w:rPr>
            </w:pPr>
          </w:p>
        </w:tc>
        <w:tc>
          <w:tcPr>
            <w:tcW w:w="49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17"/>
        </w:trPr>
        <w:tc>
          <w:tcPr>
            <w:tcW w:w="900" w:type="dxa"/>
            <w:vAlign w:val="bottom"/>
          </w:tcPr>
          <w:p>
            <w:pPr>
              <w:spacing w:after="0"/>
              <w:rPr>
                <w:sz w:val="18"/>
                <w:szCs w:val="18"/>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395,873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175,588</w:t>
            </w:r>
          </w:p>
        </w:tc>
        <w:tc>
          <w:tcPr>
            <w:tcW w:w="80" w:type="dxa"/>
            <w:vAlign w:val="bottom"/>
            <w:shd w:val="clear" w:color="auto" w:fill="CFF0FC"/>
          </w:tcPr>
          <w:p>
            <w:pPr>
              <w:spacing w:after="0"/>
              <w:rPr>
                <w:sz w:val="18"/>
                <w:szCs w:val="18"/>
                <w:color w:val="auto"/>
              </w:rPr>
            </w:pPr>
          </w:p>
        </w:tc>
      </w:tr>
      <w:tr>
        <w:trPr>
          <w:trHeight w:val="224"/>
        </w:trPr>
        <w:tc>
          <w:tcPr>
            <w:tcW w:w="90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198,343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189,159</w:t>
            </w:r>
          </w:p>
        </w:tc>
        <w:tc>
          <w:tcPr>
            <w:tcW w:w="80" w:type="dxa"/>
            <w:vAlign w:val="bottom"/>
          </w:tcPr>
          <w:p>
            <w:pPr>
              <w:spacing w:after="0"/>
              <w:rPr>
                <w:sz w:val="19"/>
                <w:szCs w:val="19"/>
                <w:color w:val="auto"/>
              </w:rPr>
            </w:pPr>
          </w:p>
        </w:tc>
      </w:tr>
      <w:tr>
        <w:trPr>
          <w:trHeight w:val="224"/>
        </w:trPr>
        <w:tc>
          <w:tcPr>
            <w:tcW w:w="90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94,358</w:t>
            </w:r>
          </w:p>
        </w:tc>
        <w:tc>
          <w:tcPr>
            <w:tcW w:w="80" w:type="dxa"/>
            <w:vAlign w:val="bottom"/>
            <w:shd w:val="clear" w:color="auto" w:fill="CFF0FC"/>
          </w:tcPr>
          <w:p>
            <w:pPr>
              <w:spacing w:after="0"/>
              <w:rPr>
                <w:sz w:val="19"/>
                <w:szCs w:val="19"/>
                <w:color w:val="auto"/>
              </w:rPr>
            </w:pPr>
          </w:p>
        </w:tc>
      </w:tr>
      <w:tr>
        <w:trPr>
          <w:trHeight w:val="224"/>
        </w:trPr>
        <w:tc>
          <w:tcPr>
            <w:tcW w:w="90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848,477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588,825</w:t>
            </w:r>
          </w:p>
        </w:tc>
        <w:tc>
          <w:tcPr>
            <w:tcW w:w="80" w:type="dxa"/>
            <w:vAlign w:val="bottom"/>
          </w:tcPr>
          <w:p>
            <w:pPr>
              <w:spacing w:after="0"/>
              <w:rPr>
                <w:sz w:val="19"/>
                <w:szCs w:val="19"/>
                <w:color w:val="auto"/>
              </w:rPr>
            </w:pPr>
          </w:p>
        </w:tc>
      </w:tr>
      <w:tr>
        <w:trPr>
          <w:trHeight w:val="224"/>
        </w:trPr>
        <w:tc>
          <w:tcPr>
            <w:tcW w:w="90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189,246</w:t>
            </w:r>
          </w:p>
        </w:tc>
        <w:tc>
          <w:tcPr>
            <w:tcW w:w="80" w:type="dxa"/>
            <w:vAlign w:val="bottom"/>
            <w:shd w:val="clear" w:color="auto" w:fill="CFF0FC"/>
          </w:tcPr>
          <w:p>
            <w:pPr>
              <w:spacing w:after="0"/>
              <w:rPr>
                <w:sz w:val="19"/>
                <w:szCs w:val="19"/>
                <w:color w:val="auto"/>
              </w:rPr>
            </w:pPr>
          </w:p>
        </w:tc>
      </w:tr>
      <w:tr>
        <w:trPr>
          <w:trHeight w:val="224"/>
        </w:trPr>
        <w:tc>
          <w:tcPr>
            <w:tcW w:w="90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52,540</w:t>
            </w:r>
          </w:p>
        </w:tc>
        <w:tc>
          <w:tcPr>
            <w:tcW w:w="80" w:type="dxa"/>
            <w:vAlign w:val="bottom"/>
          </w:tcPr>
          <w:p>
            <w:pPr>
              <w:spacing w:after="0"/>
              <w:rPr>
                <w:sz w:val="19"/>
                <w:szCs w:val="19"/>
                <w:color w:val="auto"/>
              </w:rPr>
            </w:pPr>
          </w:p>
        </w:tc>
      </w:tr>
      <w:tr>
        <w:trPr>
          <w:trHeight w:val="224"/>
        </w:trPr>
        <w:tc>
          <w:tcPr>
            <w:tcW w:w="90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15,757</w:t>
            </w:r>
          </w:p>
        </w:tc>
        <w:tc>
          <w:tcPr>
            <w:tcW w:w="80" w:type="dxa"/>
            <w:vAlign w:val="bottom"/>
            <w:shd w:val="clear" w:color="auto" w:fill="CFF0FC"/>
          </w:tcPr>
          <w:p>
            <w:pPr>
              <w:spacing w:after="0"/>
              <w:rPr>
                <w:sz w:val="19"/>
                <w:szCs w:val="19"/>
                <w:color w:val="auto"/>
              </w:rPr>
            </w:pPr>
          </w:p>
        </w:tc>
      </w:tr>
      <w:tr>
        <w:trPr>
          <w:trHeight w:val="217"/>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1,859,157</w:t>
            </w:r>
          </w:p>
        </w:tc>
        <w:tc>
          <w:tcPr>
            <w:tcW w:w="2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1,305,473</w:t>
            </w:r>
          </w:p>
        </w:tc>
        <w:tc>
          <w:tcPr>
            <w:tcW w:w="80" w:type="dxa"/>
            <w:vAlign w:val="bottom"/>
          </w:tcPr>
          <w:p>
            <w:pPr>
              <w:spacing w:after="0"/>
              <w:rPr>
                <w:sz w:val="18"/>
                <w:szCs w:val="18"/>
                <w:color w:val="auto"/>
              </w:rPr>
            </w:pPr>
          </w:p>
        </w:tc>
      </w:tr>
      <w:tr>
        <w:trPr>
          <w:trHeight w:val="224"/>
        </w:trPr>
        <w:tc>
          <w:tcPr>
            <w:tcW w:w="90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(1,738)</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(2,483)</w:t>
            </w:r>
          </w:p>
        </w:tc>
      </w:tr>
      <w:tr>
        <w:trPr>
          <w:trHeight w:val="217"/>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1,857,419</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1,302,990</w:t>
            </w:r>
          </w:p>
        </w:tc>
        <w:tc>
          <w:tcPr>
            <w:tcW w:w="80" w:type="dxa"/>
            <w:vAlign w:val="bottom"/>
          </w:tcPr>
          <w:p>
            <w:pPr>
              <w:spacing w:after="0"/>
              <w:rPr>
                <w:sz w:val="18"/>
                <w:szCs w:val="18"/>
                <w:color w:val="auto"/>
              </w:rPr>
            </w:pPr>
          </w:p>
        </w:tc>
      </w:tr>
      <w:tr>
        <w:trPr>
          <w:trHeight w:val="224"/>
        </w:trPr>
        <w:tc>
          <w:tcPr>
            <w:tcW w:w="90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(16,242)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(13,672)</w:t>
            </w:r>
          </w:p>
        </w:tc>
      </w:tr>
      <w:tr>
        <w:trPr>
          <w:trHeight w:val="217"/>
        </w:trPr>
        <w:tc>
          <w:tcPr>
            <w:tcW w:w="900" w:type="dxa"/>
            <w:vAlign w:val="bottom"/>
          </w:tcPr>
          <w:p>
            <w:pPr>
              <w:spacing w:after="0"/>
              <w:rPr>
                <w:sz w:val="18"/>
                <w:szCs w:val="18"/>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Loans - Net</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1,841,177</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1,289,318</w:t>
            </w:r>
          </w:p>
        </w:tc>
        <w:tc>
          <w:tcPr>
            <w:tcW w:w="8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2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80"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80"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91"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91" w:lineRule="exact"/>
        <w:rPr>
          <w:sz w:val="20"/>
          <w:szCs w:val="20"/>
          <w:color w:val="auto"/>
        </w:rPr>
      </w:pPr>
    </w:p>
    <w:p>
      <w:pPr>
        <w:jc w:val="both"/>
        <w:ind w:left="800"/>
        <w:spacing w:after="0" w:line="281"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 Included in commercial loans for 2021 and 2020 are $2.9 million and $36.2 million, respectively of Paycheck Protection Program (PPP) loans, administered by the Small Business Administration (SBA). The PPP provided loans to eligible business through financial institutions like the Bank, with loans being eligible for forgiveness of some or all of the principal amount by the SBA if the borrower meets certain requirements. The SBA guarantees repayment of the loans to the Bank if the borrower’s loan is not forgiven and is then not repaid by the customer. Therefore, there is no allowance for loan losses related to these loans.</w:t>
      </w:r>
    </w:p>
    <w:p>
      <w:pPr>
        <w:spacing w:after="0" w:line="169"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 factors.</w:t>
      </w:r>
    </w:p>
    <w:p>
      <w:pPr>
        <w:spacing w:after="0" w:line="180"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0" w:lineRule="exact"/>
        <w:rPr>
          <w:sz w:val="20"/>
          <w:szCs w:val="20"/>
          <w:color w:val="auto"/>
        </w:rPr>
      </w:pP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maturity schedule by major category of loans excluding fair value adjustments at December 31, 2021:</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After One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Within</w:t>
            </w: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Year Within</w:t>
            </w:r>
          </w:p>
        </w:tc>
        <w:tc>
          <w:tcPr>
            <w:tcW w:w="10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After</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One Year</w:t>
            </w: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Five Years</w:t>
            </w:r>
          </w:p>
        </w:tc>
        <w:tc>
          <w:tcPr>
            <w:tcW w:w="10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Five Years</w:t>
            </w:r>
          </w:p>
        </w:tc>
        <w:tc>
          <w:tcPr>
            <w:tcW w:w="18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7"/>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35,921</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355,631</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400,430</w:t>
            </w: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188,486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198,785</w:t>
            </w:r>
          </w:p>
        </w:tc>
        <w:tc>
          <w:tcPr>
            <w:tcW w:w="100" w:type="dxa"/>
            <w:vAlign w:val="bottom"/>
          </w:tcPr>
          <w:p>
            <w:pPr>
              <w:spacing w:after="0"/>
              <w:rPr>
                <w:sz w:val="19"/>
                <w:szCs w:val="19"/>
                <w:color w:val="auto"/>
              </w:rPr>
            </w:pPr>
          </w:p>
        </w:tc>
      </w:tr>
      <w:tr>
        <w:trPr>
          <w:trHeight w:val="224"/>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118,397</w:t>
            </w:r>
          </w:p>
        </w:tc>
        <w:tc>
          <w:tcPr>
            <w:tcW w:w="100" w:type="dxa"/>
            <w:vAlign w:val="bottom"/>
            <w:shd w:val="clear" w:color="auto" w:fill="CFF0FC"/>
          </w:tcPr>
          <w:p>
            <w:pPr>
              <w:spacing w:after="0"/>
              <w:rPr>
                <w:sz w:val="19"/>
                <w:szCs w:val="19"/>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308,165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501,086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848,681</w:t>
            </w:r>
          </w:p>
        </w:tc>
        <w:tc>
          <w:tcPr>
            <w:tcW w:w="100" w:type="dxa"/>
            <w:vAlign w:val="bottom"/>
          </w:tcPr>
          <w:p>
            <w:pPr>
              <w:spacing w:after="0"/>
              <w:rPr>
                <w:sz w:val="19"/>
                <w:szCs w:val="19"/>
                <w:color w:val="auto"/>
              </w:rPr>
            </w:pPr>
          </w:p>
        </w:tc>
      </w:tr>
      <w:tr>
        <w:trPr>
          <w:trHeight w:val="224"/>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87,047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209,040</w:t>
            </w:r>
          </w:p>
        </w:tc>
        <w:tc>
          <w:tcPr>
            <w:tcW w:w="100" w:type="dxa"/>
            <w:vAlign w:val="bottom"/>
            <w:shd w:val="clear" w:color="auto" w:fill="CFF0FC"/>
          </w:tcPr>
          <w:p>
            <w:pPr>
              <w:spacing w:after="0"/>
              <w:rPr>
                <w:sz w:val="19"/>
                <w:szCs w:val="19"/>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57,788</w:t>
            </w:r>
          </w:p>
        </w:tc>
        <w:tc>
          <w:tcPr>
            <w:tcW w:w="100" w:type="dxa"/>
            <w:vAlign w:val="bottom"/>
          </w:tcPr>
          <w:p>
            <w:pPr>
              <w:spacing w:after="0"/>
              <w:rPr>
                <w:sz w:val="19"/>
                <w:szCs w:val="19"/>
                <w:color w:val="auto"/>
              </w:rPr>
            </w:pPr>
          </w:p>
        </w:tc>
      </w:tr>
      <w:tr>
        <w:trPr>
          <w:trHeight w:val="224"/>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32,102</w:t>
            </w:r>
          </w:p>
        </w:tc>
        <w:tc>
          <w:tcPr>
            <w:tcW w:w="100" w:type="dxa"/>
            <w:vAlign w:val="bottom"/>
            <w:shd w:val="clear" w:color="auto" w:fill="CFF0FC"/>
          </w:tcPr>
          <w:p>
            <w:pPr>
              <w:spacing w:after="0"/>
              <w:rPr>
                <w:sz w:val="19"/>
                <w:szCs w:val="19"/>
                <w:color w:val="auto"/>
              </w:rPr>
            </w:pPr>
          </w:p>
        </w:tc>
      </w:tr>
      <w:tr>
        <w:trPr>
          <w:trHeight w:val="217"/>
        </w:trPr>
        <w:tc>
          <w:tcPr>
            <w:tcW w:w="5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194,950</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512,656</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1,157,617</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1,865,223</w:t>
            </w: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December 31, 2021:</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19"/>
                <w:szCs w:val="19"/>
                <w:color w:val="auto"/>
              </w:rPr>
            </w:pPr>
          </w:p>
        </w:tc>
      </w:tr>
      <w:tr>
        <w:trPr>
          <w:trHeight w:val="217"/>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Variable</w:t>
            </w:r>
          </w:p>
        </w:tc>
      </w:tr>
      <w:tr>
        <w:trPr>
          <w:trHeight w:val="224"/>
        </w:trPr>
        <w:tc>
          <w:tcPr>
            <w:tcW w:w="5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color w:val="auto"/>
                <w:w w:val="84"/>
              </w:rPr>
              <w:t>Rate</w:t>
            </w:r>
          </w:p>
        </w:tc>
        <w:tc>
          <w:tcPr>
            <w:tcW w:w="16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Rate</w:t>
            </w:r>
          </w:p>
        </w:tc>
      </w:tr>
      <w:tr>
        <w:trPr>
          <w:trHeight w:val="217"/>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327,529</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68,344</w:t>
            </w:r>
          </w:p>
        </w:tc>
        <w:tc>
          <w:tcPr>
            <w:tcW w:w="60" w:type="dxa"/>
            <w:vAlign w:val="bottom"/>
            <w:tcBorders>
              <w:top w:val="single" w:sz="8" w:color="CFF0FC"/>
            </w:tcBorders>
            <w:shd w:val="clear" w:color="auto" w:fill="CFF0FC"/>
          </w:tcPr>
          <w:p>
            <w:pPr>
              <w:spacing w:after="0"/>
              <w:rPr>
                <w:sz w:val="18"/>
                <w:szCs w:val="18"/>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127,918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70,425</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14,099</w:t>
            </w:r>
          </w:p>
        </w:tc>
        <w:tc>
          <w:tcPr>
            <w:tcW w:w="60" w:type="dxa"/>
            <w:vAlign w:val="bottom"/>
            <w:shd w:val="clear" w:color="auto" w:fill="CFF0FC"/>
          </w:tcPr>
          <w:p>
            <w:pPr>
              <w:spacing w:after="0"/>
              <w:rPr>
                <w:sz w:val="19"/>
                <w:szCs w:val="19"/>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712,755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135,722</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174,633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33,637</w:t>
            </w:r>
          </w:p>
        </w:tc>
        <w:tc>
          <w:tcPr>
            <w:tcW w:w="60" w:type="dxa"/>
            <w:vAlign w:val="bottom"/>
            <w:shd w:val="clear" w:color="auto" w:fill="CFF0FC"/>
          </w:tcPr>
          <w:p>
            <w:pPr>
              <w:spacing w:after="0"/>
              <w:rPr>
                <w:sz w:val="19"/>
                <w:szCs w:val="19"/>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5,073</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9,987</w:t>
            </w:r>
          </w:p>
        </w:tc>
        <w:tc>
          <w:tcPr>
            <w:tcW w:w="6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Other loans are included in the commercial and industrial category for the remainder of the tables in this Note 4, unless specifically noted separately.</w:t>
      </w:r>
    </w:p>
    <w:p>
      <w:pPr>
        <w:spacing w:after="0" w:line="249" w:lineRule="exact"/>
        <w:rPr>
          <w:sz w:val="20"/>
          <w:szCs w:val="20"/>
          <w:color w:val="auto"/>
        </w:rPr>
      </w:pPr>
    </w:p>
    <w:p>
      <w:pPr>
        <w:ind w:left="760"/>
        <w:spacing w:after="0" w:line="262" w:lineRule="auto"/>
        <w:rPr>
          <w:sz w:val="20"/>
          <w:szCs w:val="20"/>
          <w:color w:val="auto"/>
        </w:rPr>
      </w:pPr>
      <w:r>
        <w:rPr>
          <w:rFonts w:ascii="Arial" w:cs="Arial" w:eastAsia="Arial" w:hAnsi="Arial"/>
          <w:sz w:val="18"/>
          <w:szCs w:val="18"/>
          <w:color w:val="auto"/>
        </w:rPr>
        <w:t>The following table represents the contractual aging of the recorded investment in past due loans by portfolio classification of loans as of December 31, 2021 and 2020, net of deferred loan fees and costs: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Recorded</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Investment</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6"/>
              </w:rPr>
              <w:t>30-59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72"/>
              <w:spacing w:after="0"/>
              <w:rPr>
                <w:sz w:val="20"/>
                <w:szCs w:val="20"/>
                <w:color w:val="auto"/>
              </w:rPr>
            </w:pPr>
            <w:r>
              <w:rPr>
                <w:rFonts w:ascii="Arial" w:cs="Arial" w:eastAsia="Arial" w:hAnsi="Arial"/>
                <w:sz w:val="18"/>
                <w:szCs w:val="18"/>
                <w:color w:val="auto"/>
                <w:w w:val="86"/>
              </w:rPr>
              <w:t>60-89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Greater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8"/>
              </w:rPr>
              <w:t>&gt; 90 Days</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7"/>
              </w:rPr>
              <w:t>Days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Days</w:t>
            </w:r>
          </w:p>
        </w:tc>
        <w:tc>
          <w:tcPr>
            <w:tcW w:w="8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Than</w:t>
            </w:r>
          </w:p>
        </w:tc>
        <w:tc>
          <w:tcPr>
            <w:tcW w:w="140" w:type="dxa"/>
            <w:vAlign w:val="bottom"/>
          </w:tcPr>
          <w:p>
            <w:pPr>
              <w:spacing w:after="0"/>
              <w:rPr>
                <w:sz w:val="18"/>
                <w:szCs w:val="1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Financing</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December 31, 2021</w:t>
            </w:r>
          </w:p>
        </w:tc>
        <w:tc>
          <w:tcPr>
            <w:tcW w:w="80" w:type="dxa"/>
            <w:vAlign w:val="bottom"/>
          </w:tcPr>
          <w:p>
            <w:pPr>
              <w:spacing w:after="0"/>
              <w:rPr>
                <w:sz w:val="19"/>
                <w:szCs w:val="19"/>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6"/>
              </w:rPr>
              <w:t>Past Due</w:t>
            </w:r>
          </w:p>
        </w:tc>
        <w:tc>
          <w:tcPr>
            <w:tcW w:w="24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6"/>
              </w:rPr>
              <w:t>Past Due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90 Days</w:t>
            </w:r>
          </w:p>
        </w:tc>
        <w:tc>
          <w:tcPr>
            <w:tcW w:w="2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3"/>
              </w:rPr>
              <w:t>Past Due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3"/>
              </w:rPr>
              <w:t>Current</w:t>
            </w:r>
          </w:p>
        </w:tc>
        <w:tc>
          <w:tcPr>
            <w:tcW w:w="1280" w:type="dxa"/>
            <w:vAlign w:val="bottom"/>
            <w:gridSpan w:val="4"/>
          </w:tcPr>
          <w:p>
            <w:pPr>
              <w:ind w:left="220"/>
              <w:spacing w:after="0"/>
              <w:rPr>
                <w:sz w:val="20"/>
                <w:szCs w:val="20"/>
                <w:color w:val="auto"/>
              </w:rPr>
            </w:pPr>
            <w:r>
              <w:rPr>
                <w:rFonts w:ascii="Arial" w:cs="Arial" w:eastAsia="Arial" w:hAnsi="Arial"/>
                <w:sz w:val="18"/>
                <w:szCs w:val="18"/>
                <w:color w:val="auto"/>
              </w:rPr>
              <w:t>Receivables</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Accruing</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395,331</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395,805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2"/>
              <w:spacing w:after="0"/>
              <w:rPr>
                <w:sz w:val="20"/>
                <w:szCs w:val="20"/>
                <w:color w:val="auto"/>
              </w:rPr>
            </w:pPr>
            <w:r>
              <w:rPr>
                <w:rFonts w:ascii="Arial" w:cs="Arial" w:eastAsia="Arial" w:hAnsi="Arial"/>
                <w:sz w:val="18"/>
                <w:szCs w:val="18"/>
                <w:color w:val="auto"/>
                <w:w w:val="79"/>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197,597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198,033</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118,504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118,504</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846,930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847,110</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240,138</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57,829</w:t>
            </w: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1,855,964</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1,857,419</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2"/>
              <w:spacing w:after="0"/>
              <w:rPr>
                <w:sz w:val="20"/>
                <w:szCs w:val="20"/>
                <w:color w:val="auto"/>
              </w:rPr>
            </w:pPr>
            <w:r>
              <w:rPr>
                <w:rFonts w:ascii="Arial" w:cs="Arial" w:eastAsia="Arial" w:hAnsi="Arial"/>
                <w:sz w:val="18"/>
                <w:szCs w:val="18"/>
                <w:color w:val="auto"/>
                <w:w w:val="79"/>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Recorded</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Investment</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6"/>
              </w:rPr>
              <w:t>30-59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72"/>
              <w:spacing w:after="0"/>
              <w:rPr>
                <w:sz w:val="20"/>
                <w:szCs w:val="20"/>
                <w:color w:val="auto"/>
              </w:rPr>
            </w:pPr>
            <w:r>
              <w:rPr>
                <w:rFonts w:ascii="Arial" w:cs="Arial" w:eastAsia="Arial" w:hAnsi="Arial"/>
                <w:sz w:val="18"/>
                <w:szCs w:val="18"/>
                <w:color w:val="auto"/>
                <w:w w:val="86"/>
              </w:rPr>
              <w:t>60-89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Greater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8"/>
              </w:rPr>
              <w:t>&gt; 90 Days</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7"/>
              </w:rPr>
              <w:t>Days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Days</w:t>
            </w:r>
          </w:p>
        </w:tc>
        <w:tc>
          <w:tcPr>
            <w:tcW w:w="8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Than</w:t>
            </w:r>
          </w:p>
        </w:tc>
        <w:tc>
          <w:tcPr>
            <w:tcW w:w="140" w:type="dxa"/>
            <w:vAlign w:val="bottom"/>
          </w:tcPr>
          <w:p>
            <w:pPr>
              <w:spacing w:after="0"/>
              <w:rPr>
                <w:sz w:val="18"/>
                <w:szCs w:val="1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Financing</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December 31, 2020</w:t>
            </w:r>
          </w:p>
        </w:tc>
        <w:tc>
          <w:tcPr>
            <w:tcW w:w="80" w:type="dxa"/>
            <w:vAlign w:val="bottom"/>
          </w:tcPr>
          <w:p>
            <w:pPr>
              <w:spacing w:after="0"/>
              <w:rPr>
                <w:sz w:val="19"/>
                <w:szCs w:val="19"/>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color w:val="auto"/>
                <w:w w:val="86"/>
              </w:rPr>
              <w:t>Past Due</w:t>
            </w:r>
          </w:p>
        </w:tc>
        <w:tc>
          <w:tcPr>
            <w:tcW w:w="24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6"/>
              </w:rPr>
              <w:t>Past Due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90 Days</w:t>
            </w:r>
          </w:p>
        </w:tc>
        <w:tc>
          <w:tcPr>
            <w:tcW w:w="2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3"/>
              </w:rPr>
              <w:t>Past Due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3"/>
              </w:rPr>
              <w:t>Current</w:t>
            </w:r>
          </w:p>
        </w:tc>
        <w:tc>
          <w:tcPr>
            <w:tcW w:w="1280" w:type="dxa"/>
            <w:vAlign w:val="bottom"/>
            <w:gridSpan w:val="4"/>
          </w:tcPr>
          <w:p>
            <w:pPr>
              <w:ind w:left="220"/>
              <w:spacing w:after="0"/>
              <w:rPr>
                <w:sz w:val="20"/>
                <w:szCs w:val="20"/>
                <w:color w:val="auto"/>
              </w:rPr>
            </w:pPr>
            <w:r>
              <w:rPr>
                <w:rFonts w:ascii="Arial" w:cs="Arial" w:eastAsia="Arial" w:hAnsi="Arial"/>
                <w:sz w:val="18"/>
                <w:szCs w:val="18"/>
                <w:color w:val="auto"/>
              </w:rPr>
              <w:t>Receivables</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Accruing</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173,824</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175,316</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2"/>
              <w:spacing w:after="0"/>
              <w:rPr>
                <w:sz w:val="20"/>
                <w:szCs w:val="20"/>
                <w:color w:val="auto"/>
              </w:rPr>
            </w:pPr>
            <w:r>
              <w:rPr>
                <w:rFonts w:ascii="Arial" w:cs="Arial" w:eastAsia="Arial" w:hAnsi="Arial"/>
                <w:sz w:val="18"/>
                <w:szCs w:val="18"/>
                <w:color w:val="auto"/>
                <w:w w:val="79"/>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188,738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188,826</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94,490</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587,469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587,654</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204,043</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52,661</w:t>
            </w: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1,299,263</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1,302,990</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2"/>
              <w:spacing w:after="0"/>
              <w:rPr>
                <w:sz w:val="20"/>
                <w:szCs w:val="20"/>
                <w:color w:val="auto"/>
              </w:rPr>
            </w:pPr>
            <w:r>
              <w:rPr>
                <w:rFonts w:ascii="Arial" w:cs="Arial" w:eastAsia="Arial" w:hAnsi="Arial"/>
                <w:sz w:val="18"/>
                <w:szCs w:val="18"/>
                <w:color w:val="auto"/>
                <w:w w:val="79"/>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line="262" w:lineRule="auto"/>
        <w:rPr>
          <w:sz w:val="20"/>
          <w:szCs w:val="20"/>
          <w:color w:val="auto"/>
        </w:rPr>
      </w:pPr>
      <w:r>
        <w:rPr>
          <w:rFonts w:ascii="Arial" w:cs="Arial" w:eastAsia="Arial" w:hAnsi="Arial"/>
          <w:sz w:val="18"/>
          <w:szCs w:val="18"/>
          <w:color w:val="auto"/>
        </w:rPr>
        <w:t>The following table presents the recorded investment in nonaccrual loans by portfolio class of loans as of December 31, 2021 and December 31, 2020:</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ind w:left="420"/>
              <w:spacing w:after="0"/>
              <w:rPr>
                <w:sz w:val="20"/>
                <w:szCs w:val="20"/>
                <w:color w:val="auto"/>
              </w:rPr>
            </w:pPr>
            <w:r>
              <w:rPr>
                <w:rFonts w:ascii="Arial" w:cs="Arial" w:eastAsia="Arial" w:hAnsi="Arial"/>
                <w:sz w:val="18"/>
                <w:szCs w:val="18"/>
                <w:color w:val="auto"/>
              </w:rPr>
              <w:t>(In Thousands)</w:t>
            </w:r>
          </w:p>
        </w:tc>
      </w:tr>
      <w:tr>
        <w:trPr>
          <w:trHeight w:val="217"/>
        </w:trPr>
        <w:tc>
          <w:tcPr>
            <w:tcW w:w="54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FF0FC"/>
            </w:tcBorders>
          </w:tcPr>
          <w:p>
            <w:pPr>
              <w:spacing w:after="0"/>
              <w:rPr>
                <w:sz w:val="18"/>
                <w:szCs w:val="18"/>
                <w:color w:val="auto"/>
              </w:rPr>
            </w:pPr>
          </w:p>
        </w:tc>
      </w:tr>
      <w:tr>
        <w:trPr>
          <w:trHeight w:val="21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60" w:type="dxa"/>
            <w:vAlign w:val="bottom"/>
            <w:shd w:val="clear" w:color="auto" w:fill="CFF0FC"/>
          </w:tcPr>
          <w:p>
            <w:pPr>
              <w:spacing w:after="0"/>
              <w:rPr>
                <w:sz w:val="18"/>
                <w:szCs w:val="18"/>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5,575</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Agriculture</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FF0FC"/>
          </w:tcPr>
          <w:p>
            <w:pPr>
              <w:spacing w:after="0"/>
              <w:rPr>
                <w:sz w:val="19"/>
                <w:szCs w:val="19"/>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60" w:type="dxa"/>
            <w:vAlign w:val="bottom"/>
            <w:shd w:val="clear" w:color="auto" w:fill="CFF0FC"/>
          </w:tcPr>
          <w:p>
            <w:pPr>
              <w:spacing w:after="0"/>
              <w:rPr>
                <w:sz w:val="19"/>
                <w:szCs w:val="19"/>
                <w:color w:val="auto"/>
              </w:rPr>
            </w:pPr>
          </w:p>
        </w:tc>
      </w:tr>
      <w:tr>
        <w:trPr>
          <w:trHeight w:val="224"/>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FF0FC"/>
            </w:tcBorders>
          </w:tcPr>
          <w:p>
            <w:pPr>
              <w:spacing w:after="0"/>
              <w:rPr>
                <w:sz w:val="19"/>
                <w:szCs w:val="19"/>
                <w:color w:val="auto"/>
              </w:rPr>
            </w:pPr>
          </w:p>
        </w:tc>
      </w:tr>
      <w:tr>
        <w:trPr>
          <w:trHeight w:val="217"/>
        </w:trPr>
        <w:tc>
          <w:tcPr>
            <w:tcW w:w="5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risk ratings are described as follows.</w:t>
      </w:r>
    </w:p>
    <w:p>
      <w:pPr>
        <w:spacing w:after="0" w:line="109" w:lineRule="exact"/>
        <w:rPr>
          <w:sz w:val="20"/>
          <w:szCs w:val="20"/>
          <w:color w:val="auto"/>
        </w:rPr>
      </w:pPr>
    </w:p>
    <w:p>
      <w:pPr>
        <w:ind w:left="1620" w:hanging="49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09" w:lineRule="exact"/>
        <w:rPr>
          <w:rFonts w:ascii="Arial" w:cs="Arial" w:eastAsia="Arial" w:hAnsi="Arial"/>
          <w:sz w:val="18"/>
          <w:szCs w:val="18"/>
          <w:color w:val="auto"/>
        </w:rPr>
      </w:pPr>
    </w:p>
    <w:p>
      <w:pPr>
        <w:jc w:val="both"/>
        <w:ind w:left="1620" w:hanging="495"/>
        <w:spacing w:after="0" w:line="24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9" w:lineRule="exact"/>
        <w:rPr>
          <w:rFonts w:ascii="Arial" w:cs="Arial" w:eastAsia="Arial" w:hAnsi="Arial"/>
          <w:sz w:val="18"/>
          <w:szCs w:val="18"/>
          <w:color w:val="auto"/>
        </w:rPr>
      </w:pPr>
    </w:p>
    <w:p>
      <w:pPr>
        <w:jc w:val="both"/>
        <w:ind w:left="1620" w:hanging="495"/>
        <w:spacing w:after="0" w:line="291"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326" w:lineRule="exact"/>
        <w:rPr>
          <w:sz w:val="20"/>
          <w:szCs w:val="20"/>
          <w:color w:val="auto"/>
        </w:rPr>
      </w:pPr>
    </w:p>
    <w:p>
      <w:pPr>
        <w:jc w:val="both"/>
        <w:ind w:left="1620" w:hanging="495"/>
        <w:spacing w:after="0" w:line="300" w:lineRule="auto"/>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47" w:lineRule="exact"/>
        <w:rPr>
          <w:rFonts w:ascii="Arial" w:cs="Arial" w:eastAsia="Arial" w:hAnsi="Arial"/>
          <w:sz w:val="16"/>
          <w:szCs w:val="16"/>
          <w:color w:val="auto"/>
        </w:rPr>
      </w:pPr>
    </w:p>
    <w:p>
      <w:pPr>
        <w:ind w:left="1640" w:right="20"/>
        <w:spacing w:after="0" w:line="412" w:lineRule="auto"/>
        <w:rPr>
          <w:rFonts w:ascii="Arial" w:cs="Arial" w:eastAsia="Arial" w:hAnsi="Arial"/>
          <w:sz w:val="16"/>
          <w:szCs w:val="16"/>
          <w:color w:val="auto"/>
        </w:rPr>
      </w:pPr>
      <w:r>
        <w:rPr>
          <w:rFonts w:ascii="Arial" w:cs="Arial" w:eastAsia="Arial" w:hAnsi="Arial"/>
          <w:sz w:val="16"/>
          <w:szCs w:val="16"/>
          <w:color w:val="auto"/>
        </w:rPr>
        <w:t>Loans may be rated 3 when there is no recent information on which to base a current risk evaluation and the following conditions apply: At inception, the loan was properly underwritten and did not possess an unwarranted level of credit risk;</w:t>
      </w:r>
    </w:p>
    <w:p>
      <w:pPr>
        <w:ind w:left="2140" w:hanging="501"/>
        <w:spacing w:after="0"/>
        <w:tabs>
          <w:tab w:leader="none" w:pos="2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At inception, the loan was secured with collateral possessing a loan-to-value adequate to protect The Bank from loss;</w:t>
      </w:r>
    </w:p>
    <w:p>
      <w:pPr>
        <w:spacing w:after="0" w:line="132" w:lineRule="exact"/>
        <w:rPr>
          <w:rFonts w:ascii="Arial" w:cs="Arial" w:eastAsia="Arial" w:hAnsi="Arial"/>
          <w:sz w:val="16"/>
          <w:szCs w:val="16"/>
          <w:color w:val="auto"/>
        </w:rPr>
      </w:pPr>
    </w:p>
    <w:p>
      <w:pPr>
        <w:ind w:left="2140" w:hanging="501"/>
        <w:spacing w:after="0"/>
        <w:tabs>
          <w:tab w:leader="none" w:pos="2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loan exhibited two or more years of satisfactory repayment with a reasonable reduction of the principal balance;</w:t>
      </w:r>
    </w:p>
    <w:p>
      <w:pPr>
        <w:spacing w:after="0" w:line="132" w:lineRule="exact"/>
        <w:rPr>
          <w:rFonts w:ascii="Arial" w:cs="Arial" w:eastAsia="Arial" w:hAnsi="Arial"/>
          <w:sz w:val="16"/>
          <w:szCs w:val="16"/>
          <w:color w:val="auto"/>
        </w:rPr>
      </w:pPr>
    </w:p>
    <w:p>
      <w:pPr>
        <w:jc w:val="both"/>
        <w:ind w:left="2140" w:hanging="501"/>
        <w:spacing w:after="0" w:line="300" w:lineRule="auto"/>
        <w:tabs>
          <w:tab w:leader="none" w:pos="2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47" w:lineRule="exact"/>
        <w:rPr>
          <w:rFonts w:ascii="Arial" w:cs="Arial" w:eastAsia="Arial" w:hAnsi="Arial"/>
          <w:sz w:val="16"/>
          <w:szCs w:val="16"/>
          <w:color w:val="auto"/>
        </w:rPr>
      </w:pPr>
    </w:p>
    <w:p>
      <w:pPr>
        <w:jc w:val="both"/>
        <w:ind w:left="1620" w:hanging="495"/>
        <w:spacing w:after="0" w:line="291" w:lineRule="auto"/>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56" w:lineRule="exact"/>
        <w:rPr>
          <w:rFonts w:ascii="Arial" w:cs="Arial" w:eastAsia="Arial" w:hAnsi="Arial"/>
          <w:sz w:val="16"/>
          <w:szCs w:val="16"/>
          <w:color w:val="auto"/>
        </w:rPr>
      </w:pPr>
    </w:p>
    <w:p>
      <w:pPr>
        <w:jc w:val="both"/>
        <w:ind w:left="1620" w:hanging="495"/>
        <w:spacing w:after="0" w:line="248"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89" w:lineRule="exact"/>
        <w:rPr>
          <w:rFonts w:ascii="Arial" w:cs="Arial" w:eastAsia="Arial" w:hAnsi="Arial"/>
          <w:sz w:val="18"/>
          <w:szCs w:val="18"/>
          <w:color w:val="auto"/>
        </w:rPr>
      </w:pPr>
    </w:p>
    <w:p>
      <w:pPr>
        <w:ind w:left="1620" w:hanging="49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09" w:lineRule="exact"/>
        <w:rPr>
          <w:rFonts w:ascii="Arial" w:cs="Arial" w:eastAsia="Arial" w:hAnsi="Arial"/>
          <w:sz w:val="18"/>
          <w:szCs w:val="18"/>
          <w:color w:val="auto"/>
        </w:rPr>
      </w:pPr>
    </w:p>
    <w:p>
      <w:pPr>
        <w:jc w:val="both"/>
        <w:ind w:left="2140" w:hanging="501"/>
        <w:spacing w:after="0" w:line="253" w:lineRule="auto"/>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83" w:lineRule="exact"/>
        <w:rPr>
          <w:rFonts w:ascii="Arial" w:cs="Arial" w:eastAsia="Arial" w:hAnsi="Arial"/>
          <w:sz w:val="18"/>
          <w:szCs w:val="18"/>
          <w:color w:val="auto"/>
        </w:rPr>
      </w:pPr>
    </w:p>
    <w:p>
      <w:pPr>
        <w:ind w:left="2140" w:hanging="501"/>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09" w:lineRule="exact"/>
        <w:rPr>
          <w:rFonts w:ascii="Arial" w:cs="Arial" w:eastAsia="Arial" w:hAnsi="Arial"/>
          <w:sz w:val="18"/>
          <w:szCs w:val="18"/>
          <w:color w:val="auto"/>
        </w:rPr>
      </w:pPr>
    </w:p>
    <w:p>
      <w:pPr>
        <w:ind w:left="2140" w:hanging="501"/>
        <w:spacing w:after="0" w:line="262" w:lineRule="auto"/>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5" w:lineRule="exact"/>
        <w:rPr>
          <w:rFonts w:ascii="Arial" w:cs="Arial" w:eastAsia="Arial" w:hAnsi="Arial"/>
          <w:sz w:val="18"/>
          <w:szCs w:val="18"/>
          <w:color w:val="auto"/>
        </w:rPr>
      </w:pPr>
    </w:p>
    <w:p>
      <w:pPr>
        <w:ind w:left="2140" w:hanging="501"/>
        <w:spacing w:after="0"/>
        <w:tabs>
          <w:tab w:leader="none" w:pos="2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132" w:lineRule="exact"/>
        <w:rPr>
          <w:rFonts w:ascii="Arial" w:cs="Arial" w:eastAsia="Arial" w:hAnsi="Arial"/>
          <w:sz w:val="16"/>
          <w:szCs w:val="16"/>
          <w:color w:val="auto"/>
        </w:rPr>
      </w:pPr>
    </w:p>
    <w:p>
      <w:pPr>
        <w:ind w:left="2140" w:hanging="501"/>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09" w:lineRule="exact"/>
        <w:rPr>
          <w:rFonts w:ascii="Arial" w:cs="Arial" w:eastAsia="Arial" w:hAnsi="Arial"/>
          <w:sz w:val="18"/>
          <w:szCs w:val="18"/>
          <w:color w:val="auto"/>
        </w:rPr>
      </w:pPr>
    </w:p>
    <w:p>
      <w:pPr>
        <w:ind w:left="2140" w:hanging="501"/>
        <w:spacing w:after="0"/>
        <w:tabs>
          <w:tab w:leader="none" w:pos="2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borrower is not generating enough cash flow to repay loan principal; however, continues to make interest payments.</w:t>
      </w:r>
    </w:p>
    <w:p>
      <w:pPr>
        <w:spacing w:after="0" w:line="132" w:lineRule="exact"/>
        <w:rPr>
          <w:rFonts w:ascii="Arial" w:cs="Arial" w:eastAsia="Arial" w:hAnsi="Arial"/>
          <w:sz w:val="16"/>
          <w:szCs w:val="16"/>
          <w:color w:val="auto"/>
        </w:rPr>
      </w:pPr>
    </w:p>
    <w:p>
      <w:pPr>
        <w:ind w:left="2140" w:hanging="501"/>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09" w:lineRule="exact"/>
        <w:rPr>
          <w:rFonts w:ascii="Arial" w:cs="Arial" w:eastAsia="Arial" w:hAnsi="Arial"/>
          <w:sz w:val="18"/>
          <w:szCs w:val="18"/>
          <w:color w:val="auto"/>
        </w:rPr>
      </w:pPr>
    </w:p>
    <w:p>
      <w:pPr>
        <w:ind w:left="2140" w:hanging="501"/>
        <w:spacing w:after="0" w:line="262" w:lineRule="auto"/>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75" w:lineRule="exact"/>
        <w:rPr>
          <w:rFonts w:ascii="Arial" w:cs="Arial" w:eastAsia="Arial" w:hAnsi="Arial"/>
          <w:sz w:val="18"/>
          <w:szCs w:val="18"/>
          <w:color w:val="auto"/>
        </w:rPr>
      </w:pPr>
    </w:p>
    <w:p>
      <w:pPr>
        <w:ind w:left="2140" w:hanging="501"/>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09" w:lineRule="exact"/>
        <w:rPr>
          <w:rFonts w:ascii="Arial" w:cs="Arial" w:eastAsia="Arial" w:hAnsi="Arial"/>
          <w:sz w:val="18"/>
          <w:szCs w:val="18"/>
          <w:color w:val="auto"/>
        </w:rPr>
      </w:pPr>
    </w:p>
    <w:p>
      <w:pPr>
        <w:ind w:left="2140" w:hanging="501"/>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326" w:lineRule="exact"/>
        <w:rPr>
          <w:sz w:val="20"/>
          <w:szCs w:val="20"/>
          <w:color w:val="auto"/>
        </w:rPr>
      </w:pPr>
    </w:p>
    <w:p>
      <w:pPr>
        <w:ind w:left="1620" w:hanging="495"/>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09" w:lineRule="exact"/>
        <w:rPr>
          <w:rFonts w:ascii="Arial" w:cs="Arial" w:eastAsia="Arial" w:hAnsi="Arial"/>
          <w:sz w:val="18"/>
          <w:szCs w:val="18"/>
          <w:color w:val="auto"/>
        </w:rPr>
      </w:pPr>
    </w:p>
    <w:p>
      <w:pPr>
        <w:ind w:left="2140" w:hanging="501"/>
        <w:spacing w:after="0" w:line="262" w:lineRule="auto"/>
        <w:tabs>
          <w:tab w:leader="none" w:pos="2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spacing w:after="0" w:line="75" w:lineRule="exact"/>
        <w:rPr>
          <w:rFonts w:ascii="Arial" w:cs="Arial" w:eastAsia="Arial" w:hAnsi="Arial"/>
          <w:sz w:val="18"/>
          <w:szCs w:val="18"/>
          <w:color w:val="auto"/>
        </w:rPr>
      </w:pPr>
    </w:p>
    <w:p>
      <w:pPr>
        <w:ind w:left="2140" w:hanging="501"/>
        <w:spacing w:after="0"/>
        <w:tabs>
          <w:tab w:leader="none" w:pos="21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The primary source of repayment is gone, and there is considerable doubt as to the quality of the secondary source of repayment.</w:t>
      </w:r>
    </w:p>
    <w:p>
      <w:pPr>
        <w:spacing w:after="0" w:line="143" w:lineRule="exact"/>
        <w:rPr>
          <w:rFonts w:ascii="Arial" w:cs="Arial" w:eastAsia="Arial" w:hAnsi="Arial"/>
          <w:sz w:val="15"/>
          <w:szCs w:val="15"/>
          <w:color w:val="auto"/>
        </w:rPr>
      </w:pPr>
    </w:p>
    <w:p>
      <w:pPr>
        <w:jc w:val="both"/>
        <w:ind w:left="2140" w:hanging="501"/>
        <w:spacing w:after="0" w:line="253" w:lineRule="auto"/>
        <w:tabs>
          <w:tab w:leader="none" w:pos="2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83" w:lineRule="exact"/>
        <w:rPr>
          <w:rFonts w:ascii="Arial" w:cs="Arial" w:eastAsia="Arial" w:hAnsi="Arial"/>
          <w:sz w:val="18"/>
          <w:szCs w:val="18"/>
          <w:color w:val="auto"/>
        </w:rPr>
      </w:pPr>
    </w:p>
    <w:p>
      <w:pPr>
        <w:jc w:val="both"/>
        <w:ind w:left="1620" w:hanging="495"/>
        <w:spacing w:after="0" w:line="300" w:lineRule="auto"/>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153"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The following table represents the risk category of loans by portfolio class, net of deferred fees, based on the most recent analysis performed as of the time periods shown of December 31, 2021 and December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color w:val="auto"/>
                <w:w w:val="95"/>
              </w:rPr>
              <w:t>(In Thousands)</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5"/>
        </w:trPr>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5"/>
          </w:tcPr>
          <w:p>
            <w:pPr>
              <w:jc w:val="center"/>
              <w:ind w:right="380"/>
              <w:spacing w:after="0" w:line="205" w:lineRule="exact"/>
              <w:rPr>
                <w:sz w:val="20"/>
                <w:szCs w:val="20"/>
                <w:color w:val="auto"/>
              </w:rPr>
            </w:pPr>
            <w:r>
              <w:rPr>
                <w:rFonts w:ascii="Arial" w:cs="Arial" w:eastAsia="Arial" w:hAnsi="Arial"/>
                <w:sz w:val="18"/>
                <w:szCs w:val="18"/>
                <w:color w:val="auto"/>
                <w:w w:val="90"/>
              </w:rPr>
              <w:t>Commercial and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4"/>
          </w:tcPr>
          <w:p>
            <w:pPr>
              <w:jc w:val="right"/>
              <w:ind w:right="32"/>
              <w:spacing w:after="0"/>
              <w:rPr>
                <w:sz w:val="20"/>
                <w:szCs w:val="20"/>
                <w:color w:val="auto"/>
              </w:rPr>
            </w:pPr>
            <w:r>
              <w:rPr>
                <w:rFonts w:ascii="Arial" w:cs="Arial" w:eastAsia="Arial" w:hAnsi="Arial"/>
                <w:sz w:val="18"/>
                <w:szCs w:val="18"/>
                <w:color w:val="auto"/>
                <w:w w:val="88"/>
              </w:rPr>
              <w:t>Agricultural Real Estate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4"/>
          </w:tcPr>
          <w:p>
            <w:pPr>
              <w:jc w:val="right"/>
              <w:ind w:right="452"/>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9"/>
                <w:szCs w:val="19"/>
                <w:color w:val="auto"/>
              </w:rPr>
            </w:pPr>
          </w:p>
        </w:tc>
        <w:tc>
          <w:tcPr>
            <w:tcW w:w="1820" w:type="dxa"/>
            <w:vAlign w:val="bottom"/>
            <w:gridSpan w:val="5"/>
          </w:tcPr>
          <w:p>
            <w:pPr>
              <w:jc w:val="right"/>
              <w:spacing w:after="0"/>
              <w:rPr>
                <w:sz w:val="20"/>
                <w:szCs w:val="20"/>
                <w:color w:val="auto"/>
              </w:rPr>
            </w:pPr>
            <w:r>
              <w:rPr>
                <w:rFonts w:ascii="Arial" w:cs="Arial" w:eastAsia="Arial" w:hAnsi="Arial"/>
                <w:sz w:val="18"/>
                <w:szCs w:val="18"/>
                <w:color w:val="auto"/>
                <w:w w:val="89"/>
              </w:rPr>
              <w:t>Commercial Real Estate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Industrial</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2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2021</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2020</w:t>
            </w:r>
          </w:p>
        </w:tc>
        <w:tc>
          <w:tcPr>
            <w:tcW w:w="2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2021</w:t>
            </w:r>
          </w:p>
        </w:tc>
        <w:tc>
          <w:tcPr>
            <w:tcW w:w="22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2020</w:t>
            </w:r>
          </w:p>
        </w:tc>
        <w:tc>
          <w:tcPr>
            <w:tcW w:w="2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2021</w:t>
            </w:r>
          </w:p>
        </w:tc>
        <w:tc>
          <w:tcPr>
            <w:tcW w:w="20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2020</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4"/>
              </w:rPr>
              <w:t>2021</w:t>
            </w:r>
          </w:p>
        </w:tc>
        <w:tc>
          <w:tcPr>
            <w:tcW w:w="22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2020</w:t>
            </w:r>
          </w:p>
        </w:tc>
        <w:tc>
          <w:tcPr>
            <w:tcW w:w="60" w:type="dxa"/>
            <w:vAlign w:val="bottom"/>
            <w:tcBorders>
              <w:bottom w:val="single" w:sz="8" w:color="CFF0FC"/>
            </w:tcBorders>
          </w:tcPr>
          <w:p>
            <w:pPr>
              <w:spacing w:after="0"/>
              <w:rPr>
                <w:sz w:val="18"/>
                <w:szCs w:val="18"/>
                <w:color w:val="auto"/>
              </w:rPr>
            </w:pPr>
          </w:p>
        </w:tc>
      </w:tr>
      <w:tr>
        <w:trPr>
          <w:trHeight w:val="217"/>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1-2</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10,894</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238,132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165,201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46,547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4,651</w:t>
            </w:r>
          </w:p>
        </w:tc>
        <w:tc>
          <w:tcPr>
            <w:tcW w:w="6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112,465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75,164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63,480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568,038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396,076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152,736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114,108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11,106</w:t>
            </w:r>
          </w:p>
        </w:tc>
        <w:tc>
          <w:tcPr>
            <w:tcW w:w="60" w:type="dxa"/>
            <w:vAlign w:val="bottom"/>
            <w:shd w:val="clear" w:color="auto" w:fill="CFF0FC"/>
          </w:tcPr>
          <w:p>
            <w:pPr>
              <w:spacing w:after="0"/>
              <w:rPr>
                <w:sz w:val="19"/>
                <w:szCs w:val="19"/>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198,033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188,826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118,504</w:t>
            </w:r>
          </w:p>
        </w:tc>
        <w:tc>
          <w:tcPr>
            <w:tcW w:w="2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94,490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847,110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587,654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208,049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188,286</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32,089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15,757</w:t>
            </w:r>
          </w:p>
        </w:tc>
        <w:tc>
          <w:tcPr>
            <w:tcW w:w="6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For consumer residential real estate, the Company also evaluates credit quality based on the aging status of the loan, which was previously stated, and by payment activity. The following tables present the recorded investment in those classes based on payment activity and assigned risk grading as of December 31, 2021 and December 31, 2020.</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8"/>
                <w:szCs w:val="18"/>
                <w:color w:val="auto"/>
                <w:w w:val="87"/>
              </w:rPr>
              <w:t>(In Thousands)</w:t>
            </w:r>
          </w:p>
        </w:tc>
        <w:tc>
          <w:tcPr>
            <w:tcW w:w="60" w:type="dxa"/>
            <w:vAlign w:val="bottom"/>
          </w:tcPr>
          <w:p>
            <w:pPr>
              <w:spacing w:after="0"/>
              <w:rPr>
                <w:sz w:val="19"/>
                <w:szCs w:val="19"/>
                <w:color w:val="auto"/>
              </w:rPr>
            </w:pPr>
          </w:p>
        </w:tc>
      </w:tr>
      <w:tr>
        <w:trPr>
          <w:trHeight w:val="217"/>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8"/>
                <w:szCs w:val="18"/>
                <w:color w:val="auto"/>
                <w:w w:val="86"/>
              </w:rPr>
              <w:t>Consumer Real Estate</w:t>
            </w:r>
          </w:p>
        </w:tc>
      </w:tr>
      <w:tr>
        <w:trPr>
          <w:trHeight w:val="217"/>
        </w:trPr>
        <w:tc>
          <w:tcPr>
            <w:tcW w:w="3620" w:type="dxa"/>
            <w:vAlign w:val="bottom"/>
            <w:tcBorders>
              <w:bottom w:val="single" w:sz="8" w:color="CFF0FC"/>
            </w:tcBorders>
          </w:tcPr>
          <w:p>
            <w:pPr>
              <w:spacing w:after="0"/>
              <w:rPr>
                <w:sz w:val="18"/>
                <w:szCs w:val="18"/>
                <w:color w:val="auto"/>
              </w:rPr>
            </w:pPr>
          </w:p>
        </w:tc>
        <w:tc>
          <w:tcPr>
            <w:tcW w:w="19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FF0FC"/>
            </w:tcBorders>
          </w:tcPr>
          <w:p>
            <w:pPr>
              <w:spacing w:after="0"/>
              <w:rPr>
                <w:sz w:val="18"/>
                <w:szCs w:val="18"/>
                <w:color w:val="auto"/>
              </w:rPr>
            </w:pPr>
          </w:p>
        </w:tc>
      </w:tr>
      <w:tr>
        <w:trPr>
          <w:trHeight w:val="217"/>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4"/>
        </w:trPr>
        <w:tc>
          <w:tcPr>
            <w:tcW w:w="3620" w:type="dxa"/>
            <w:vAlign w:val="bottom"/>
          </w:tcPr>
          <w:p>
            <w:pPr>
              <w:ind w:left="240"/>
              <w:spacing w:after="0"/>
              <w:rPr>
                <w:sz w:val="20"/>
                <w:szCs w:val="20"/>
                <w:color w:val="auto"/>
              </w:rPr>
            </w:pPr>
            <w:r>
              <w:rPr>
                <w:rFonts w:ascii="Arial" w:cs="Arial" w:eastAsia="Arial" w:hAnsi="Arial"/>
                <w:sz w:val="18"/>
                <w:szCs w:val="18"/>
                <w:color w:val="auto"/>
              </w:rPr>
              <w:t>Pass</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392,940</w:t>
            </w:r>
          </w:p>
        </w:tc>
        <w:tc>
          <w:tcPr>
            <w:tcW w:w="1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171,667</w:t>
            </w:r>
          </w:p>
        </w:tc>
        <w:tc>
          <w:tcPr>
            <w:tcW w:w="60" w:type="dxa"/>
            <w:vAlign w:val="bottom"/>
          </w:tcPr>
          <w:p>
            <w:pPr>
              <w:spacing w:after="0"/>
              <w:rPr>
                <w:sz w:val="19"/>
                <w:szCs w:val="19"/>
                <w:color w:val="auto"/>
              </w:rPr>
            </w:pPr>
          </w:p>
        </w:tc>
      </w:tr>
      <w:tr>
        <w:trPr>
          <w:trHeight w:val="224"/>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60" w:type="dxa"/>
            <w:vAlign w:val="bottom"/>
            <w:shd w:val="clear" w:color="auto" w:fill="CFF0FC"/>
          </w:tcPr>
          <w:p>
            <w:pPr>
              <w:spacing w:after="0"/>
              <w:rPr>
                <w:sz w:val="19"/>
                <w:szCs w:val="19"/>
                <w:color w:val="auto"/>
              </w:rPr>
            </w:pPr>
          </w:p>
        </w:tc>
      </w:tr>
      <w:tr>
        <w:trPr>
          <w:trHeight w:val="224"/>
        </w:trPr>
        <w:tc>
          <w:tcPr>
            <w:tcW w:w="362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2,365</w:t>
            </w:r>
          </w:p>
        </w:tc>
        <w:tc>
          <w:tcPr>
            <w:tcW w:w="60" w:type="dxa"/>
            <w:vAlign w:val="bottom"/>
          </w:tcPr>
          <w:p>
            <w:pPr>
              <w:spacing w:after="0"/>
              <w:rPr>
                <w:sz w:val="19"/>
                <w:szCs w:val="19"/>
                <w:color w:val="auto"/>
              </w:rPr>
            </w:pPr>
          </w:p>
        </w:tc>
      </w:tr>
      <w:tr>
        <w:trPr>
          <w:trHeight w:val="224"/>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395,805</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175,316</w:t>
            </w:r>
          </w:p>
        </w:tc>
        <w:tc>
          <w:tcPr>
            <w:tcW w:w="6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color w:val="auto"/>
              </w:rPr>
              <w:t>Consumer - Credit Card</w:t>
            </w:r>
          </w:p>
        </w:tc>
        <w:tc>
          <w:tcPr>
            <w:tcW w:w="220" w:type="dxa"/>
            <w:vAlign w:val="bottom"/>
          </w:tcPr>
          <w:p>
            <w:pPr>
              <w:spacing w:after="0"/>
              <w:rPr>
                <w:sz w:val="18"/>
                <w:szCs w:val="18"/>
                <w:color w:val="auto"/>
              </w:rPr>
            </w:pPr>
          </w:p>
        </w:tc>
        <w:tc>
          <w:tcPr>
            <w:tcW w:w="2180" w:type="dxa"/>
            <w:vAlign w:val="bottom"/>
            <w:gridSpan w:val="5"/>
          </w:tcPr>
          <w:p>
            <w:pPr>
              <w:ind w:left="280"/>
              <w:spacing w:after="0"/>
              <w:rPr>
                <w:sz w:val="20"/>
                <w:szCs w:val="20"/>
                <w:color w:val="auto"/>
              </w:rPr>
            </w:pPr>
            <w:r>
              <w:rPr>
                <w:rFonts w:ascii="Arial" w:cs="Arial" w:eastAsia="Arial" w:hAnsi="Arial"/>
                <w:sz w:val="18"/>
                <w:szCs w:val="18"/>
                <w:color w:val="auto"/>
              </w:rPr>
              <w:t>Consumer - Other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020" w:type="dxa"/>
            <w:vAlign w:val="bottom"/>
            <w:tcBorders>
              <w:bottom w:val="single" w:sz="8" w:color="CFF0FC"/>
            </w:tcBorders>
          </w:tcPr>
          <w:p>
            <w:pPr>
              <w:spacing w:after="0"/>
              <w:rPr>
                <w:sz w:val="18"/>
                <w:szCs w:val="18"/>
                <w:color w:val="auto"/>
              </w:rPr>
            </w:pPr>
          </w:p>
        </w:tc>
        <w:tc>
          <w:tcPr>
            <w:tcW w:w="21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380" w:type="dxa"/>
            <w:vAlign w:val="bottom"/>
            <w:gridSpan w:val="2"/>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42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53,820</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48,855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gridSpan w:val="2"/>
          </w:tcPr>
          <w:p>
            <w:pPr>
              <w:ind w:left="580"/>
              <w:spacing w:after="0"/>
              <w:rPr>
                <w:sz w:val="20"/>
                <w:szCs w:val="20"/>
                <w:color w:val="auto"/>
              </w:rPr>
            </w:pPr>
            <w:r>
              <w:rPr>
                <w:rFonts w:ascii="Arial" w:cs="Arial" w:eastAsia="Arial" w:hAnsi="Arial"/>
                <w:sz w:val="18"/>
                <w:szCs w:val="18"/>
                <w:color w:val="auto"/>
              </w:rPr>
              <w:t>Nonperforming</w:t>
            </w: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3020" w:type="dxa"/>
            <w:vAlign w:val="bottom"/>
            <w:vMerge w:val="continue"/>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53,910</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48,991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0" w:lineRule="exact"/>
        <w:rPr>
          <w:sz w:val="20"/>
          <w:szCs w:val="20"/>
          <w:color w:val="auto"/>
        </w:rPr>
      </w:pP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impaired loans as of and for the years ended December 31, 2021 and 2020 are as follows:</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ind w:left="4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54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2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11,939</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14,532</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8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2,184</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1,657</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Total nonaccrual loans</w:t>
            </w:r>
          </w:p>
        </w:tc>
        <w:tc>
          <w:tcPr>
            <w:tcW w:w="2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8,076</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9,404</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Total loans past-due ninety days or more and still accruing</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4"/>
              </w:rPr>
              <w:t>(In Thousands)</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Average investment in impaired loans</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12,247</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Interest income recognized on impaired loans</w:t>
            </w:r>
          </w:p>
        </w:tc>
        <w:tc>
          <w:tcPr>
            <w:tcW w:w="7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vMerge w:val="continue"/>
          </w:tcPr>
          <w:p>
            <w:pPr>
              <w:spacing w:after="0"/>
              <w:rPr>
                <w:sz w:val="21"/>
                <w:szCs w:val="21"/>
                <w:color w:val="auto"/>
              </w:rPr>
            </w:pPr>
          </w:p>
        </w:tc>
        <w:tc>
          <w:tcPr>
            <w:tcW w:w="9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292</w:t>
            </w:r>
          </w:p>
        </w:tc>
        <w:tc>
          <w:tcPr>
            <w:tcW w:w="4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64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Interest income recognized on a cash basis on impaired</w:t>
            </w:r>
          </w:p>
        </w:tc>
        <w:tc>
          <w:tcPr>
            <w:tcW w:w="7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additional funds committed to be advanced in connection with impaired loans.</w:t>
      </w:r>
    </w:p>
    <w:p>
      <w:pPr>
        <w:spacing w:after="0" w:line="215" w:lineRule="exact"/>
        <w:rPr>
          <w:sz w:val="20"/>
          <w:szCs w:val="20"/>
          <w:color w:val="auto"/>
        </w:rPr>
      </w:pPr>
    </w:p>
    <w:p>
      <w:pPr>
        <w:ind w:left="760"/>
        <w:spacing w:after="0" w:line="262" w:lineRule="auto"/>
        <w:rPr>
          <w:sz w:val="20"/>
          <w:szCs w:val="20"/>
          <w:color w:val="auto"/>
        </w:rPr>
      </w:pPr>
      <w:r>
        <w:rPr>
          <w:rFonts w:ascii="Arial" w:cs="Arial" w:eastAsia="Arial" w:hAnsi="Arial"/>
          <w:sz w:val="18"/>
          <w:szCs w:val="18"/>
          <w:color w:val="auto"/>
        </w:rPr>
        <w:t>The Bank had approximately $7.6 million and $6.5 million of its impaired loans classified as troubled debt restructured as of December 31,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0" w:lineRule="exact"/>
        <w:rPr>
          <w:sz w:val="20"/>
          <w:szCs w:val="20"/>
          <w:color w:val="auto"/>
        </w:rPr>
      </w:pPr>
    </w:p>
    <w:p>
      <w:pPr>
        <w:spacing w:after="0" w:line="231" w:lineRule="exact"/>
        <w:rPr>
          <w:sz w:val="20"/>
          <w:szCs w:val="20"/>
          <w:color w:val="auto"/>
        </w:rPr>
      </w:pPr>
    </w:p>
    <w:p>
      <w:pPr>
        <w:jc w:val="both"/>
        <w:ind w:left="760"/>
        <w:spacing w:after="0" w:line="280" w:lineRule="auto"/>
        <w:rPr>
          <w:sz w:val="20"/>
          <w:szCs w:val="20"/>
          <w:color w:val="auto"/>
        </w:rPr>
      </w:pPr>
      <w:r>
        <w:rPr>
          <w:rFonts w:ascii="Arial" w:cs="Arial" w:eastAsia="Arial" w:hAnsi="Arial"/>
          <w:sz w:val="16"/>
          <w:szCs w:val="16"/>
          <w:color w:val="auto"/>
        </w:rPr>
        <w:t>Modification programs focused on payment pattern changes and/or modified maturity dates with most receiving a combination of the two concessions. The modifications did not result in the contractual forgiveness of principal. During 2021, there were three new loans considered TDR. One loan resulted in payment changes from a monthly payment to monthly interest only payments. One loan was considered TDR as a result of being in a deficiency balance upon sale of property. The loan is set for a 3 year term and a 10 year amortization. The ALLL includes a $825 thousand specific allocation on the principal balance of this loan as of December 31, 2021. The last loan was rewritten to improve collateral position. Capitalized interest, late charges and prepayment penalties were charged off immediately. The ALLL includes a $313 thousand specific allocation for this loan as of December 31, 2021. Two loans previously reported as TDR were paid off in June 2021 and three loans previously reported as TDR were fully charged off in March 2021. In 2020, two of the loans resulted in payment changes from a monthly payment to principal and interest at maturity. Four loans had rate concessions. All interest was paid current at the time of the modifications. One of the 2020 loans was paid off in May 2020. The following table represents the years ended December 31, 2021 and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December 31, 2020</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5"/>
          </w:tcPr>
          <w:p>
            <w:pPr>
              <w:ind w:left="400"/>
              <w:spacing w:after="0"/>
              <w:rPr>
                <w:sz w:val="20"/>
                <w:szCs w:val="20"/>
                <w:color w:val="auto"/>
              </w:rPr>
            </w:pPr>
            <w:r>
              <w:rPr>
                <w:rFonts w:ascii="Arial" w:cs="Arial" w:eastAsia="Arial" w:hAnsi="Arial"/>
                <w:sz w:val="18"/>
                <w:szCs w:val="18"/>
                <w:color w:val="auto"/>
              </w:rPr>
              <w:t>(In thousands)</w:t>
            </w:r>
          </w:p>
        </w:tc>
        <w:tc>
          <w:tcPr>
            <w:tcW w:w="2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5"/>
          </w:tcPr>
          <w:p>
            <w:pPr>
              <w:ind w:left="380"/>
              <w:spacing w:after="0"/>
              <w:rPr>
                <w:sz w:val="20"/>
                <w:szCs w:val="20"/>
                <w:color w:val="auto"/>
              </w:rPr>
            </w:pPr>
            <w:r>
              <w:rPr>
                <w:rFonts w:ascii="Arial" w:cs="Arial" w:eastAsia="Arial" w:hAnsi="Arial"/>
                <w:sz w:val="18"/>
                <w:szCs w:val="18"/>
                <w:color w:val="auto"/>
              </w:rPr>
              <w:t>(In thousands)</w:t>
            </w:r>
          </w:p>
        </w:tc>
      </w:tr>
      <w:tr>
        <w:trPr>
          <w:trHeight w:val="212"/>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2"/>
              </w:rPr>
              <w:t>Pre-</w:t>
            </w: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Post-</w:t>
            </w: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Pre-</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Post-</w:t>
            </w:r>
          </w:p>
        </w:tc>
      </w:tr>
      <w:tr>
        <w:trPr>
          <w:trHeight w:val="211"/>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1240" w:type="dxa"/>
            <w:vAlign w:val="bottom"/>
            <w:gridSpan w:val="4"/>
          </w:tcPr>
          <w:p>
            <w:pPr>
              <w:jc w:val="center"/>
              <w:spacing w:after="0"/>
              <w:rPr>
                <w:sz w:val="20"/>
                <w:szCs w:val="20"/>
                <w:color w:val="auto"/>
              </w:rPr>
            </w:pPr>
            <w:r>
              <w:rPr>
                <w:rFonts w:ascii="Arial" w:cs="Arial" w:eastAsia="Arial" w:hAnsi="Arial"/>
                <w:sz w:val="18"/>
                <w:szCs w:val="18"/>
                <w:color w:val="auto"/>
                <w:w w:val="95"/>
              </w:rPr>
              <w:t>Modification</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Modification</w:t>
            </w: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Number of</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Modification</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Modification</w:t>
            </w:r>
          </w:p>
        </w:tc>
      </w:tr>
      <w:tr>
        <w:trPr>
          <w:trHeight w:val="211"/>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Contracts</w:t>
            </w:r>
          </w:p>
        </w:tc>
        <w:tc>
          <w:tcPr>
            <w:tcW w:w="16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Outstanding</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Outstanding</w:t>
            </w: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Contracts</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Outstanding</w:t>
            </w:r>
          </w:p>
        </w:tc>
        <w:tc>
          <w:tcPr>
            <w:tcW w:w="98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Outstanding</w:t>
            </w:r>
          </w:p>
        </w:tc>
      </w:tr>
      <w:tr>
        <w:trPr>
          <w:trHeight w:val="211"/>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Modified in the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Recorded</w:t>
            </w: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Modified in the</w:t>
            </w: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Recorded</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Recorded</w:t>
            </w:r>
          </w:p>
        </w:tc>
      </w:tr>
      <w:tr>
        <w:trPr>
          <w:trHeight w:val="223"/>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Troubled Debt Restructurings</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Last 12 Months</w:t>
            </w:r>
          </w:p>
        </w:tc>
        <w:tc>
          <w:tcPr>
            <w:tcW w:w="160" w:type="dxa"/>
            <w:vAlign w:val="bottom"/>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Pr>
          <w:p>
            <w:pPr>
              <w:spacing w:after="0"/>
              <w:rPr>
                <w:sz w:val="19"/>
                <w:szCs w:val="19"/>
                <w:color w:val="auto"/>
              </w:rPr>
            </w:pP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Troubled Debt Restructurings</w:t>
            </w:r>
          </w:p>
        </w:tc>
        <w:tc>
          <w:tcPr>
            <w:tcW w:w="6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Last 12 Months</w:t>
            </w:r>
          </w:p>
        </w:tc>
        <w:tc>
          <w:tcPr>
            <w:tcW w:w="160" w:type="dxa"/>
            <w:vAlign w:val="bottom"/>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Investment</w:t>
            </w:r>
          </w:p>
        </w:tc>
        <w:tc>
          <w:tcPr>
            <w:tcW w:w="60" w:type="dxa"/>
            <w:vAlign w:val="bottom"/>
          </w:tcPr>
          <w:p>
            <w:pPr>
              <w:spacing w:after="0"/>
              <w:rPr>
                <w:sz w:val="19"/>
                <w:szCs w:val="19"/>
                <w:color w:val="auto"/>
              </w:rPr>
            </w:pPr>
          </w:p>
        </w:tc>
      </w:tr>
      <w:tr>
        <w:trPr>
          <w:trHeight w:val="217"/>
        </w:trPr>
        <w:tc>
          <w:tcPr>
            <w:tcW w:w="222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79"/>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1,655</w:t>
            </w:r>
          </w:p>
        </w:tc>
        <w:tc>
          <w:tcPr>
            <w:tcW w:w="16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180" w:type="dxa"/>
            <w:vAlign w:val="bottom"/>
            <w:gridSpan w:val="2"/>
          </w:tcPr>
          <w:p>
            <w:pPr>
              <w:jc w:val="right"/>
              <w:ind w:right="35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5,380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5,380</w:t>
            </w:r>
          </w:p>
        </w:tc>
        <w:tc>
          <w:tcPr>
            <w:tcW w:w="60" w:type="dxa"/>
            <w:vAlign w:val="bottom"/>
          </w:tcPr>
          <w:p>
            <w:pPr>
              <w:spacing w:after="0"/>
              <w:rPr>
                <w:sz w:val="18"/>
                <w:szCs w:val="18"/>
                <w:color w:val="auto"/>
              </w:rPr>
            </w:pPr>
          </w:p>
        </w:tc>
      </w:tr>
      <w:tr>
        <w:trPr>
          <w:trHeight w:val="224"/>
        </w:trPr>
        <w:tc>
          <w:tcPr>
            <w:tcW w:w="2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Agricultural</w:t>
            </w:r>
          </w:p>
        </w:tc>
        <w:tc>
          <w:tcPr>
            <w:tcW w:w="1100" w:type="dxa"/>
            <w:vAlign w:val="bottom"/>
            <w:shd w:val="clear" w:color="auto" w:fill="CFF0FC"/>
          </w:tcPr>
          <w:p>
            <w:pPr>
              <w:jc w:val="center"/>
              <w:ind w:left="3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180" w:type="dxa"/>
            <w:vAlign w:val="bottom"/>
            <w:gridSpan w:val="2"/>
            <w:shd w:val="clear" w:color="auto" w:fill="CFF0FC"/>
          </w:tcPr>
          <w:p>
            <w:pPr>
              <w:jc w:val="right"/>
              <w:ind w:right="35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FF0FC"/>
          </w:tcPr>
          <w:p>
            <w:pPr>
              <w:spacing w:after="0"/>
              <w:rPr>
                <w:sz w:val="19"/>
                <w:szCs w:val="19"/>
                <w:color w:val="auto"/>
              </w:rPr>
            </w:pPr>
          </w:p>
        </w:tc>
      </w:tr>
      <w:tr>
        <w:trPr>
          <w:trHeight w:val="224"/>
        </w:trPr>
        <w:tc>
          <w:tcPr>
            <w:tcW w:w="22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80" w:type="dxa"/>
            <w:vAlign w:val="bottom"/>
            <w:gridSpan w:val="2"/>
          </w:tcPr>
          <w:p>
            <w:pPr>
              <w:jc w:val="right"/>
              <w:ind w:right="35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w:t>
            </w:r>
          </w:p>
        </w:tc>
        <w:tc>
          <w:tcPr>
            <w:tcW w:w="60" w:type="dxa"/>
            <w:vAlign w:val="bottom"/>
          </w:tcPr>
          <w:p>
            <w:pPr>
              <w:spacing w:after="0"/>
              <w:rPr>
                <w:sz w:val="19"/>
                <w:szCs w:val="19"/>
                <w:color w:val="auto"/>
              </w:rPr>
            </w:pPr>
          </w:p>
        </w:tc>
      </w:tr>
      <w:tr>
        <w:trPr>
          <w:trHeight w:val="224"/>
        </w:trPr>
        <w:tc>
          <w:tcPr>
            <w:tcW w:w="2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100" w:type="dxa"/>
            <w:vAlign w:val="bottom"/>
            <w:shd w:val="clear" w:color="auto" w:fill="CFF0FC"/>
          </w:tcPr>
          <w:p>
            <w:pPr>
              <w:jc w:val="center"/>
              <w:ind w:left="52"/>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180" w:type="dxa"/>
            <w:vAlign w:val="bottom"/>
            <w:gridSpan w:val="2"/>
            <w:shd w:val="clear" w:color="auto" w:fill="CFF0FC"/>
          </w:tcPr>
          <w:p>
            <w:pPr>
              <w:jc w:val="right"/>
              <w:ind w:right="35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years ended December 31, 2021 and 2020, there were no TDR’s that subsequently defaulted after modification.</w:t>
      </w:r>
    </w:p>
    <w:p>
      <w:pPr>
        <w:spacing w:after="0" w:line="215"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auto"/>
        </w:rPr>
        <w:t>For the Bank’s impaired TDR loans, the Bank may utilize a measurement incorporating the present value of expected future cash flows discounted at the loan's effective rate of interest or the fair value of collateral if the loan is collateral dependent. To determine the fair value of collateral,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65" w:lineRule="exact"/>
        <w:rPr>
          <w:sz w:val="20"/>
          <w:szCs w:val="20"/>
          <w:color w:val="auto"/>
        </w:rPr>
      </w:pPr>
    </w:p>
    <w:p>
      <w:pPr>
        <w:jc w:val="both"/>
        <w:ind w:left="760"/>
        <w:spacing w:after="0" w:line="283"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whether a partial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0" w:lineRule="exact"/>
        <w:rPr>
          <w:sz w:val="20"/>
          <w:szCs w:val="20"/>
          <w:color w:val="auto"/>
        </w:rPr>
      </w:pPr>
    </w:p>
    <w:p>
      <w:pPr>
        <w:spacing w:after="0" w:line="2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tables present loans individually evaluated for impairment by portfolio class of loans as of December 31, 2021 and 2020:</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line="205" w:lineRule="exact"/>
              <w:rPr>
                <w:sz w:val="20"/>
                <w:szCs w:val="20"/>
                <w:color w:val="auto"/>
              </w:rPr>
            </w:pPr>
            <w:r>
              <w:rPr>
                <w:rFonts w:ascii="Arial" w:cs="Arial" w:eastAsia="Arial" w:hAnsi="Arial"/>
                <w:sz w:val="18"/>
                <w:szCs w:val="18"/>
                <w:color w:val="auto"/>
                <w:w w:val="86"/>
              </w:rPr>
              <w:t>Interest</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1"/>
              </w:rPr>
              <w:t>Unpaid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93"/>
              </w:rPr>
              <w:t>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11"/>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Recorded</w:t>
            </w: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0"/>
              </w:rPr>
              <w:t>Related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4"/>
              </w:rPr>
              <w:t>Recorded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94"/>
              </w:rPr>
              <w:t>Income</w:t>
            </w:r>
          </w:p>
        </w:tc>
        <w:tc>
          <w:tcPr>
            <w:tcW w:w="20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Investment</w:t>
            </w:r>
          </w:p>
        </w:tc>
        <w:tc>
          <w:tcPr>
            <w:tcW w:w="10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6"/>
              </w:rPr>
              <w:t>Balance</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Allowance</w:t>
            </w:r>
          </w:p>
        </w:tc>
        <w:tc>
          <w:tcPr>
            <w:tcW w:w="20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8"/>
              </w:rPr>
              <w:t>Investment</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Recognized</w:t>
            </w:r>
          </w:p>
        </w:tc>
        <w:tc>
          <w:tcPr>
            <w:tcW w:w="20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color w:val="auto"/>
                <w:w w:val="85"/>
              </w:rPr>
              <w:t>Cash Basis</w:t>
            </w:r>
          </w:p>
        </w:tc>
        <w:tc>
          <w:tcPr>
            <w:tcW w:w="0" w:type="dxa"/>
            <w:vAlign w:val="bottom"/>
          </w:tcPr>
          <w:p>
            <w:pPr>
              <w:spacing w:after="0"/>
              <w:rPr>
                <w:sz w:val="1"/>
                <w:szCs w:val="1"/>
                <w:color w:val="auto"/>
              </w:rPr>
            </w:pPr>
          </w:p>
        </w:tc>
      </w:tr>
      <w:tr>
        <w:trPr>
          <w:trHeight w:val="217"/>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6,725</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6,829</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691</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6,414</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87</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20</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237</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18</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3,561</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3,561</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664</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3,644</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140</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1,003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1,003</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825</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1,418</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41</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line="205" w:lineRule="exact"/>
              <w:rPr>
                <w:sz w:val="20"/>
                <w:szCs w:val="20"/>
                <w:color w:val="auto"/>
              </w:rPr>
            </w:pPr>
            <w:r>
              <w:rPr>
                <w:rFonts w:ascii="Arial" w:cs="Arial" w:eastAsia="Arial" w:hAnsi="Arial"/>
                <w:sz w:val="18"/>
                <w:szCs w:val="18"/>
                <w:color w:val="auto"/>
                <w:w w:val="86"/>
              </w:rPr>
              <w:t>Interest</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1"/>
              </w:rPr>
              <w:t>Unpaid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93"/>
              </w:rPr>
              <w:t>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11"/>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84"/>
              </w:rPr>
              <w:t>Recorded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0"/>
              </w:rPr>
              <w:t>Related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4"/>
              </w:rPr>
              <w:t>Recorded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94"/>
              </w:rPr>
              <w:t>Income</w:t>
            </w:r>
          </w:p>
        </w:tc>
        <w:tc>
          <w:tcPr>
            <w:tcW w:w="20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3"/>
              </w:rPr>
              <w:t>Investment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6"/>
              </w:rPr>
              <w:t>Balance</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Allowance</w:t>
            </w:r>
          </w:p>
        </w:tc>
        <w:tc>
          <w:tcPr>
            <w:tcW w:w="20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8"/>
              </w:rPr>
              <w:t>Investment</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Recognized</w:t>
            </w:r>
          </w:p>
        </w:tc>
        <w:tc>
          <w:tcPr>
            <w:tcW w:w="20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color w:val="auto"/>
                <w:w w:val="85"/>
              </w:rPr>
              <w:t>Cash Basis</w:t>
            </w:r>
          </w:p>
        </w:tc>
        <w:tc>
          <w:tcPr>
            <w:tcW w:w="0" w:type="dxa"/>
            <w:vAlign w:val="bottom"/>
          </w:tcPr>
          <w:p>
            <w:pPr>
              <w:spacing w:after="0"/>
              <w:rPr>
                <w:sz w:val="1"/>
                <w:szCs w:val="1"/>
                <w:color w:val="auto"/>
              </w:rPr>
            </w:pPr>
          </w:p>
        </w:tc>
      </w:tr>
      <w:tr>
        <w:trPr>
          <w:trHeight w:val="217"/>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6,756</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6,759</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600</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3,904</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24</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Agricultural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467</w:t>
            </w: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467</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116</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580</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2,950</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2,950</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20</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2,719</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141</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3,335</w:t>
            </w: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3,335</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890</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2,138</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78</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0"/>
        <w:spacing w:after="0" w:line="287" w:lineRule="auto"/>
        <w:rPr>
          <w:sz w:val="20"/>
          <w:szCs w:val="20"/>
          <w:color w:val="auto"/>
        </w:rPr>
      </w:pPr>
      <w:r>
        <w:rPr>
          <w:rFonts w:ascii="Arial" w:cs="Arial" w:eastAsia="Arial" w:hAnsi="Arial"/>
          <w:sz w:val="16"/>
          <w:szCs w:val="16"/>
          <w:color w:val="auto"/>
        </w:rPr>
        <w:t>As of December 31, 2021 the Company had $159 thousand of foreclosed residential real estate property obtained by physical possession and $255 thousand of consumer mortgage loans secured by residential real estate properties for which foreclosure proceedings are in process according to local jurisdictions. This compares to the Company having $71 thousand of foreclosed residential real estate property obtained by physical possession and $910 thousand of consumer mortgage loans secured by residential real estate properties for which foreclosure proceedings are in process according to local jurisdictions as of December 31, 2020.</w:t>
      </w:r>
    </w:p>
    <w:p>
      <w:pPr>
        <w:spacing w:after="0" w:line="165" w:lineRule="exact"/>
        <w:rPr>
          <w:sz w:val="20"/>
          <w:szCs w:val="20"/>
          <w:color w:val="auto"/>
        </w:rPr>
      </w:pPr>
    </w:p>
    <w:p>
      <w:pPr>
        <w:jc w:val="both"/>
        <w:ind w:left="600"/>
        <w:spacing w:after="0" w:line="262" w:lineRule="auto"/>
        <w:rPr>
          <w:sz w:val="20"/>
          <w:szCs w:val="20"/>
          <w:color w:val="auto"/>
        </w:rPr>
      </w:pPr>
      <w:r>
        <w:rPr>
          <w:rFonts w:ascii="Arial" w:cs="Arial" w:eastAsia="Arial" w:hAnsi="Arial"/>
          <w:sz w:val="18"/>
          <w:szCs w:val="18"/>
          <w:color w:val="auto"/>
        </w:rPr>
        <w:t>The ALLL has a direct impact on the provision expense. An increase in the ALLL is funded through recoveries and provision expense. The following tables summarize the activities in the allowance for credit losses.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0" w:lineRule="exact"/>
        <w:rPr>
          <w:sz w:val="20"/>
          <w:szCs w:val="20"/>
          <w:color w:val="auto"/>
        </w:rPr>
      </w:pP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an analysis of the allowance for credit losses for the years ended December 31:</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w w:val="92"/>
              </w:rPr>
              <w:t>(In Thousands)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Losses</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0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7,228</w:t>
            </w:r>
          </w:p>
        </w:tc>
        <w:tc>
          <w:tcPr>
            <w:tcW w:w="2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00" w:type="dxa"/>
            <w:vAlign w:val="bottom"/>
          </w:tcPr>
          <w:p>
            <w:pPr>
              <w:spacing w:after="0"/>
              <w:rPr>
                <w:sz w:val="20"/>
                <w:szCs w:val="20"/>
                <w:color w:val="auto"/>
              </w:rPr>
            </w:pPr>
            <w:r>
              <w:rPr>
                <w:rFonts w:ascii="Arial" w:cs="Arial" w:eastAsia="Arial" w:hAnsi="Arial"/>
                <w:sz w:val="18"/>
                <w:szCs w:val="18"/>
                <w:color w:val="auto"/>
              </w:rPr>
              <w:t>Balance at ending of year</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16,242</w:t>
            </w:r>
          </w:p>
        </w:tc>
        <w:tc>
          <w:tcPr>
            <w:tcW w:w="12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13,672</w:t>
            </w:r>
          </w:p>
        </w:tc>
        <w:tc>
          <w:tcPr>
            <w:tcW w:w="200" w:type="dxa"/>
            <w:vAlign w:val="bottom"/>
          </w:tcPr>
          <w:p>
            <w:pPr>
              <w:spacing w:after="0"/>
              <w:rPr>
                <w:sz w:val="22"/>
                <w:szCs w:val="22"/>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7,228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3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Allowance for Unfunded Loan Commitments</w:t>
            </w:r>
          </w:p>
        </w:tc>
        <w:tc>
          <w:tcPr>
            <w:tcW w:w="1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&amp; Letters of Credit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Total Allowance for Credit Losses</w:t>
            </w:r>
          </w:p>
        </w:tc>
        <w:tc>
          <w:tcPr>
            <w:tcW w:w="1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vMerge w:val="continue"/>
          </w:tcPr>
          <w:p>
            <w:pPr>
              <w:spacing w:after="0"/>
              <w:rPr>
                <w:sz w:val="17"/>
                <w:szCs w:val="17"/>
                <w:color w:val="auto"/>
              </w:rPr>
            </w:pPr>
          </w:p>
        </w:tc>
        <w:tc>
          <w:tcPr>
            <w:tcW w:w="13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17,283</w:t>
            </w:r>
          </w:p>
        </w:tc>
        <w:tc>
          <w:tcPr>
            <w:tcW w:w="120" w:type="dxa"/>
            <w:vAlign w:val="bottom"/>
          </w:tcPr>
          <w:p>
            <w:pPr>
              <w:spacing w:after="0"/>
              <w:rPr>
                <w:sz w:val="17"/>
                <w:szCs w:val="17"/>
                <w:color w:val="auto"/>
              </w:rPr>
            </w:pP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14,313</w:t>
            </w:r>
          </w:p>
        </w:tc>
        <w:tc>
          <w:tcPr>
            <w:tcW w:w="2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7,707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line="325" w:lineRule="auto"/>
        <w:rPr>
          <w:sz w:val="20"/>
          <w:szCs w:val="20"/>
          <w:color w:val="auto"/>
        </w:rPr>
      </w:pPr>
      <w:r>
        <w:rPr>
          <w:rFonts w:ascii="Arial" w:cs="Arial" w:eastAsia="Arial" w:hAnsi="Arial"/>
          <w:sz w:val="16"/>
          <w:szCs w:val="16"/>
          <w:color w:val="auto"/>
        </w:rPr>
        <w:t>The Company segregates its Allowance for Loan and Lease Losses (ALLL) into two reserves: The ALLL and the Allowance for Unfunded Loan Commitments and Letters of Credit (AULC). When combined, these reserves constitute the total Allowance for Credit Losses (ACL).</w:t>
      </w:r>
    </w:p>
    <w:p>
      <w:pPr>
        <w:spacing w:after="0" w:line="134" w:lineRule="exact"/>
        <w:rPr>
          <w:sz w:val="20"/>
          <w:szCs w:val="20"/>
          <w:color w:val="auto"/>
        </w:rPr>
      </w:pPr>
    </w:p>
    <w:p>
      <w:pPr>
        <w:ind w:left="600"/>
        <w:spacing w:after="0" w:line="262"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on the consolidated balance sheet. The ACL presented above represents the full amount of reserves available to absorb possible credit losses.</w:t>
      </w:r>
    </w:p>
    <w:p>
      <w:pPr>
        <w:spacing w:after="0" w:line="180" w:lineRule="exact"/>
        <w:rPr>
          <w:sz w:val="20"/>
          <w:szCs w:val="20"/>
          <w:color w:val="auto"/>
        </w:rPr>
      </w:pPr>
    </w:p>
    <w:p>
      <w:pPr>
        <w:ind w:left="600"/>
        <w:spacing w:after="0" w:line="262" w:lineRule="auto"/>
        <w:rPr>
          <w:sz w:val="20"/>
          <w:szCs w:val="20"/>
          <w:color w:val="auto"/>
        </w:rPr>
      </w:pPr>
      <w:r>
        <w:rPr>
          <w:rFonts w:ascii="Arial" w:cs="Arial" w:eastAsia="Arial" w:hAnsi="Arial"/>
          <w:sz w:val="18"/>
          <w:szCs w:val="18"/>
          <w:color w:val="auto"/>
        </w:rPr>
        <w:t>The following table breaks down the activity within ALLL for each loan portfolio segment and shows the contribution provided by both the recoveries and the provision along with the reduction of the allowance caused by charge-offs.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0" w:lineRule="exact"/>
        <w:rPr>
          <w:sz w:val="20"/>
          <w:szCs w:val="20"/>
          <w:color w:val="auto"/>
        </w:rPr>
      </w:pP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analysis related to the allowance for credit losses as of December 31, 2021 and 2020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5"/>
              </w:rPr>
              <w:t>(In Thousands)</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2"/>
              <w:spacing w:after="0" w:line="205" w:lineRule="exact"/>
              <w:rPr>
                <w:sz w:val="20"/>
                <w:szCs w:val="20"/>
                <w:color w:val="auto"/>
              </w:rPr>
            </w:pPr>
            <w:r>
              <w:rPr>
                <w:rFonts w:ascii="Arial" w:cs="Arial" w:eastAsia="Arial" w:hAnsi="Arial"/>
                <w:sz w:val="18"/>
                <w:szCs w:val="18"/>
                <w:color w:val="auto"/>
                <w:w w:val="89"/>
              </w:rPr>
              <w:t>Unfunded</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9"/>
              </w:rPr>
              <w:t>Loan</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auto"/>
                <w:w w:val="88"/>
              </w:rPr>
              <w:t>Commitment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20" w:type="dxa"/>
            <w:vAlign w:val="bottom"/>
            <w:vMerge w:val="restart"/>
          </w:tcPr>
          <w:p>
            <w:pPr>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Consumer</w:t>
            </w:r>
          </w:p>
        </w:tc>
        <w:tc>
          <w:tcPr>
            <w:tcW w:w="980" w:type="dxa"/>
            <w:vAlign w:val="bottom"/>
            <w:gridSpan w:val="3"/>
          </w:tcPr>
          <w:p>
            <w:pPr>
              <w:spacing w:after="0"/>
              <w:rPr>
                <w:sz w:val="20"/>
                <w:szCs w:val="20"/>
                <w:color w:val="auto"/>
              </w:rPr>
            </w:pPr>
            <w:r>
              <w:rPr>
                <w:rFonts w:ascii="Arial" w:cs="Arial" w:eastAsia="Arial" w:hAnsi="Arial"/>
                <w:sz w:val="18"/>
                <w:szCs w:val="18"/>
                <w:color w:val="auto"/>
              </w:rPr>
              <w:t>Agricultural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w w:val="89"/>
              </w:rPr>
              <w:t>Commercial</w:t>
            </w:r>
          </w:p>
        </w:tc>
        <w:tc>
          <w:tcPr>
            <w:tcW w:w="16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Commercial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3"/>
              </w:rPr>
              <w:t>&amp; Letters of</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vMerge w:val="continue"/>
          </w:tcPr>
          <w:p>
            <w:pPr>
              <w:spacing w:after="0"/>
              <w:rPr>
                <w:sz w:val="19"/>
                <w:szCs w:val="19"/>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auto"/>
              </w:rPr>
              <w:t>Real Estate</w:t>
            </w:r>
          </w:p>
        </w:tc>
        <w:tc>
          <w:tcPr>
            <w:tcW w:w="980" w:type="dxa"/>
            <w:vAlign w:val="bottom"/>
            <w:gridSpan w:val="3"/>
          </w:tcPr>
          <w:p>
            <w:pPr>
              <w:ind w:left="40"/>
              <w:spacing w:after="0"/>
              <w:rPr>
                <w:sz w:val="20"/>
                <w:szCs w:val="20"/>
                <w:color w:val="auto"/>
              </w:rPr>
            </w:pPr>
            <w:r>
              <w:rPr>
                <w:rFonts w:ascii="Arial" w:cs="Arial" w:eastAsia="Arial" w:hAnsi="Arial"/>
                <w:sz w:val="18"/>
                <w:szCs w:val="18"/>
                <w:color w:val="auto"/>
                <w:w w:val="98"/>
              </w:rPr>
              <w:t>Real Estate</w:t>
            </w:r>
          </w:p>
        </w:tc>
        <w:tc>
          <w:tcPr>
            <w:tcW w:w="1100" w:type="dxa"/>
            <w:vAlign w:val="bottom"/>
            <w:gridSpan w:val="4"/>
          </w:tcPr>
          <w:p>
            <w:pPr>
              <w:ind w:left="60"/>
              <w:spacing w:after="0"/>
              <w:rPr>
                <w:sz w:val="20"/>
                <w:szCs w:val="20"/>
                <w:color w:val="auto"/>
              </w:rPr>
            </w:pPr>
            <w:r>
              <w:rPr>
                <w:rFonts w:ascii="Arial" w:cs="Arial" w:eastAsia="Arial" w:hAnsi="Arial"/>
                <w:sz w:val="18"/>
                <w:szCs w:val="18"/>
                <w:color w:val="auto"/>
              </w:rPr>
              <w:t>Agricultural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and Industrial</w:t>
            </w:r>
          </w:p>
        </w:tc>
        <w:tc>
          <w:tcPr>
            <w:tcW w:w="900" w:type="dxa"/>
            <w:vAlign w:val="bottom"/>
            <w:gridSpan w:val="4"/>
          </w:tcPr>
          <w:p>
            <w:pPr>
              <w:ind w:left="60"/>
              <w:spacing w:after="0"/>
              <w:rPr>
                <w:sz w:val="20"/>
                <w:szCs w:val="20"/>
                <w:color w:val="auto"/>
              </w:rPr>
            </w:pPr>
            <w:r>
              <w:rPr>
                <w:rFonts w:ascii="Arial" w:cs="Arial" w:eastAsia="Arial" w:hAnsi="Arial"/>
                <w:sz w:val="18"/>
                <w:szCs w:val="18"/>
                <w:color w:val="auto"/>
                <w:w w:val="98"/>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1"/>
              </w:rPr>
              <w:t>Credit</w:t>
            </w:r>
          </w:p>
        </w:tc>
        <w:tc>
          <w:tcPr>
            <w:tcW w:w="1020" w:type="dxa"/>
            <w:vAlign w:val="bottom"/>
            <w:gridSpan w:val="3"/>
          </w:tcPr>
          <w:p>
            <w:pPr>
              <w:ind w:left="160"/>
              <w:spacing w:after="0"/>
              <w:rPr>
                <w:sz w:val="20"/>
                <w:szCs w:val="20"/>
                <w:color w:val="auto"/>
              </w:rPr>
            </w:pPr>
            <w:r>
              <w:rPr>
                <w:rFonts w:ascii="Arial" w:cs="Arial" w:eastAsia="Arial" w:hAnsi="Arial"/>
                <w:sz w:val="18"/>
                <w:szCs w:val="18"/>
                <w:color w:val="auto"/>
                <w:w w:val="88"/>
              </w:rPr>
              <w:t>Unallocated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9"/>
        </w:trPr>
        <w:tc>
          <w:tcPr>
            <w:tcW w:w="2020" w:type="dxa"/>
            <w:vAlign w:val="bottom"/>
            <w:tcBorders>
              <w:top w:val="single" w:sz="8" w:color="CFF0FC"/>
            </w:tcBorders>
            <w:shd w:val="clear" w:color="auto" w:fill="CFF0FC"/>
          </w:tcPr>
          <w:p>
            <w:pPr>
              <w:spacing w:after="0" w:line="199" w:lineRule="exact"/>
              <w:rPr>
                <w:sz w:val="20"/>
                <w:szCs w:val="20"/>
                <w:color w:val="auto"/>
              </w:rPr>
            </w:pPr>
            <w:r>
              <w:rPr>
                <w:rFonts w:ascii="Arial" w:cs="Arial" w:eastAsia="Arial" w:hAnsi="Arial"/>
                <w:sz w:val="18"/>
                <w:szCs w:val="18"/>
                <w:b w:val="1"/>
                <w:bCs w:val="1"/>
                <w:color w:val="auto"/>
              </w:rPr>
              <w:t>ALLOWANCE FOR</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20" w:type="dxa"/>
            <w:vAlign w:val="bottom"/>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7,415</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641</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 Offs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24"/>
        </w:trPr>
        <w:tc>
          <w:tcPr>
            <w:tcW w:w="202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20" w:type="dxa"/>
            <w:vAlign w:val="bottom"/>
          </w:tcPr>
          <w:p>
            <w:pPr>
              <w:ind w:left="240"/>
              <w:spacing w:after="0"/>
              <w:rPr>
                <w:sz w:val="20"/>
                <w:szCs w:val="20"/>
                <w:color w:val="auto"/>
              </w:rPr>
            </w:pPr>
            <w:r>
              <w:rPr>
                <w:rFonts w:ascii="Arial" w:cs="Arial" w:eastAsia="Arial" w:hAnsi="Arial"/>
                <w:sz w:val="18"/>
                <w:szCs w:val="18"/>
                <w:color w:val="auto"/>
              </w:rPr>
              <w:t>Other Non-interest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20" w:type="dxa"/>
            <w:vAlign w:val="bottom"/>
          </w:tcPr>
          <w:p>
            <w:pPr>
              <w:ind w:left="240"/>
              <w:spacing w:after="0"/>
              <w:rPr>
                <w:sz w:val="20"/>
                <w:szCs w:val="20"/>
                <w:color w:val="auto"/>
              </w:rPr>
            </w:pPr>
            <w:r>
              <w:rPr>
                <w:rFonts w:ascii="Arial" w:cs="Arial" w:eastAsia="Arial" w:hAnsi="Arial"/>
                <w:sz w:val="18"/>
                <w:szCs w:val="18"/>
                <w:color w:val="auto"/>
              </w:rPr>
              <w:t>expense related to</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9,130</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8"/>
                <w:szCs w:val="18"/>
                <w:color w:val="auto"/>
              </w:rPr>
              <w:t>individually evaluated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2"/>
                <w:szCs w:val="22"/>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664</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8,466</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8"/>
                <w:szCs w:val="18"/>
                <w:color w:val="auto"/>
                <w:w w:val="96"/>
              </w:rPr>
              <w:t>acquired with deteriorated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140"/>
              <w:spacing w:after="0"/>
              <w:rPr>
                <w:sz w:val="20"/>
                <w:szCs w:val="20"/>
                <w:color w:val="auto"/>
              </w:rPr>
            </w:pPr>
            <w:r>
              <w:rPr>
                <w:rFonts w:ascii="Arial" w:cs="Arial" w:eastAsia="Arial" w:hAnsi="Arial"/>
                <w:sz w:val="18"/>
                <w:szCs w:val="18"/>
                <w:color w:val="auto"/>
              </w:rPr>
              <w:t>credit quality</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020" w:type="dxa"/>
            <w:vAlign w:val="bottom"/>
            <w:tcBorders>
              <w:top w:val="single" w:sz="8" w:color="CFF0FC"/>
            </w:tcBorders>
            <w:shd w:val="clear" w:color="auto" w:fill="CFF0FC"/>
          </w:tcPr>
          <w:p>
            <w:pPr>
              <w:spacing w:after="0" w:line="186" w:lineRule="exact"/>
              <w:rPr>
                <w:sz w:val="20"/>
                <w:szCs w:val="20"/>
                <w:color w:val="auto"/>
              </w:rPr>
            </w:pPr>
            <w:r>
              <w:rPr>
                <w:rFonts w:ascii="Arial" w:cs="Arial" w:eastAsia="Arial" w:hAnsi="Arial"/>
                <w:sz w:val="18"/>
                <w:szCs w:val="18"/>
                <w:b w:val="1"/>
                <w:bCs w:val="1"/>
                <w:color w:val="auto"/>
              </w:rPr>
              <w:t>FINANCING</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20" w:type="dxa"/>
            <w:vAlign w:val="bottom"/>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395,805</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198,033</w:t>
            </w:r>
          </w:p>
        </w:tc>
        <w:tc>
          <w:tcPr>
            <w:tcW w:w="100" w:type="dxa"/>
            <w:vAlign w:val="bottom"/>
          </w:tcPr>
          <w:p>
            <w:pPr>
              <w:spacing w:after="0"/>
              <w:rPr>
                <w:sz w:val="22"/>
                <w:szCs w:val="22"/>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118,504</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847,110</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240,138</w:t>
            </w:r>
          </w:p>
        </w:tc>
        <w:tc>
          <w:tcPr>
            <w:tcW w:w="12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57,829</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1,857,419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3,561</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8"/>
                <w:szCs w:val="18"/>
                <w:color w:val="auto"/>
              </w:rPr>
              <w:t>collectively evaluated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394,489</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191,107</w:t>
            </w:r>
          </w:p>
        </w:tc>
        <w:tc>
          <w:tcPr>
            <w:tcW w:w="100" w:type="dxa"/>
            <w:vAlign w:val="bottom"/>
          </w:tcPr>
          <w:p>
            <w:pPr>
              <w:spacing w:after="0"/>
              <w:rPr>
                <w:sz w:val="22"/>
                <w:szCs w:val="22"/>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118,484</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843,299</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238,849</w:t>
            </w:r>
          </w:p>
        </w:tc>
        <w:tc>
          <w:tcPr>
            <w:tcW w:w="12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57,803</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1,844,031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 loans</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2"/>
              </w:rPr>
              <w:t>deteriorated credit quality</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4"/>
              </w:rPr>
              <w:t>(In Thousands)</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2"/>
              <w:spacing w:after="0" w:line="205" w:lineRule="exact"/>
              <w:rPr>
                <w:sz w:val="20"/>
                <w:szCs w:val="20"/>
                <w:color w:val="auto"/>
              </w:rPr>
            </w:pPr>
            <w:r>
              <w:rPr>
                <w:rFonts w:ascii="Arial" w:cs="Arial" w:eastAsia="Arial" w:hAnsi="Arial"/>
                <w:sz w:val="18"/>
                <w:szCs w:val="18"/>
                <w:color w:val="auto"/>
                <w:w w:val="89"/>
              </w:rPr>
              <w:t>Unfunded</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9"/>
              </w:rPr>
              <w:t>Loan</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auto"/>
                <w:w w:val="88"/>
              </w:rPr>
              <w:t>Commitment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Consumer</w:t>
            </w:r>
          </w:p>
        </w:tc>
        <w:tc>
          <w:tcPr>
            <w:tcW w:w="920" w:type="dxa"/>
            <w:vAlign w:val="bottom"/>
            <w:gridSpan w:val="3"/>
          </w:tcPr>
          <w:p>
            <w:pPr>
              <w:ind w:left="60"/>
              <w:spacing w:after="0"/>
              <w:rPr>
                <w:sz w:val="20"/>
                <w:szCs w:val="20"/>
                <w:color w:val="auto"/>
              </w:rPr>
            </w:pPr>
            <w:r>
              <w:rPr>
                <w:rFonts w:ascii="Arial" w:cs="Arial" w:eastAsia="Arial" w:hAnsi="Arial"/>
                <w:sz w:val="18"/>
                <w:szCs w:val="18"/>
                <w:color w:val="auto"/>
                <w:w w:val="93"/>
              </w:rPr>
              <w:t>Agricultural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color w:val="auto"/>
                <w:w w:val="95"/>
              </w:rPr>
              <w:t>Commercial</w:t>
            </w:r>
          </w:p>
        </w:tc>
        <w:tc>
          <w:tcPr>
            <w:tcW w:w="10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Commercial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3"/>
              </w:rPr>
              <w:t>&amp; Letters of</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vMerge w:val="continue"/>
          </w:tcPr>
          <w:p>
            <w:pPr>
              <w:spacing w:after="0"/>
              <w:rPr>
                <w:sz w:val="19"/>
                <w:szCs w:val="19"/>
                <w:color w:val="auto"/>
              </w:rPr>
            </w:pPr>
          </w:p>
        </w:tc>
        <w:tc>
          <w:tcPr>
            <w:tcW w:w="960" w:type="dxa"/>
            <w:vAlign w:val="bottom"/>
            <w:gridSpan w:val="4"/>
          </w:tcPr>
          <w:p>
            <w:pPr>
              <w:ind w:left="40"/>
              <w:spacing w:after="0"/>
              <w:rPr>
                <w:sz w:val="20"/>
                <w:szCs w:val="20"/>
                <w:color w:val="auto"/>
              </w:rPr>
            </w:pPr>
            <w:r>
              <w:rPr>
                <w:rFonts w:ascii="Arial" w:cs="Arial" w:eastAsia="Arial" w:hAnsi="Arial"/>
                <w:sz w:val="18"/>
                <w:szCs w:val="18"/>
                <w:color w:val="auto"/>
                <w:w w:val="96"/>
              </w:rPr>
              <w:t>Real Estate</w:t>
            </w:r>
          </w:p>
        </w:tc>
        <w:tc>
          <w:tcPr>
            <w:tcW w:w="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5"/>
              </w:rPr>
              <w:t>Real Estate</w:t>
            </w:r>
          </w:p>
        </w:tc>
        <w:tc>
          <w:tcPr>
            <w:tcW w:w="1180" w:type="dxa"/>
            <w:vAlign w:val="bottom"/>
            <w:gridSpan w:val="4"/>
          </w:tcPr>
          <w:p>
            <w:pPr>
              <w:ind w:left="160"/>
              <w:spacing w:after="0"/>
              <w:rPr>
                <w:sz w:val="20"/>
                <w:szCs w:val="20"/>
                <w:color w:val="auto"/>
              </w:rPr>
            </w:pPr>
            <w:r>
              <w:rPr>
                <w:rFonts w:ascii="Arial" w:cs="Arial" w:eastAsia="Arial" w:hAnsi="Arial"/>
                <w:sz w:val="18"/>
                <w:szCs w:val="18"/>
                <w:color w:val="auto"/>
              </w:rPr>
              <w:t>Agricultural</w:t>
            </w:r>
          </w:p>
        </w:tc>
        <w:tc>
          <w:tcPr>
            <w:tcW w:w="960" w:type="dxa"/>
            <w:vAlign w:val="bottom"/>
            <w:gridSpan w:val="3"/>
          </w:tcPr>
          <w:p>
            <w:pPr>
              <w:ind w:left="40"/>
              <w:spacing w:after="0"/>
              <w:rPr>
                <w:sz w:val="20"/>
                <w:szCs w:val="20"/>
                <w:color w:val="auto"/>
              </w:rPr>
            </w:pPr>
            <w:r>
              <w:rPr>
                <w:rFonts w:ascii="Arial" w:cs="Arial" w:eastAsia="Arial" w:hAnsi="Arial"/>
                <w:sz w:val="18"/>
                <w:szCs w:val="18"/>
                <w:color w:val="auto"/>
                <w:w w:val="96"/>
              </w:rPr>
              <w:t>Real Estate</w:t>
            </w:r>
          </w:p>
        </w:tc>
        <w:tc>
          <w:tcPr>
            <w:tcW w:w="10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and Industrial</w:t>
            </w:r>
          </w:p>
        </w:tc>
        <w:tc>
          <w:tcPr>
            <w:tcW w:w="900" w:type="dxa"/>
            <w:vAlign w:val="bottom"/>
            <w:gridSpan w:val="4"/>
          </w:tcPr>
          <w:p>
            <w:pPr>
              <w:ind w:left="60"/>
              <w:spacing w:after="0"/>
              <w:rPr>
                <w:sz w:val="20"/>
                <w:szCs w:val="20"/>
                <w:color w:val="auto"/>
              </w:rPr>
            </w:pPr>
            <w:r>
              <w:rPr>
                <w:rFonts w:ascii="Arial" w:cs="Arial" w:eastAsia="Arial" w:hAnsi="Arial"/>
                <w:sz w:val="18"/>
                <w:szCs w:val="18"/>
                <w:color w:val="auto"/>
                <w:w w:val="98"/>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1"/>
              </w:rPr>
              <w:t>Credit</w:t>
            </w:r>
          </w:p>
        </w:tc>
        <w:tc>
          <w:tcPr>
            <w:tcW w:w="1020" w:type="dxa"/>
            <w:vAlign w:val="bottom"/>
            <w:gridSpan w:val="3"/>
          </w:tcPr>
          <w:p>
            <w:pPr>
              <w:ind w:left="160"/>
              <w:spacing w:after="0"/>
              <w:rPr>
                <w:sz w:val="20"/>
                <w:szCs w:val="20"/>
                <w:color w:val="auto"/>
              </w:rPr>
            </w:pPr>
            <w:r>
              <w:rPr>
                <w:rFonts w:ascii="Arial" w:cs="Arial" w:eastAsia="Arial" w:hAnsi="Arial"/>
                <w:sz w:val="18"/>
                <w:szCs w:val="18"/>
                <w:color w:val="auto"/>
                <w:w w:val="88"/>
              </w:rPr>
              <w:t>Unallocated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9"/>
        </w:trPr>
        <w:tc>
          <w:tcPr>
            <w:tcW w:w="2060" w:type="dxa"/>
            <w:vAlign w:val="bottom"/>
            <w:tcBorders>
              <w:top w:val="single" w:sz="8" w:color="CFF0FC"/>
            </w:tcBorders>
            <w:shd w:val="clear" w:color="auto" w:fill="CFF0FC"/>
          </w:tcPr>
          <w:p>
            <w:pPr>
              <w:spacing w:after="0" w:line="199" w:lineRule="exact"/>
              <w:rPr>
                <w:sz w:val="20"/>
                <w:szCs w:val="20"/>
                <w:color w:val="auto"/>
              </w:rPr>
            </w:pPr>
            <w:r>
              <w:rPr>
                <w:rFonts w:ascii="Arial" w:cs="Arial" w:eastAsia="Arial" w:hAnsi="Arial"/>
                <w:sz w:val="18"/>
                <w:szCs w:val="18"/>
                <w:b w:val="1"/>
                <w:bCs w:val="1"/>
                <w:color w:val="auto"/>
              </w:rPr>
              <w:t>ALLOWANCE FOR</w:t>
            </w: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Arial" w:cs="Arial" w:eastAsia="Arial" w:hAnsi="Arial"/>
                <w:sz w:val="18"/>
                <w:szCs w:val="18"/>
                <w:color w:val="auto"/>
              </w:rPr>
              <w:t>Beginning balance</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314</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3,634</w:t>
            </w:r>
          </w:p>
        </w:tc>
        <w:tc>
          <w:tcPr>
            <w:tcW w:w="80" w:type="dxa"/>
            <w:vAlign w:val="bottom"/>
          </w:tcPr>
          <w:p>
            <w:pPr>
              <w:spacing w:after="0"/>
              <w:rPr>
                <w:sz w:val="19"/>
                <w:szCs w:val="19"/>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479</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 Offs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4"/>
        </w:trPr>
        <w:tc>
          <w:tcPr>
            <w:tcW w:w="206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(Credit)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60" w:type="dxa"/>
            <w:vAlign w:val="bottom"/>
          </w:tcPr>
          <w:p>
            <w:pPr>
              <w:ind w:left="240"/>
              <w:spacing w:after="0"/>
              <w:rPr>
                <w:sz w:val="20"/>
                <w:szCs w:val="20"/>
                <w:color w:val="auto"/>
              </w:rPr>
            </w:pPr>
            <w:r>
              <w:rPr>
                <w:rFonts w:ascii="Arial" w:cs="Arial" w:eastAsia="Arial" w:hAnsi="Arial"/>
                <w:sz w:val="18"/>
                <w:szCs w:val="18"/>
                <w:color w:val="auto"/>
              </w:rPr>
              <w:t>Other Non-interest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60" w:type="dxa"/>
            <w:vAlign w:val="bottom"/>
          </w:tcPr>
          <w:p>
            <w:pPr>
              <w:ind w:left="240"/>
              <w:spacing w:after="0"/>
              <w:rPr>
                <w:sz w:val="20"/>
                <w:szCs w:val="20"/>
                <w:color w:val="auto"/>
              </w:rPr>
            </w:pPr>
            <w:r>
              <w:rPr>
                <w:rFonts w:ascii="Arial" w:cs="Arial" w:eastAsia="Arial" w:hAnsi="Arial"/>
                <w:sz w:val="18"/>
                <w:szCs w:val="18"/>
                <w:color w:val="auto"/>
              </w:rPr>
              <w:t>expense related to</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w:t>
            </w: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w:t>
            </w: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20"/>
                <w:szCs w:val="20"/>
                <w:color w:val="auto"/>
              </w:rPr>
            </w:pPr>
            <w:r>
              <w:rPr>
                <w:rFonts w:ascii="Arial" w:cs="Arial" w:eastAsia="Arial" w:hAnsi="Arial"/>
                <w:sz w:val="18"/>
                <w:szCs w:val="18"/>
                <w:color w:val="auto"/>
              </w:rPr>
              <w:t>individually evaluated for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6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600</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6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w w:val="92"/>
              </w:rPr>
              <w:t>Ending balance: collectively</w:t>
            </w:r>
          </w:p>
        </w:tc>
        <w:tc>
          <w:tcPr>
            <w:tcW w:w="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evaluated for</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 loans</w:t>
            </w: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20"/>
                <w:szCs w:val="20"/>
                <w:color w:val="auto"/>
              </w:rPr>
            </w:pPr>
            <w:r>
              <w:rPr>
                <w:rFonts w:ascii="Arial" w:cs="Arial" w:eastAsia="Arial" w:hAnsi="Arial"/>
                <w:sz w:val="18"/>
                <w:szCs w:val="18"/>
                <w:color w:val="auto"/>
                <w:w w:val="98"/>
              </w:rPr>
              <w:t>acquired with deteriorated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60" w:type="dxa"/>
            <w:vAlign w:val="bottom"/>
          </w:tcPr>
          <w:p>
            <w:pPr>
              <w:ind w:left="140"/>
              <w:spacing w:after="0"/>
              <w:rPr>
                <w:sz w:val="20"/>
                <w:szCs w:val="20"/>
                <w:color w:val="auto"/>
              </w:rPr>
            </w:pPr>
            <w:r>
              <w:rPr>
                <w:rFonts w:ascii="Arial" w:cs="Arial" w:eastAsia="Arial" w:hAnsi="Arial"/>
                <w:sz w:val="18"/>
                <w:szCs w:val="18"/>
                <w:color w:val="auto"/>
              </w:rPr>
              <w:t>credit quality</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060" w:type="dxa"/>
            <w:vAlign w:val="bottom"/>
            <w:tcBorders>
              <w:top w:val="single" w:sz="8" w:color="CFF0FC"/>
            </w:tcBorders>
            <w:shd w:val="clear" w:color="auto" w:fill="CFF0FC"/>
          </w:tcPr>
          <w:p>
            <w:pPr>
              <w:spacing w:after="0" w:line="186" w:lineRule="exact"/>
              <w:rPr>
                <w:sz w:val="20"/>
                <w:szCs w:val="20"/>
                <w:color w:val="auto"/>
              </w:rPr>
            </w:pPr>
            <w:r>
              <w:rPr>
                <w:rFonts w:ascii="Arial" w:cs="Arial" w:eastAsia="Arial" w:hAnsi="Arial"/>
                <w:sz w:val="18"/>
                <w:szCs w:val="18"/>
                <w:b w:val="1"/>
                <w:bCs w:val="1"/>
                <w:color w:val="auto"/>
              </w:rPr>
              <w:t>FINANCING</w:t>
            </w:r>
          </w:p>
        </w:tc>
        <w:tc>
          <w:tcPr>
            <w:tcW w:w="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RECEIVABLES: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6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175,316</w:t>
            </w:r>
          </w:p>
        </w:tc>
        <w:tc>
          <w:tcPr>
            <w:tcW w:w="120" w:type="dxa"/>
            <w:vAlign w:val="bottom"/>
          </w:tcPr>
          <w:p>
            <w:pPr>
              <w:spacing w:after="0"/>
              <w:rPr>
                <w:sz w:val="22"/>
                <w:szCs w:val="22"/>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188,826</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94,490</w:t>
            </w:r>
          </w:p>
        </w:tc>
        <w:tc>
          <w:tcPr>
            <w:tcW w:w="14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587,654</w:t>
            </w:r>
          </w:p>
        </w:tc>
        <w:tc>
          <w:tcPr>
            <w:tcW w:w="8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204,043</w:t>
            </w:r>
          </w:p>
        </w:tc>
        <w:tc>
          <w:tcPr>
            <w:tcW w:w="12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52,661</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1,302,990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6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w:t>
            </w:r>
          </w:p>
        </w:tc>
        <w:tc>
          <w:tcPr>
            <w:tcW w:w="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6,756</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2"/>
              </w:rPr>
              <w:t>Ending balance: collectively</w:t>
            </w: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20"/>
                <w:szCs w:val="20"/>
                <w:color w:val="auto"/>
              </w:rPr>
            </w:pPr>
            <w:r>
              <w:rPr>
                <w:rFonts w:ascii="Arial" w:cs="Arial" w:eastAsia="Arial" w:hAnsi="Arial"/>
                <w:sz w:val="18"/>
                <w:szCs w:val="18"/>
                <w:color w:val="auto"/>
              </w:rPr>
              <w:t>evaluated for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6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174,273</w:t>
            </w:r>
          </w:p>
        </w:tc>
        <w:tc>
          <w:tcPr>
            <w:tcW w:w="120" w:type="dxa"/>
            <w:vAlign w:val="bottom"/>
          </w:tcPr>
          <w:p>
            <w:pPr>
              <w:spacing w:after="0"/>
              <w:rPr>
                <w:sz w:val="22"/>
                <w:szCs w:val="22"/>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182,070</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94,023</w:t>
            </w:r>
          </w:p>
        </w:tc>
        <w:tc>
          <w:tcPr>
            <w:tcW w:w="14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584,704</w:t>
            </w:r>
          </w:p>
        </w:tc>
        <w:tc>
          <w:tcPr>
            <w:tcW w:w="8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200,602</w:t>
            </w:r>
          </w:p>
        </w:tc>
        <w:tc>
          <w:tcPr>
            <w:tcW w:w="12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52,638</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1,288,310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6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 loans</w:t>
            </w:r>
          </w:p>
        </w:tc>
        <w:tc>
          <w:tcPr>
            <w:tcW w:w="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acquired with</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3"/>
              </w:rPr>
              <w:t>deteriorated credit quality</w:t>
            </w: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Premises and Equipment</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major categories of banking premises and equipment and accumulated depreciation at December 31 are summarized below:</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color w:val="auto"/>
              </w:rPr>
              <w:t>(In Thousands)</w:t>
            </w:r>
          </w:p>
        </w:tc>
      </w:tr>
      <w:tr>
        <w:trPr>
          <w:trHeight w:val="217"/>
        </w:trPr>
        <w:tc>
          <w:tcPr>
            <w:tcW w:w="53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FF0FC"/>
            </w:tcBorders>
          </w:tcPr>
          <w:p>
            <w:pPr>
              <w:spacing w:after="0"/>
              <w:rPr>
                <w:sz w:val="18"/>
                <w:szCs w:val="18"/>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80" w:type="dxa"/>
            <w:vAlign w:val="bottom"/>
            <w:shd w:val="clear" w:color="auto" w:fill="CFF0FC"/>
          </w:tcPr>
          <w:p>
            <w:pPr>
              <w:spacing w:after="0"/>
              <w:rPr>
                <w:sz w:val="18"/>
                <w:szCs w:val="18"/>
                <w:color w:val="auto"/>
              </w:rPr>
            </w:pPr>
          </w:p>
        </w:tc>
      </w:tr>
      <w:tr>
        <w:trPr>
          <w:trHeight w:val="224"/>
        </w:trPr>
        <w:tc>
          <w:tcPr>
            <w:tcW w:w="5360" w:type="dxa"/>
            <w:vAlign w:val="bottom"/>
          </w:tcPr>
          <w:p>
            <w:pPr>
              <w:spacing w:after="0"/>
              <w:rPr>
                <w:sz w:val="20"/>
                <w:szCs w:val="20"/>
                <w:color w:val="auto"/>
              </w:rPr>
            </w:pPr>
            <w:r>
              <w:rPr>
                <w:rFonts w:ascii="Arial" w:cs="Arial" w:eastAsia="Arial" w:hAnsi="Arial"/>
                <w:sz w:val="18"/>
                <w:szCs w:val="18"/>
                <w:color w:val="auto"/>
              </w:rPr>
              <w:t>Buildings (useful life 15-39 years)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30,929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30,124</w:t>
            </w:r>
          </w:p>
        </w:tc>
        <w:tc>
          <w:tcPr>
            <w:tcW w:w="80" w:type="dxa"/>
            <w:vAlign w:val="bottom"/>
          </w:tcPr>
          <w:p>
            <w:pPr>
              <w:spacing w:after="0"/>
              <w:rPr>
                <w:sz w:val="19"/>
                <w:szCs w:val="19"/>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Furnishings (useful life 3-15 years)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23,160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20,947</w:t>
            </w:r>
          </w:p>
        </w:tc>
        <w:tc>
          <w:tcPr>
            <w:tcW w:w="80" w:type="dxa"/>
            <w:vAlign w:val="bottom"/>
            <w:shd w:val="clear" w:color="auto" w:fill="CFF0FC"/>
          </w:tcPr>
          <w:p>
            <w:pPr>
              <w:spacing w:after="0"/>
              <w:rPr>
                <w:sz w:val="19"/>
                <w:szCs w:val="19"/>
                <w:color w:val="auto"/>
              </w:rPr>
            </w:pPr>
          </w:p>
        </w:tc>
      </w:tr>
      <w:tr>
        <w:trPr>
          <w:trHeight w:val="217"/>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58,022</w:t>
            </w:r>
          </w:p>
        </w:tc>
        <w:tc>
          <w:tcPr>
            <w:tcW w:w="80" w:type="dxa"/>
            <w:vAlign w:val="bottom"/>
          </w:tcPr>
          <w:p>
            <w:pPr>
              <w:spacing w:after="0"/>
              <w:rPr>
                <w:sz w:val="18"/>
                <w:szCs w:val="18"/>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(33,828)</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(30,959)</w:t>
            </w:r>
          </w:p>
        </w:tc>
      </w:tr>
      <w:tr>
        <w:trPr>
          <w:trHeight w:val="217"/>
        </w:trPr>
        <w:tc>
          <w:tcPr>
            <w:tcW w:w="536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27,063</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Depreciation expense for the years ended December 31, 2021, 2020, and 2019 amounted to $2.6, $2.5, and $2.3 million, respectively.</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Servicing</w:t>
      </w:r>
    </w:p>
    <w:p>
      <w:pPr>
        <w:spacing w:after="0" w:line="115" w:lineRule="exact"/>
        <w:rPr>
          <w:sz w:val="20"/>
          <w:szCs w:val="20"/>
          <w:color w:val="auto"/>
        </w:rPr>
      </w:pPr>
    </w:p>
    <w:p>
      <w:pPr>
        <w:jc w:val="both"/>
        <w:ind w:left="600"/>
        <w:spacing w:after="0" w:line="262" w:lineRule="auto"/>
        <w:rPr>
          <w:sz w:val="20"/>
          <w:szCs w:val="20"/>
          <w:color w:val="auto"/>
        </w:rPr>
      </w:pPr>
      <w:r>
        <w:rPr>
          <w:rFonts w:ascii="Arial" w:cs="Arial" w:eastAsia="Arial" w:hAnsi="Arial"/>
          <w:sz w:val="18"/>
          <w:szCs w:val="18"/>
          <w:color w:val="auto"/>
        </w:rPr>
        <w:t>Loans serviced for others are not included in the accompanying consolidated balance sheets. The unpaid principal balances of loans serviced for others were $380.8 and $377.5 million at December 31, 2021 and 2020, respectively.</w:t>
      </w:r>
    </w:p>
    <w:p>
      <w:pPr>
        <w:spacing w:after="0" w:line="180" w:lineRule="exact"/>
        <w:rPr>
          <w:sz w:val="20"/>
          <w:szCs w:val="20"/>
          <w:color w:val="auto"/>
        </w:rPr>
      </w:pPr>
    </w:p>
    <w:p>
      <w:pPr>
        <w:jc w:val="both"/>
        <w:ind w:left="600"/>
        <w:spacing w:after="0" w:line="325" w:lineRule="auto"/>
        <w:rPr>
          <w:sz w:val="20"/>
          <w:szCs w:val="20"/>
          <w:color w:val="auto"/>
        </w:rPr>
      </w:pPr>
      <w:r>
        <w:rPr>
          <w:rFonts w:ascii="Arial" w:cs="Arial" w:eastAsia="Arial" w:hAnsi="Arial"/>
          <w:sz w:val="16"/>
          <w:szCs w:val="16"/>
          <w:color w:val="auto"/>
        </w:rPr>
        <w:t>The balance of capitalized servicing rights included in other assets at December 31, 2021 and 2020, was $3.6 and $3.3 million, respectively. The capitalized addition of servicing rights is included in net gain on sale of loans on the consolidated statement of income.</w:t>
      </w:r>
    </w:p>
    <w:p>
      <w:pPr>
        <w:spacing w:after="0" w:line="134" w:lineRule="exact"/>
        <w:rPr>
          <w:sz w:val="20"/>
          <w:szCs w:val="20"/>
          <w:color w:val="auto"/>
        </w:rPr>
      </w:pPr>
    </w:p>
    <w:p>
      <w:pPr>
        <w:jc w:val="both"/>
        <w:ind w:left="600"/>
        <w:spacing w:after="0" w:line="284" w:lineRule="auto"/>
        <w:rPr>
          <w:sz w:val="20"/>
          <w:szCs w:val="20"/>
          <w:color w:val="auto"/>
        </w:rPr>
      </w:pPr>
      <w:r>
        <w:rPr>
          <w:rFonts w:ascii="Arial" w:cs="Arial" w:eastAsia="Arial" w:hAnsi="Arial"/>
          <w:sz w:val="16"/>
          <w:szCs w:val="16"/>
          <w:color w:val="auto"/>
        </w:rPr>
        <w:t>The fair market value of the capitalized servicing rights as of December 31, 2021 and 2020 was $3.2 million and $3.5 million, respectively.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of 21.7% and 24.1% were utilized for 2021 and 2020, respectively. All stratums did not show positive values in 2021 compared to carrying value using a discount yield of 1.97% which resulted in the need to establish a $414 thousand valuation allowance. In 2020, all stratums showed positive values compared to carrying value using a discount yield of 2.38%.</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summarizes mortgage servicing rights capitalized and amortized during each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2800" w:type="dxa"/>
            <w:vAlign w:val="bottom"/>
            <w:tcBorders>
              <w:bottom w:val="single" w:sz="8" w:color="CFF0FC"/>
            </w:tcBorders>
          </w:tcPr>
          <w:p>
            <w:pPr>
              <w:spacing w:after="0"/>
              <w:rPr>
                <w:sz w:val="18"/>
                <w:szCs w:val="18"/>
                <w:color w:val="auto"/>
              </w:rPr>
            </w:pPr>
          </w:p>
        </w:tc>
        <w:tc>
          <w:tcPr>
            <w:tcW w:w="2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84"/>
              </w:rPr>
              <w:t>2020</w:t>
            </w:r>
          </w:p>
        </w:tc>
        <w:tc>
          <w:tcPr>
            <w:tcW w:w="80" w:type="dxa"/>
            <w:vAlign w:val="bottom"/>
            <w:tcBorders>
              <w:bottom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2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2800" w:type="dxa"/>
            <w:vAlign w:val="bottom"/>
          </w:tcPr>
          <w:p>
            <w:pPr>
              <w:ind w:left="240"/>
              <w:spacing w:after="0"/>
              <w:rPr>
                <w:sz w:val="20"/>
                <w:szCs w:val="20"/>
                <w:color w:val="auto"/>
              </w:rPr>
            </w:pPr>
            <w:r>
              <w:rPr>
                <w:rFonts w:ascii="Arial" w:cs="Arial" w:eastAsia="Arial" w:hAnsi="Arial"/>
                <w:sz w:val="18"/>
                <w:szCs w:val="18"/>
                <w:color w:val="auto"/>
              </w:rPr>
              <w:t>Capitalized Additions</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2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280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End of Year</w:t>
            </w:r>
          </w:p>
        </w:tc>
        <w:tc>
          <w:tcPr>
            <w:tcW w:w="2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00" w:type="dxa"/>
            <w:vAlign w:val="bottom"/>
          </w:tcPr>
          <w:p>
            <w:pPr>
              <w:spacing w:after="0"/>
              <w:rPr>
                <w:sz w:val="18"/>
                <w:szCs w:val="18"/>
                <w:color w:val="auto"/>
              </w:rPr>
            </w:pPr>
          </w:p>
        </w:tc>
        <w:tc>
          <w:tcPr>
            <w:tcW w:w="2800" w:type="dxa"/>
            <w:vAlign w:val="bottom"/>
            <w:vMerge w:val="continue"/>
            <w:shd w:val="clear" w:color="auto" w:fill="CFF0FC"/>
          </w:tcPr>
          <w:p>
            <w:pPr>
              <w:spacing w:after="0"/>
              <w:rPr>
                <w:sz w:val="18"/>
                <w:szCs w:val="18"/>
                <w:color w:val="auto"/>
              </w:rPr>
            </w:pPr>
          </w:p>
        </w:tc>
        <w:tc>
          <w:tcPr>
            <w:tcW w:w="2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0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bottom w:val="single" w:sz="8" w:color="CFF0FC"/>
            </w:tcBorders>
            <w:vMerge w:val="restart"/>
          </w:tcPr>
          <w:p>
            <w:pPr>
              <w:jc w:val="right"/>
              <w:ind w:right="1052"/>
              <w:spacing w:after="0"/>
              <w:rPr>
                <w:sz w:val="20"/>
                <w:szCs w:val="20"/>
                <w:color w:val="auto"/>
              </w:rPr>
            </w:pPr>
            <w:r>
              <w:rPr>
                <w:rFonts w:ascii="Arial" w:cs="Arial" w:eastAsia="Arial" w:hAnsi="Arial"/>
                <w:sz w:val="18"/>
                <w:szCs w:val="18"/>
                <w:color w:val="auto"/>
              </w:rPr>
              <w:t>90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7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Deposits</w:t>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222"/>
        </w:trPr>
        <w:tc>
          <w:tcPr>
            <w:tcW w:w="5980" w:type="dxa"/>
            <w:vAlign w:val="bottom"/>
            <w:gridSpan w:val="3"/>
          </w:tcPr>
          <w:p>
            <w:pPr>
              <w:spacing w:after="0"/>
              <w:rPr>
                <w:sz w:val="20"/>
                <w:szCs w:val="20"/>
                <w:color w:val="auto"/>
              </w:rPr>
            </w:pPr>
            <w:r>
              <w:rPr>
                <w:rFonts w:ascii="Arial" w:cs="Arial" w:eastAsia="Arial" w:hAnsi="Arial"/>
                <w:sz w:val="18"/>
                <w:szCs w:val="18"/>
                <w:color w:val="auto"/>
              </w:rPr>
              <w:t>Time deposits as of December 31 consist of the following:</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6"/>
          </w:tcPr>
          <w:p>
            <w:pPr>
              <w:jc w:val="right"/>
              <w:ind w:right="7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45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5080" w:type="dxa"/>
            <w:vAlign w:val="bottom"/>
            <w:gridSpan w:val="2"/>
            <w:shd w:val="clear" w:color="auto" w:fill="CFF0FC"/>
          </w:tcPr>
          <w:p>
            <w:pPr>
              <w:jc w:val="right"/>
              <w:ind w:right="2872"/>
              <w:spacing w:after="0"/>
              <w:rPr>
                <w:sz w:val="20"/>
                <w:szCs w:val="20"/>
                <w:color w:val="auto"/>
              </w:rPr>
            </w:pPr>
            <w:r>
              <w:rPr>
                <w:rFonts w:ascii="Arial" w:cs="Arial" w:eastAsia="Arial" w:hAnsi="Arial"/>
                <w:sz w:val="18"/>
                <w:szCs w:val="18"/>
                <w:color w:val="auto"/>
                <w:w w:val="86"/>
              </w:rPr>
              <w:t>Time deposits under $250,000</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397,102</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215,515</w:t>
            </w:r>
          </w:p>
        </w:tc>
        <w:tc>
          <w:tcPr>
            <w:tcW w:w="0" w:type="dxa"/>
            <w:vAlign w:val="bottom"/>
          </w:tcPr>
          <w:p>
            <w:pPr>
              <w:spacing w:after="0"/>
              <w:rPr>
                <w:sz w:val="1"/>
                <w:szCs w:val="1"/>
                <w:color w:val="auto"/>
              </w:rPr>
            </w:pPr>
          </w:p>
        </w:tc>
      </w:tr>
      <w:tr>
        <w:trPr>
          <w:trHeight w:val="224"/>
        </w:trPr>
        <w:tc>
          <w:tcPr>
            <w:tcW w:w="5980" w:type="dxa"/>
            <w:vAlign w:val="bottom"/>
            <w:gridSpan w:val="3"/>
          </w:tcPr>
          <w:p>
            <w:pPr>
              <w:jc w:val="right"/>
              <w:ind w:right="2532"/>
              <w:spacing w:after="0"/>
              <w:rPr>
                <w:sz w:val="20"/>
                <w:szCs w:val="20"/>
                <w:color w:val="auto"/>
              </w:rPr>
            </w:pPr>
            <w:r>
              <w:rPr>
                <w:rFonts w:ascii="Arial" w:cs="Arial" w:eastAsia="Arial" w:hAnsi="Arial"/>
                <w:sz w:val="18"/>
                <w:szCs w:val="18"/>
                <w:color w:val="auto"/>
              </w:rPr>
              <w:t>Time deposits of $250,000 or more</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74,377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32,038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5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0" w:type="dxa"/>
            <w:vAlign w:val="bottom"/>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5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471,479</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247,553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5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8"/>
                <w:szCs w:val="18"/>
                <w:color w:val="auto"/>
                <w:w w:val="93"/>
              </w:rPr>
              <w:t>At December 31, 2021 the scheduled maturities for time deposits are as follows:</w:t>
            </w: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9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440" w:type="dxa"/>
            <w:vAlign w:val="bottom"/>
            <w:tcBorders>
              <w:bottom w:val="single" w:sz="8" w:color="CFF0FC"/>
            </w:tcBorders>
          </w:tcPr>
          <w:p>
            <w:pPr>
              <w:spacing w:after="0"/>
              <w:rPr>
                <w:sz w:val="24"/>
                <w:szCs w:val="24"/>
                <w:color w:val="auto"/>
              </w:rPr>
            </w:pPr>
          </w:p>
        </w:tc>
        <w:tc>
          <w:tcPr>
            <w:tcW w:w="12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8"/>
                <w:szCs w:val="18"/>
                <w:color w:val="auto"/>
                <w:w w:val="90"/>
              </w:rPr>
              <w:t>(In Thousands)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shd w:val="clear" w:color="auto" w:fill="CFF0FC"/>
          </w:tcPr>
          <w:p>
            <w:pPr>
              <w:jc w:val="right"/>
              <w:ind w:right="3832"/>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265,696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80" w:type="dxa"/>
            <w:vAlign w:val="bottom"/>
            <w:gridSpan w:val="3"/>
          </w:tcPr>
          <w:p>
            <w:pPr>
              <w:jc w:val="right"/>
              <w:ind w:right="3832"/>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111,597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60" w:type="dxa"/>
            <w:vAlign w:val="bottom"/>
            <w:gridSpan w:val="2"/>
          </w:tcPr>
          <w:p>
            <w:pPr>
              <w:spacing w:after="0"/>
              <w:rPr>
                <w:sz w:val="19"/>
                <w:szCs w:val="19"/>
                <w:color w:val="auto"/>
              </w:rPr>
            </w:pPr>
          </w:p>
        </w:tc>
        <w:tc>
          <w:tcPr>
            <w:tcW w:w="4520" w:type="dxa"/>
            <w:vAlign w:val="bottom"/>
            <w:shd w:val="clear" w:color="auto" w:fill="CFF0FC"/>
          </w:tcPr>
          <w:p>
            <w:pPr>
              <w:jc w:val="right"/>
              <w:ind w:right="3832"/>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59,815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80" w:type="dxa"/>
            <w:vAlign w:val="bottom"/>
            <w:gridSpan w:val="3"/>
          </w:tcPr>
          <w:p>
            <w:pPr>
              <w:jc w:val="right"/>
              <w:ind w:right="3832"/>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22,176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60" w:type="dxa"/>
            <w:vAlign w:val="bottom"/>
            <w:gridSpan w:val="2"/>
          </w:tcPr>
          <w:p>
            <w:pPr>
              <w:spacing w:after="0"/>
              <w:rPr>
                <w:sz w:val="19"/>
                <w:szCs w:val="19"/>
                <w:color w:val="auto"/>
              </w:rPr>
            </w:pPr>
          </w:p>
        </w:tc>
        <w:tc>
          <w:tcPr>
            <w:tcW w:w="4520" w:type="dxa"/>
            <w:vAlign w:val="bottom"/>
            <w:shd w:val="clear" w:color="auto" w:fill="CFF0FC"/>
          </w:tcPr>
          <w:p>
            <w:pPr>
              <w:jc w:val="right"/>
              <w:ind w:right="3832"/>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11,807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20" w:type="dxa"/>
            <w:vAlign w:val="bottom"/>
            <w:tcBorders>
              <w:bottom w:val="single" w:sz="8" w:color="CFF0FC"/>
            </w:tcBorders>
          </w:tcPr>
          <w:p>
            <w:pPr>
              <w:jc w:val="right"/>
              <w:ind w:right="3712"/>
              <w:spacing w:after="0"/>
              <w:rPr>
                <w:sz w:val="20"/>
                <w:szCs w:val="20"/>
                <w:color w:val="auto"/>
              </w:rPr>
            </w:pPr>
            <w:r>
              <w:rPr>
                <w:rFonts w:ascii="Arial" w:cs="Arial" w:eastAsia="Arial" w:hAnsi="Arial"/>
                <w:sz w:val="18"/>
                <w:szCs w:val="18"/>
                <w:color w:val="auto"/>
                <w:w w:val="84"/>
              </w:rPr>
              <w:t>Thereafter</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471,479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w:t>
      </w:r>
    </w:p>
    <w:p>
      <w:pPr>
        <w:spacing w:after="0" w:line="115"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Bank’s policy requires qualifying securities to be used as collateral for the underlying repurchase agreements. As of December 31, 2021 and 2020, securities with a market value of $31.1 million and $34.0 million, respectively, were pledged to secure the repurchase agreements. The table below presents the daily securities sold under agreement to repurchase and the term repurchase agreements. It does not include the Bank’s federal funds purchased.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20" w:type="dxa"/>
            <w:vAlign w:val="bottom"/>
            <w:gridSpan w:val="8"/>
          </w:tcPr>
          <w:p>
            <w:pPr>
              <w:jc w:val="center"/>
              <w:ind w:right="240"/>
              <w:spacing w:after="0"/>
              <w:rPr>
                <w:sz w:val="20"/>
                <w:szCs w:val="20"/>
                <w:color w:val="auto"/>
              </w:rPr>
            </w:pPr>
            <w:r>
              <w:rPr>
                <w:rFonts w:ascii="Arial" w:cs="Arial" w:eastAsia="Arial" w:hAnsi="Arial"/>
                <w:sz w:val="18"/>
                <w:szCs w:val="18"/>
                <w:color w:val="auto"/>
                <w:w w:val="88"/>
              </w:rPr>
              <w:t>Daily Securities Sold Under Agreement to Repurchase</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8"/>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Weighted</w:t>
            </w: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Maximum Amount</w:t>
            </w:r>
          </w:p>
        </w:tc>
        <w:tc>
          <w:tcPr>
            <w:tcW w:w="14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Approximate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Approximate</w:t>
            </w:r>
          </w:p>
        </w:tc>
      </w:tr>
      <w:tr>
        <w:trPr>
          <w:trHeight w:val="224"/>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Outstanding</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Borrowings</w:t>
            </w:r>
          </w:p>
        </w:tc>
        <w:tc>
          <w:tcPr>
            <w:tcW w:w="14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Average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Weighted Average</w:t>
            </w:r>
          </w:p>
        </w:tc>
      </w:tr>
      <w:tr>
        <w:trPr>
          <w:trHeight w:val="224"/>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at End</w:t>
            </w: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Rate End</w:t>
            </w:r>
          </w:p>
        </w:tc>
        <w:tc>
          <w:tcPr>
            <w:tcW w:w="20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Outstanding</w:t>
            </w:r>
          </w:p>
        </w:tc>
        <w:tc>
          <w:tcPr>
            <w:tcW w:w="14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Outstanding in</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Interest Rate</w:t>
            </w:r>
          </w:p>
        </w:tc>
      </w:tr>
      <w:tr>
        <w:trPr>
          <w:trHeight w:val="224"/>
        </w:trPr>
        <w:tc>
          <w:tcPr>
            <w:tcW w:w="216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of Period (000's)</w:t>
            </w:r>
          </w:p>
        </w:tc>
        <w:tc>
          <w:tcPr>
            <w:tcW w:w="2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of Period</w:t>
            </w:r>
          </w:p>
        </w:tc>
        <w:tc>
          <w:tcPr>
            <w:tcW w:w="3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Month End (000's)</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7"/>
              </w:rPr>
              <w:t>Period (000's)</w:t>
            </w:r>
          </w:p>
        </w:tc>
        <w:tc>
          <w:tcPr>
            <w:tcW w:w="24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For the Period</w:t>
            </w:r>
          </w:p>
        </w:tc>
        <w:tc>
          <w:tcPr>
            <w:tcW w:w="160" w:type="dxa"/>
            <w:vAlign w:val="bottom"/>
            <w:tcBorders>
              <w:bottom w:val="single" w:sz="8" w:color="CFF0FC"/>
            </w:tcBorders>
          </w:tcPr>
          <w:p>
            <w:pPr>
              <w:spacing w:after="0"/>
              <w:rPr>
                <w:sz w:val="19"/>
                <w:szCs w:val="19"/>
                <w:color w:val="auto"/>
              </w:rPr>
            </w:pPr>
          </w:p>
        </w:tc>
      </w:tr>
      <w:tr>
        <w:trPr>
          <w:trHeight w:val="217"/>
        </w:trPr>
        <w:tc>
          <w:tcPr>
            <w:tcW w:w="2160" w:type="dxa"/>
            <w:vAlign w:val="bottom"/>
            <w:shd w:val="clear" w:color="auto" w:fill="CFF0FC"/>
          </w:tcPr>
          <w:p>
            <w:pPr>
              <w:jc w:val="right"/>
              <w:ind w:right="552"/>
              <w:spacing w:after="0"/>
              <w:rPr>
                <w:sz w:val="20"/>
                <w:szCs w:val="20"/>
                <w:color w:val="auto"/>
              </w:rPr>
            </w:pPr>
            <w:r>
              <w:rPr>
                <w:rFonts w:ascii="Arial" w:cs="Arial" w:eastAsia="Arial" w:hAnsi="Arial"/>
                <w:sz w:val="18"/>
                <w:szCs w:val="18"/>
                <w:color w:val="auto"/>
              </w:rPr>
              <w:t>2021</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0.70%</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0.43%</w:t>
            </w:r>
          </w:p>
        </w:tc>
      </w:tr>
      <w:tr>
        <w:trPr>
          <w:trHeight w:val="223"/>
        </w:trPr>
        <w:tc>
          <w:tcPr>
            <w:tcW w:w="2160" w:type="dxa"/>
            <w:vAlign w:val="bottom"/>
          </w:tcPr>
          <w:p>
            <w:pPr>
              <w:jc w:val="right"/>
              <w:ind w:right="552"/>
              <w:spacing w:after="0"/>
              <w:rPr>
                <w:sz w:val="20"/>
                <w:szCs w:val="20"/>
                <w:color w:val="auto"/>
              </w:rPr>
            </w:pPr>
            <w:r>
              <w:rPr>
                <w:rFonts w:ascii="Arial" w:cs="Arial" w:eastAsia="Arial" w:hAnsi="Arial"/>
                <w:sz w:val="18"/>
                <w:szCs w:val="18"/>
                <w:color w:val="auto"/>
              </w:rPr>
              <w:t>2020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1,899</w:t>
            </w:r>
          </w:p>
        </w:tc>
        <w:tc>
          <w:tcPr>
            <w:tcW w:w="24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2,568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1,765</w:t>
            </w:r>
          </w:p>
        </w:tc>
        <w:tc>
          <w:tcPr>
            <w:tcW w:w="2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646"/>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gridSpan w:val="8"/>
          </w:tcPr>
          <w:p>
            <w:pPr>
              <w:jc w:val="center"/>
              <w:ind w:right="240"/>
              <w:spacing w:after="0"/>
              <w:rPr>
                <w:sz w:val="20"/>
                <w:szCs w:val="20"/>
                <w:color w:val="auto"/>
              </w:rPr>
            </w:pPr>
            <w:r>
              <w:rPr>
                <w:rFonts w:ascii="Arial" w:cs="Arial" w:eastAsia="Arial" w:hAnsi="Arial"/>
                <w:sz w:val="18"/>
                <w:szCs w:val="18"/>
                <w:color w:val="auto"/>
                <w:w w:val="87"/>
              </w:rPr>
              <w:t>Term CD's Sold Under Agreement to Repurchase</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8"/>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Weighted</w:t>
            </w: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Maximum Amount</w:t>
            </w:r>
          </w:p>
        </w:tc>
        <w:tc>
          <w:tcPr>
            <w:tcW w:w="14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Approximate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Approximate</w:t>
            </w:r>
          </w:p>
        </w:tc>
      </w:tr>
      <w:tr>
        <w:trPr>
          <w:trHeight w:val="224"/>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Outstanding</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Borrowings</w:t>
            </w:r>
          </w:p>
        </w:tc>
        <w:tc>
          <w:tcPr>
            <w:tcW w:w="14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Average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Weighted Average</w:t>
            </w:r>
          </w:p>
        </w:tc>
      </w:tr>
      <w:tr>
        <w:trPr>
          <w:trHeight w:val="224"/>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at End</w:t>
            </w: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Rate End</w:t>
            </w:r>
          </w:p>
        </w:tc>
        <w:tc>
          <w:tcPr>
            <w:tcW w:w="20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Outstanding</w:t>
            </w:r>
          </w:p>
        </w:tc>
        <w:tc>
          <w:tcPr>
            <w:tcW w:w="14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Outstanding in</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Interest Rate</w:t>
            </w:r>
          </w:p>
        </w:tc>
      </w:tr>
      <w:tr>
        <w:trPr>
          <w:trHeight w:val="224"/>
        </w:trPr>
        <w:tc>
          <w:tcPr>
            <w:tcW w:w="216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of Period (000's)</w:t>
            </w:r>
          </w:p>
        </w:tc>
        <w:tc>
          <w:tcPr>
            <w:tcW w:w="2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of Period</w:t>
            </w:r>
          </w:p>
        </w:tc>
        <w:tc>
          <w:tcPr>
            <w:tcW w:w="3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Month End (000's)</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7"/>
              </w:rPr>
              <w:t>Period (000's)</w:t>
            </w:r>
          </w:p>
        </w:tc>
        <w:tc>
          <w:tcPr>
            <w:tcW w:w="24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For the Period</w:t>
            </w:r>
          </w:p>
        </w:tc>
        <w:tc>
          <w:tcPr>
            <w:tcW w:w="160" w:type="dxa"/>
            <w:vAlign w:val="bottom"/>
            <w:tcBorders>
              <w:bottom w:val="single" w:sz="8" w:color="CFF0FC"/>
            </w:tcBorders>
          </w:tcPr>
          <w:p>
            <w:pPr>
              <w:spacing w:after="0"/>
              <w:rPr>
                <w:sz w:val="19"/>
                <w:szCs w:val="19"/>
                <w:color w:val="auto"/>
              </w:rPr>
            </w:pPr>
          </w:p>
        </w:tc>
      </w:tr>
      <w:tr>
        <w:trPr>
          <w:trHeight w:val="217"/>
        </w:trPr>
        <w:tc>
          <w:tcPr>
            <w:tcW w:w="2160" w:type="dxa"/>
            <w:vAlign w:val="bottom"/>
            <w:shd w:val="clear" w:color="auto" w:fill="CFF0FC"/>
          </w:tcPr>
          <w:p>
            <w:pPr>
              <w:jc w:val="right"/>
              <w:ind w:right="552"/>
              <w:spacing w:after="0"/>
              <w:rPr>
                <w:sz w:val="20"/>
                <w:szCs w:val="20"/>
                <w:color w:val="auto"/>
              </w:rPr>
            </w:pPr>
            <w:r>
              <w:rPr>
                <w:rFonts w:ascii="Arial" w:cs="Arial" w:eastAsia="Arial" w:hAnsi="Arial"/>
                <w:sz w:val="18"/>
                <w:szCs w:val="18"/>
                <w:color w:val="auto"/>
              </w:rPr>
              <w:t>2021</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28,206</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28,315</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w:t>
            </w:r>
          </w:p>
        </w:tc>
      </w:tr>
      <w:tr>
        <w:trPr>
          <w:trHeight w:val="223"/>
        </w:trPr>
        <w:tc>
          <w:tcPr>
            <w:tcW w:w="2160" w:type="dxa"/>
            <w:vAlign w:val="bottom"/>
          </w:tcPr>
          <w:p>
            <w:pPr>
              <w:jc w:val="right"/>
              <w:ind w:right="552"/>
              <w:spacing w:after="0"/>
              <w:rPr>
                <w:sz w:val="20"/>
                <w:szCs w:val="20"/>
                <w:color w:val="auto"/>
              </w:rPr>
            </w:pPr>
            <w:r>
              <w:rPr>
                <w:rFonts w:ascii="Arial" w:cs="Arial" w:eastAsia="Arial" w:hAnsi="Arial"/>
                <w:sz w:val="18"/>
                <w:szCs w:val="18"/>
                <w:color w:val="auto"/>
              </w:rPr>
              <w:t>2020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28,340</w:t>
            </w:r>
          </w:p>
        </w:tc>
        <w:tc>
          <w:tcPr>
            <w:tcW w:w="24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29,261</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28,379</w:t>
            </w:r>
          </w:p>
        </w:tc>
        <w:tc>
          <w:tcPr>
            <w:tcW w:w="2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r>
      <w:tr>
        <w:trPr>
          <w:trHeight w:val="843"/>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2"/>
        </w:trPr>
        <w:tc>
          <w:tcPr>
            <w:tcW w:w="2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 (Continued)</w:t>
      </w:r>
    </w:p>
    <w:p>
      <w:pPr>
        <w:spacing w:after="0" w:line="200" w:lineRule="exact"/>
        <w:rPr>
          <w:sz w:val="20"/>
          <w:szCs w:val="20"/>
          <w:color w:val="auto"/>
        </w:rPr>
      </w:pPr>
    </w:p>
    <w:p>
      <w:pPr>
        <w:spacing w:after="0" w:line="231"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Company had no federal funds purchased as of December 31, 2021 and December 31, 2020. The $29.3 million in Securities Sold Under Agreements to Repurchase were comprised of U.S. Treasuries and government agency securities. The table below shows the remaining contractual maturity in the repurchase agreements and the collateral pledged as of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December 31, 2021</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89"/>
              </w:rPr>
              <w:t>Remaining Contractual Maturity of the Agreements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3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center"/>
              <w:ind w:right="160"/>
              <w:spacing w:after="0" w:line="205" w:lineRule="exact"/>
              <w:rPr>
                <w:sz w:val="20"/>
                <w:szCs w:val="20"/>
                <w:color w:val="auto"/>
              </w:rPr>
            </w:pPr>
            <w:r>
              <w:rPr>
                <w:rFonts w:ascii="Arial" w:cs="Arial" w:eastAsia="Arial" w:hAnsi="Arial"/>
                <w:sz w:val="18"/>
                <w:szCs w:val="18"/>
                <w:color w:val="auto"/>
                <w:w w:val="85"/>
              </w:rPr>
              <w:t>Greater Than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85"/>
              </w:rPr>
              <w:t>Continuous</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86"/>
              </w:rPr>
              <w:t>Up to 30 days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30-90 days</w:t>
            </w:r>
          </w:p>
        </w:tc>
        <w:tc>
          <w:tcPr>
            <w:tcW w:w="16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90 days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17"/>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Repurchase agreements</w:t>
            </w:r>
          </w:p>
        </w:tc>
        <w:tc>
          <w:tcPr>
            <w:tcW w:w="1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US Treasury &amp; agency securities</w:t>
            </w:r>
          </w:p>
        </w:tc>
        <w:tc>
          <w:tcPr>
            <w:tcW w:w="1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24,306</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29,268</w:t>
            </w:r>
          </w:p>
        </w:tc>
        <w:tc>
          <w:tcPr>
            <w:tcW w:w="100" w:type="dxa"/>
            <w:vAlign w:val="bottom"/>
            <w:tcBorders>
              <w:bottom w:val="single" w:sz="8" w:color="CFF0FC"/>
            </w:tcBorders>
          </w:tcPr>
          <w:p>
            <w:pPr>
              <w:spacing w:after="0"/>
              <w:rPr>
                <w:sz w:val="19"/>
                <w:szCs w:val="19"/>
                <w:color w:val="auto"/>
              </w:rPr>
            </w:pPr>
          </w:p>
        </w:tc>
      </w:tr>
      <w:tr>
        <w:trPr>
          <w:trHeight w:val="21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720" w:type="dxa"/>
            <w:vAlign w:val="bottom"/>
            <w:gridSpan w:val="2"/>
            <w:shd w:val="clear" w:color="auto" w:fill="CFF0FC"/>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24,306</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29,268</w:t>
            </w:r>
          </w:p>
        </w:tc>
        <w:tc>
          <w:tcPr>
            <w:tcW w:w="100" w:type="dxa"/>
            <w:vAlign w:val="bottom"/>
            <w:shd w:val="clear" w:color="auto" w:fill="CFF0FC"/>
          </w:tcPr>
          <w:p>
            <w:pPr>
              <w:spacing w:after="0"/>
              <w:rPr>
                <w:sz w:val="18"/>
                <w:szCs w:val="18"/>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Borrowings and Subordinated Notes</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8"/>
          <w:szCs w:val="18"/>
          <w:b w:val="1"/>
          <w:bCs w:val="1"/>
          <w:u w:val="single" w:color="auto"/>
          <w:color w:val="auto"/>
        </w:rPr>
        <w:t>Short Term Debt</w:t>
      </w:r>
    </w:p>
    <w:p>
      <w:pPr>
        <w:spacing w:after="0" w:line="115"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Due to the funding requirement for the acquisition of PFSB to be provided from the holding company, the Company secured borrowings from a correspondent bank. Two loans were secured, the first a $30 million 12-month term note and the second a 12-month line of credit for $10 million. Both loans were advanced on October 1, 2021. Interest on both loans is due quarterly and accrues at a rate 2.50% per annum with reporting and capital covenants included. The structure of the acquisition required all accounting of the transaction to be recorded at the Bank level as Perpetual did not have a holding company. Therefore, the Company plans to advance funds from the Bank to the Company to facilitate payoff of the term note once regulatory approval is granted. The Company will seek the regulatory approval in the first quarter of 2022.</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b w:val="1"/>
          <w:bCs w:val="1"/>
          <w:u w:val="single" w:color="auto"/>
          <w:color w:val="auto"/>
        </w:rPr>
        <w:t>Long Term Debt</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Federal Home Loan Bank Advances</w:t>
      </w:r>
    </w:p>
    <w:p>
      <w:pPr>
        <w:spacing w:after="0" w:line="115"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Long term debt consists of various loans from the Federal Home Loan Banks. Repayment structures vary, ranging from monthly installments, annual payments or upon maturity. Interest payments are due monthly. Total borrowings were $23.9 million excluding an additional $197 thousand for fair value related to the acquisition for December 31, 2021 compared to $18.0 million excluding $164 thousand for fair value for December 31, 2020. With the acquisition of Perpetual Federal Savings Bank, the Bank undertook $6 million in advances due in 2024. The advances were secured by a pledge of $193.2 and $38.0 million of mortgage loans as of December 31, 2021 and 2020, respectively under a blanket collateral agreement.</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advances are subject to pre-payment penalties and the provisions and conditions of the credit policy of the Federal Home Loan Bank.</w:t>
      </w:r>
    </w:p>
    <w:p>
      <w:pPr>
        <w:spacing w:after="0" w:line="238"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The Bank had access to $69.0 million unsecured borrowings through correspondent banks as of both December 31, 2021 and December 31, 2020. The Bank also had access to $94.2 million and $79.1 million through a Cash Management Advance with the Federal Home Loan Bank as of December 31, 2021 and December 31, 2020 respectively. The Bank had unpledged securities, which could be sold or used as collateral, of $313.6 million and $206.7 million at the end of the same time periods, respectively. An additional $91.2 million at December 31, 2021, and $7.4 million at December 31, 2020, were available from the Federal Home Loan Bank based on current pledging. The table below shows the maturities of the borrowings exclusive of the fair value.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December 31, 2021, 2020, 2019</w:t>
            </w:r>
          </w:p>
        </w:tc>
        <w:tc>
          <w:tcPr>
            <w:tcW w:w="0" w:type="dxa"/>
            <w:vAlign w:val="bottom"/>
          </w:tcPr>
          <w:p>
            <w:pPr>
              <w:spacing w:after="0"/>
              <w:rPr>
                <w:sz w:val="1"/>
                <w:szCs w:val="1"/>
                <w:color w:val="auto"/>
              </w:rPr>
            </w:pPr>
          </w:p>
        </w:tc>
      </w:tr>
      <w:tr>
        <w:trPr>
          <w:trHeight w:val="42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Note 9 –Borrowings and Subordinated Notes (Continued)</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2820" w:type="dxa"/>
            <w:vAlign w:val="bottom"/>
          </w:tcPr>
          <w:p>
            <w:pPr>
              <w:spacing w:after="0"/>
              <w:rPr>
                <w:sz w:val="24"/>
                <w:szCs w:val="24"/>
                <w:color w:val="auto"/>
              </w:rPr>
            </w:pPr>
          </w:p>
        </w:tc>
        <w:tc>
          <w:tcPr>
            <w:tcW w:w="232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(In Thousands)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40" w:type="dxa"/>
            <w:vAlign w:val="bottom"/>
            <w:gridSpan w:val="2"/>
          </w:tcPr>
          <w:p>
            <w:pPr>
              <w:ind w:left="282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1,500</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2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40" w:type="dxa"/>
            <w:vAlign w:val="bottom"/>
            <w:gridSpan w:val="2"/>
          </w:tcPr>
          <w:p>
            <w:pPr>
              <w:ind w:left="2820"/>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1,500</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2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40" w:type="dxa"/>
            <w:vAlign w:val="bottom"/>
            <w:gridSpan w:val="2"/>
          </w:tcPr>
          <w:p>
            <w:pPr>
              <w:ind w:left="2820"/>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1,980</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00" w:type="dxa"/>
            <w:vAlign w:val="bottom"/>
            <w:tcBorders>
              <w:right w:val="single" w:sz="8" w:color="CFF0FC"/>
            </w:tcBorders>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20" w:type="dxa"/>
            <w:vAlign w:val="bottom"/>
          </w:tcPr>
          <w:p>
            <w:pPr>
              <w:spacing w:after="0"/>
              <w:rPr>
                <w:sz w:val="18"/>
                <w:szCs w:val="18"/>
                <w:color w:val="auto"/>
              </w:rPr>
            </w:pPr>
          </w:p>
        </w:tc>
        <w:tc>
          <w:tcPr>
            <w:tcW w:w="2320" w:type="dxa"/>
            <w:vAlign w:val="bottom"/>
            <w:vMerge w:val="continue"/>
            <w:shd w:val="clear" w:color="auto" w:fill="CFF0FC"/>
          </w:tcPr>
          <w:p>
            <w:pPr>
              <w:spacing w:after="0"/>
              <w:rPr>
                <w:sz w:val="18"/>
                <w:szCs w:val="18"/>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23,868</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Subordinated Notes</w:t>
      </w:r>
    </w:p>
    <w:p>
      <w:pPr>
        <w:spacing w:after="0" w:line="115" w:lineRule="exact"/>
        <w:rPr>
          <w:sz w:val="20"/>
          <w:szCs w:val="20"/>
          <w:color w:val="auto"/>
        </w:rPr>
      </w:pPr>
    </w:p>
    <w:p>
      <w:pPr>
        <w:ind w:left="800" w:right="40"/>
        <w:spacing w:after="0" w:line="291" w:lineRule="auto"/>
        <w:rPr>
          <w:sz w:val="20"/>
          <w:szCs w:val="20"/>
          <w:color w:val="auto"/>
        </w:rPr>
      </w:pPr>
      <w:r>
        <w:rPr>
          <w:rFonts w:ascii="Arial" w:cs="Arial" w:eastAsia="Arial" w:hAnsi="Arial"/>
          <w:sz w:val="16"/>
          <w:szCs w:val="16"/>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are intended to qualify as Tier 2 capital for regulatory purposes. The Company intends to use the net proceeds from the Offering for general corporate purposes, including financing acquisitions and organic growth.</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Interest on the Notes will accrue at a rate equal to (i) 3.25% per annum from the original issue date to, but excluding, the five-year anniversary,</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payable semi-annually in arrears, and (ii) a floating rate per annum equal to a benchmark rate, which is expected to be the Three-Month Term SOFR</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(as defined in the Notes), plus a spread of 263 basis points from and including the five-year anniversary until maturity, payable quarterly in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arrears. Beginning on or after the fifth anniversary of the issue date through maturity, the Notes may be redeemed, at the Company’s option, on any</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scheduled interest payment date. Any redemption will be at a redemption price equal to 100% of the principal amount of Notes being redeemed,</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plus accrued and unpaid interest.</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gridSpan w:val="6"/>
          </w:tcPr>
          <w:p>
            <w:pPr>
              <w:jc w:val="right"/>
              <w:ind w:right="1143"/>
              <w:spacing w:after="0"/>
              <w:rPr>
                <w:sz w:val="20"/>
                <w:szCs w:val="20"/>
                <w:color w:val="auto"/>
              </w:rPr>
            </w:pPr>
            <w:r>
              <w:rPr>
                <w:rFonts w:ascii="Arial" w:cs="Arial" w:eastAsia="Arial" w:hAnsi="Arial"/>
                <w:sz w:val="18"/>
                <w:szCs w:val="18"/>
                <w:color w:val="auto"/>
              </w:rPr>
              <w:t>December 31, 2021</w:t>
            </w:r>
          </w:p>
        </w:tc>
        <w:tc>
          <w:tcPr>
            <w:tcW w:w="2600" w:type="dxa"/>
            <w:vAlign w:val="bottom"/>
            <w:gridSpan w:val="3"/>
          </w:tcPr>
          <w:p>
            <w:pPr>
              <w:ind w:left="560"/>
              <w:spacing w:after="0"/>
              <w:rPr>
                <w:sz w:val="20"/>
                <w:szCs w:val="20"/>
                <w:color w:val="auto"/>
              </w:rPr>
            </w:pPr>
            <w:r>
              <w:rPr>
                <w:rFonts w:ascii="Arial" w:cs="Arial" w:eastAsia="Arial" w:hAnsi="Arial"/>
                <w:sz w:val="18"/>
                <w:szCs w:val="18"/>
                <w:color w:val="auto"/>
              </w:rPr>
              <w:t>December 31, 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4"/>
          </w:tcPr>
          <w:p>
            <w:pPr>
              <w:ind w:left="20"/>
              <w:spacing w:after="0"/>
              <w:rPr>
                <w:sz w:val="20"/>
                <w:szCs w:val="20"/>
                <w:color w:val="auto"/>
              </w:rPr>
            </w:pPr>
            <w:r>
              <w:rPr>
                <w:rFonts w:ascii="Arial" w:cs="Arial" w:eastAsia="Arial" w:hAnsi="Arial"/>
                <w:sz w:val="18"/>
                <w:szCs w:val="18"/>
                <w:color w:val="auto"/>
              </w:rPr>
              <w:t>Unamortized Note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w w:val="97"/>
              </w:rPr>
              <w:t>Unamortized Note</w:t>
            </w:r>
          </w:p>
        </w:tc>
      </w:tr>
      <w:tr>
        <w:trPr>
          <w:trHeight w:val="223"/>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Principal</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4"/>
              </w:rPr>
              <w:t>Issuance Costs</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Principal</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Issuance Costs</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17"/>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Subordinated Notes</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FF0FC"/>
          </w:tcPr>
          <w:p>
            <w:pPr>
              <w:jc w:val="right"/>
              <w:ind w:right="98"/>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components of income tax expense (benefit) for the years ended December 31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w w:val="97"/>
              </w:rPr>
              <w:t>(In Thousands)</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9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38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11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7,536</w:t>
            </w:r>
          </w:p>
        </w:tc>
        <w:tc>
          <w:tcPr>
            <w:tcW w:w="120" w:type="dxa"/>
            <w:vAlign w:val="bottom"/>
          </w:tcPr>
          <w:p>
            <w:pPr>
              <w:spacing w:after="0"/>
              <w:rPr>
                <w:sz w:val="19"/>
                <w:szCs w:val="19"/>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6,289</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4,005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380" w:type="dxa"/>
            <w:vAlign w:val="bottom"/>
            <w:gridSpan w:val="2"/>
          </w:tcPr>
          <w:p>
            <w:pPr>
              <w:ind w:left="240"/>
              <w:spacing w:after="0"/>
              <w:rPr>
                <w:sz w:val="20"/>
                <w:szCs w:val="20"/>
                <w:color w:val="auto"/>
              </w:rPr>
            </w:pPr>
            <w:r>
              <w:rPr>
                <w:rFonts w:ascii="Arial" w:cs="Arial" w:eastAsia="Arial" w:hAnsi="Arial"/>
                <w:sz w:val="18"/>
                <w:szCs w:val="18"/>
                <w:color w:val="auto"/>
              </w:rPr>
              <w:t>Total current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6,802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4,068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38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(1,746)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deferred</w:t>
            </w:r>
          </w:p>
        </w:tc>
        <w:tc>
          <w:tcPr>
            <w:tcW w:w="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43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(1,691)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Income Tax</w:t>
            </w: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4380" w:type="dxa"/>
            <w:vAlign w:val="bottom"/>
            <w:gridSpan w:val="2"/>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6,002</w:t>
            </w:r>
          </w:p>
        </w:tc>
        <w:tc>
          <w:tcPr>
            <w:tcW w:w="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5,111</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4,360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74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7640" w:type="dxa"/>
            <w:vAlign w:val="bottom"/>
            <w:gridSpan w:val="8"/>
          </w:tcPr>
          <w:p>
            <w:pPr>
              <w:ind w:left="800"/>
              <w:spacing w:after="0"/>
              <w:rPr>
                <w:sz w:val="20"/>
                <w:szCs w:val="20"/>
                <w:color w:val="auto"/>
              </w:rPr>
            </w:pPr>
            <w:r>
              <w:rPr>
                <w:rFonts w:ascii="Arial" w:cs="Arial" w:eastAsia="Arial" w:hAnsi="Arial"/>
                <w:sz w:val="18"/>
                <w:szCs w:val="18"/>
                <w:color w:val="auto"/>
                <w:w w:val="90"/>
              </w:rPr>
              <w:t>The following is a reconciliation of the statutory federal income tax rate to the effective tax rate: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w w:val="97"/>
              </w:rPr>
              <w:t>(In Thousands)</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382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income tax at statutory rates</w:t>
            </w:r>
          </w:p>
        </w:tc>
        <w:tc>
          <w:tcPr>
            <w:tcW w:w="116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6,194</w:t>
            </w:r>
          </w:p>
        </w:tc>
        <w:tc>
          <w:tcPr>
            <w:tcW w:w="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5,294</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4,780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20" w:type="dxa"/>
            <w:vAlign w:val="bottom"/>
            <w:gridSpan w:val="3"/>
          </w:tcPr>
          <w:p>
            <w:pPr>
              <w:ind w:left="1140"/>
              <w:spacing w:after="0"/>
              <w:rPr>
                <w:sz w:val="20"/>
                <w:szCs w:val="20"/>
                <w:color w:val="auto"/>
              </w:rPr>
            </w:pPr>
            <w:r>
              <w:rPr>
                <w:rFonts w:ascii="Arial" w:cs="Arial" w:eastAsia="Arial" w:hAnsi="Arial"/>
                <w:sz w:val="18"/>
                <w:szCs w:val="18"/>
                <w:color w:val="auto"/>
              </w:rPr>
              <w:t>(Decrease) increase resulting from:</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 income tax, net of federal benefit</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380" w:type="dxa"/>
            <w:vAlign w:val="bottom"/>
            <w:gridSpan w:val="2"/>
          </w:tcPr>
          <w:p>
            <w:pPr>
              <w:ind w:left="240"/>
              <w:spacing w:after="0"/>
              <w:rPr>
                <w:sz w:val="20"/>
                <w:szCs w:val="20"/>
                <w:color w:val="auto"/>
              </w:rPr>
            </w:pPr>
            <w:r>
              <w:rPr>
                <w:rFonts w:ascii="Arial" w:cs="Arial" w:eastAsia="Arial" w:hAnsi="Arial"/>
                <w:sz w:val="18"/>
                <w:szCs w:val="18"/>
                <w:color w:val="auto"/>
              </w:rPr>
              <w:t>Tax exempt interest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(170)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Section 831 deduction</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(268)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38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(83)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Income Tax</w:t>
            </w: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4380" w:type="dxa"/>
            <w:vAlign w:val="bottom"/>
            <w:gridSpan w:val="2"/>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6,002</w:t>
            </w:r>
          </w:p>
        </w:tc>
        <w:tc>
          <w:tcPr>
            <w:tcW w:w="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5,111</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4,360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740" w:type="dxa"/>
            <w:vAlign w:val="bottom"/>
            <w:tcBorders>
              <w:top w:val="single" w:sz="8" w:color="CFF0FC"/>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680" w:type="dxa"/>
            <w:vAlign w:val="bottom"/>
            <w:gridSpan w:val="5"/>
          </w:tcPr>
          <w:p>
            <w:pPr>
              <w:ind w:left="800"/>
              <w:spacing w:after="0"/>
              <w:rPr>
                <w:sz w:val="20"/>
                <w:szCs w:val="20"/>
                <w:color w:val="auto"/>
              </w:rPr>
            </w:pPr>
            <w:r>
              <w:rPr>
                <w:rFonts w:ascii="Arial" w:cs="Arial" w:eastAsia="Arial" w:hAnsi="Arial"/>
                <w:sz w:val="18"/>
                <w:szCs w:val="18"/>
                <w:color w:val="auto"/>
                <w:w w:val="90"/>
              </w:rPr>
              <w:t>Deferred tax assets and liabilities at December 31 are comprised of the following:</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87"/>
              </w:rPr>
              <w:t>(In Thousands)</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5"/>
          </w:tcPr>
          <w:p>
            <w:pPr>
              <w:jc w:val="right"/>
              <w:ind w:right="292"/>
              <w:spacing w:after="0"/>
              <w:rPr>
                <w:sz w:val="20"/>
                <w:szCs w:val="20"/>
                <w:color w:val="auto"/>
              </w:rPr>
            </w:pPr>
            <w:r>
              <w:rPr>
                <w:rFonts w:ascii="Arial" w:cs="Arial" w:eastAsia="Arial" w:hAnsi="Arial"/>
                <w:sz w:val="18"/>
                <w:szCs w:val="18"/>
                <w:color w:val="auto"/>
              </w:rPr>
              <w:t>2021</w:t>
            </w:r>
          </w:p>
        </w:tc>
        <w:tc>
          <w:tcPr>
            <w:tcW w:w="1300" w:type="dxa"/>
            <w:vAlign w:val="bottom"/>
            <w:gridSpan w:val="6"/>
          </w:tcPr>
          <w:p>
            <w:pPr>
              <w:jc w:val="right"/>
              <w:ind w:right="292"/>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9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Allowance for loan losses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3,629</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3,128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compensation</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w w:val="88"/>
              </w:rPr>
              <w:t>Net unrealized loss on available-for-sale securities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adjustments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deferred tax assets</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7,226</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3,807</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380" w:type="dxa"/>
            <w:vAlign w:val="bottom"/>
            <w:gridSpan w:val="2"/>
          </w:tcPr>
          <w:p>
            <w:pPr>
              <w:ind w:left="560"/>
              <w:spacing w:after="0"/>
              <w:rPr>
                <w:sz w:val="20"/>
                <w:szCs w:val="20"/>
                <w:color w:val="auto"/>
              </w:rPr>
            </w:pPr>
            <w:r>
              <w:rPr>
                <w:rFonts w:ascii="Arial" w:cs="Arial" w:eastAsia="Arial" w:hAnsi="Arial"/>
                <w:sz w:val="18"/>
                <w:szCs w:val="18"/>
                <w:color w:val="auto"/>
              </w:rPr>
              <w:t>Deferred Tax Liabilities: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Accreted discounts on bonds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FHLB stock dividends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Intangible amortization</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1,282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1,144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Mortgage servicing rights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w w:val="88"/>
              </w:rPr>
              <w:t>Net unrealized gain on available-for-sale securities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deferred tax liabilities</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4,326</w:t>
            </w:r>
          </w:p>
        </w:tc>
        <w:tc>
          <w:tcPr>
            <w:tcW w:w="2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5,276</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20" w:type="dxa"/>
            <w:vAlign w:val="bottom"/>
          </w:tcPr>
          <w:p>
            <w:pPr>
              <w:ind w:left="480"/>
              <w:spacing w:after="0"/>
              <w:rPr>
                <w:sz w:val="20"/>
                <w:szCs w:val="20"/>
                <w:color w:val="auto"/>
              </w:rPr>
            </w:pPr>
            <w:r>
              <w:rPr>
                <w:rFonts w:ascii="Arial" w:cs="Arial" w:eastAsia="Arial" w:hAnsi="Arial"/>
                <w:sz w:val="18"/>
                <w:szCs w:val="18"/>
                <w:color w:val="auto"/>
              </w:rPr>
              <w:t>Net Deferred Tax Asset (Liability)</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2,900</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(1,469)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20" w:type="dxa"/>
            <w:vAlign w:val="bottom"/>
            <w:vMerge w:val="restart"/>
          </w:tcPr>
          <w:p>
            <w:pPr>
              <w:jc w:val="right"/>
              <w:ind w:right="632"/>
              <w:spacing w:after="0"/>
              <w:rPr>
                <w:sz w:val="20"/>
                <w:szCs w:val="20"/>
                <w:color w:val="auto"/>
              </w:rPr>
            </w:pPr>
            <w:r>
              <w:rPr>
                <w:rFonts w:ascii="Arial" w:cs="Arial" w:eastAsia="Arial" w:hAnsi="Arial"/>
                <w:sz w:val="18"/>
                <w:szCs w:val="18"/>
                <w:color w:val="auto"/>
                <w:w w:val="89"/>
              </w:rPr>
              <w:t>94</w:t>
            </w: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 (Continued)</w:t>
      </w:r>
    </w:p>
    <w:p>
      <w:pPr>
        <w:spacing w:after="0" w:line="200" w:lineRule="exact"/>
        <w:rPr>
          <w:sz w:val="20"/>
          <w:szCs w:val="20"/>
          <w:color w:val="auto"/>
        </w:rPr>
      </w:pPr>
    </w:p>
    <w:p>
      <w:pPr>
        <w:spacing w:after="0" w:line="231"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As part of the Perpetual acquisition, a net operating loss (NOL) carryforward was acquired that is subject to a Section 382 limitation. At the end of 2021, $377,807 of this NOL remained. This will carry forward indefinitely and is expected to be used in 2022.</w:t>
      </w:r>
    </w:p>
    <w:p>
      <w:pPr>
        <w:spacing w:after="0" w:line="134"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The Corporation has additional paid-in capital that is considered restricted resulting from the acquisition of Perpetual in 2021 of approximately $2,779,000. No deferred tax liability is required to be recorded for the Corporation’s tax bad debt reserves arising before December 31, 1987, unless it is apparent that the reserves will reverse in the near future. Unrecognized deferred taxes on these reserves would total $584,000. If the portion of retained earnings representing these reserves is used for any purpose other than to absorb bad debts, it will be added to future taxable income and the related tax will be recognized as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115" w:lineRule="exact"/>
        <w:rPr>
          <w:sz w:val="20"/>
          <w:szCs w:val="20"/>
          <w:color w:val="auto"/>
        </w:rPr>
      </w:pPr>
    </w:p>
    <w:p>
      <w:pPr>
        <w:jc w:val="both"/>
        <w:ind w:left="800"/>
        <w:spacing w:after="0" w:line="282" w:lineRule="auto"/>
        <w:rPr>
          <w:sz w:val="20"/>
          <w:szCs w:val="20"/>
          <w:color w:val="auto"/>
        </w:rPr>
      </w:pPr>
      <w:r>
        <w:rPr>
          <w:rFonts w:ascii="Arial" w:cs="Arial" w:eastAsia="Arial" w:hAnsi="Arial"/>
          <w:sz w:val="16"/>
          <w:szCs w:val="16"/>
          <w:color w:val="auto"/>
        </w:rPr>
        <w:t>The Bank has established a 401(k) profit sharing plan which allows eligible employees to save at a minimum one percent of eligible compensation on a pre-tax or post-tax basis, subject to certain Internal Revenue Service limitations. The Bank will match 50% of employee 401(k) contributions up to six percent of total eligible compensation. In addition, the Bank may make a discretionary contribution from time to time as is deemed advisable. A participant is 100% vested in the participant’s deferral contributions. Employer matching contributions are funded annually and are immediately vested. A six-year vesting schedule applies to employer discretionary contributions. Employees are immediately eligible upon hire to contribute to the plan and receive matching contributions. In order to be eligible for discretionary contributions, employees must work 1,000 hours in the plan year and be employed on the last day of the year. Contributions expensed for the 401(k) profit sharing plan for both the employer matching contribution and the discretionary contribution were $1.5 million, $1.0 million and $1.2 million for 2021, 2020 and 2019, respectively.</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Restricted Stock Awards</w:t>
      </w:r>
    </w:p>
    <w:p>
      <w:pPr>
        <w:spacing w:after="0" w:line="115" w:lineRule="exact"/>
        <w:rPr>
          <w:sz w:val="20"/>
          <w:szCs w:val="20"/>
          <w:color w:val="auto"/>
        </w:rPr>
      </w:pPr>
    </w:p>
    <w:p>
      <w:pPr>
        <w:jc w:val="both"/>
        <w:ind w:left="800"/>
        <w:spacing w:after="0" w:line="273" w:lineRule="auto"/>
        <w:rPr>
          <w:sz w:val="20"/>
          <w:szCs w:val="20"/>
          <w:color w:val="auto"/>
        </w:rPr>
      </w:pPr>
      <w:r>
        <w:rPr>
          <w:rFonts w:ascii="Arial" w:cs="Arial" w:eastAsia="Arial" w:hAnsi="Arial"/>
          <w:sz w:val="16"/>
          <w:szCs w:val="16"/>
          <w:color w:val="auto"/>
        </w:rPr>
        <w:t>The Company has a Long-Term Stock Incentive Plan under which 48,750 shares of the Company’s restricted stock were issued to 96 employees during 2021, 37,382 shares of restricted stock were issued to 92 employees during 2020 and 38,100 shares of restricted stock were issued to 94 employees during 2019. Under the plan, the shares generally vest 100% in three years. During the 3 year vesting period, the employees receive dividends or dividend equivalent compensation on the shares. Due to employee termination, there were 2,575, 2,175, and 3,220 shares forfeited during 2021, 2020 and 2019, respectively. During 2021, seven employees retired and received 4,425 shares from the shares awarded in 2018, 2019 and 2020. In 2020, eight employees retired and received 10,890 shares from the shares awarded in 2017, 2018, 2019 and 2020. During 2019, due to retirement, three employees received 14,300 shares from awards granted in 2016, 2017 and 2018. In 2021, 18,845 shares awarded in 2018 were 100% vested and 50 employees received the stock. During 2020, 21,340 shares awarded in 2017 were 100% vested and 53 employees received the stock. One employee received accelerated vesting of 1,050 shares awarded in 2019, 2018 and 2017. Also during 2020, 1,600 shares awarded in 2019 were 100% vested and three employees received the stock. One employee received immediate vesting of 551 shares of stock. During 2019, 26,070 shares awarded in 2016 were vested 100% and 63 employees received the stock. Compensation expense applicable to the restricted stock awards</w:t>
      </w:r>
      <w:r>
        <w:rPr>
          <w:sz w:val="1"/>
          <w:szCs w:val="1"/>
          <w:color w:val="auto"/>
        </w:rPr>
        <w:drawing>
          <wp:inline distT="0" distB="0" distL="0" distR="0">
            <wp:extent cx="25400" cy="12573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400" cy="125730"/>
                    </a:xfrm>
                    <a:prstGeom prst="rect">
                      <a:avLst/>
                    </a:prstGeom>
                    <a:noFill/>
                    <a:ln>
                      <a:noFill/>
                    </a:ln>
                  </pic:spPr>
                </pic:pic>
              </a:graphicData>
            </a:graphic>
          </wp:inline>
        </w:drawing>
      </w:r>
      <w:r>
        <w:rPr>
          <w:rFonts w:ascii="Arial" w:cs="Arial" w:eastAsia="Arial" w:hAnsi="Arial"/>
          <w:sz w:val="16"/>
          <w:szCs w:val="16"/>
          <w:color w:val="auto"/>
        </w:rPr>
        <w:t>totaled $822 thousand, $1.0 million and $1.1 million for the years ending December 31, 2021, 2020 and 2019,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214"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The table below summarizes the details of the restricted shares issued, vested, and forfeited for the years ending December 31, 2021, 2020 and 2019.</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color w:val="auto"/>
                <w:w w:val="86"/>
              </w:rPr>
              <w:t>Year Ended December 31,</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4320" w:type="dxa"/>
            <w:vAlign w:val="bottom"/>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2021</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4320" w:type="dxa"/>
            <w:vAlign w:val="bottom"/>
          </w:tcPr>
          <w:p>
            <w:pPr>
              <w:spacing w:after="0"/>
              <w:rPr>
                <w:sz w:val="17"/>
                <w:szCs w:val="17"/>
                <w:color w:val="auto"/>
              </w:rPr>
            </w:pPr>
          </w:p>
        </w:tc>
        <w:tc>
          <w:tcPr>
            <w:tcW w:w="1240" w:type="dxa"/>
            <w:vAlign w:val="bottom"/>
            <w:gridSpan w:val="3"/>
          </w:tcPr>
          <w:p>
            <w:pPr>
              <w:jc w:val="center"/>
              <w:ind w:right="280"/>
              <w:spacing w:after="0" w:line="205" w:lineRule="exact"/>
              <w:rPr>
                <w:sz w:val="20"/>
                <w:szCs w:val="20"/>
                <w:color w:val="auto"/>
              </w:rPr>
            </w:pPr>
            <w:r>
              <w:rPr>
                <w:rFonts w:ascii="Arial" w:cs="Arial" w:eastAsia="Arial" w:hAnsi="Arial"/>
                <w:sz w:val="18"/>
                <w:szCs w:val="18"/>
                <w:color w:val="auto"/>
                <w:w w:val="90"/>
              </w:rPr>
              <w:t>Number of</w:t>
            </w:r>
          </w:p>
        </w:tc>
        <w:tc>
          <w:tcPr>
            <w:tcW w:w="108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c>
          <w:tcPr>
            <w:tcW w:w="1240" w:type="dxa"/>
            <w:vAlign w:val="bottom"/>
            <w:gridSpan w:val="3"/>
          </w:tcPr>
          <w:p>
            <w:pPr>
              <w:jc w:val="center"/>
              <w:ind w:right="280"/>
              <w:spacing w:after="0" w:line="205" w:lineRule="exact"/>
              <w:rPr>
                <w:sz w:val="20"/>
                <w:szCs w:val="20"/>
                <w:color w:val="auto"/>
              </w:rPr>
            </w:pPr>
            <w:r>
              <w:rPr>
                <w:rFonts w:ascii="Arial" w:cs="Arial" w:eastAsia="Arial" w:hAnsi="Arial"/>
                <w:sz w:val="18"/>
                <w:szCs w:val="18"/>
                <w:color w:val="auto"/>
                <w:w w:val="90"/>
              </w:rPr>
              <w:t>Number of</w:t>
            </w:r>
          </w:p>
        </w:tc>
        <w:tc>
          <w:tcPr>
            <w:tcW w:w="11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c>
          <w:tcPr>
            <w:tcW w:w="1240" w:type="dxa"/>
            <w:vAlign w:val="bottom"/>
            <w:gridSpan w:val="3"/>
          </w:tcPr>
          <w:p>
            <w:pPr>
              <w:jc w:val="center"/>
              <w:ind w:right="300"/>
              <w:spacing w:after="0" w:line="205" w:lineRule="exact"/>
              <w:rPr>
                <w:sz w:val="20"/>
                <w:szCs w:val="20"/>
                <w:color w:val="auto"/>
              </w:rPr>
            </w:pPr>
            <w:r>
              <w:rPr>
                <w:rFonts w:ascii="Arial" w:cs="Arial" w:eastAsia="Arial" w:hAnsi="Arial"/>
                <w:sz w:val="18"/>
                <w:szCs w:val="18"/>
                <w:color w:val="auto"/>
                <w:w w:val="92"/>
              </w:rPr>
              <w:t>Number of</w:t>
            </w:r>
          </w:p>
        </w:tc>
        <w:tc>
          <w:tcPr>
            <w:tcW w:w="102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r>
      <w:tr>
        <w:trPr>
          <w:trHeight w:val="222"/>
        </w:trPr>
        <w:tc>
          <w:tcPr>
            <w:tcW w:w="4320" w:type="dxa"/>
            <w:vAlign w:val="bottom"/>
          </w:tcPr>
          <w:p>
            <w:pPr>
              <w:spacing w:after="0"/>
              <w:rPr>
                <w:sz w:val="19"/>
                <w:szCs w:val="19"/>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color w:val="auto"/>
                <w:w w:val="80"/>
              </w:rPr>
              <w:t>Shares</w:t>
            </w:r>
          </w:p>
        </w:tc>
        <w:tc>
          <w:tcPr>
            <w:tcW w:w="108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color w:val="auto"/>
                <w:w w:val="80"/>
              </w:rPr>
              <w:t>Shares</w:t>
            </w:r>
          </w:p>
        </w:tc>
        <w:tc>
          <w:tcPr>
            <w:tcW w:w="110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color w:val="auto"/>
                <w:w w:val="80"/>
              </w:rPr>
              <w:t>Shares</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Employees</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Restricted shares issued</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48,750</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37,382</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38,100</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r>
      <w:tr>
        <w:trPr>
          <w:trHeight w:val="224"/>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Restricted shares vested</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Restricted shares awarded due to retirement</w:t>
            </w:r>
          </w:p>
        </w:tc>
        <w:tc>
          <w:tcPr>
            <w:tcW w:w="960" w:type="dxa"/>
            <w:vAlign w:val="bottom"/>
          </w:tcPr>
          <w:p>
            <w:pPr>
              <w:jc w:val="right"/>
              <w:spacing w:after="0"/>
              <w:rPr>
                <w:sz w:val="20"/>
                <w:szCs w:val="20"/>
                <w:color w:val="auto"/>
              </w:rPr>
            </w:pPr>
            <w:r>
              <w:rPr>
                <w:rFonts w:ascii="Arial" w:cs="Arial" w:eastAsia="Arial" w:hAnsi="Arial"/>
                <w:sz w:val="18"/>
                <w:szCs w:val="18"/>
                <w:color w:val="auto"/>
              </w:rPr>
              <w:t>4,425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4"/>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Restricted shares awarded for other</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960" w:type="dxa"/>
            <w:vAlign w:val="bottom"/>
          </w:tcPr>
          <w:p>
            <w:pPr>
              <w:jc w:val="right"/>
              <w:spacing w:after="0"/>
              <w:rPr>
                <w:sz w:val="20"/>
                <w:szCs w:val="20"/>
                <w:color w:val="auto"/>
              </w:rPr>
            </w:pPr>
            <w:r>
              <w:rPr>
                <w:rFonts w:ascii="Arial" w:cs="Arial" w:eastAsia="Arial" w:hAnsi="Arial"/>
                <w:sz w:val="18"/>
                <w:szCs w:val="18"/>
                <w:color w:val="auto"/>
              </w:rPr>
              <w:t>2,575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1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the activity of restricted stock awards as of December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4320" w:type="dxa"/>
            <w:vAlign w:val="bottom"/>
          </w:tcPr>
          <w:p>
            <w:pPr>
              <w:spacing w:after="0"/>
              <w:rPr>
                <w:sz w:val="18"/>
                <w:szCs w:val="18"/>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2021</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2020</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4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line="205" w:lineRule="exact"/>
              <w:rPr>
                <w:sz w:val="20"/>
                <w:szCs w:val="20"/>
                <w:color w:val="auto"/>
              </w:rPr>
            </w:pPr>
            <w:r>
              <w:rPr>
                <w:rFonts w:ascii="Arial" w:cs="Arial" w:eastAsia="Arial" w:hAnsi="Arial"/>
                <w:sz w:val="18"/>
                <w:szCs w:val="18"/>
                <w:color w:val="auto"/>
                <w:w w:val="86"/>
              </w:rPr>
              <w:t>Weighted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40"/>
              <w:spacing w:after="0" w:line="205" w:lineRule="exact"/>
              <w:rPr>
                <w:sz w:val="20"/>
                <w:szCs w:val="20"/>
                <w:color w:val="auto"/>
              </w:rPr>
            </w:pPr>
            <w:r>
              <w:rPr>
                <w:rFonts w:ascii="Arial" w:cs="Arial" w:eastAsia="Arial" w:hAnsi="Arial"/>
                <w:sz w:val="18"/>
                <w:szCs w:val="18"/>
                <w:color w:val="auto"/>
                <w:w w:val="89"/>
              </w:rPr>
              <w:t>Weighted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40"/>
              <w:spacing w:after="0" w:line="205" w:lineRule="exact"/>
              <w:rPr>
                <w:sz w:val="20"/>
                <w:szCs w:val="20"/>
                <w:color w:val="auto"/>
              </w:rPr>
            </w:pPr>
            <w:r>
              <w:rPr>
                <w:rFonts w:ascii="Arial" w:cs="Arial" w:eastAsia="Arial" w:hAnsi="Arial"/>
                <w:sz w:val="18"/>
                <w:szCs w:val="18"/>
                <w:color w:val="auto"/>
                <w:w w:val="86"/>
              </w:rPr>
              <w:t>Weighted</w:t>
            </w:r>
          </w:p>
        </w:tc>
      </w:tr>
      <w:tr>
        <w:trPr>
          <w:trHeight w:val="211"/>
        </w:trPr>
        <w:tc>
          <w:tcPr>
            <w:tcW w:w="4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average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2"/>
              </w:rPr>
              <w:t>average</w:t>
            </w:r>
          </w:p>
        </w:tc>
      </w:tr>
      <w:tr>
        <w:trPr>
          <w:trHeight w:val="211"/>
        </w:trPr>
        <w:tc>
          <w:tcPr>
            <w:tcW w:w="4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 value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fair value</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Number of</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 value</w:t>
            </w:r>
          </w:p>
        </w:tc>
      </w:tr>
      <w:tr>
        <w:trPr>
          <w:trHeight w:val="223"/>
        </w:trPr>
        <w:tc>
          <w:tcPr>
            <w:tcW w:w="4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Shares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per award</w:t>
            </w: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Shares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per award</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per award</w:t>
            </w:r>
          </w:p>
        </w:tc>
        <w:tc>
          <w:tcPr>
            <w:tcW w:w="120" w:type="dxa"/>
            <w:vAlign w:val="bottom"/>
            <w:tcBorders>
              <w:bottom w:val="single" w:sz="8" w:color="CFF0FC"/>
            </w:tcBorders>
          </w:tcPr>
          <w:p>
            <w:pPr>
              <w:spacing w:after="0"/>
              <w:rPr>
                <w:sz w:val="19"/>
                <w:szCs w:val="19"/>
                <w:color w:val="auto"/>
              </w:rPr>
            </w:pPr>
          </w:p>
        </w:tc>
      </w:tr>
      <w:tr>
        <w:trPr>
          <w:trHeight w:val="21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88,226</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88,450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93,940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120" w:type="dxa"/>
            <w:vAlign w:val="bottom"/>
            <w:shd w:val="clear" w:color="auto" w:fill="CFF0FC"/>
          </w:tcPr>
          <w:p>
            <w:pPr>
              <w:spacing w:after="0"/>
              <w:rPr>
                <w:sz w:val="18"/>
                <w:szCs w:val="18"/>
                <w:color w:val="auto"/>
              </w:rPr>
            </w:pP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48,750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22.70</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9"/>
                <w:szCs w:val="19"/>
                <w:color w:val="auto"/>
              </w:rPr>
            </w:pPr>
          </w:p>
        </w:tc>
      </w:tr>
      <w:tr>
        <w:trPr>
          <w:trHeight w:val="224"/>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(23,270)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(35,431)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(40,370)</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FF0FC"/>
          </w:tcPr>
          <w:p>
            <w:pPr>
              <w:spacing w:after="0"/>
              <w:rPr>
                <w:sz w:val="19"/>
                <w:szCs w:val="19"/>
                <w:color w:val="auto"/>
              </w:rPr>
            </w:pP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24.28</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21.92</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19"/>
                <w:szCs w:val="19"/>
                <w:color w:val="auto"/>
              </w:rPr>
            </w:pPr>
          </w:p>
        </w:tc>
      </w:tr>
      <w:tr>
        <w:trPr>
          <w:trHeight w:val="217"/>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end of period</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111,131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28.40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As of December 31, 2021, there was $1.5 million of unrecognized compensation cost related to the nonvested portion of restricted stock awards under the plan to be recognized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55" w:lineRule="exact"/>
        <w:rPr>
          <w:sz w:val="20"/>
          <w:szCs w:val="20"/>
          <w:color w:val="auto"/>
        </w:rPr>
      </w:pPr>
    </w:p>
    <w:p>
      <w:pPr>
        <w:jc w:val="both"/>
        <w:ind w:left="800"/>
        <w:spacing w:after="0" w:line="280" w:lineRule="auto"/>
        <w:rPr>
          <w:sz w:val="20"/>
          <w:szCs w:val="20"/>
          <w:color w:val="auto"/>
        </w:rPr>
      </w:pPr>
      <w:r>
        <w:rPr>
          <w:rFonts w:ascii="Arial" w:cs="Arial" w:eastAsia="Arial" w:hAnsi="Arial"/>
          <w:sz w:val="16"/>
          <w:szCs w:val="16"/>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163" w:lineRule="exact"/>
        <w:rPr>
          <w:sz w:val="20"/>
          <w:szCs w:val="20"/>
          <w:color w:val="auto"/>
        </w:rPr>
      </w:pPr>
    </w:p>
    <w:p>
      <w:pPr>
        <w:jc w:val="both"/>
        <w:ind w:left="800"/>
        <w:spacing w:after="0" w:line="251" w:lineRule="auto"/>
        <w:rPr>
          <w:sz w:val="20"/>
          <w:szCs w:val="20"/>
          <w:color w:val="auto"/>
        </w:rPr>
      </w:pPr>
      <w:r>
        <w:rPr>
          <w:rFonts w:ascii="Arial" w:cs="Arial" w:eastAsia="Arial" w:hAnsi="Arial"/>
          <w:sz w:val="20"/>
          <w:szCs w:val="20"/>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approximately $4,000, rounded to the nearest whole Share on an annual basis commencing on June 5, 2020 and thereafter on the first Friday of June in each year. The value for the Shares is to be based upon the closing price for Shares on June 4, 2020 and thereafter on the first Thursday in June each year. On June 5, 2020, each Director received 176 shares. On November 20, 2020, a new director received 20 prorated shares. On June 4, 2021, ten Directors received approximately $6,000 worth of shares which equated to 272 shares while four Directors received a prorated dollar value of shares. On October 1, 2021, a new Director was added as a result of the Perpetual Federal Savings Bank acquisition and received 68 prorated shares worth approximately $1,523.</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table below presents basic and diluted earnings per share for the years ended December 31, 2021, 2020, and 2019.</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4"/>
              </w:rPr>
              <w:t>Year Ended</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24"/>
        </w:trPr>
        <w:tc>
          <w:tcPr>
            <w:tcW w:w="43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23,495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20,095</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participating securities</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20"/>
                <w:szCs w:val="20"/>
                <w:color w:val="auto"/>
              </w:rPr>
            </w:pPr>
            <w:r>
              <w:rPr>
                <w:rFonts w:ascii="Arial" w:cs="Arial" w:eastAsia="Arial" w:hAnsi="Arial"/>
                <w:sz w:val="18"/>
                <w:szCs w:val="18"/>
                <w:color w:val="auto"/>
              </w:rPr>
              <w:t>Less: undistributed earnings allocated to</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20"/>
              <w:spacing w:after="0"/>
              <w:rPr>
                <w:sz w:val="20"/>
                <w:szCs w:val="20"/>
                <w:color w:val="auto"/>
              </w:rPr>
            </w:pPr>
            <w:r>
              <w:rPr>
                <w:rFonts w:ascii="Arial" w:cs="Arial" w:eastAsia="Arial" w:hAnsi="Arial"/>
                <w:sz w:val="18"/>
                <w:szCs w:val="18"/>
                <w:color w:val="auto"/>
              </w:rPr>
              <w:t>participating securities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9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0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23,304</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19,942</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20"/>
              <w:spacing w:after="0"/>
              <w:rPr>
                <w:sz w:val="20"/>
                <w:szCs w:val="20"/>
                <w:color w:val="auto"/>
              </w:rPr>
            </w:pPr>
            <w:r>
              <w:rPr>
                <w:rFonts w:ascii="Arial" w:cs="Arial" w:eastAsia="Arial" w:hAnsi="Arial"/>
                <w:sz w:val="18"/>
                <w:szCs w:val="18"/>
                <w:color w:val="auto"/>
              </w:rPr>
              <w:t>including participating securities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11,664,852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11,146,270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11,113,810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Less: average unvested restricted shares</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(94,634)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(84,879)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(83,369)</w:t>
            </w:r>
          </w:p>
        </w:tc>
        <w:tc>
          <w:tcPr>
            <w:tcW w:w="0" w:type="dxa"/>
            <w:vAlign w:val="bottom"/>
          </w:tcPr>
          <w:p>
            <w:pPr>
              <w:spacing w:after="0"/>
              <w:rPr>
                <w:sz w:val="1"/>
                <w:szCs w:val="1"/>
                <w:color w:val="auto"/>
              </w:rPr>
            </w:pPr>
          </w:p>
        </w:tc>
      </w:tr>
      <w:tr>
        <w:trPr>
          <w:trHeight w:val="257"/>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common shares outstanding</w:t>
            </w:r>
          </w:p>
        </w:tc>
        <w:tc>
          <w:tcPr>
            <w:tcW w:w="9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11,570,218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11,061,391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11,030,441</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Basic and diluted earnings per share</w:t>
            </w:r>
          </w:p>
        </w:tc>
        <w:tc>
          <w:tcPr>
            <w:tcW w:w="1160" w:type="dxa"/>
            <w:vAlign w:val="bottom"/>
            <w:gridSpan w:val="2"/>
            <w:shd w:val="clear" w:color="auto" w:fill="CFF0FC"/>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2.01</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1.80</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15"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In the ordinary course of business, the Bank has granted loans to senior officers and directors and their affiliated companies amounting to $20.1 million and $1.4 million at December 31, 2021 and 2020, respectively. Four new loans were approved during 2021 of which no additional borrowings were utilized. During 2021, subsequent advances totaled $8.3 million and payments of $10.3 million were received. The difference in related borrowings amounted to $18.7 million, net increase. Deposits of directors, executive officers and companies in which they have a direct or indirect ownership as of December 31, 2021 and 2020, amounted to $43.7 million and $38.3 million,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Off Balance Sheet Activities</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Credit Related Financial Instruments</w:t>
      </w:r>
    </w:p>
    <w:p>
      <w:pPr>
        <w:spacing w:after="0" w:line="115"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Bank is a party to credit related financial instruments with off-balance-sheet risk in the normal course of business to meet the financing need of its customers. These financial instruments include commitments to extend credit, Standby Letters of Credit, and Commercial Letters of Credit. Such commitments involve, to varying degrees, elements of credit and interest rate risk in excess of the amount recognized in the consolidated balance sheets.</w:t>
      </w:r>
    </w:p>
    <w:p>
      <w:pPr>
        <w:spacing w:after="0" w:line="191"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The Bank's exposure to credit loss is represented by the contractual amount of these commitments. The Bank follows the same credit policies in making commitments as it does for on-balance-sheet instruments. The allowance for credit losses as it relates to unfunded loan commitments (AULC) is included under other liabilities. The AULC as of December 31, 2021 and 2020 was $1.0 million and $641 thousand, respectively.</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At December 31, 2021 and 2020, the following financial instruments were outstanding whose contract amounts represent credit risk:</w:t>
      </w:r>
    </w:p>
    <w:p>
      <w:pPr>
        <w:spacing w:after="0" w:line="251"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440"/>
              <w:spacing w:after="0"/>
              <w:rPr>
                <w:sz w:val="20"/>
                <w:szCs w:val="20"/>
                <w:color w:val="auto"/>
              </w:rPr>
            </w:pPr>
            <w:r>
              <w:rPr>
                <w:rFonts w:ascii="Arial" w:cs="Arial" w:eastAsia="Arial" w:hAnsi="Arial"/>
                <w:sz w:val="18"/>
                <w:szCs w:val="18"/>
                <w:color w:val="auto"/>
              </w:rPr>
              <w:t>(In Thousands)</w:t>
            </w:r>
          </w:p>
        </w:tc>
      </w:tr>
      <w:tr>
        <w:trPr>
          <w:trHeight w:val="217"/>
        </w:trPr>
        <w:tc>
          <w:tcPr>
            <w:tcW w:w="3760" w:type="dxa"/>
            <w:vAlign w:val="bottom"/>
            <w:tcBorders>
              <w:bottom w:val="single" w:sz="8" w:color="CFF0FC"/>
            </w:tcBorders>
          </w:tcPr>
          <w:p>
            <w:pPr>
              <w:spacing w:after="0"/>
              <w:rPr>
                <w:sz w:val="18"/>
                <w:szCs w:val="18"/>
                <w:color w:val="auto"/>
              </w:rPr>
            </w:pPr>
          </w:p>
        </w:tc>
        <w:tc>
          <w:tcPr>
            <w:tcW w:w="16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FF0FC"/>
            </w:tcBorders>
          </w:tcPr>
          <w:p>
            <w:pPr>
              <w:spacing w:after="0"/>
              <w:rPr>
                <w:sz w:val="18"/>
                <w:szCs w:val="18"/>
                <w:color w:val="auto"/>
              </w:rPr>
            </w:pPr>
          </w:p>
        </w:tc>
      </w:tr>
      <w:tr>
        <w:trPr>
          <w:trHeight w:val="217"/>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557,094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456,299</w:t>
            </w:r>
          </w:p>
        </w:tc>
        <w:tc>
          <w:tcPr>
            <w:tcW w:w="60" w:type="dxa"/>
            <w:vAlign w:val="bottom"/>
            <w:shd w:val="clear" w:color="auto" w:fill="CFF0FC"/>
          </w:tcPr>
          <w:p>
            <w:pPr>
              <w:spacing w:after="0"/>
              <w:rPr>
                <w:sz w:val="18"/>
                <w:szCs w:val="18"/>
                <w:color w:val="auto"/>
              </w:rPr>
            </w:pPr>
          </w:p>
        </w:tc>
      </w:tr>
      <w:tr>
        <w:trPr>
          <w:trHeight w:val="224"/>
        </w:trPr>
        <w:tc>
          <w:tcPr>
            <w:tcW w:w="3760" w:type="dxa"/>
            <w:vAlign w:val="bottom"/>
          </w:tcPr>
          <w:p>
            <w:pPr>
              <w:spacing w:after="0"/>
              <w:rPr>
                <w:sz w:val="20"/>
                <w:szCs w:val="20"/>
                <w:color w:val="auto"/>
              </w:rPr>
            </w:pPr>
            <w:r>
              <w:rPr>
                <w:rFonts w:ascii="Arial" w:cs="Arial" w:eastAsia="Arial" w:hAnsi="Arial"/>
                <w:sz w:val="18"/>
                <w:szCs w:val="18"/>
                <w:color w:val="auto"/>
              </w:rPr>
              <w:t>Credit card arrangements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23,179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22,903</w:t>
            </w:r>
          </w:p>
        </w:tc>
        <w:tc>
          <w:tcPr>
            <w:tcW w:w="60" w:type="dxa"/>
            <w:vAlign w:val="bottom"/>
          </w:tcPr>
          <w:p>
            <w:pPr>
              <w:spacing w:after="0"/>
              <w:rPr>
                <w:sz w:val="19"/>
                <w:szCs w:val="19"/>
                <w:color w:val="auto"/>
              </w:rPr>
            </w:pPr>
          </w:p>
        </w:tc>
      </w:tr>
      <w:tr>
        <w:trPr>
          <w:trHeight w:val="224"/>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Standby letters of credit</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Commitments to extend credit, credit card arrangements and Standby Letters of Credit all include exposure to some credit loss in the event of nonperformance of the customer. The Bank’s credit policies and procedures for credit commitments and financial guarantees are the same as those for extensions of credit that are recorded in the financial statements. Due to the fact that these instruments have fixed maturity dates, and because many of them expire without being drawn upon, they generally do not present any significant liquidity risk to the Bank.</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Collateral Requirements</w:t>
      </w:r>
    </w:p>
    <w:p>
      <w:pPr>
        <w:spacing w:after="0" w:line="115"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To reduce credit risk related to the use of credit-related financial instruments, the Bank might deem it necessary to obtain collateral. The amount and nature of the collateral obtained is based on the Bank's credit evaluation of the customer. Collateral held varies but may include cash, securities, accounts receivable, inventory, property, plant, and real estate.</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Legal Contingencies</w:t>
      </w:r>
    </w:p>
    <w:p>
      <w:pPr>
        <w:spacing w:after="0" w:line="11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Various legal claims also arise from time to time in the normal course of business, which, in the opinion of management, will have no material effect on the Company’s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w:t>
      </w:r>
    </w:p>
    <w:p>
      <w:pPr>
        <w:spacing w:after="0" w:line="115"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Bank must meet specific capital guidelines that involve quantitative measures of their assets, liabilities and certain off balance-sheet items as calculated under regulatory accounting practices.</w:t>
      </w:r>
    </w:p>
    <w:p>
      <w:pPr>
        <w:spacing w:after="0" w:line="195"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capital amounts and classification are also subject to qualitative judgments by the regulators about components, risk weightings, and other factors. Prompt corrective action provisions are not applicable to bank holding companies.</w:t>
      </w:r>
    </w:p>
    <w:p>
      <w:pPr>
        <w:spacing w:after="0" w:line="180"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Quantitative measures established by the Basel III Capital Rules, the comprehensive capital framework for U.S. banking organizations, to ensure capital adequacy require the maintenance of minimum amounts and ratios (set forth in the table below) of Common Equity Tier 1 capital, Tier 1 capital and Total capital (as defined in the regulations) to risk-weighted assets (as defined), and of Tier 1 capital to adjusted quarterly average assets (as defined).</w:t>
      </w:r>
    </w:p>
    <w:p>
      <w:pPr>
        <w:spacing w:after="0" w:line="191"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In connection with the adoption of the Basel III Capital Rules, we elected to opt-out of the requirement to include most components of accumulated other comprehensive income in Common Equity Tier 1.</w:t>
      </w:r>
    </w:p>
    <w:p>
      <w:pPr>
        <w:spacing w:after="0" w:line="180" w:lineRule="exact"/>
        <w:rPr>
          <w:sz w:val="20"/>
          <w:szCs w:val="20"/>
          <w:color w:val="auto"/>
        </w:rPr>
      </w:pPr>
    </w:p>
    <w:p>
      <w:pPr>
        <w:jc w:val="both"/>
        <w:ind w:left="800" w:right="20"/>
        <w:spacing w:after="0" w:line="262" w:lineRule="auto"/>
        <w:rPr>
          <w:sz w:val="20"/>
          <w:szCs w:val="20"/>
          <w:color w:val="auto"/>
        </w:rPr>
      </w:pPr>
      <w:r>
        <w:rPr>
          <w:rFonts w:ascii="Arial" w:cs="Arial" w:eastAsia="Arial" w:hAnsi="Arial"/>
          <w:sz w:val="18"/>
          <w:szCs w:val="18"/>
          <w:color w:val="auto"/>
        </w:rPr>
        <w:t>Common Equity Tier 1 is reduced by goodwill and other intangible assets, net of associated deferred tax liabilities, and subject to transition provisions.</w:t>
      </w:r>
    </w:p>
    <w:p>
      <w:pPr>
        <w:spacing w:after="0" w:line="180"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The Common Equity Tier 1, Tier 1 and Total capital ratios are calculated by dividing the respective capital amounts by risk-weighted assets. Risk-weighted assets are calculated based on regulatory requirements and include total assets, with certain exclusions, allocated by risk weight category, and certain off-balance-sheet items, among other things. The leverage ratio is calculated by dividing Tier 1 capital by adjusted quarterly average total assets, which exclude goodwill and other intangible assets, among other things.</w:t>
      </w:r>
    </w:p>
    <w:p>
      <w:pPr>
        <w:spacing w:after="0" w:line="162" w:lineRule="exact"/>
        <w:rPr>
          <w:sz w:val="20"/>
          <w:szCs w:val="20"/>
          <w:color w:val="auto"/>
        </w:rPr>
      </w:pPr>
    </w:p>
    <w:p>
      <w:pPr>
        <w:jc w:val="both"/>
        <w:ind w:left="800"/>
        <w:spacing w:after="0" w:line="283" w:lineRule="auto"/>
        <w:rPr>
          <w:sz w:val="20"/>
          <w:szCs w:val="20"/>
          <w:color w:val="auto"/>
        </w:rPr>
      </w:pPr>
      <w:r>
        <w:rPr>
          <w:rFonts w:ascii="Arial" w:cs="Arial" w:eastAsia="Arial" w:hAnsi="Arial"/>
          <w:sz w:val="16"/>
          <w:szCs w:val="16"/>
          <w:color w:val="auto"/>
        </w:rPr>
        <w:t>The Basel III Capital Rules require the Bank to maintain (i) a minimum ratio of Common Equity Tier 1 capital to risk-weighted assets of at least 4.5%, plus a 2.5% “capital conservation buffer” (which is added to the 4.5% Common Equity Tier 1 capital ratio, effectively resulting in a minimum ratio of Common Equity Tier 1 capital to risk-weighted assets of at least 7.0%), (ii) a minimum ratio of Tier 1 capital to risk-weighted assets of at least 6.0%, plus the capital conservation buffer (which is added to the 6.0% Tier 1 capital ratio, effectively resulting in a minimum Tier 1 capital ratio of 8.5%), (iii) a minimum ratio of Total capital (that is, Tier 1 plus Tier 2) to risk-weighted assets of at least 8.0%, plus the capital conservation buffer (which is added to the 8.0% total capital ratio, effectively resulting in a minimum total capital ratio of 10.5%) and (iv) a minimum leverage ratio of 4.0%, calculated as the ratio of Tier 1 capital to average quarterly assets.</w:t>
      </w:r>
    </w:p>
    <w:p>
      <w:pPr>
        <w:spacing w:after="0" w:line="168"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will face constraints on dividends, equity repurchases and compensation based on the amount of the shortfall.</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Management believes, as of December 31, 2021, that the Bank meets all the capital adequacy requirements to which it is subject.</w:t>
      </w:r>
    </w:p>
    <w:p>
      <w:pPr>
        <w:spacing w:after="0" w:line="215"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As of December 31, 2021, the most recent notification from the FDIC indicated the Bank was categorized as well capitalized under the regulatory framework for prompt corrective action. To remain categorized as well capitalized, the Bank will have to maintain minimum total risk-based, Tier I risk-based, Common Equity Tier 1 and Tier I leverage ratios as disclosed in the table to follow. There are no conditions or events since the most recent notification that management believes have changed the Bank’s prompt corrective action category.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200" w:lineRule="exact"/>
        <w:rPr>
          <w:sz w:val="20"/>
          <w:szCs w:val="20"/>
          <w:color w:val="auto"/>
        </w:rPr>
      </w:pPr>
    </w:p>
    <w:p>
      <w:pPr>
        <w:spacing w:after="0" w:line="231"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following tables present actual and required capital ratios as of December 31, 2021 and December 31, 2020 under the Basel III Capital Rules. The minimum required capital amounts presented include the minimum required capital levels as of December 31, 2021 and December 31, 2020. Capital levels required to be considered well capitalized are based upon prompt corrective action regulations, as amended to reflect the changes under the Basel III Capital Rules.</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Bank’s actual and required capital amounts and ratios as of December 31, 2021 and December 31, 2020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Required to be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Minimum Capital</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Considered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1"/>
              </w:rPr>
              <w:t>Actual</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7"/>
              </w:rPr>
              <w:t>Required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2"/>
              </w:rPr>
              <w:t>Well-Capitalized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(000's)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rPr>
              <w:t>As of December 31, 2021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Amount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Ratio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Amount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Ratio</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Ratio</w:t>
            </w:r>
          </w:p>
        </w:tc>
      </w:tr>
      <w:tr>
        <w:trPr>
          <w:trHeight w:val="205"/>
        </w:trPr>
        <w:tc>
          <w:tcPr>
            <w:tcW w:w="30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Common Equity Tier 1 Capital (to</w:t>
            </w:r>
          </w:p>
        </w:tc>
        <w:tc>
          <w:tcPr>
            <w:tcW w:w="5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23"/>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Risk Weighted Assets)</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256,943</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14.26%</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81,074</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4.50%</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117,112</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6.50%</w:t>
            </w:r>
          </w:p>
        </w:tc>
      </w:tr>
      <w:tr>
        <w:trPr>
          <w:trHeight w:val="212"/>
        </w:trPr>
        <w:tc>
          <w:tcPr>
            <w:tcW w:w="3000" w:type="dxa"/>
            <w:vAlign w:val="bottom"/>
          </w:tcPr>
          <w:p>
            <w:pPr>
              <w:spacing w:after="0"/>
              <w:rPr>
                <w:sz w:val="20"/>
                <w:szCs w:val="20"/>
                <w:color w:val="auto"/>
              </w:rPr>
            </w:pPr>
            <w:r>
              <w:rPr>
                <w:rFonts w:ascii="Arial" w:cs="Arial" w:eastAsia="Arial" w:hAnsi="Arial"/>
                <w:sz w:val="18"/>
                <w:szCs w:val="18"/>
                <w:color w:val="auto"/>
              </w:rPr>
              <w:t>Total Risk-Based Capital (to Risk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00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274,226</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144,138</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180,173</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2"/>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Tier 1 Capital (to Risk Weighted</w:t>
            </w: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256,943</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108,104</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144,138</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8.00%</w:t>
            </w:r>
          </w:p>
        </w:tc>
      </w:tr>
      <w:tr>
        <w:trPr>
          <w:trHeight w:val="212"/>
        </w:trPr>
        <w:tc>
          <w:tcPr>
            <w:tcW w:w="3000" w:type="dxa"/>
            <w:vAlign w:val="bottom"/>
          </w:tcPr>
          <w:p>
            <w:pPr>
              <w:spacing w:after="0"/>
              <w:rPr>
                <w:sz w:val="20"/>
                <w:szCs w:val="20"/>
                <w:color w:val="auto"/>
              </w:rPr>
            </w:pPr>
            <w:r>
              <w:rPr>
                <w:rFonts w:ascii="Arial" w:cs="Arial" w:eastAsia="Arial" w:hAnsi="Arial"/>
                <w:sz w:val="18"/>
                <w:szCs w:val="18"/>
                <w:color w:val="auto"/>
              </w:rPr>
              <w:t>Tier 1 Leverage Capital (to</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color w:val="auto"/>
              </w:rPr>
              <w:t>Adjusted Total Assets)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256,943</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100,317</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125,396</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634"/>
        </w:trPr>
        <w:tc>
          <w:tcPr>
            <w:tcW w:w="3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Required to be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Minimum Capital</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Considered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1"/>
              </w:rPr>
              <w:t>Actual</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7"/>
              </w:rPr>
              <w:t>Required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2"/>
              </w:rPr>
              <w:t>Well-Capitalized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(000's)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rPr>
              <w:t>As of December 31, 2020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Amount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Ratio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Amount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Ratio</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Ratio</w:t>
            </w:r>
          </w:p>
        </w:tc>
      </w:tr>
      <w:tr>
        <w:trPr>
          <w:trHeight w:val="205"/>
        </w:trPr>
        <w:tc>
          <w:tcPr>
            <w:tcW w:w="30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Common Equity Tier 1 Capital (to</w:t>
            </w:r>
          </w:p>
        </w:tc>
        <w:tc>
          <w:tcPr>
            <w:tcW w:w="5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23"/>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Risk Weighted Assets)</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164,322</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11.63%</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63,542</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4.50%</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91,783</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6.50%</w:t>
            </w:r>
          </w:p>
        </w:tc>
      </w:tr>
      <w:tr>
        <w:trPr>
          <w:trHeight w:val="212"/>
        </w:trPr>
        <w:tc>
          <w:tcPr>
            <w:tcW w:w="3000" w:type="dxa"/>
            <w:vAlign w:val="bottom"/>
          </w:tcPr>
          <w:p>
            <w:pPr>
              <w:spacing w:after="0"/>
              <w:rPr>
                <w:sz w:val="20"/>
                <w:szCs w:val="20"/>
                <w:color w:val="auto"/>
              </w:rPr>
            </w:pPr>
            <w:r>
              <w:rPr>
                <w:rFonts w:ascii="Arial" w:cs="Arial" w:eastAsia="Arial" w:hAnsi="Arial"/>
                <w:sz w:val="18"/>
                <w:szCs w:val="18"/>
                <w:color w:val="auto"/>
              </w:rPr>
              <w:t>Total Risk-Based Capital (to Risk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00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178,635</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113,032</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141,290</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2"/>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Tier 1 Capital (to Risk Weighted</w:t>
            </w: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164,322</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84,774</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113,032</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8.00%</w:t>
            </w:r>
          </w:p>
        </w:tc>
      </w:tr>
      <w:tr>
        <w:trPr>
          <w:trHeight w:val="212"/>
        </w:trPr>
        <w:tc>
          <w:tcPr>
            <w:tcW w:w="3000" w:type="dxa"/>
            <w:vAlign w:val="bottom"/>
          </w:tcPr>
          <w:p>
            <w:pPr>
              <w:spacing w:after="0"/>
              <w:rPr>
                <w:sz w:val="20"/>
                <w:szCs w:val="20"/>
                <w:color w:val="auto"/>
              </w:rPr>
            </w:pPr>
            <w:r>
              <w:rPr>
                <w:rFonts w:ascii="Arial" w:cs="Arial" w:eastAsia="Arial" w:hAnsi="Arial"/>
                <w:sz w:val="18"/>
                <w:szCs w:val="18"/>
                <w:color w:val="auto"/>
              </w:rPr>
              <w:t>Tier 1 Leverage Capital (to</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color w:val="auto"/>
              </w:rPr>
              <w:t>Adjusted Total Assets)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164,322</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72,419</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90,524</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19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above tables exclude the capital conservation buffer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Restrictions of Dividends &amp; Inter-company Borrowings</w:t>
      </w:r>
    </w:p>
    <w:p>
      <w:pPr>
        <w:spacing w:after="0" w:line="115"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The Bank is restricted as to the amount of dividends that can be paid. Dividends declared by the Bank that exceed the net income for the current year plus retained income for the preceding two years must be approved by federal and state regulatory agencies. Under this formula, dividends of $18.2 million may be paid without prior regulatory approval. Regardless of formal regulatory restrictions, the Bank may not pay dividends that would result in its capital levels being reduced below the minimum requirements shown above. Under current Federal Reserve regulations, the Bank is limited as to the amount and type of loans it may make to the Company. These loans are subject to qualifying collateral requirements on which the amount of the loan may be based.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w:t>
      </w:r>
    </w:p>
    <w:p>
      <w:pPr>
        <w:spacing w:after="0" w:line="115"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00" w:lineRule="exact"/>
        <w:rPr>
          <w:sz w:val="20"/>
          <w:szCs w:val="20"/>
          <w:color w:val="auto"/>
        </w:rPr>
      </w:pPr>
    </w:p>
    <w:p>
      <w:pPr>
        <w:spacing w:after="0" w:line="249" w:lineRule="exact"/>
        <w:rPr>
          <w:sz w:val="20"/>
          <w:szCs w:val="20"/>
          <w:color w:val="auto"/>
        </w:rPr>
      </w:pPr>
    </w:p>
    <w:p>
      <w:pPr>
        <w:jc w:val="both"/>
        <w:ind w:left="800"/>
        <w:spacing w:after="0" w:line="245" w:lineRule="auto"/>
        <w:rPr>
          <w:sz w:val="20"/>
          <w:szCs w:val="20"/>
          <w:color w:val="auto"/>
        </w:rPr>
      </w:pPr>
      <w:r>
        <w:rPr>
          <w:rFonts w:ascii="Arial" w:cs="Arial" w:eastAsia="Arial" w:hAnsi="Arial"/>
          <w:sz w:val="21"/>
          <w:szCs w:val="21"/>
          <w:color w:val="auto"/>
        </w:rPr>
        <w:t>T</w:t>
      </w:r>
      <w:r>
        <w:rPr>
          <w:rFonts w:ascii="Arial" w:cs="Arial" w:eastAsia="Arial" w:hAnsi="Arial"/>
          <w:sz w:val="17"/>
          <w:szCs w:val="17"/>
          <w:color w:val="auto"/>
        </w:rPr>
        <w:t>he estimated fair values, and related carrying or notional amounts, for on and off-balance sheet financial instruments as of December 31, 2021 and</w:t>
      </w:r>
      <w:r>
        <w:rPr>
          <w:rFonts w:ascii="Arial" w:cs="Arial" w:eastAsia="Arial" w:hAnsi="Arial"/>
          <w:sz w:val="21"/>
          <w:szCs w:val="21"/>
          <w:color w:val="auto"/>
        </w:rPr>
        <w:t xml:space="preserve"> </w:t>
      </w:r>
      <w:r>
        <w:rPr>
          <w:rFonts w:ascii="Arial" w:cs="Arial" w:eastAsia="Arial" w:hAnsi="Arial"/>
          <w:sz w:val="17"/>
          <w:szCs w:val="17"/>
          <w:color w:val="auto"/>
        </w:rPr>
        <w:t>2020, are reflected below. The aggregate fair values in the table below do not represent the total market value of the Bank’s assets and liabilities. The table excludes the following: Bank Premises and Equipment, Goodwill, Mortgage Servicing Rights, Other Real Estate Owned, Other Assets, Other Liabilities and Accrued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December 31, 2021</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December 31, 2020</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1"/>
              </w:rPr>
              <w:t>Carrying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Fair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Value</w:t>
            </w:r>
          </w:p>
        </w:tc>
        <w:tc>
          <w:tcPr>
            <w:tcW w:w="180" w:type="dxa"/>
            <w:vAlign w:val="bottom"/>
          </w:tcPr>
          <w:p>
            <w:pPr>
              <w:spacing w:after="0"/>
              <w:rPr>
                <w:sz w:val="19"/>
                <w:szCs w:val="19"/>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Level 1</w:t>
            </w: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9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Amount</w:t>
            </w:r>
          </w:p>
        </w:tc>
        <w:tc>
          <w:tcPr>
            <w:tcW w:w="10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Level 1</w:t>
            </w: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Level 3</w:t>
            </w:r>
          </w:p>
        </w:tc>
      </w:tr>
      <w:tr>
        <w:trPr>
          <w:trHeight w:val="217"/>
        </w:trPr>
        <w:tc>
          <w:tcPr>
            <w:tcW w:w="1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right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12"/>
        </w:trPr>
        <w:tc>
          <w:tcPr>
            <w:tcW w:w="1640" w:type="dxa"/>
            <w:vAlign w:val="bottom"/>
          </w:tcPr>
          <w:p>
            <w:pPr>
              <w:ind w:left="240"/>
              <w:spacing w:after="0"/>
              <w:rPr>
                <w:sz w:val="20"/>
                <w:szCs w:val="20"/>
                <w:color w:val="auto"/>
              </w:rPr>
            </w:pPr>
            <w:r>
              <w:rPr>
                <w:rFonts w:ascii="Arial" w:cs="Arial" w:eastAsia="Arial" w:hAnsi="Arial"/>
                <w:sz w:val="18"/>
                <w:szCs w:val="18"/>
                <w:color w:val="auto"/>
              </w:rPr>
              <w:t>Cash and cash</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1640" w:type="dxa"/>
            <w:vAlign w:val="bottom"/>
          </w:tcPr>
          <w:p>
            <w:pPr>
              <w:ind w:left="240"/>
              <w:spacing w:after="0"/>
              <w:rPr>
                <w:sz w:val="20"/>
                <w:szCs w:val="20"/>
                <w:color w:val="auto"/>
              </w:rPr>
            </w:pPr>
            <w:r>
              <w:rPr>
                <w:rFonts w:ascii="Arial" w:cs="Arial" w:eastAsia="Arial" w:hAnsi="Arial"/>
                <w:sz w:val="18"/>
                <w:szCs w:val="18"/>
                <w:color w:val="auto"/>
              </w:rPr>
              <w:t>equivalents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180,823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180,832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180,823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175,706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175,706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175,706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2"/>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3"/>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10,933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12"/>
        </w:trPr>
        <w:tc>
          <w:tcPr>
            <w:tcW w:w="1640" w:type="dxa"/>
            <w:vAlign w:val="bottom"/>
          </w:tcPr>
          <w:p>
            <w:pPr>
              <w:ind w:left="240"/>
              <w:spacing w:after="0"/>
              <w:rPr>
                <w:sz w:val="20"/>
                <w:szCs w:val="20"/>
                <w:color w:val="auto"/>
              </w:rPr>
            </w:pPr>
            <w:r>
              <w:rPr>
                <w:rFonts w:ascii="Arial" w:cs="Arial" w:eastAsia="Arial" w:hAnsi="Arial"/>
                <w:sz w:val="18"/>
                <w:szCs w:val="18"/>
                <w:color w:val="auto"/>
              </w:rPr>
              <w:t>Securities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1640" w:type="dxa"/>
            <w:vAlign w:val="bottom"/>
          </w:tcPr>
          <w:p>
            <w:pPr>
              <w:ind w:left="240"/>
              <w:spacing w:after="0"/>
              <w:rPr>
                <w:sz w:val="20"/>
                <w:szCs w:val="20"/>
                <w:color w:val="auto"/>
              </w:rPr>
            </w:pPr>
            <w:r>
              <w:rPr>
                <w:rFonts w:ascii="Arial" w:cs="Arial" w:eastAsia="Arial" w:hAnsi="Arial"/>
                <w:sz w:val="18"/>
                <w:szCs w:val="18"/>
                <w:color w:val="auto"/>
              </w:rPr>
              <w:t>available-for-sale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429,931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429,931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89,177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335,981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4,773</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307,812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307,812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306,250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1,562</w:t>
            </w:r>
          </w:p>
        </w:tc>
        <w:tc>
          <w:tcPr>
            <w:tcW w:w="60" w:type="dxa"/>
            <w:vAlign w:val="bottom"/>
          </w:tcPr>
          <w:p>
            <w:pPr>
              <w:spacing w:after="0"/>
              <w:rPr>
                <w:sz w:val="19"/>
                <w:szCs w:val="19"/>
                <w:color w:val="auto"/>
              </w:rPr>
            </w:pPr>
          </w:p>
        </w:tc>
      </w:tr>
      <w:tr>
        <w:trPr>
          <w:trHeight w:val="224"/>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w:t>
            </w: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5,939</w:t>
            </w:r>
          </w:p>
        </w:tc>
        <w:tc>
          <w:tcPr>
            <w:tcW w:w="60" w:type="dxa"/>
            <w:vAlign w:val="bottom"/>
            <w:shd w:val="clear" w:color="auto" w:fill="CFF0FC"/>
          </w:tcPr>
          <w:p>
            <w:pPr>
              <w:spacing w:after="0"/>
              <w:rPr>
                <w:sz w:val="19"/>
                <w:szCs w:val="19"/>
                <w:color w:val="auto"/>
              </w:rPr>
            </w:pPr>
          </w:p>
        </w:tc>
      </w:tr>
      <w:tr>
        <w:trPr>
          <w:trHeight w:val="224"/>
        </w:trPr>
        <w:tc>
          <w:tcPr>
            <w:tcW w:w="1640" w:type="dxa"/>
            <w:vAlign w:val="bottom"/>
          </w:tcPr>
          <w:p>
            <w:pPr>
              <w:ind w:left="240"/>
              <w:spacing w:after="0"/>
              <w:rPr>
                <w:sz w:val="20"/>
                <w:szCs w:val="20"/>
                <w:color w:val="auto"/>
              </w:rPr>
            </w:pPr>
            <w:r>
              <w:rPr>
                <w:rFonts w:ascii="Arial" w:cs="Arial" w:eastAsia="Arial" w:hAnsi="Arial"/>
                <w:sz w:val="18"/>
                <w:szCs w:val="18"/>
                <w:color w:val="auto"/>
                <w:w w:val="90"/>
              </w:rPr>
              <w:t>Loans held for sale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7,844</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7,740</w:t>
            </w:r>
          </w:p>
        </w:tc>
        <w:tc>
          <w:tcPr>
            <w:tcW w:w="60" w:type="dxa"/>
            <w:vAlign w:val="bottom"/>
          </w:tcPr>
          <w:p>
            <w:pPr>
              <w:spacing w:after="0"/>
              <w:rPr>
                <w:sz w:val="19"/>
                <w:szCs w:val="19"/>
                <w:color w:val="auto"/>
              </w:rPr>
            </w:pPr>
          </w:p>
        </w:tc>
      </w:tr>
      <w:tr>
        <w:trPr>
          <w:trHeight w:val="224"/>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1,841,177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1,864,386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1,864,386</w:t>
            </w: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1,289,318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1,261,440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1,261,440</w:t>
            </w:r>
          </w:p>
        </w:tc>
        <w:tc>
          <w:tcPr>
            <w:tcW w:w="60" w:type="dxa"/>
            <w:vAlign w:val="bottom"/>
            <w:shd w:val="clear" w:color="auto" w:fill="CFF0FC"/>
          </w:tcPr>
          <w:p>
            <w:pPr>
              <w:spacing w:after="0"/>
              <w:rPr>
                <w:sz w:val="19"/>
                <w:szCs w:val="19"/>
                <w:color w:val="auto"/>
              </w:rPr>
            </w:pPr>
          </w:p>
        </w:tc>
      </w:tr>
      <w:tr>
        <w:trPr>
          <w:trHeight w:val="224"/>
        </w:trPr>
        <w:tc>
          <w:tcPr>
            <w:tcW w:w="1640" w:type="dxa"/>
            <w:vAlign w:val="bottom"/>
          </w:tcPr>
          <w:p>
            <w:pPr>
              <w:ind w:left="240"/>
              <w:spacing w:after="0"/>
              <w:rPr>
                <w:sz w:val="20"/>
                <w:szCs w:val="20"/>
                <w:color w:val="auto"/>
              </w:rPr>
            </w:pPr>
            <w:r>
              <w:rPr>
                <w:rFonts w:ascii="Arial" w:cs="Arial" w:eastAsia="Arial" w:hAnsi="Arial"/>
                <w:sz w:val="18"/>
                <w:szCs w:val="18"/>
                <w:color w:val="auto"/>
                <w:w w:val="93"/>
              </w:rPr>
              <w:t>Interest receivable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7,209</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6,188</w:t>
            </w:r>
          </w:p>
        </w:tc>
        <w:tc>
          <w:tcPr>
            <w:tcW w:w="60" w:type="dxa"/>
            <w:vAlign w:val="bottom"/>
          </w:tcPr>
          <w:p>
            <w:pPr>
              <w:spacing w:after="0"/>
              <w:rPr>
                <w:sz w:val="19"/>
                <w:szCs w:val="19"/>
                <w:color w:val="auto"/>
              </w:rPr>
            </w:pPr>
          </w:p>
        </w:tc>
      </w:tr>
      <w:tr>
        <w:trPr>
          <w:trHeight w:val="224"/>
        </w:trPr>
        <w:tc>
          <w:tcPr>
            <w:tcW w:w="1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4"/>
        </w:trPr>
        <w:tc>
          <w:tcPr>
            <w:tcW w:w="1640" w:type="dxa"/>
            <w:vAlign w:val="bottom"/>
          </w:tcPr>
          <w:p>
            <w:pPr>
              <w:spacing w:after="0"/>
              <w:rPr>
                <w:sz w:val="20"/>
                <w:szCs w:val="20"/>
                <w:color w:val="auto"/>
              </w:rPr>
            </w:pPr>
            <w:r>
              <w:rPr>
                <w:rFonts w:ascii="Arial" w:cs="Arial" w:eastAsia="Arial" w:hAnsi="Arial"/>
                <w:sz w:val="18"/>
                <w:szCs w:val="18"/>
                <w:color w:val="auto"/>
              </w:rPr>
              <w:t>Financial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bearing</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3"/>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1,248,294</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1,248,044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1,248,044</w:t>
            </w: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997,462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1,004,608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1,004,608</w:t>
            </w:r>
          </w:p>
        </w:tc>
        <w:tc>
          <w:tcPr>
            <w:tcW w:w="60" w:type="dxa"/>
            <w:vAlign w:val="bottom"/>
            <w:shd w:val="clear" w:color="auto" w:fill="CFF0FC"/>
          </w:tcPr>
          <w:p>
            <w:pPr>
              <w:spacing w:after="0"/>
              <w:rPr>
                <w:sz w:val="19"/>
                <w:szCs w:val="19"/>
                <w:color w:val="auto"/>
              </w:rPr>
            </w:pPr>
          </w:p>
        </w:tc>
      </w:tr>
      <w:tr>
        <w:trPr>
          <w:trHeight w:val="212"/>
        </w:trPr>
        <w:tc>
          <w:tcPr>
            <w:tcW w:w="1640" w:type="dxa"/>
            <w:vAlign w:val="bottom"/>
          </w:tcPr>
          <w:p>
            <w:pPr>
              <w:ind w:left="240"/>
              <w:spacing w:after="0"/>
              <w:rPr>
                <w:sz w:val="20"/>
                <w:szCs w:val="20"/>
                <w:color w:val="auto"/>
              </w:rPr>
            </w:pPr>
            <w:r>
              <w:rPr>
                <w:rFonts w:ascii="Arial" w:cs="Arial" w:eastAsia="Arial" w:hAnsi="Arial"/>
                <w:sz w:val="18"/>
                <w:szCs w:val="18"/>
                <w:color w:val="auto"/>
              </w:rPr>
              <w:t>Noninterest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1640" w:type="dxa"/>
            <w:vAlign w:val="bottom"/>
          </w:tcPr>
          <w:p>
            <w:pPr>
              <w:ind w:left="240"/>
              <w:spacing w:after="0"/>
              <w:rPr>
                <w:sz w:val="20"/>
                <w:szCs w:val="20"/>
                <w:color w:val="auto"/>
              </w:rPr>
            </w:pPr>
            <w:r>
              <w:rPr>
                <w:rFonts w:ascii="Arial" w:cs="Arial" w:eastAsia="Arial" w:hAnsi="Arial"/>
                <w:sz w:val="18"/>
                <w:szCs w:val="18"/>
                <w:color w:val="auto"/>
              </w:rPr>
              <w:t>bearing deposits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473,689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473,689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473,689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351,147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351,147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351,147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471,479</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475,810</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475,810</w:t>
            </w: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247,553</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250,135</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250,135</w:t>
            </w:r>
          </w:p>
        </w:tc>
        <w:tc>
          <w:tcPr>
            <w:tcW w:w="60" w:type="dxa"/>
            <w:vAlign w:val="bottom"/>
            <w:shd w:val="clear" w:color="auto" w:fill="CFF0FC"/>
          </w:tcPr>
          <w:p>
            <w:pPr>
              <w:spacing w:after="0"/>
              <w:rPr>
                <w:sz w:val="19"/>
                <w:szCs w:val="19"/>
                <w:color w:val="auto"/>
              </w:rPr>
            </w:pPr>
          </w:p>
        </w:tc>
      </w:tr>
      <w:tr>
        <w:trPr>
          <w:trHeight w:val="217"/>
        </w:trPr>
        <w:tc>
          <w:tcPr>
            <w:tcW w:w="1640" w:type="dxa"/>
            <w:vAlign w:val="bottom"/>
          </w:tcPr>
          <w:p>
            <w:pPr>
              <w:spacing w:after="0"/>
              <w:rPr>
                <w:sz w:val="20"/>
                <w:szCs w:val="20"/>
                <w:color w:val="auto"/>
              </w:rPr>
            </w:pPr>
            <w:r>
              <w:rPr>
                <w:rFonts w:ascii="Arial" w:cs="Arial" w:eastAsia="Arial" w:hAnsi="Arial"/>
                <w:sz w:val="18"/>
                <w:szCs w:val="18"/>
                <w:color w:val="auto"/>
              </w:rPr>
              <w:t>Total Deposits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2,193,462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2,197,543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473,689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1,723,854</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1,596,162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1,605,890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351,147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1,254,743</w:t>
            </w:r>
          </w:p>
        </w:tc>
        <w:tc>
          <w:tcPr>
            <w:tcW w:w="60" w:type="dxa"/>
            <w:vAlign w:val="bottom"/>
          </w:tcPr>
          <w:p>
            <w:pPr>
              <w:spacing w:after="0"/>
              <w:rPr>
                <w:sz w:val="18"/>
                <w:szCs w:val="18"/>
                <w:color w:val="auto"/>
              </w:rPr>
            </w:pPr>
          </w:p>
        </w:tc>
      </w:tr>
      <w:tr>
        <w:trPr>
          <w:trHeight w:val="212"/>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 funds</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1"/>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purchased and</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1"/>
        </w:trPr>
        <w:tc>
          <w:tcPr>
            <w:tcW w:w="1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 sold</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1"/>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under</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1"/>
        </w:trPr>
        <w:tc>
          <w:tcPr>
            <w:tcW w:w="1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agreement to</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3"/>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29,268</w:t>
            </w: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30,239</w:t>
            </w:r>
          </w:p>
        </w:tc>
        <w:tc>
          <w:tcPr>
            <w:tcW w:w="60" w:type="dxa"/>
            <w:vAlign w:val="bottom"/>
            <w:shd w:val="clear" w:color="auto" w:fill="CFF0FC"/>
          </w:tcPr>
          <w:p>
            <w:pPr>
              <w:spacing w:after="0"/>
              <w:rPr>
                <w:sz w:val="19"/>
                <w:szCs w:val="19"/>
                <w:color w:val="auto"/>
              </w:rPr>
            </w:pPr>
          </w:p>
        </w:tc>
      </w:tr>
      <w:tr>
        <w:trPr>
          <w:trHeight w:val="212"/>
        </w:trPr>
        <w:tc>
          <w:tcPr>
            <w:tcW w:w="1640" w:type="dxa"/>
            <w:vAlign w:val="bottom"/>
          </w:tcPr>
          <w:p>
            <w:pPr>
              <w:ind w:left="240"/>
              <w:spacing w:after="0"/>
              <w:rPr>
                <w:sz w:val="20"/>
                <w:szCs w:val="20"/>
                <w:color w:val="auto"/>
              </w:rPr>
            </w:pPr>
            <w:r>
              <w:rPr>
                <w:rFonts w:ascii="Arial" w:cs="Arial" w:eastAsia="Arial" w:hAnsi="Arial"/>
                <w:sz w:val="18"/>
                <w:szCs w:val="18"/>
                <w:color w:val="auto"/>
              </w:rPr>
              <w:t>Federal Home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1640" w:type="dxa"/>
            <w:vAlign w:val="bottom"/>
          </w:tcPr>
          <w:p>
            <w:pPr>
              <w:ind w:left="240"/>
              <w:spacing w:after="0"/>
              <w:rPr>
                <w:sz w:val="20"/>
                <w:szCs w:val="20"/>
                <w:color w:val="auto"/>
              </w:rPr>
            </w:pPr>
            <w:r>
              <w:rPr>
                <w:rFonts w:ascii="Arial" w:cs="Arial" w:eastAsia="Arial" w:hAnsi="Arial"/>
                <w:sz w:val="18"/>
                <w:szCs w:val="18"/>
                <w:color w:val="auto"/>
              </w:rPr>
              <w:t>Loan Bank</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1640" w:type="dxa"/>
            <w:vAlign w:val="bottom"/>
          </w:tcPr>
          <w:p>
            <w:pPr>
              <w:ind w:left="240"/>
              <w:spacing w:after="0"/>
              <w:rPr>
                <w:sz w:val="20"/>
                <w:szCs w:val="20"/>
                <w:color w:val="auto"/>
              </w:rPr>
            </w:pPr>
            <w:r>
              <w:rPr>
                <w:rFonts w:ascii="Arial" w:cs="Arial" w:eastAsia="Arial" w:hAnsi="Arial"/>
                <w:sz w:val="18"/>
                <w:szCs w:val="18"/>
                <w:color w:val="auto"/>
              </w:rPr>
              <w:t>advances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24,305</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17,872</w:t>
            </w:r>
          </w:p>
        </w:tc>
        <w:tc>
          <w:tcPr>
            <w:tcW w:w="60" w:type="dxa"/>
            <w:vAlign w:val="bottom"/>
          </w:tcPr>
          <w:p>
            <w:pPr>
              <w:spacing w:after="0"/>
              <w:rPr>
                <w:sz w:val="19"/>
                <w:szCs w:val="19"/>
                <w:color w:val="auto"/>
              </w:rPr>
            </w:pPr>
          </w:p>
        </w:tc>
      </w:tr>
      <w:tr>
        <w:trPr>
          <w:trHeight w:val="224"/>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Other borrowings</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40,000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4"/>
        </w:trPr>
        <w:tc>
          <w:tcPr>
            <w:tcW w:w="1640" w:type="dxa"/>
            <w:vAlign w:val="bottom"/>
          </w:tcPr>
          <w:p>
            <w:pPr>
              <w:ind w:left="240"/>
              <w:spacing w:after="0"/>
              <w:rPr>
                <w:sz w:val="20"/>
                <w:szCs w:val="20"/>
                <w:color w:val="auto"/>
              </w:rPr>
            </w:pPr>
            <w:r>
              <w:rPr>
                <w:rFonts w:ascii="Arial" w:cs="Arial" w:eastAsia="Arial" w:hAnsi="Arial"/>
                <w:sz w:val="18"/>
                <w:szCs w:val="18"/>
                <w:color w:val="auto"/>
                <w:w w:val="88"/>
              </w:rPr>
              <w:t>Subordinated notes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payable</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00" w:lineRule="exact"/>
        <w:rPr>
          <w:sz w:val="20"/>
          <w:szCs w:val="20"/>
          <w:color w:val="auto"/>
        </w:rPr>
      </w:pP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Fair Value Measurements</w:t>
      </w:r>
    </w:p>
    <w:p>
      <w:pPr>
        <w:spacing w:after="0" w:line="115" w:lineRule="exact"/>
        <w:rPr>
          <w:sz w:val="20"/>
          <w:szCs w:val="20"/>
          <w:color w:val="auto"/>
        </w:rPr>
      </w:pPr>
    </w:p>
    <w:p>
      <w:pPr>
        <w:jc w:val="both"/>
        <w:ind w:left="560"/>
        <w:spacing w:after="0" w:line="253" w:lineRule="auto"/>
        <w:rPr>
          <w:sz w:val="20"/>
          <w:szCs w:val="20"/>
          <w:color w:val="auto"/>
        </w:rPr>
      </w:pPr>
      <w:r>
        <w:rPr>
          <w:rFonts w:ascii="Arial" w:cs="Arial" w:eastAsia="Arial" w:hAnsi="Arial"/>
          <w:sz w:val="18"/>
          <w:szCs w:val="18"/>
          <w:color w:val="auto"/>
        </w:rPr>
        <w:t>The following table presents information about the Company’s assets and liabilities measured at fair value on a recurring basis at December 31, 2021 and 2020, and the valuation techniques used by the Company to determine those fair values. There were no changes to valuation techniques during 2021.</w:t>
      </w:r>
    </w:p>
    <w:p>
      <w:pPr>
        <w:spacing w:after="0" w:line="189" w:lineRule="exact"/>
        <w:rPr>
          <w:sz w:val="20"/>
          <w:szCs w:val="20"/>
          <w:color w:val="auto"/>
        </w:rPr>
      </w:pPr>
    </w:p>
    <w:p>
      <w:pPr>
        <w:jc w:val="both"/>
        <w:ind w:left="560"/>
        <w:spacing w:after="0" w:line="262"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80" w:lineRule="exact"/>
        <w:rPr>
          <w:sz w:val="20"/>
          <w:szCs w:val="20"/>
          <w:color w:val="auto"/>
        </w:rPr>
      </w:pPr>
    </w:p>
    <w:p>
      <w:pPr>
        <w:jc w:val="both"/>
        <w:ind w:left="560"/>
        <w:spacing w:after="0" w:line="262" w:lineRule="auto"/>
        <w:rPr>
          <w:sz w:val="20"/>
          <w:szCs w:val="20"/>
          <w:color w:val="auto"/>
        </w:rPr>
      </w:pPr>
      <w:r>
        <w:rPr>
          <w:rFonts w:ascii="Arial" w:cs="Arial" w:eastAsia="Arial" w:hAnsi="Arial"/>
          <w:sz w:val="18"/>
          <w:szCs w:val="18"/>
          <w:color w:val="auto"/>
        </w:rPr>
        <w:t>Available-for-sale securities - When quoted prices are available in an active market, securities are valued using the quoted price and are classified as Level 1. The quoted prices are not adjusted.</w:t>
      </w:r>
    </w:p>
    <w:p>
      <w:pPr>
        <w:spacing w:after="0" w:line="180" w:lineRule="exact"/>
        <w:rPr>
          <w:sz w:val="20"/>
          <w:szCs w:val="20"/>
          <w:color w:val="auto"/>
        </w:rPr>
      </w:pPr>
    </w:p>
    <w:p>
      <w:pPr>
        <w:jc w:val="both"/>
        <w:ind w:left="560"/>
        <w:spacing w:after="0" w:line="25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89" w:lineRule="exact"/>
        <w:rPr>
          <w:sz w:val="20"/>
          <w:szCs w:val="20"/>
          <w:color w:val="auto"/>
        </w:rPr>
      </w:pPr>
    </w:p>
    <w:p>
      <w:pPr>
        <w:jc w:val="both"/>
        <w:ind w:left="560"/>
        <w:spacing w:after="0" w:line="291" w:lineRule="auto"/>
        <w:rPr>
          <w:sz w:val="20"/>
          <w:szCs w:val="20"/>
          <w:color w:val="auto"/>
        </w:rPr>
      </w:pPr>
      <w:r>
        <w:rPr>
          <w:rFonts w:ascii="Arial" w:cs="Arial" w:eastAsia="Arial" w:hAnsi="Arial"/>
          <w:sz w:val="16"/>
          <w:szCs w:val="16"/>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2" w:lineRule="exact"/>
        <w:rPr>
          <w:sz w:val="20"/>
          <w:szCs w:val="20"/>
          <w:color w:val="auto"/>
        </w:rPr>
      </w:pPr>
    </w:p>
    <w:p>
      <w:pPr>
        <w:jc w:val="both"/>
        <w:ind w:left="560"/>
        <w:spacing w:after="0" w:line="25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two local municipals that the Bank evaluates based on the credit strength of the underlying project. The fair value is determined by valuing similar credit payment streams at similar rates.</w:t>
      </w:r>
    </w:p>
    <w:p>
      <w:pPr>
        <w:spacing w:after="0" w:line="189" w:lineRule="exact"/>
        <w:rPr>
          <w:sz w:val="20"/>
          <w:szCs w:val="20"/>
          <w:color w:val="auto"/>
        </w:rPr>
      </w:pPr>
    </w:p>
    <w:p>
      <w:pPr>
        <w:jc w:val="both"/>
        <w:ind w:left="560"/>
        <w:spacing w:after="0" w:line="300" w:lineRule="auto"/>
        <w:rPr>
          <w:sz w:val="20"/>
          <w:szCs w:val="20"/>
          <w:color w:val="auto"/>
        </w:rPr>
      </w:pPr>
      <w:r>
        <w:rPr>
          <w:rFonts w:ascii="Arial" w:cs="Arial" w:eastAsia="Arial" w:hAnsi="Arial"/>
          <w:sz w:val="16"/>
          <w:szCs w:val="16"/>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53" w:lineRule="exact"/>
        <w:rPr>
          <w:sz w:val="20"/>
          <w:szCs w:val="20"/>
          <w:color w:val="auto"/>
        </w:rPr>
      </w:pPr>
    </w:p>
    <w:p>
      <w:pPr>
        <w:jc w:val="both"/>
        <w:ind w:left="560"/>
        <w:spacing w:after="0" w:line="262" w:lineRule="auto"/>
        <w:rPr>
          <w:sz w:val="20"/>
          <w:szCs w:val="20"/>
          <w:color w:val="auto"/>
        </w:rPr>
      </w:pPr>
      <w:r>
        <w:rPr>
          <w:rFonts w:ascii="Arial" w:cs="Arial" w:eastAsia="Arial" w:hAnsi="Arial"/>
          <w:sz w:val="18"/>
          <w:szCs w:val="18"/>
          <w:color w:val="auto"/>
        </w:rPr>
        <w:t>The following table summarizes financial assets measured at fair value on a recurring basis as of December 31, 2021 and December 31, 2020 segregated by level or the valuation inputs within the fair value hierarchy utilized to measure fair value.</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8"/>
          <w:szCs w:val="18"/>
          <w:u w:val="single" w:color="auto"/>
          <w:color w:val="auto"/>
        </w:rPr>
        <w:t>Assets and Liabilities Measured at Fair Value on a Recurring Basis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90"/>
              </w:rPr>
              <w:t>Quoted Prices in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2"/>
              <w:spacing w:after="0"/>
              <w:rPr>
                <w:sz w:val="20"/>
                <w:szCs w:val="20"/>
                <w:color w:val="auto"/>
              </w:rPr>
            </w:pPr>
            <w:r>
              <w:rPr>
                <w:rFonts w:ascii="Arial" w:cs="Arial" w:eastAsia="Arial" w:hAnsi="Arial"/>
                <w:sz w:val="18"/>
                <w:szCs w:val="18"/>
                <w:color w:val="auto"/>
                <w:w w:val="91"/>
              </w:rPr>
              <w:t>Significant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Significant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94"/>
              </w:rPr>
              <w:t>Active Markets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2"/>
              <w:spacing w:after="0"/>
              <w:rPr>
                <w:sz w:val="20"/>
                <w:szCs w:val="20"/>
                <w:color w:val="auto"/>
              </w:rPr>
            </w:pPr>
            <w:r>
              <w:rPr>
                <w:rFonts w:ascii="Arial" w:cs="Arial" w:eastAsia="Arial" w:hAnsi="Arial"/>
                <w:sz w:val="18"/>
                <w:szCs w:val="18"/>
                <w:color w:val="auto"/>
                <w:w w:val="86"/>
              </w:rPr>
              <w:t>Observable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Observable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w w:val="94"/>
              </w:rPr>
              <w:t>for Identical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2"/>
              <w:spacing w:after="0"/>
              <w:rPr>
                <w:sz w:val="20"/>
                <w:szCs w:val="20"/>
                <w:color w:val="auto"/>
              </w:rPr>
            </w:pPr>
            <w:r>
              <w:rPr>
                <w:rFonts w:ascii="Arial" w:cs="Arial" w:eastAsia="Arial" w:hAnsi="Arial"/>
                <w:sz w:val="18"/>
                <w:szCs w:val="18"/>
                <w:color w:val="auto"/>
                <w:w w:val="89"/>
              </w:rPr>
              <w:t>Inputs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Inputs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00" w:type="dxa"/>
            <w:vAlign w:val="bottom"/>
          </w:tcPr>
          <w:p>
            <w:pPr>
              <w:ind w:left="1660"/>
              <w:spacing w:after="0"/>
              <w:rPr>
                <w:sz w:val="20"/>
                <w:szCs w:val="20"/>
                <w:color w:val="auto"/>
              </w:rPr>
            </w:pPr>
            <w:r>
              <w:rPr>
                <w:rFonts w:ascii="Arial" w:cs="Arial" w:eastAsia="Arial" w:hAnsi="Arial"/>
                <w:sz w:val="18"/>
                <w:szCs w:val="18"/>
                <w:color w:val="auto"/>
              </w:rPr>
              <w:t>December 31, 2021</w:t>
            </w:r>
          </w:p>
        </w:tc>
        <w:tc>
          <w:tcPr>
            <w:tcW w:w="11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2"/>
              <w:spacing w:after="0"/>
              <w:rPr>
                <w:sz w:val="20"/>
                <w:szCs w:val="20"/>
                <w:color w:val="auto"/>
              </w:rPr>
            </w:pPr>
            <w:r>
              <w:rPr>
                <w:rFonts w:ascii="Arial" w:cs="Arial" w:eastAsia="Arial" w:hAnsi="Arial"/>
                <w:sz w:val="18"/>
                <w:szCs w:val="18"/>
                <w:color w:val="auto"/>
                <w:w w:val="91"/>
              </w:rPr>
              <w:t>(Level 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(Level 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Assets-(Securities Available-for-Sale)</w:t>
            </w:r>
          </w:p>
        </w:tc>
        <w:tc>
          <w:tcPr>
            <w:tcW w:w="1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gridSpan w:val="2"/>
          </w:tcPr>
          <w:p>
            <w:pPr>
              <w:ind w:left="1140"/>
              <w:spacing w:after="0"/>
              <w:rPr>
                <w:sz w:val="20"/>
                <w:szCs w:val="20"/>
                <w:color w:val="auto"/>
              </w:rPr>
            </w:pPr>
            <w:r>
              <w:rPr>
                <w:rFonts w:ascii="Arial" w:cs="Arial" w:eastAsia="Arial" w:hAnsi="Arial"/>
                <w:sz w:val="18"/>
                <w:szCs w:val="18"/>
                <w:color w:val="auto"/>
              </w:rPr>
              <w:t>U.S. Treasury</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89,177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156,886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tcPr>
          <w:p>
            <w:pPr>
              <w:ind w:left="1140"/>
              <w:spacing w:after="0"/>
              <w:rPr>
                <w:sz w:val="20"/>
                <w:szCs w:val="20"/>
                <w:color w:val="auto"/>
              </w:rPr>
            </w:pPr>
            <w:r>
              <w:rPr>
                <w:rFonts w:ascii="Arial" w:cs="Arial" w:eastAsia="Arial" w:hAnsi="Arial"/>
                <w:sz w:val="18"/>
                <w:szCs w:val="18"/>
                <w:color w:val="auto"/>
              </w:rPr>
              <w:t>Mortgage-backed securities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117,927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61,168</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89,177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335,981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4,773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00" w:lineRule="exact"/>
        <w:rPr>
          <w:sz w:val="20"/>
          <w:szCs w:val="20"/>
          <w:color w:val="auto"/>
        </w:rPr>
      </w:pP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Quoted Prices in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Significant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Significant</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Active Markets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Observable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Observable</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for Identical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Inputs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24"/>
        </w:trPr>
        <w:tc>
          <w:tcPr>
            <w:tcW w:w="3940" w:type="dxa"/>
            <w:vAlign w:val="bottom"/>
          </w:tcPr>
          <w:p>
            <w:pPr>
              <w:ind w:left="1660"/>
              <w:spacing w:after="0"/>
              <w:rPr>
                <w:sz w:val="20"/>
                <w:szCs w:val="20"/>
                <w:color w:val="auto"/>
              </w:rPr>
            </w:pPr>
            <w:r>
              <w:rPr>
                <w:rFonts w:ascii="Arial" w:cs="Arial" w:eastAsia="Arial" w:hAnsi="Arial"/>
                <w:sz w:val="18"/>
                <w:szCs w:val="18"/>
                <w:color w:val="auto"/>
              </w:rPr>
              <w:t>December 31, 2020</w:t>
            </w:r>
          </w:p>
        </w:tc>
        <w:tc>
          <w:tcPr>
            <w:tcW w:w="900" w:type="dxa"/>
            <w:vAlign w:val="bottom"/>
          </w:tcPr>
          <w:p>
            <w:pPr>
              <w:spacing w:after="0"/>
              <w:rPr>
                <w:sz w:val="19"/>
                <w:szCs w:val="19"/>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Assets (Level 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(Level 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(Level 3)</w:t>
            </w:r>
          </w:p>
        </w:tc>
        <w:tc>
          <w:tcPr>
            <w:tcW w:w="0" w:type="dxa"/>
            <w:vAlign w:val="bottom"/>
          </w:tcPr>
          <w:p>
            <w:pPr>
              <w:spacing w:after="0"/>
              <w:rPr>
                <w:sz w:val="1"/>
                <w:szCs w:val="1"/>
                <w:color w:val="auto"/>
              </w:rPr>
            </w:pPr>
          </w:p>
        </w:tc>
      </w:tr>
      <w:tr>
        <w:trPr>
          <w:trHeight w:val="217"/>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Assets-(Securities Available-for-Sale)</w:t>
            </w:r>
          </w:p>
        </w:tc>
        <w:tc>
          <w:tcPr>
            <w:tcW w:w="9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U.S. Treasury</w:t>
            </w:r>
          </w:p>
        </w:tc>
        <w:tc>
          <w:tcPr>
            <w:tcW w:w="900" w:type="dxa"/>
            <w:vAlign w:val="bottom"/>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9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124,241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90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113,056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900" w:type="dxa"/>
            <w:vAlign w:val="bottom"/>
            <w:shd w:val="clear" w:color="auto" w:fill="CFF0FC"/>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68,953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306,250</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3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7"/>
              </w:rPr>
              <w:t>(In Thousands)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gridSpan w:val="10"/>
          </w:tcPr>
          <w:p>
            <w:pPr>
              <w:jc w:val="center"/>
              <w:ind w:right="220"/>
              <w:spacing w:after="0"/>
              <w:rPr>
                <w:sz w:val="20"/>
                <w:szCs w:val="20"/>
                <w:color w:val="auto"/>
              </w:rPr>
            </w:pPr>
            <w:r>
              <w:rPr>
                <w:rFonts w:ascii="Arial" w:cs="Arial" w:eastAsia="Arial" w:hAnsi="Arial"/>
                <w:sz w:val="18"/>
                <w:szCs w:val="18"/>
                <w:color w:val="auto"/>
                <w:w w:val="88"/>
              </w:rPr>
              <w:t>Fair Value Measurements Using Significant</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9"/>
          </w:tcPr>
          <w:p>
            <w:pPr>
              <w:jc w:val="center"/>
              <w:ind w:right="52"/>
              <w:spacing w:after="0"/>
              <w:rPr>
                <w:sz w:val="20"/>
                <w:szCs w:val="20"/>
                <w:color w:val="auto"/>
              </w:rPr>
            </w:pPr>
            <w:r>
              <w:rPr>
                <w:rFonts w:ascii="Arial" w:cs="Arial" w:eastAsia="Arial" w:hAnsi="Arial"/>
                <w:sz w:val="18"/>
                <w:szCs w:val="18"/>
                <w:color w:val="auto"/>
                <w:w w:val="89"/>
              </w:rPr>
              <w:t>Unobservable Inputs (Level 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State and Local</w:t>
            </w:r>
          </w:p>
        </w:tc>
        <w:tc>
          <w:tcPr>
            <w:tcW w:w="6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State and Local</w:t>
            </w:r>
          </w:p>
        </w:tc>
        <w:tc>
          <w:tcPr>
            <w:tcW w:w="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State and Local</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Governments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Governments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24"/>
        </w:trPr>
        <w:tc>
          <w:tcPr>
            <w:tcW w:w="39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8"/>
              </w:rPr>
              <w:t>Tax-Exempt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Taxable</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Total</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Change in Market Value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4"/>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Sales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Balance at December 31, 2021</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2,466</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3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7"/>
              </w:rPr>
              <w:t>(In Thousands)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gridSpan w:val="10"/>
          </w:tcPr>
          <w:p>
            <w:pPr>
              <w:jc w:val="center"/>
              <w:ind w:right="220"/>
              <w:spacing w:after="0"/>
              <w:rPr>
                <w:sz w:val="20"/>
                <w:szCs w:val="20"/>
                <w:color w:val="auto"/>
              </w:rPr>
            </w:pPr>
            <w:r>
              <w:rPr>
                <w:rFonts w:ascii="Arial" w:cs="Arial" w:eastAsia="Arial" w:hAnsi="Arial"/>
                <w:sz w:val="18"/>
                <w:szCs w:val="18"/>
                <w:color w:val="auto"/>
                <w:w w:val="88"/>
              </w:rPr>
              <w:t>Fair Value Measurements Using Significant</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9"/>
          </w:tcPr>
          <w:p>
            <w:pPr>
              <w:jc w:val="center"/>
              <w:ind w:right="52"/>
              <w:spacing w:after="0"/>
              <w:rPr>
                <w:sz w:val="20"/>
                <w:szCs w:val="20"/>
                <w:color w:val="auto"/>
              </w:rPr>
            </w:pPr>
            <w:r>
              <w:rPr>
                <w:rFonts w:ascii="Arial" w:cs="Arial" w:eastAsia="Arial" w:hAnsi="Arial"/>
                <w:sz w:val="18"/>
                <w:szCs w:val="18"/>
                <w:color w:val="auto"/>
                <w:w w:val="89"/>
              </w:rPr>
              <w:t>Unobservable Inputs (Level 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State and Local</w:t>
            </w:r>
          </w:p>
        </w:tc>
        <w:tc>
          <w:tcPr>
            <w:tcW w:w="6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State and Local</w:t>
            </w:r>
          </w:p>
        </w:tc>
        <w:tc>
          <w:tcPr>
            <w:tcW w:w="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State and Local</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Governments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Governments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24"/>
        </w:trPr>
        <w:tc>
          <w:tcPr>
            <w:tcW w:w="39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8"/>
              </w:rPr>
              <w:t>Tax-Exempt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Taxable</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Total</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1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Change in Market Value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Sales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9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1,562</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60"/>
        <w:spacing w:after="0" w:line="262" w:lineRule="auto"/>
        <w:rPr>
          <w:sz w:val="20"/>
          <w:szCs w:val="20"/>
          <w:color w:val="auto"/>
        </w:rPr>
      </w:pPr>
      <w:r>
        <w:rPr>
          <w:rFonts w:ascii="Arial" w:cs="Arial" w:eastAsia="Arial" w:hAnsi="Arial"/>
          <w:sz w:val="18"/>
          <w:szCs w:val="18"/>
          <w:color w:val="auto"/>
        </w:rPr>
        <w:t>Most of the Company’s available for sale securities, including any bonds issued by local municipalities, have CUSIP numbers or have similar characteristics of those in the municipal markets, making them marketable and comparable as Level 2.</w:t>
      </w:r>
    </w:p>
    <w:p>
      <w:pPr>
        <w:spacing w:after="0" w:line="180" w:lineRule="exact"/>
        <w:rPr>
          <w:sz w:val="20"/>
          <w:szCs w:val="20"/>
          <w:color w:val="auto"/>
        </w:rPr>
      </w:pPr>
    </w:p>
    <w:p>
      <w:pPr>
        <w:jc w:val="both"/>
        <w:ind w:left="560"/>
        <w:spacing w:after="0" w:line="262" w:lineRule="auto"/>
        <w:rPr>
          <w:sz w:val="20"/>
          <w:szCs w:val="20"/>
          <w:color w:val="auto"/>
        </w:rPr>
      </w:pPr>
      <w:r>
        <w:rPr>
          <w:rFonts w:ascii="Arial" w:cs="Arial" w:eastAsia="Arial" w:hAnsi="Arial"/>
          <w:sz w:val="18"/>
          <w:szCs w:val="18"/>
          <w:color w:val="auto"/>
        </w:rPr>
        <w:t>There have been no transfers into or out of Level 3 during 2021 and 2020. The 2021 tax exempt purchases were included in the acquisition of Ossian State Bank.</w:t>
      </w:r>
    </w:p>
    <w:p>
      <w:pPr>
        <w:spacing w:after="0" w:line="180" w:lineRule="exact"/>
        <w:rPr>
          <w:sz w:val="20"/>
          <w:szCs w:val="20"/>
          <w:color w:val="auto"/>
        </w:rPr>
      </w:pPr>
    </w:p>
    <w:p>
      <w:pPr>
        <w:jc w:val="both"/>
        <w:ind w:left="560"/>
        <w:spacing w:after="0" w:line="291"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December 31, 2021 and 2020,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00" w:lineRule="exact"/>
        <w:rPr>
          <w:sz w:val="20"/>
          <w:szCs w:val="20"/>
          <w:color w:val="auto"/>
        </w:rPr>
      </w:pPr>
    </w:p>
    <w:p>
      <w:pPr>
        <w:spacing w:after="0" w:line="2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ability, timing of payment streams, and estimated realizable values of available collateral (typically based on outside appraisals).</w:t>
      </w:r>
    </w:p>
    <w:p>
      <w:pPr>
        <w:spacing w:after="0" w:line="215" w:lineRule="exact"/>
        <w:rPr>
          <w:sz w:val="20"/>
          <w:szCs w:val="20"/>
          <w:color w:val="auto"/>
        </w:rPr>
      </w:pPr>
    </w:p>
    <w:p>
      <w:pPr>
        <w:jc w:val="both"/>
        <w:ind w:left="560"/>
        <w:spacing w:after="0" w:line="253" w:lineRule="auto"/>
        <w:rPr>
          <w:sz w:val="20"/>
          <w:szCs w:val="20"/>
          <w:color w:val="auto"/>
        </w:rPr>
      </w:pPr>
      <w:r>
        <w:rPr>
          <w:rFonts w:ascii="Arial" w:cs="Arial" w:eastAsia="Arial" w:hAnsi="Arial"/>
          <w:sz w:val="18"/>
          <w:szCs w:val="18"/>
          <w:color w:val="auto"/>
        </w:rPr>
        <w:t>At December 31, 2021 and 2020, collateral dependent impaired loans categorized as Level 3 were $8,527 and $7,703 thousand, respectively. The specific allocation for collateral dependent impaired loans was $2,184 thousand as of December 31, 2021 and $1,657 thousand as of December 31, 2020, respectively, which are accounted for in the allowance for loan losses (see Note 4).</w:t>
      </w:r>
    </w:p>
    <w:p>
      <w:pPr>
        <w:spacing w:after="0" w:line="189" w:lineRule="exact"/>
        <w:rPr>
          <w:sz w:val="20"/>
          <w:szCs w:val="20"/>
          <w:color w:val="auto"/>
        </w:rPr>
      </w:pPr>
    </w:p>
    <w:p>
      <w:pPr>
        <w:jc w:val="both"/>
        <w:ind w:left="560"/>
        <w:spacing w:after="0" w:line="300" w:lineRule="auto"/>
        <w:rPr>
          <w:sz w:val="20"/>
          <w:szCs w:val="20"/>
          <w:color w:val="auto"/>
        </w:rPr>
      </w:pPr>
      <w:r>
        <w:rPr>
          <w:rFonts w:ascii="Arial" w:cs="Arial" w:eastAsia="Arial" w:hAnsi="Arial"/>
          <w:sz w:val="16"/>
          <w:szCs w:val="16"/>
          <w:color w:val="auto"/>
        </w:rPr>
        <w:t>During 2021, impairment was recognized on mortgage servicing rights based upon the independent third party’s quarterly valuations. A valuation allowance was established by strata to quantify the likely impairment of the value of the mortgage servicing rights to the Company. If the carrying amount of an individual strata exceeds the fair value, impairment was recorded on that strata so the servicing asset was carried at fair value.</w:t>
      </w:r>
    </w:p>
    <w:p>
      <w:pPr>
        <w:spacing w:after="0" w:line="153" w:lineRule="exact"/>
        <w:rPr>
          <w:sz w:val="20"/>
          <w:szCs w:val="20"/>
          <w:color w:val="auto"/>
        </w:rPr>
      </w:pPr>
    </w:p>
    <w:p>
      <w:pPr>
        <w:jc w:val="both"/>
        <w:ind w:left="560"/>
        <w:spacing w:after="0" w:line="248" w:lineRule="auto"/>
        <w:rPr>
          <w:sz w:val="20"/>
          <w:szCs w:val="20"/>
          <w:color w:val="auto"/>
        </w:rPr>
      </w:pPr>
      <w:r>
        <w:rPr>
          <w:rFonts w:ascii="Arial" w:cs="Arial" w:eastAsia="Arial" w:hAnsi="Arial"/>
          <w:sz w:val="18"/>
          <w:szCs w:val="18"/>
          <w:color w:val="auto"/>
        </w:rPr>
        <w:t>Other real estate is reported at the lower of either the fair value of the real estate, minus the estimated costs to sell the asset, or the cost of the asset. The determination of the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collateral dependent impaired loans and other real estate owned as recorded at fair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center"/>
              <w:ind w:right="212"/>
              <w:spacing w:after="0"/>
              <w:rPr>
                <w:sz w:val="20"/>
                <w:szCs w:val="20"/>
                <w:color w:val="auto"/>
              </w:rPr>
            </w:pPr>
            <w:r>
              <w:rPr>
                <w:rFonts w:ascii="Arial" w:cs="Arial" w:eastAsia="Arial" w:hAnsi="Arial"/>
                <w:sz w:val="18"/>
                <w:szCs w:val="18"/>
                <w:color w:val="auto"/>
                <w:w w:val="87"/>
              </w:rPr>
              <w:t>($ in Thousands)</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7"/>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00" w:type="dxa"/>
            <w:vAlign w:val="bottom"/>
            <w:gridSpan w:val="12"/>
          </w:tcPr>
          <w:p>
            <w:pPr>
              <w:jc w:val="center"/>
              <w:ind w:right="100"/>
              <w:spacing w:after="0"/>
              <w:rPr>
                <w:sz w:val="20"/>
                <w:szCs w:val="20"/>
                <w:color w:val="auto"/>
              </w:rPr>
            </w:pPr>
            <w:r>
              <w:rPr>
                <w:rFonts w:ascii="Arial" w:cs="Arial" w:eastAsia="Arial" w:hAnsi="Arial"/>
                <w:sz w:val="18"/>
                <w:szCs w:val="18"/>
                <w:color w:val="auto"/>
                <w:w w:val="87"/>
              </w:rPr>
              <w:t>Assets Measured at Fair Value on a Nonrecurring Basis at December 31, 2021</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center"/>
              <w:ind w:left="12"/>
              <w:spacing w:after="0"/>
              <w:rPr>
                <w:sz w:val="20"/>
                <w:szCs w:val="20"/>
                <w:color w:val="auto"/>
              </w:rPr>
            </w:pPr>
            <w:r>
              <w:rPr>
                <w:rFonts w:ascii="Arial" w:cs="Arial" w:eastAsia="Arial" w:hAnsi="Arial"/>
                <w:sz w:val="18"/>
                <w:szCs w:val="18"/>
                <w:color w:val="auto"/>
                <w:w w:val="88"/>
              </w:rPr>
              <w:t>Quoted Prices in</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Markets for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1"/>
              </w:rPr>
              <w:t>Significant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Significant</w:t>
            </w:r>
          </w:p>
        </w:tc>
        <w:tc>
          <w:tcPr>
            <w:tcW w:w="56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center"/>
              <w:ind w:left="392"/>
              <w:spacing w:after="0"/>
              <w:rPr>
                <w:sz w:val="20"/>
                <w:szCs w:val="20"/>
                <w:color w:val="auto"/>
              </w:rPr>
            </w:pPr>
            <w:r>
              <w:rPr>
                <w:rFonts w:ascii="Arial" w:cs="Arial" w:eastAsia="Arial" w:hAnsi="Arial"/>
                <w:sz w:val="18"/>
                <w:szCs w:val="18"/>
                <w:color w:val="auto"/>
                <w:w w:val="86"/>
              </w:rPr>
              <w:t>Balance at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2"/>
              </w:rPr>
              <w:t>Identical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87"/>
              </w:rPr>
              <w:t>Observable Inputs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Unobservable Inputs</w:t>
            </w:r>
          </w:p>
        </w:tc>
        <w:tc>
          <w:tcPr>
            <w:tcW w:w="56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7"/>
              </w:rPr>
              <w:t>December 31, 2021</w:t>
            </w:r>
          </w:p>
        </w:tc>
        <w:tc>
          <w:tcPr>
            <w:tcW w:w="220" w:type="dxa"/>
            <w:vAlign w:val="bottom"/>
          </w:tcPr>
          <w:p>
            <w:pPr>
              <w:spacing w:after="0"/>
              <w:rPr>
                <w:sz w:val="19"/>
                <w:szCs w:val="19"/>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Assets (Level 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1"/>
              </w:rPr>
              <w:t>(Level 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(Level 3)</w:t>
            </w:r>
          </w:p>
        </w:tc>
        <w:tc>
          <w:tcPr>
            <w:tcW w:w="56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2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Collateral dependent impaired</w:t>
            </w:r>
          </w:p>
        </w:tc>
        <w:tc>
          <w:tcPr>
            <w:tcW w:w="440" w:type="dxa"/>
            <w:vAlign w:val="bottom"/>
            <w:tcBorders>
              <w:top w:val="single" w:sz="8" w:color="CFF0FC"/>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2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loans</w:t>
            </w:r>
          </w:p>
        </w:tc>
        <w:tc>
          <w:tcPr>
            <w:tcW w:w="1820" w:type="dxa"/>
            <w:vAlign w:val="bottom"/>
            <w:gridSpan w:val="2"/>
            <w:shd w:val="clear" w:color="auto" w:fill="CFF0FC"/>
          </w:tcPr>
          <w:p>
            <w:pPr>
              <w:jc w:val="right"/>
              <w:ind w:right="1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8,527</w:t>
            </w:r>
          </w:p>
        </w:tc>
        <w:tc>
          <w:tcPr>
            <w:tcW w:w="1620" w:type="dxa"/>
            <w:vAlign w:val="bottom"/>
            <w:gridSpan w:val="2"/>
            <w:shd w:val="clear" w:color="auto" w:fill="CFF0FC"/>
          </w:tcPr>
          <w:p>
            <w:pPr>
              <w:jc w:val="right"/>
              <w:ind w:right="12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4"/>
        </w:trPr>
        <w:tc>
          <w:tcPr>
            <w:tcW w:w="3140" w:type="dxa"/>
            <w:vAlign w:val="bottom"/>
            <w:gridSpan w:val="2"/>
          </w:tcPr>
          <w:p>
            <w:pPr>
              <w:ind w:left="580"/>
              <w:spacing w:after="0"/>
              <w:rPr>
                <w:sz w:val="20"/>
                <w:szCs w:val="20"/>
                <w:color w:val="auto"/>
              </w:rPr>
            </w:pPr>
            <w:r>
              <w:rPr>
                <w:rFonts w:ascii="Arial" w:cs="Arial" w:eastAsia="Arial" w:hAnsi="Arial"/>
                <w:sz w:val="18"/>
                <w:szCs w:val="18"/>
                <w:color w:val="auto"/>
              </w:rPr>
              <w:t>Mortgage servicing rights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3,157</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2"/>
        </w:trPr>
        <w:tc>
          <w:tcPr>
            <w:tcW w:w="58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2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residential</w:t>
            </w: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645"/>
        </w:trPr>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center"/>
              <w:ind w:right="212"/>
              <w:spacing w:after="0"/>
              <w:rPr>
                <w:sz w:val="20"/>
                <w:szCs w:val="20"/>
                <w:color w:val="auto"/>
              </w:rPr>
            </w:pPr>
            <w:r>
              <w:rPr>
                <w:rFonts w:ascii="Arial" w:cs="Arial" w:eastAsia="Arial" w:hAnsi="Arial"/>
                <w:sz w:val="18"/>
                <w:szCs w:val="18"/>
                <w:color w:val="auto"/>
                <w:w w:val="87"/>
              </w:rPr>
              <w:t>($ in Thousands)</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00" w:type="dxa"/>
            <w:vAlign w:val="bottom"/>
            <w:gridSpan w:val="12"/>
          </w:tcPr>
          <w:p>
            <w:pPr>
              <w:jc w:val="center"/>
              <w:ind w:right="100"/>
              <w:spacing w:after="0"/>
              <w:rPr>
                <w:sz w:val="20"/>
                <w:szCs w:val="20"/>
                <w:color w:val="auto"/>
              </w:rPr>
            </w:pPr>
            <w:r>
              <w:rPr>
                <w:rFonts w:ascii="Arial" w:cs="Arial" w:eastAsia="Arial" w:hAnsi="Arial"/>
                <w:sz w:val="18"/>
                <w:szCs w:val="18"/>
                <w:color w:val="auto"/>
                <w:w w:val="87"/>
              </w:rPr>
              <w:t>Assets Measured at Fair Value on a Nonrecurring Basis at December 31, 2020</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center"/>
              <w:ind w:left="12"/>
              <w:spacing w:after="0"/>
              <w:rPr>
                <w:sz w:val="20"/>
                <w:szCs w:val="20"/>
                <w:color w:val="auto"/>
              </w:rPr>
            </w:pPr>
            <w:r>
              <w:rPr>
                <w:rFonts w:ascii="Arial" w:cs="Arial" w:eastAsia="Arial" w:hAnsi="Arial"/>
                <w:sz w:val="18"/>
                <w:szCs w:val="18"/>
                <w:color w:val="auto"/>
                <w:w w:val="88"/>
              </w:rPr>
              <w:t>Quoted Prices in</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Markets for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1"/>
              </w:rPr>
              <w:t>Significant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Significant</w:t>
            </w:r>
          </w:p>
        </w:tc>
        <w:tc>
          <w:tcPr>
            <w:tcW w:w="56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center"/>
              <w:ind w:left="392"/>
              <w:spacing w:after="0"/>
              <w:rPr>
                <w:sz w:val="20"/>
                <w:szCs w:val="20"/>
                <w:color w:val="auto"/>
              </w:rPr>
            </w:pPr>
            <w:r>
              <w:rPr>
                <w:rFonts w:ascii="Arial" w:cs="Arial" w:eastAsia="Arial" w:hAnsi="Arial"/>
                <w:sz w:val="18"/>
                <w:szCs w:val="18"/>
                <w:color w:val="auto"/>
                <w:w w:val="86"/>
              </w:rPr>
              <w:t>Balance at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2"/>
              </w:rPr>
              <w:t>Identical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87"/>
              </w:rPr>
              <w:t>Observable Inputs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Unobservable Inputs</w:t>
            </w:r>
          </w:p>
        </w:tc>
        <w:tc>
          <w:tcPr>
            <w:tcW w:w="56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7"/>
              </w:rPr>
              <w:t>December 31, 2020</w:t>
            </w:r>
          </w:p>
        </w:tc>
        <w:tc>
          <w:tcPr>
            <w:tcW w:w="220" w:type="dxa"/>
            <w:vAlign w:val="bottom"/>
          </w:tcPr>
          <w:p>
            <w:pPr>
              <w:spacing w:after="0"/>
              <w:rPr>
                <w:sz w:val="19"/>
                <w:szCs w:val="19"/>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Assets (Level 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1"/>
              </w:rPr>
              <w:t>(Level 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(Level 3)</w:t>
            </w:r>
          </w:p>
        </w:tc>
        <w:tc>
          <w:tcPr>
            <w:tcW w:w="56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2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Collateral dependent impaired</w:t>
            </w:r>
          </w:p>
        </w:tc>
        <w:tc>
          <w:tcPr>
            <w:tcW w:w="440" w:type="dxa"/>
            <w:vAlign w:val="bottom"/>
            <w:tcBorders>
              <w:top w:val="single" w:sz="8" w:color="CFF0FC"/>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2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loans</w:t>
            </w:r>
          </w:p>
        </w:tc>
        <w:tc>
          <w:tcPr>
            <w:tcW w:w="1820" w:type="dxa"/>
            <w:vAlign w:val="bottom"/>
            <w:gridSpan w:val="2"/>
            <w:shd w:val="clear" w:color="auto" w:fill="CFF0FC"/>
          </w:tcPr>
          <w:p>
            <w:pPr>
              <w:jc w:val="right"/>
              <w:ind w:right="1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1620" w:type="dxa"/>
            <w:vAlign w:val="bottom"/>
            <w:gridSpan w:val="2"/>
            <w:shd w:val="clear" w:color="auto" w:fill="CFF0FC"/>
          </w:tcPr>
          <w:p>
            <w:pPr>
              <w:jc w:val="right"/>
              <w:ind w:right="12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4"/>
        </w:trPr>
        <w:tc>
          <w:tcPr>
            <w:tcW w:w="3140" w:type="dxa"/>
            <w:vAlign w:val="bottom"/>
            <w:gridSpan w:val="2"/>
          </w:tcPr>
          <w:p>
            <w:pPr>
              <w:ind w:left="580"/>
              <w:spacing w:after="0"/>
              <w:rPr>
                <w:sz w:val="20"/>
                <w:szCs w:val="20"/>
                <w:color w:val="auto"/>
              </w:rPr>
            </w:pPr>
            <w:r>
              <w:rPr>
                <w:rFonts w:ascii="Arial" w:cs="Arial" w:eastAsia="Arial" w:hAnsi="Arial"/>
                <w:sz w:val="18"/>
                <w:szCs w:val="18"/>
                <w:color w:val="auto"/>
              </w:rPr>
              <w:t>Mortgage servicing rights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2"/>
        </w:trPr>
        <w:tc>
          <w:tcPr>
            <w:tcW w:w="58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2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residential</w:t>
            </w: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421"/>
        </w:trPr>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gridSpan w:val="2"/>
          </w:tcPr>
          <w:p>
            <w:pPr>
              <w:jc w:val="right"/>
              <w:ind w:right="1212"/>
              <w:spacing w:after="0"/>
              <w:rPr>
                <w:sz w:val="20"/>
                <w:szCs w:val="20"/>
                <w:color w:val="auto"/>
              </w:rPr>
            </w:pPr>
            <w:r>
              <w:rPr>
                <w:rFonts w:ascii="Arial" w:cs="Arial" w:eastAsia="Arial" w:hAnsi="Arial"/>
                <w:sz w:val="18"/>
                <w:szCs w:val="18"/>
                <w:color w:val="auto"/>
                <w:w w:val="99"/>
              </w:rPr>
              <w:t>105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00" w:lineRule="exact"/>
        <w:rPr>
          <w:sz w:val="20"/>
          <w:szCs w:val="20"/>
          <w:color w:val="auto"/>
        </w:rPr>
      </w:pPr>
    </w:p>
    <w:p>
      <w:pPr>
        <w:spacing w:after="0" w:line="2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quantitative information about unobservable inputs used in recurring and nonrecurring Level 3 fair value measurements: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(In Thousands)</w:t>
            </w: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05"/>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60"/>
              <w:spacing w:after="0" w:line="205" w:lineRule="exact"/>
              <w:rPr>
                <w:sz w:val="20"/>
                <w:szCs w:val="20"/>
                <w:color w:val="auto"/>
              </w:rPr>
            </w:pPr>
            <w:r>
              <w:rPr>
                <w:rFonts w:ascii="Arial" w:cs="Arial" w:eastAsia="Arial" w:hAnsi="Arial"/>
                <w:sz w:val="18"/>
                <w:szCs w:val="18"/>
                <w:color w:val="auto"/>
                <w:w w:val="86"/>
              </w:rPr>
              <w:t>Fair Value at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1"/>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2"/>
              </w:rPr>
              <w:t>Range</w:t>
            </w:r>
          </w:p>
        </w:tc>
      </w:tr>
      <w:tr>
        <w:trPr>
          <w:trHeight w:val="223"/>
        </w:trPr>
        <w:tc>
          <w:tcPr>
            <w:tcW w:w="2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2021</w:t>
            </w:r>
          </w:p>
        </w:tc>
        <w:tc>
          <w:tcPr>
            <w:tcW w:w="220" w:type="dxa"/>
            <w:vAlign w:val="bottom"/>
            <w:tcBorders>
              <w:bottom w:val="single" w:sz="8" w:color="CFF0FC"/>
            </w:tcBorders>
          </w:tcPr>
          <w:p>
            <w:pPr>
              <w:spacing w:after="0"/>
              <w:rPr>
                <w:sz w:val="19"/>
                <w:szCs w:val="19"/>
                <w:color w:val="auto"/>
              </w:rPr>
            </w:pPr>
          </w:p>
        </w:tc>
        <w:tc>
          <w:tcPr>
            <w:tcW w:w="2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Valuation Technique</w:t>
            </w:r>
          </w:p>
        </w:tc>
        <w:tc>
          <w:tcPr>
            <w:tcW w:w="120" w:type="dxa"/>
            <w:vAlign w:val="bottom"/>
            <w:tcBorders>
              <w:bottom w:val="single" w:sz="8" w:color="CFF0FC"/>
            </w:tcBorders>
          </w:tcPr>
          <w:p>
            <w:pPr>
              <w:spacing w:after="0"/>
              <w:rPr>
                <w:sz w:val="19"/>
                <w:szCs w:val="19"/>
                <w:color w:val="auto"/>
              </w:rPr>
            </w:pPr>
          </w:p>
        </w:tc>
        <w:tc>
          <w:tcPr>
            <w:tcW w:w="32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Unobservable Inputs</w:t>
            </w:r>
          </w:p>
        </w:tc>
        <w:tc>
          <w:tcPr>
            <w:tcW w:w="12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(Weighted Average)</w:t>
            </w:r>
          </w:p>
        </w:tc>
      </w:tr>
      <w:tr>
        <w:trPr>
          <w:trHeight w:val="205"/>
        </w:trPr>
        <w:tc>
          <w:tcPr>
            <w:tcW w:w="244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State and local</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3460" w:type="dxa"/>
            <w:vAlign w:val="bottom"/>
            <w:gridSpan w:val="3"/>
            <w:shd w:val="clear" w:color="auto" w:fill="CFF0FC"/>
          </w:tcPr>
          <w:p>
            <w:pPr>
              <w:ind w:left="120"/>
              <w:spacing w:after="0" w:line="205" w:lineRule="exact"/>
              <w:rPr>
                <w:sz w:val="20"/>
                <w:szCs w:val="20"/>
                <w:color w:val="auto"/>
              </w:rPr>
            </w:pPr>
            <w:r>
              <w:rPr>
                <w:rFonts w:ascii="Arial" w:cs="Arial" w:eastAsia="Arial" w:hAnsi="Arial"/>
                <w:sz w:val="18"/>
                <w:szCs w:val="18"/>
                <w:color w:val="auto"/>
              </w:rPr>
              <w:t>Credit strength of underlying project or</w:t>
            </w:r>
          </w:p>
        </w:tc>
        <w:tc>
          <w:tcPr>
            <w:tcW w:w="1600" w:type="dxa"/>
            <w:vAlign w:val="bottom"/>
            <w:shd w:val="clear" w:color="auto" w:fill="CFF0FC"/>
          </w:tcPr>
          <w:p>
            <w:pPr>
              <w:jc w:val="center"/>
              <w:spacing w:after="0" w:line="205" w:lineRule="exact"/>
              <w:rPr>
                <w:sz w:val="20"/>
                <w:szCs w:val="20"/>
                <w:color w:val="auto"/>
              </w:rPr>
            </w:pPr>
            <w:r>
              <w:rPr>
                <w:rFonts w:ascii="Arial" w:cs="Arial" w:eastAsia="Arial" w:hAnsi="Arial"/>
                <w:sz w:val="18"/>
                <w:szCs w:val="18"/>
                <w:color w:val="auto"/>
                <w:w w:val="89"/>
              </w:rPr>
              <w:t>0.21-1.77%</w:t>
            </w:r>
          </w:p>
        </w:tc>
      </w:tr>
      <w:tr>
        <w:trPr>
          <w:trHeight w:val="223"/>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2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34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entity / Discount rate</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(1.33%)</w:t>
            </w:r>
          </w:p>
        </w:tc>
      </w:tr>
      <w:tr>
        <w:trPr>
          <w:trHeight w:val="212"/>
        </w:trPr>
        <w:tc>
          <w:tcPr>
            <w:tcW w:w="2440" w:type="dxa"/>
            <w:vAlign w:val="bottom"/>
          </w:tcPr>
          <w:p>
            <w:pPr>
              <w:spacing w:after="0"/>
              <w:rPr>
                <w:sz w:val="20"/>
                <w:szCs w:val="20"/>
                <w:color w:val="auto"/>
              </w:rPr>
            </w:pPr>
            <w:r>
              <w:rPr>
                <w:rFonts w:ascii="Arial" w:cs="Arial" w:eastAsia="Arial" w:hAnsi="Arial"/>
                <w:sz w:val="18"/>
                <w:szCs w:val="18"/>
                <w:color w:val="auto"/>
              </w:rPr>
              <w:t>Collateral dependent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Collateral based</w:t>
            </w:r>
          </w:p>
        </w:tc>
        <w:tc>
          <w:tcPr>
            <w:tcW w:w="3460" w:type="dxa"/>
            <w:vAlign w:val="bottom"/>
            <w:gridSpan w:val="3"/>
          </w:tcPr>
          <w:p>
            <w:pPr>
              <w:ind w:left="120"/>
              <w:spacing w:after="0"/>
              <w:rPr>
                <w:sz w:val="20"/>
                <w:szCs w:val="20"/>
                <w:color w:val="auto"/>
              </w:rPr>
            </w:pPr>
            <w:r>
              <w:rPr>
                <w:rFonts w:ascii="Arial" w:cs="Arial" w:eastAsia="Arial" w:hAnsi="Arial"/>
                <w:sz w:val="18"/>
                <w:szCs w:val="18"/>
                <w:color w:val="auto"/>
                <w:w w:val="94"/>
              </w:rPr>
              <w:t>Discount to reflect current market conditions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20.00-53.95%</w:t>
            </w:r>
          </w:p>
        </w:tc>
      </w:tr>
      <w:tr>
        <w:trPr>
          <w:trHeight w:val="223"/>
        </w:trPr>
        <w:tc>
          <w:tcPr>
            <w:tcW w:w="2440" w:type="dxa"/>
            <w:vAlign w:val="bottom"/>
          </w:tcPr>
          <w:p>
            <w:pPr>
              <w:ind w:left="140"/>
              <w:spacing w:after="0"/>
              <w:rPr>
                <w:sz w:val="20"/>
                <w:szCs w:val="20"/>
                <w:color w:val="auto"/>
              </w:rPr>
            </w:pPr>
            <w:r>
              <w:rPr>
                <w:rFonts w:ascii="Arial" w:cs="Arial" w:eastAsia="Arial" w:hAnsi="Arial"/>
                <w:sz w:val="18"/>
                <w:szCs w:val="18"/>
                <w:color w:val="auto"/>
              </w:rPr>
              <w:t>impaired loans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8,527</w:t>
            </w:r>
          </w:p>
        </w:tc>
        <w:tc>
          <w:tcPr>
            <w:tcW w:w="2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measurements</w:t>
            </w:r>
          </w:p>
        </w:tc>
        <w:tc>
          <w:tcPr>
            <w:tcW w:w="3460" w:type="dxa"/>
            <w:vAlign w:val="bottom"/>
            <w:gridSpan w:val="3"/>
          </w:tcPr>
          <w:p>
            <w:pPr>
              <w:ind w:left="120"/>
              <w:spacing w:after="0"/>
              <w:rPr>
                <w:sz w:val="20"/>
                <w:szCs w:val="20"/>
                <w:color w:val="auto"/>
              </w:rPr>
            </w:pPr>
            <w:r>
              <w:rPr>
                <w:rFonts w:ascii="Arial" w:cs="Arial" w:eastAsia="Arial" w:hAnsi="Arial"/>
                <w:sz w:val="18"/>
                <w:szCs w:val="18"/>
                <w:color w:val="auto"/>
              </w:rPr>
              <w:t>and ultimate collectability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(34.78%)</w:t>
            </w:r>
          </w:p>
        </w:tc>
      </w:tr>
      <w:tr>
        <w:trPr>
          <w:trHeight w:val="212"/>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Mortgage servicing</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34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w w:val="94"/>
              </w:rPr>
              <w:t>Constant prepayment rate and probability of</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1.94-27.70%</w:t>
            </w:r>
          </w:p>
        </w:tc>
      </w:tr>
      <w:tr>
        <w:trPr>
          <w:trHeight w:val="223"/>
        </w:trPr>
        <w:tc>
          <w:tcPr>
            <w:tcW w:w="2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rights</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w:t>
            </w:r>
          </w:p>
        </w:tc>
        <w:tc>
          <w:tcPr>
            <w:tcW w:w="2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34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default / Discount rate</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(18.44%)</w:t>
            </w:r>
          </w:p>
        </w:tc>
      </w:tr>
      <w:tr>
        <w:trPr>
          <w:trHeight w:val="212"/>
        </w:trPr>
        <w:tc>
          <w:tcPr>
            <w:tcW w:w="2440" w:type="dxa"/>
            <w:vAlign w:val="bottom"/>
          </w:tcPr>
          <w:p>
            <w:pPr>
              <w:spacing w:after="0"/>
              <w:rPr>
                <w:sz w:val="20"/>
                <w:szCs w:val="20"/>
                <w:color w:val="auto"/>
              </w:rPr>
            </w:pPr>
            <w:r>
              <w:rPr>
                <w:rFonts w:ascii="Arial" w:cs="Arial" w:eastAsia="Arial" w:hAnsi="Arial"/>
                <w:sz w:val="18"/>
                <w:szCs w:val="18"/>
                <w:color w:val="auto"/>
              </w:rPr>
              <w:t>Other real estate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32.72%</w:t>
            </w:r>
          </w:p>
        </w:tc>
      </w:tr>
      <w:tr>
        <w:trPr>
          <w:trHeight w:val="222"/>
        </w:trPr>
        <w:tc>
          <w:tcPr>
            <w:tcW w:w="2440" w:type="dxa"/>
            <w:vAlign w:val="bottom"/>
          </w:tcPr>
          <w:p>
            <w:pPr>
              <w:ind w:left="140"/>
              <w:spacing w:after="0"/>
              <w:rPr>
                <w:sz w:val="20"/>
                <w:szCs w:val="20"/>
                <w:color w:val="auto"/>
              </w:rPr>
            </w:pPr>
            <w:r>
              <w:rPr>
                <w:rFonts w:ascii="Arial" w:cs="Arial" w:eastAsia="Arial" w:hAnsi="Arial"/>
                <w:sz w:val="18"/>
                <w:szCs w:val="18"/>
                <w:color w:val="auto"/>
              </w:rPr>
              <w:t>owned - residential</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Appraisals</w:t>
            </w:r>
          </w:p>
        </w:tc>
        <w:tc>
          <w:tcPr>
            <w:tcW w:w="3460" w:type="dxa"/>
            <w:vAlign w:val="bottom"/>
            <w:gridSpan w:val="3"/>
          </w:tcPr>
          <w:p>
            <w:pPr>
              <w:ind w:left="120"/>
              <w:spacing w:after="0"/>
              <w:rPr>
                <w:sz w:val="20"/>
                <w:szCs w:val="20"/>
                <w:color w:val="auto"/>
              </w:rPr>
            </w:pPr>
            <w:r>
              <w:rPr>
                <w:rFonts w:ascii="Arial" w:cs="Arial" w:eastAsia="Arial" w:hAnsi="Arial"/>
                <w:sz w:val="18"/>
                <w:szCs w:val="18"/>
                <w:color w:val="auto"/>
              </w:rPr>
              <w:t>Discount to reflect current market</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(32.72%)</w:t>
            </w:r>
          </w:p>
        </w:tc>
      </w:tr>
      <w:tr>
        <w:trPr>
          <w:trHeight w:val="646"/>
        </w:trPr>
        <w:tc>
          <w:tcPr>
            <w:tcW w:w="2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(In Thousands)</w:t>
            </w: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5"/>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60"/>
              <w:spacing w:after="0" w:line="205" w:lineRule="exact"/>
              <w:rPr>
                <w:sz w:val="20"/>
                <w:szCs w:val="20"/>
                <w:color w:val="auto"/>
              </w:rPr>
            </w:pPr>
            <w:r>
              <w:rPr>
                <w:rFonts w:ascii="Arial" w:cs="Arial" w:eastAsia="Arial" w:hAnsi="Arial"/>
                <w:sz w:val="18"/>
                <w:szCs w:val="18"/>
                <w:color w:val="auto"/>
                <w:w w:val="86"/>
              </w:rPr>
              <w:t>Fair Value at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1"/>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2"/>
              </w:rPr>
              <w:t>Range</w:t>
            </w:r>
          </w:p>
        </w:tc>
      </w:tr>
      <w:tr>
        <w:trPr>
          <w:trHeight w:val="223"/>
        </w:trPr>
        <w:tc>
          <w:tcPr>
            <w:tcW w:w="2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CFF0FC"/>
            </w:tcBorders>
          </w:tcPr>
          <w:p>
            <w:pPr>
              <w:spacing w:after="0"/>
              <w:rPr>
                <w:sz w:val="19"/>
                <w:szCs w:val="19"/>
                <w:color w:val="auto"/>
              </w:rPr>
            </w:pPr>
          </w:p>
        </w:tc>
        <w:tc>
          <w:tcPr>
            <w:tcW w:w="2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Valuation Technique</w:t>
            </w:r>
          </w:p>
        </w:tc>
        <w:tc>
          <w:tcPr>
            <w:tcW w:w="120" w:type="dxa"/>
            <w:vAlign w:val="bottom"/>
            <w:tcBorders>
              <w:bottom w:val="single" w:sz="8" w:color="CFF0FC"/>
            </w:tcBorders>
          </w:tcPr>
          <w:p>
            <w:pPr>
              <w:spacing w:after="0"/>
              <w:rPr>
                <w:sz w:val="19"/>
                <w:szCs w:val="19"/>
                <w:color w:val="auto"/>
              </w:rPr>
            </w:pPr>
          </w:p>
        </w:tc>
        <w:tc>
          <w:tcPr>
            <w:tcW w:w="32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Unobservable Inputs</w:t>
            </w:r>
          </w:p>
        </w:tc>
        <w:tc>
          <w:tcPr>
            <w:tcW w:w="12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(Weighted Average)</w:t>
            </w:r>
          </w:p>
        </w:tc>
      </w:tr>
      <w:tr>
        <w:trPr>
          <w:trHeight w:val="205"/>
        </w:trPr>
        <w:tc>
          <w:tcPr>
            <w:tcW w:w="244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State and local</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3460" w:type="dxa"/>
            <w:vAlign w:val="bottom"/>
            <w:gridSpan w:val="3"/>
            <w:shd w:val="clear" w:color="auto" w:fill="CFF0FC"/>
          </w:tcPr>
          <w:p>
            <w:pPr>
              <w:ind w:left="120"/>
              <w:spacing w:after="0" w:line="205" w:lineRule="exact"/>
              <w:rPr>
                <w:sz w:val="20"/>
                <w:szCs w:val="20"/>
                <w:color w:val="auto"/>
              </w:rPr>
            </w:pPr>
            <w:r>
              <w:rPr>
                <w:rFonts w:ascii="Arial" w:cs="Arial" w:eastAsia="Arial" w:hAnsi="Arial"/>
                <w:sz w:val="18"/>
                <w:szCs w:val="18"/>
                <w:color w:val="auto"/>
              </w:rPr>
              <w:t>Credit strength of underlying project or</w:t>
            </w:r>
          </w:p>
        </w:tc>
        <w:tc>
          <w:tcPr>
            <w:tcW w:w="1600" w:type="dxa"/>
            <w:vAlign w:val="bottom"/>
            <w:shd w:val="clear" w:color="auto" w:fill="CFF0FC"/>
          </w:tcPr>
          <w:p>
            <w:pPr>
              <w:jc w:val="center"/>
              <w:spacing w:after="0" w:line="205" w:lineRule="exact"/>
              <w:rPr>
                <w:sz w:val="20"/>
                <w:szCs w:val="20"/>
                <w:color w:val="auto"/>
              </w:rPr>
            </w:pPr>
            <w:r>
              <w:rPr>
                <w:rFonts w:ascii="Arial" w:cs="Arial" w:eastAsia="Arial" w:hAnsi="Arial"/>
                <w:sz w:val="18"/>
                <w:szCs w:val="18"/>
                <w:color w:val="auto"/>
                <w:w w:val="89"/>
              </w:rPr>
              <w:t>1.19-1.19%</w:t>
            </w:r>
          </w:p>
        </w:tc>
      </w:tr>
      <w:tr>
        <w:trPr>
          <w:trHeight w:val="223"/>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2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34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entity / Discount rate</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(1.19%)</w:t>
            </w:r>
          </w:p>
        </w:tc>
      </w:tr>
      <w:tr>
        <w:trPr>
          <w:trHeight w:val="212"/>
        </w:trPr>
        <w:tc>
          <w:tcPr>
            <w:tcW w:w="2440" w:type="dxa"/>
            <w:vAlign w:val="bottom"/>
          </w:tcPr>
          <w:p>
            <w:pPr>
              <w:spacing w:after="0"/>
              <w:rPr>
                <w:sz w:val="20"/>
                <w:szCs w:val="20"/>
                <w:color w:val="auto"/>
              </w:rPr>
            </w:pPr>
            <w:r>
              <w:rPr>
                <w:rFonts w:ascii="Arial" w:cs="Arial" w:eastAsia="Arial" w:hAnsi="Arial"/>
                <w:sz w:val="18"/>
                <w:szCs w:val="18"/>
                <w:color w:val="auto"/>
              </w:rPr>
              <w:t>Collateral dependent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Collateral based</w:t>
            </w:r>
          </w:p>
        </w:tc>
        <w:tc>
          <w:tcPr>
            <w:tcW w:w="3460" w:type="dxa"/>
            <w:vAlign w:val="bottom"/>
            <w:gridSpan w:val="3"/>
          </w:tcPr>
          <w:p>
            <w:pPr>
              <w:ind w:left="120"/>
              <w:spacing w:after="0"/>
              <w:rPr>
                <w:sz w:val="20"/>
                <w:szCs w:val="20"/>
                <w:color w:val="auto"/>
              </w:rPr>
            </w:pPr>
            <w:r>
              <w:rPr>
                <w:rFonts w:ascii="Arial" w:cs="Arial" w:eastAsia="Arial" w:hAnsi="Arial"/>
                <w:sz w:val="18"/>
                <w:szCs w:val="18"/>
                <w:color w:val="auto"/>
                <w:w w:val="94"/>
              </w:rPr>
              <w:t>Discount to reflect current market conditions</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0.71-100%</w:t>
            </w:r>
          </w:p>
        </w:tc>
      </w:tr>
      <w:tr>
        <w:trPr>
          <w:trHeight w:val="223"/>
        </w:trPr>
        <w:tc>
          <w:tcPr>
            <w:tcW w:w="2440" w:type="dxa"/>
            <w:vAlign w:val="bottom"/>
          </w:tcPr>
          <w:p>
            <w:pPr>
              <w:ind w:left="140"/>
              <w:spacing w:after="0"/>
              <w:rPr>
                <w:sz w:val="20"/>
                <w:szCs w:val="20"/>
                <w:color w:val="auto"/>
              </w:rPr>
            </w:pPr>
            <w:r>
              <w:rPr>
                <w:rFonts w:ascii="Arial" w:cs="Arial" w:eastAsia="Arial" w:hAnsi="Arial"/>
                <w:sz w:val="18"/>
                <w:szCs w:val="18"/>
                <w:color w:val="auto"/>
              </w:rPr>
              <w:t>impaired loans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7,703</w:t>
            </w:r>
          </w:p>
        </w:tc>
        <w:tc>
          <w:tcPr>
            <w:tcW w:w="2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measurements</w:t>
            </w:r>
          </w:p>
        </w:tc>
        <w:tc>
          <w:tcPr>
            <w:tcW w:w="3460" w:type="dxa"/>
            <w:vAlign w:val="bottom"/>
            <w:gridSpan w:val="3"/>
          </w:tcPr>
          <w:p>
            <w:pPr>
              <w:ind w:left="120"/>
              <w:spacing w:after="0"/>
              <w:rPr>
                <w:sz w:val="20"/>
                <w:szCs w:val="20"/>
                <w:color w:val="auto"/>
              </w:rPr>
            </w:pPr>
            <w:r>
              <w:rPr>
                <w:rFonts w:ascii="Arial" w:cs="Arial" w:eastAsia="Arial" w:hAnsi="Arial"/>
                <w:sz w:val="18"/>
                <w:szCs w:val="18"/>
                <w:color w:val="auto"/>
              </w:rPr>
              <w:t>and ultimate collectability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(17.71%)</w:t>
            </w:r>
          </w:p>
        </w:tc>
      </w:tr>
      <w:tr>
        <w:trPr>
          <w:trHeight w:val="212"/>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Mortgage servicing</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34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w w:val="94"/>
              </w:rPr>
              <w:t>Constant prepayment rate and probability of</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 %</w:t>
            </w:r>
          </w:p>
        </w:tc>
      </w:tr>
      <w:tr>
        <w:trPr>
          <w:trHeight w:val="223"/>
        </w:trPr>
        <w:tc>
          <w:tcPr>
            <w:tcW w:w="2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rights</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34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default / Discount rate</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 — )</w:t>
            </w:r>
          </w:p>
        </w:tc>
      </w:tr>
      <w:tr>
        <w:trPr>
          <w:trHeight w:val="212"/>
        </w:trPr>
        <w:tc>
          <w:tcPr>
            <w:tcW w:w="2440" w:type="dxa"/>
            <w:vAlign w:val="bottom"/>
          </w:tcPr>
          <w:p>
            <w:pPr>
              <w:spacing w:after="0"/>
              <w:rPr>
                <w:sz w:val="20"/>
                <w:szCs w:val="20"/>
                <w:color w:val="auto"/>
              </w:rPr>
            </w:pPr>
            <w:r>
              <w:rPr>
                <w:rFonts w:ascii="Arial" w:cs="Arial" w:eastAsia="Arial" w:hAnsi="Arial"/>
                <w:sz w:val="18"/>
                <w:szCs w:val="18"/>
                <w:color w:val="auto"/>
              </w:rPr>
              <w:t>Other real estate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 %</w:t>
            </w:r>
          </w:p>
        </w:tc>
      </w:tr>
      <w:tr>
        <w:trPr>
          <w:trHeight w:val="222"/>
        </w:trPr>
        <w:tc>
          <w:tcPr>
            <w:tcW w:w="2440" w:type="dxa"/>
            <w:vAlign w:val="bottom"/>
          </w:tcPr>
          <w:p>
            <w:pPr>
              <w:ind w:left="140"/>
              <w:spacing w:after="0"/>
              <w:rPr>
                <w:sz w:val="20"/>
                <w:szCs w:val="20"/>
                <w:color w:val="auto"/>
              </w:rPr>
            </w:pPr>
            <w:r>
              <w:rPr>
                <w:rFonts w:ascii="Arial" w:cs="Arial" w:eastAsia="Arial" w:hAnsi="Arial"/>
                <w:sz w:val="18"/>
                <w:szCs w:val="18"/>
                <w:color w:val="auto"/>
              </w:rPr>
              <w:t>owned - residential</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Appraisals</w:t>
            </w:r>
          </w:p>
        </w:tc>
        <w:tc>
          <w:tcPr>
            <w:tcW w:w="3460" w:type="dxa"/>
            <w:vAlign w:val="bottom"/>
            <w:gridSpan w:val="3"/>
          </w:tcPr>
          <w:p>
            <w:pPr>
              <w:ind w:left="120"/>
              <w:spacing w:after="0"/>
              <w:rPr>
                <w:sz w:val="20"/>
                <w:szCs w:val="20"/>
                <w:color w:val="auto"/>
              </w:rPr>
            </w:pPr>
            <w:r>
              <w:rPr>
                <w:rFonts w:ascii="Arial" w:cs="Arial" w:eastAsia="Arial" w:hAnsi="Arial"/>
                <w:sz w:val="18"/>
                <w:szCs w:val="18"/>
                <w:color w:val="auto"/>
              </w:rPr>
              <w:t>Discount to reflect current market</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10"/>
          </w:tcPr>
          <w:p>
            <w:pPr>
              <w:jc w:val="right"/>
              <w:spacing w:after="0"/>
              <w:rPr>
                <w:sz w:val="20"/>
                <w:szCs w:val="20"/>
                <w:color w:val="auto"/>
              </w:rPr>
            </w:pPr>
            <w:r>
              <w:rPr>
                <w:rFonts w:ascii="Arial" w:cs="Arial" w:eastAsia="Arial" w:hAnsi="Arial"/>
                <w:sz w:val="18"/>
                <w:szCs w:val="18"/>
                <w:b w:val="1"/>
                <w:bCs w:val="1"/>
                <w:color w:val="auto"/>
                <w:w w:val="93"/>
              </w:rPr>
              <w:t>Notes to Consolidated Financial Statements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6"/>
          </w:tcPr>
          <w:p>
            <w:pPr>
              <w:jc w:val="right"/>
              <w:spacing w:after="0"/>
              <w:rPr>
                <w:sz w:val="20"/>
                <w:szCs w:val="20"/>
                <w:color w:val="auto"/>
              </w:rPr>
            </w:pPr>
            <w:r>
              <w:rPr>
                <w:rFonts w:ascii="Arial" w:cs="Arial" w:eastAsia="Arial" w:hAnsi="Arial"/>
                <w:sz w:val="18"/>
                <w:szCs w:val="18"/>
                <w:b w:val="1"/>
                <w:bCs w:val="1"/>
                <w:color w:val="auto"/>
                <w:w w:val="89"/>
              </w:rPr>
              <w:t>December 31, 2021, 2020, 2019</w:t>
            </w:r>
          </w:p>
        </w:tc>
        <w:tc>
          <w:tcPr>
            <w:tcW w:w="0" w:type="dxa"/>
            <w:vAlign w:val="bottom"/>
          </w:tcPr>
          <w:p>
            <w:pPr>
              <w:spacing w:after="0"/>
              <w:rPr>
                <w:sz w:val="1"/>
                <w:szCs w:val="1"/>
                <w:color w:val="auto"/>
              </w:rPr>
            </w:pPr>
          </w:p>
        </w:tc>
      </w:tr>
      <w:tr>
        <w:trPr>
          <w:trHeight w:val="659"/>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Note 18 – Condensed Financial Statements of Parent Company</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tcPr>
          <w:p>
            <w:pPr>
              <w:ind w:left="2060"/>
              <w:spacing w:after="0"/>
              <w:rPr>
                <w:sz w:val="20"/>
                <w:szCs w:val="20"/>
                <w:color w:val="auto"/>
              </w:rPr>
            </w:pPr>
            <w:r>
              <w:rPr>
                <w:rFonts w:ascii="Arial" w:cs="Arial" w:eastAsia="Arial" w:hAnsi="Arial"/>
                <w:sz w:val="18"/>
                <w:szCs w:val="18"/>
                <w:b w:val="1"/>
                <w:bCs w:val="1"/>
                <w:color w:val="auto"/>
              </w:rPr>
              <w:t>Balance Sheets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5"/>
          </w:tcPr>
          <w:p>
            <w:pPr>
              <w:jc w:val="right"/>
              <w:ind w:right="292"/>
              <w:spacing w:after="0"/>
              <w:rPr>
                <w:sz w:val="20"/>
                <w:szCs w:val="20"/>
                <w:color w:val="auto"/>
              </w:rPr>
            </w:pPr>
            <w:r>
              <w:rPr>
                <w:rFonts w:ascii="Arial" w:cs="Arial" w:eastAsia="Arial" w:hAnsi="Arial"/>
                <w:sz w:val="18"/>
                <w:szCs w:val="18"/>
                <w:color w:val="auto"/>
              </w:rPr>
              <w:t>2021</w:t>
            </w:r>
          </w:p>
        </w:tc>
        <w:tc>
          <w:tcPr>
            <w:tcW w:w="1360" w:type="dxa"/>
            <w:vAlign w:val="bottom"/>
            <w:gridSpan w:val="6"/>
          </w:tcPr>
          <w:p>
            <w:pPr>
              <w:jc w:val="right"/>
              <w:ind w:right="46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right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Cash</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19,293</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5,763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time deposits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1,727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Related party receivables: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6"/>
              </w:rPr>
              <w:t>Dividends and accounts receivable from subsidiary</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4,636</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3,380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Accrued interest receivable - municipals / interest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bearing time deposits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 municipals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9,027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17,885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Investment in subsidiaries</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340,733</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2"/>
              </w:rPr>
              <w:t>222,423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374,966</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7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2"/>
              </w:rPr>
              <w:t>251,269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6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1140" w:type="dxa"/>
            <w:vAlign w:val="bottom"/>
          </w:tcPr>
          <w:p>
            <w:pPr>
              <w:spacing w:after="0"/>
              <w:rPr>
                <w:sz w:val="24"/>
                <w:szCs w:val="24"/>
                <w:color w:val="auto"/>
              </w:rPr>
            </w:pPr>
          </w:p>
        </w:tc>
        <w:tc>
          <w:tcPr>
            <w:tcW w:w="4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borrowings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w w:val="94"/>
              </w:rPr>
              <w:t>Subordinated notes, net of unamortized issuance costs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34,471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payable</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1,889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Accrued interest payable</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220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6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77,799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2,109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297,167</w:t>
            </w:r>
          </w:p>
        </w:tc>
        <w:tc>
          <w:tcPr>
            <w:tcW w:w="1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2"/>
              </w:rPr>
              <w:t>249,160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96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374,966</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251,269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8"/>
              </w:rPr>
              <w:t>Statements of Income and Comprehensive Income</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w w:val="95"/>
              </w:rPr>
              <w:t>(In Thousands)</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180" w:type="dxa"/>
            <w:vAlign w:val="bottom"/>
            <w:gridSpan w:val="4"/>
          </w:tcPr>
          <w:p>
            <w:pPr>
              <w:jc w:val="right"/>
              <w:ind w:right="36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180" w:type="dxa"/>
            <w:vAlign w:val="bottom"/>
            <w:gridSpan w:val="4"/>
          </w:tcPr>
          <w:p>
            <w:pPr>
              <w:jc w:val="right"/>
              <w:ind w:right="292"/>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right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60" w:type="dxa"/>
            <w:vAlign w:val="bottom"/>
            <w:gridSpan w:val="2"/>
          </w:tcPr>
          <w:p>
            <w:pPr>
              <w:ind w:left="240"/>
              <w:spacing w:after="0"/>
              <w:rPr>
                <w:sz w:val="20"/>
                <w:szCs w:val="20"/>
                <w:color w:val="auto"/>
              </w:rPr>
            </w:pPr>
            <w:r>
              <w:rPr>
                <w:rFonts w:ascii="Arial" w:cs="Arial" w:eastAsia="Arial" w:hAnsi="Arial"/>
                <w:sz w:val="18"/>
                <w:szCs w:val="18"/>
                <w:color w:val="auto"/>
              </w:rPr>
              <w:t>Dividends from subsidiaries</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23,200</w:t>
            </w:r>
          </w:p>
        </w:tc>
        <w:tc>
          <w:tcPr>
            <w:tcW w:w="80" w:type="dxa"/>
            <w:vAlign w:val="bottom"/>
          </w:tcPr>
          <w:p>
            <w:pPr>
              <w:spacing w:after="0"/>
              <w:rPr>
                <w:sz w:val="19"/>
                <w:szCs w:val="19"/>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19"/>
                <w:szCs w:val="19"/>
                <w:color w:val="auto"/>
              </w:rPr>
            </w:pPr>
          </w:p>
        </w:tc>
        <w:tc>
          <w:tcPr>
            <w:tcW w:w="7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13,137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 municipals / interest-bearing time deposits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Loss on sales of available-for-sale securities</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income</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23,746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9,182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13,511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1,335</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expenses</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vMerge w:val="restart"/>
          </w:tcPr>
          <w:p>
            <w:pPr>
              <w:spacing w:after="0"/>
              <w:rPr>
                <w:sz w:val="19"/>
                <w:szCs w:val="19"/>
                <w:color w:val="auto"/>
              </w:rPr>
            </w:pPr>
          </w:p>
        </w:tc>
        <w:tc>
          <w:tcPr>
            <w:tcW w:w="496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40" w:type="dxa"/>
            <w:vAlign w:val="bottom"/>
            <w:vMerge w:val="continue"/>
          </w:tcPr>
          <w:p>
            <w:pPr>
              <w:spacing w:after="0"/>
              <w:rPr>
                <w:sz w:val="17"/>
                <w:szCs w:val="17"/>
                <w:color w:val="auto"/>
              </w:rPr>
            </w:pPr>
          </w:p>
        </w:tc>
        <w:tc>
          <w:tcPr>
            <w:tcW w:w="4960" w:type="dxa"/>
            <w:vAlign w:val="bottom"/>
            <w:gridSpan w:val="2"/>
            <w:shd w:val="clear" w:color="auto" w:fill="CFF0FC"/>
          </w:tcPr>
          <w:p>
            <w:pPr>
              <w:spacing w:after="0" w:line="206" w:lineRule="exact"/>
              <w:rPr>
                <w:sz w:val="20"/>
                <w:szCs w:val="20"/>
                <w:color w:val="auto"/>
              </w:rPr>
            </w:pPr>
            <w:r>
              <w:rPr>
                <w:rFonts w:ascii="Arial" w:cs="Arial" w:eastAsia="Arial" w:hAnsi="Arial"/>
                <w:sz w:val="18"/>
                <w:szCs w:val="18"/>
                <w:b w:val="1"/>
                <w:bCs w:val="1"/>
                <w:color w:val="auto"/>
              </w:rPr>
              <w:t>Income Before Income Taxes and Equity in</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96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Undistributed Earnings of Subsidiaries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21,668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8,259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12,512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Income Taxes (Benefit)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44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22,015</w:t>
            </w: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8,443</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right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12,678</w:t>
            </w: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Equity in undistributed earnings of subsidiaries</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1,480</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11,652</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5,724</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23,495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20,095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tcBorders>
              <w:bottom w:val="single" w:sz="8" w:color="auto"/>
              <w:right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18,402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gridSpan w:val="3"/>
          </w:tcPr>
          <w:p>
            <w:pPr>
              <w:ind w:left="114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Unrealized gains (losses) on securities, net of taxes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(8,881)</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4,599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4,112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gridSpan w:val="3"/>
            <w:vMerge w:val="continue"/>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14,614</w:t>
            </w:r>
          </w:p>
        </w:tc>
        <w:tc>
          <w:tcPr>
            <w:tcW w:w="8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24,694</w:t>
            </w:r>
          </w:p>
        </w:tc>
        <w:tc>
          <w:tcPr>
            <w:tcW w:w="100" w:type="dxa"/>
            <w:vAlign w:val="bottom"/>
          </w:tcPr>
          <w:p>
            <w:pPr>
              <w:spacing w:after="0"/>
              <w:rPr>
                <w:sz w:val="18"/>
                <w:szCs w:val="18"/>
                <w:color w:val="auto"/>
              </w:rPr>
            </w:pPr>
          </w:p>
        </w:tc>
        <w:tc>
          <w:tcPr>
            <w:tcW w:w="7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22,514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86360</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18 – Condensed Financial Statements of Parent Company (Continued)</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2"/>
        </w:trPr>
        <w:tc>
          <w:tcPr>
            <w:tcW w:w="6680" w:type="dxa"/>
            <w:vAlign w:val="bottom"/>
          </w:tcPr>
          <w:p>
            <w:pPr>
              <w:ind w:left="2300"/>
              <w:spacing w:after="0"/>
              <w:rPr>
                <w:sz w:val="20"/>
                <w:szCs w:val="20"/>
                <w:color w:val="auto"/>
              </w:rPr>
            </w:pPr>
            <w:r>
              <w:rPr>
                <w:rFonts w:ascii="Arial" w:cs="Arial" w:eastAsia="Arial" w:hAnsi="Arial"/>
                <w:sz w:val="18"/>
                <w:szCs w:val="18"/>
                <w:b w:val="1"/>
                <w:bCs w:val="1"/>
                <w:color w:val="auto"/>
              </w:rPr>
              <w:t>Statements of Cash Flows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87"/>
              </w:rPr>
              <w:t>(In Thousands)</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23,495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20,095</w:t>
            </w:r>
          </w:p>
        </w:tc>
        <w:tc>
          <w:tcPr>
            <w:tcW w:w="1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income to net cash</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provided by operating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Equity in undistributed net income</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(11,652)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premiums on available-for-sale securities, net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Amortization of subordinated notes issuance fees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Director stock awards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available-for-sale securities</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 and liabilities</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7"/>
        </w:trPr>
        <w:tc>
          <w:tcPr>
            <w:tcW w:w="668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22,291</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Activity in available-for-sale securities: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Maturities, prepayments and calls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48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Purchases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(11,453)</w:t>
            </w: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Maturities of certificates of deposit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used for acquisitions</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(79,235)</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(70,174)</w:t>
            </w: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Proceeds of other borrowings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treasury stock</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4"/>
        </w:trPr>
        <w:tc>
          <w:tcPr>
            <w:tcW w:w="6680" w:type="dxa"/>
            <w:vAlign w:val="bottom"/>
          </w:tcPr>
          <w:p>
            <w:pPr>
              <w:ind w:left="240"/>
              <w:spacing w:after="0"/>
              <w:rPr>
                <w:sz w:val="20"/>
                <w:szCs w:val="20"/>
                <w:color w:val="auto"/>
              </w:rPr>
            </w:pPr>
            <w:r>
              <w:rPr>
                <w:rFonts w:ascii="Arial" w:cs="Arial" w:eastAsia="Arial" w:hAnsi="Arial"/>
                <w:sz w:val="18"/>
                <w:szCs w:val="18"/>
                <w:color w:val="auto"/>
              </w:rPr>
              <w:t>Proceeds from issuance of subordinated notes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dividends</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(7,670)</w:t>
            </w: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(7,186)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(7,569)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17"/>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13,530</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2021, 2020, 2019</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Note 19 – Quarterly Financial Data</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4880" w:type="dxa"/>
            <w:vAlign w:val="bottom"/>
            <w:gridSpan w:val="2"/>
          </w:tcPr>
          <w:p>
            <w:pPr>
              <w:ind w:left="580"/>
              <w:spacing w:after="0"/>
              <w:rPr>
                <w:sz w:val="20"/>
                <w:szCs w:val="20"/>
                <w:color w:val="auto"/>
              </w:rPr>
            </w:pPr>
            <w:r>
              <w:rPr>
                <w:rFonts w:ascii="Arial" w:cs="Arial" w:eastAsia="Arial" w:hAnsi="Arial"/>
                <w:sz w:val="18"/>
                <w:szCs w:val="18"/>
                <w:color w:val="auto"/>
              </w:rPr>
              <w:t>Quarterly Financial Data - UNAUDITED</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color w:val="auto"/>
                <w:w w:val="96"/>
              </w:rPr>
              <w:t>Quarter Ended in 2021</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Mar 31</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Sep 30</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9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16,765</w:t>
            </w:r>
          </w:p>
        </w:tc>
        <w:tc>
          <w:tcPr>
            <w:tcW w:w="2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17,530</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20,122</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9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80" w:type="dxa"/>
            <w:vAlign w:val="bottom"/>
            <w:gridSpan w:val="2"/>
          </w:tcPr>
          <w:p>
            <w:pPr>
              <w:ind w:left="580"/>
              <w:spacing w:after="0"/>
              <w:rPr>
                <w:sz w:val="20"/>
                <w:szCs w:val="20"/>
                <w:color w:val="auto"/>
              </w:rPr>
            </w:pPr>
            <w:r>
              <w:rPr>
                <w:rFonts w:ascii="Arial" w:cs="Arial" w:eastAsia="Arial" w:hAnsi="Arial"/>
                <w:sz w:val="18"/>
                <w:szCs w:val="18"/>
                <w:color w:val="auto"/>
              </w:rPr>
              <w:t>Net interest income after provision of loan loss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(7,368)</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(9,033)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(10,247)</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(9,909)</w:t>
            </w:r>
          </w:p>
        </w:tc>
        <w:tc>
          <w:tcPr>
            <w:tcW w:w="0" w:type="dxa"/>
            <w:vAlign w:val="bottom"/>
          </w:tcPr>
          <w:p>
            <w:pPr>
              <w:spacing w:after="0"/>
              <w:rPr>
                <w:sz w:val="1"/>
                <w:szCs w:val="1"/>
                <w:color w:val="auto"/>
              </w:rPr>
            </w:pPr>
          </w:p>
        </w:tc>
      </w:tr>
      <w:tr>
        <w:trPr>
          <w:trHeight w:val="217"/>
        </w:trPr>
        <w:tc>
          <w:tcPr>
            <w:tcW w:w="4880" w:type="dxa"/>
            <w:vAlign w:val="bottom"/>
            <w:gridSpan w:val="2"/>
          </w:tcPr>
          <w:p>
            <w:pPr>
              <w:ind w:left="580"/>
              <w:spacing w:after="0"/>
              <w:rPr>
                <w:sz w:val="20"/>
                <w:szCs w:val="20"/>
                <w:color w:val="auto"/>
              </w:rPr>
            </w:pPr>
            <w:r>
              <w:rPr>
                <w:rFonts w:ascii="Arial" w:cs="Arial" w:eastAsia="Arial" w:hAnsi="Arial"/>
                <w:sz w:val="18"/>
                <w:szCs w:val="18"/>
                <w:color w:val="auto"/>
              </w:rPr>
              <w:t>Net income before income taxes</w:t>
            </w:r>
          </w:p>
        </w:tc>
        <w:tc>
          <w:tcPr>
            <w:tcW w:w="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7,544</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8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4,909</w:t>
            </w:r>
          </w:p>
        </w:tc>
        <w:tc>
          <w:tcPr>
            <w:tcW w:w="22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4,983</w:t>
            </w: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5,920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300" w:type="dxa"/>
            <w:vAlign w:val="bottom"/>
            <w:vMerge w:val="continue"/>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0.44</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0.53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80" w:type="dxa"/>
            <w:vAlign w:val="bottom"/>
            <w:gridSpan w:val="2"/>
            <w:vMerge w:val="restart"/>
          </w:tcPr>
          <w:p>
            <w:pPr>
              <w:ind w:left="580"/>
              <w:spacing w:after="0"/>
              <w:rPr>
                <w:sz w:val="20"/>
                <w:szCs w:val="20"/>
                <w:color w:val="auto"/>
              </w:rPr>
            </w:pPr>
            <w:r>
              <w:rPr>
                <w:rFonts w:ascii="Arial" w:cs="Arial" w:eastAsia="Arial" w:hAnsi="Arial"/>
                <w:sz w:val="18"/>
                <w:szCs w:val="18"/>
                <w:color w:val="auto"/>
              </w:rPr>
              <w:t>Average common shares outstanding</w:t>
            </w: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11,197,012</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11,191,043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11,209,732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13,046,299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color w:val="auto"/>
                <w:w w:val="96"/>
              </w:rPr>
              <w:t>Quarter Ended in 2020</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Mar 31</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Sep 30</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9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17,464</w:t>
            </w:r>
          </w:p>
        </w:tc>
        <w:tc>
          <w:tcPr>
            <w:tcW w:w="2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17,273</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17,293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9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80" w:type="dxa"/>
            <w:vAlign w:val="bottom"/>
            <w:gridSpan w:val="2"/>
          </w:tcPr>
          <w:p>
            <w:pPr>
              <w:ind w:left="580"/>
              <w:spacing w:after="0"/>
              <w:rPr>
                <w:sz w:val="20"/>
                <w:szCs w:val="20"/>
                <w:color w:val="auto"/>
              </w:rPr>
            </w:pPr>
            <w:r>
              <w:rPr>
                <w:rFonts w:ascii="Arial" w:cs="Arial" w:eastAsia="Arial" w:hAnsi="Arial"/>
                <w:sz w:val="18"/>
                <w:szCs w:val="18"/>
                <w:color w:val="auto"/>
              </w:rPr>
              <w:t>Net interest income after provision for loan loss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(7,546)</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(7,041)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(7,340)</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7"/>
        </w:trPr>
        <w:tc>
          <w:tcPr>
            <w:tcW w:w="4880" w:type="dxa"/>
            <w:vAlign w:val="bottom"/>
            <w:gridSpan w:val="2"/>
          </w:tcPr>
          <w:p>
            <w:pPr>
              <w:ind w:left="580"/>
              <w:spacing w:after="0"/>
              <w:rPr>
                <w:sz w:val="20"/>
                <w:szCs w:val="20"/>
                <w:color w:val="auto"/>
              </w:rPr>
            </w:pPr>
            <w:r>
              <w:rPr>
                <w:rFonts w:ascii="Arial" w:cs="Arial" w:eastAsia="Arial" w:hAnsi="Arial"/>
                <w:sz w:val="18"/>
                <w:szCs w:val="18"/>
                <w:color w:val="auto"/>
              </w:rPr>
              <w:t>Net income before income taxes</w:t>
            </w:r>
          </w:p>
        </w:tc>
        <w:tc>
          <w:tcPr>
            <w:tcW w:w="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8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4,105</w:t>
            </w:r>
          </w:p>
        </w:tc>
        <w:tc>
          <w:tcPr>
            <w:tcW w:w="22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4,804</w:t>
            </w: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4,410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300" w:type="dxa"/>
            <w:vAlign w:val="bottom"/>
            <w:vMerge w:val="continue"/>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0.37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0.43</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80" w:type="dxa"/>
            <w:vAlign w:val="bottom"/>
            <w:gridSpan w:val="2"/>
            <w:vMerge w:val="restart"/>
          </w:tcPr>
          <w:p>
            <w:pPr>
              <w:ind w:left="580"/>
              <w:spacing w:after="0"/>
              <w:rPr>
                <w:sz w:val="20"/>
                <w:szCs w:val="20"/>
                <w:color w:val="auto"/>
              </w:rPr>
            </w:pPr>
            <w:r>
              <w:rPr>
                <w:rFonts w:ascii="Arial" w:cs="Arial" w:eastAsia="Arial" w:hAnsi="Arial"/>
                <w:sz w:val="18"/>
                <w:szCs w:val="18"/>
                <w:color w:val="auto"/>
              </w:rPr>
              <w:t>Average common shares outstanding</w:t>
            </w: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11,134,870</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11,129,341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11,142,797</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11,177,765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21"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On January 25, 2022, the Company announced the authorization by its Board of Directors for the Company’s repurchase, either on the open market, or in privately negotiated transactions, of up to 600,000 shares of its outstanding common stock commencing January 25, 2022 and ending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auto"/>
        </w:rPr>
        <w:t>ITEM 9. CHANGE IN AND DISAGREEMENTS WITH ACCOUNTING AND FINANCIAL DISCLOSURE</w:t>
      </w:r>
    </w:p>
    <w:p>
      <w:pPr>
        <w:spacing w:after="0" w:line="1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 disagreements exist on accounting and financial disclosures or related matter.</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 REPORT REGARDING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DISCLOSURE CONTROLS AND PROCEDURES</w:t>
      </w:r>
    </w:p>
    <w:p>
      <w:pPr>
        <w:spacing w:after="0" w:line="98"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2021, pursuant to Exchange Act 13a-15. Based upon that evaluation, the Chief Executive Officer and Chief Financial Officer concluded that the Company’s disclosure controls and procedures were effective as of December 31, 2021, in timely alerting them to material information relating to the Company (including its consolidated subsidiaries) required to be included in the Company’s periodic SEC filings.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 REPORT REGARDING INTERNAL CONTROL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WITH DESIGNATED LAWS AND REGULATIONS</w:t>
      </w:r>
    </w:p>
    <w:p>
      <w:pPr>
        <w:spacing w:after="0" w:line="98"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Management of Farmers &amp; Merchants Bancorp, Inc. and its subsidiary is responsible for preparing the Bank’s annual financial statements. Management is also responsible for establishing and maintaining internal control over financial reporting presented in conformity with both generally accepted accounting principles and regulatory reporting in conformity with the Federal Financial Institutions Examination Council Instructions for Consolidated Reports of Condition and Income (call report instructions). The Bank’s internal control contains monitoring mechanisms, and actions are taken to correct deficiencies identified.</w:t>
      </w:r>
    </w:p>
    <w:p>
      <w:pPr>
        <w:spacing w:after="0" w:line="19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There are inherent limitations in the effectiveness of any internal control, including the possibility of human error and the circumvention or overriding of controls. Accordingly, even effective internal control can provide only reasonable assurance with respect to financial statement preparation. Further, because of changes in conditions, the effectiveness of internal control may vary over time.</w:t>
      </w:r>
    </w:p>
    <w:p>
      <w:pPr>
        <w:spacing w:after="0" w:line="153"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It is also management’s responsibility to ensure satisfactory compliance with all designated laws and regulations and in particular, those laws and regulations concerning loans to insiders. The federal laws concerning loans to insiders are codified at 12 USC 375a and 375b, and the federal regulations are set forth at 12 CFR 23.5, 31, and 215.</w:t>
      </w:r>
    </w:p>
    <w:p>
      <w:pPr>
        <w:spacing w:after="0" w:line="189" w:lineRule="exact"/>
        <w:rPr>
          <w:sz w:val="20"/>
          <w:szCs w:val="20"/>
          <w:color w:val="auto"/>
        </w:rPr>
      </w:pPr>
    </w:p>
    <w:p>
      <w:pPr>
        <w:jc w:val="both"/>
        <w:ind w:left="800"/>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2021.</w:t>
      </w:r>
    </w:p>
    <w:p>
      <w:pPr>
        <w:spacing w:after="0" w:line="169" w:lineRule="exact"/>
        <w:rPr>
          <w:sz w:val="20"/>
          <w:szCs w:val="20"/>
          <w:color w:val="auto"/>
        </w:rPr>
      </w:pPr>
    </w:p>
    <w:p>
      <w:pPr>
        <w:jc w:val="both"/>
        <w:ind w:left="800"/>
        <w:spacing w:after="0" w:line="325" w:lineRule="auto"/>
        <w:rPr>
          <w:sz w:val="20"/>
          <w:szCs w:val="20"/>
          <w:color w:val="auto"/>
        </w:rPr>
      </w:pPr>
      <w:r>
        <w:rPr>
          <w:rFonts w:ascii="Arial" w:cs="Arial" w:eastAsia="Arial" w:hAnsi="Arial"/>
          <w:sz w:val="16"/>
          <w:szCs w:val="16"/>
          <w:color w:val="auto"/>
        </w:rPr>
        <w:t>There was no change in the Company’s internal control over financial reporting that occurred during the Company’s fiscal quarter ended December 31, 2021 that has materially affected, or is reasonably likely to materially affect, the Company’s internal control over financial reporting.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4" w:lineRule="exact"/>
        <w:rPr>
          <w:sz w:val="20"/>
          <w:szCs w:val="20"/>
          <w:color w:val="auto"/>
        </w:rPr>
      </w:pPr>
    </w:p>
    <w:p>
      <w:pPr>
        <w:ind w:right="3260"/>
        <w:spacing w:after="0" w:line="391" w:lineRule="auto"/>
        <w:rPr>
          <w:sz w:val="20"/>
          <w:szCs w:val="20"/>
          <w:color w:val="auto"/>
        </w:rPr>
      </w:pPr>
      <w:r>
        <w:rPr>
          <w:rFonts w:ascii="Arial" w:cs="Arial" w:eastAsia="Arial" w:hAnsi="Arial"/>
          <w:sz w:val="18"/>
          <w:szCs w:val="18"/>
          <w:b w:val="1"/>
          <w:bCs w:val="1"/>
          <w:u w:val="single" w:color="auto"/>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auto"/>
        </w:rPr>
        <w:t>PART III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AND EXECUTIVE OFFICERS OF THE REGISTRANT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80" w:type="dxa"/>
            <w:vAlign w:val="bottom"/>
            <w:gridSpan w:val="2"/>
          </w:tcPr>
          <w:p>
            <w:pPr>
              <w:ind w:left="540"/>
              <w:spacing w:after="0"/>
              <w:rPr>
                <w:sz w:val="20"/>
                <w:szCs w:val="20"/>
                <w:color w:val="auto"/>
              </w:rPr>
            </w:pPr>
            <w:r>
              <w:rPr>
                <w:rFonts w:ascii="Arial" w:cs="Arial" w:eastAsia="Arial" w:hAnsi="Arial"/>
                <w:sz w:val="18"/>
                <w:szCs w:val="18"/>
                <w:b w:val="1"/>
                <w:bCs w:val="1"/>
                <w:color w:val="auto"/>
              </w:rPr>
              <w:t>BOARD OF DIRECTORS</w:t>
            </w:r>
          </w:p>
        </w:tc>
        <w:tc>
          <w:tcPr>
            <w:tcW w:w="1260" w:type="dxa"/>
            <w:vAlign w:val="bottom"/>
          </w:tcPr>
          <w:p>
            <w:pPr>
              <w:spacing w:after="0"/>
              <w:rPr>
                <w:sz w:val="19"/>
                <w:szCs w:val="19"/>
                <w:color w:val="auto"/>
              </w:rPr>
            </w:pPr>
          </w:p>
        </w:tc>
      </w:tr>
      <w:tr>
        <w:trPr>
          <w:trHeight w:val="422"/>
        </w:trPr>
        <w:tc>
          <w:tcPr>
            <w:tcW w:w="3920" w:type="dxa"/>
            <w:vAlign w:val="bottom"/>
            <w:gridSpan w:val="4"/>
          </w:tcPr>
          <w:p>
            <w:pPr>
              <w:spacing w:after="0"/>
              <w:rPr>
                <w:sz w:val="20"/>
                <w:szCs w:val="20"/>
                <w:color w:val="auto"/>
              </w:rPr>
            </w:pPr>
            <w:r>
              <w:rPr>
                <w:rFonts w:ascii="Arial" w:cs="Arial" w:eastAsia="Arial" w:hAnsi="Arial"/>
                <w:sz w:val="18"/>
                <w:szCs w:val="18"/>
                <w:color w:val="auto"/>
                <w:w w:val="93"/>
              </w:rPr>
              <w:t>The information called for herein is presented below:</w:t>
            </w: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4"/>
        </w:trPr>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b w:val="1"/>
                <w:bCs w:val="1"/>
                <w:color w:val="auto"/>
              </w:rPr>
              <w:t>Principal Occupation or</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Year First</w:t>
            </w:r>
          </w:p>
        </w:tc>
      </w:tr>
      <w:tr>
        <w:trPr>
          <w:trHeight w:val="190"/>
        </w:trPr>
        <w:tc>
          <w:tcPr>
            <w:tcW w:w="30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Age</w:t>
            </w:r>
          </w:p>
        </w:tc>
        <w:tc>
          <w:tcPr>
            <w:tcW w:w="5640" w:type="dxa"/>
            <w:vAlign w:val="bottom"/>
            <w:gridSpan w:val="3"/>
          </w:tcPr>
          <w:p>
            <w:pPr>
              <w:ind w:left="160"/>
              <w:spacing w:after="0" w:line="189" w:lineRule="exact"/>
              <w:rPr>
                <w:sz w:val="20"/>
                <w:szCs w:val="20"/>
                <w:color w:val="auto"/>
              </w:rPr>
            </w:pPr>
            <w:r>
              <w:rPr>
                <w:rFonts w:ascii="Arial" w:cs="Arial" w:eastAsia="Arial" w:hAnsi="Arial"/>
                <w:sz w:val="18"/>
                <w:szCs w:val="18"/>
                <w:b w:val="1"/>
                <w:bCs w:val="1"/>
                <w:color w:val="auto"/>
              </w:rPr>
              <w:t>Employment for Past Five Years</w:t>
            </w:r>
          </w:p>
        </w:tc>
        <w:tc>
          <w:tcPr>
            <w:tcW w:w="1260" w:type="dxa"/>
            <w:vAlign w:val="bottom"/>
          </w:tcPr>
          <w:p>
            <w:pPr>
              <w:spacing w:after="0" w:line="189" w:lineRule="exact"/>
              <w:rPr>
                <w:sz w:val="20"/>
                <w:szCs w:val="20"/>
                <w:color w:val="auto"/>
              </w:rPr>
            </w:pPr>
            <w:r>
              <w:rPr>
                <w:rFonts w:ascii="Arial" w:cs="Arial" w:eastAsia="Arial" w:hAnsi="Arial"/>
                <w:sz w:val="18"/>
                <w:szCs w:val="18"/>
                <w:b w:val="1"/>
                <w:bCs w:val="1"/>
                <w:color w:val="auto"/>
                <w:w w:val="86"/>
              </w:rPr>
              <w:t>Became Director</w:t>
            </w:r>
          </w:p>
        </w:tc>
      </w:tr>
      <w:tr>
        <w:trPr>
          <w:trHeight w:val="20"/>
        </w:trPr>
        <w:tc>
          <w:tcPr>
            <w:tcW w:w="4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429"/>
        </w:trPr>
        <w:tc>
          <w:tcPr>
            <w:tcW w:w="3040" w:type="dxa"/>
            <w:vAlign w:val="bottom"/>
            <w:gridSpan w:val="2"/>
          </w:tcPr>
          <w:p>
            <w:pPr>
              <w:spacing w:after="0"/>
              <w:rPr>
                <w:sz w:val="20"/>
                <w:szCs w:val="20"/>
                <w:color w:val="auto"/>
              </w:rPr>
            </w:pPr>
            <w:r>
              <w:rPr>
                <w:rFonts w:ascii="Arial" w:cs="Arial" w:eastAsia="Arial" w:hAnsi="Arial"/>
                <w:sz w:val="18"/>
                <w:szCs w:val="18"/>
                <w:color w:val="auto"/>
              </w:rPr>
              <w:t>Andrew J. Briggs</w:t>
            </w:r>
          </w:p>
        </w:tc>
        <w:tc>
          <w:tcPr>
            <w:tcW w:w="300" w:type="dxa"/>
            <w:vAlign w:val="bottom"/>
          </w:tcPr>
          <w:p>
            <w:pPr>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First Sr. Vice President of Business Development/Indiana</w:t>
            </w:r>
          </w:p>
        </w:tc>
        <w:tc>
          <w:tcPr>
            <w:tcW w:w="1260" w:type="dxa"/>
            <w:vAlign w:val="bottom"/>
          </w:tcPr>
          <w:p>
            <w:pPr>
              <w:spacing w:after="0"/>
              <w:rPr>
                <w:sz w:val="20"/>
                <w:szCs w:val="20"/>
                <w:color w:val="auto"/>
              </w:rPr>
            </w:pPr>
            <w:r>
              <w:rPr>
                <w:rFonts w:ascii="Arial" w:cs="Arial" w:eastAsia="Arial" w:hAnsi="Arial"/>
                <w:sz w:val="18"/>
                <w:szCs w:val="18"/>
                <w:color w:val="auto"/>
              </w:rPr>
              <w:t>2019</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The Farmers &amp; Merchants State Bank</w:t>
            </w:r>
          </w:p>
        </w:tc>
        <w:tc>
          <w:tcPr>
            <w:tcW w:w="1260" w:type="dxa"/>
            <w:vAlign w:val="bottom"/>
          </w:tcPr>
          <w:p>
            <w:pPr>
              <w:spacing w:after="0"/>
              <w:rPr>
                <w:sz w:val="19"/>
                <w:szCs w:val="19"/>
                <w:color w:val="auto"/>
              </w:rPr>
            </w:pPr>
          </w:p>
        </w:tc>
      </w:tr>
      <w:tr>
        <w:trPr>
          <w:trHeight w:val="422"/>
        </w:trPr>
        <w:tc>
          <w:tcPr>
            <w:tcW w:w="3040" w:type="dxa"/>
            <w:vAlign w:val="bottom"/>
            <w:gridSpan w:val="2"/>
          </w:tcPr>
          <w:p>
            <w:pPr>
              <w:spacing w:after="0"/>
              <w:rPr>
                <w:sz w:val="20"/>
                <w:szCs w:val="20"/>
                <w:color w:val="auto"/>
              </w:rPr>
            </w:pPr>
            <w:r>
              <w:rPr>
                <w:rFonts w:ascii="Arial" w:cs="Arial" w:eastAsia="Arial" w:hAnsi="Arial"/>
                <w:sz w:val="18"/>
                <w:szCs w:val="18"/>
                <w:color w:val="auto"/>
              </w:rPr>
              <w:t>Eugene N. Burkholder</w:t>
            </w:r>
          </w:p>
        </w:tc>
        <w:tc>
          <w:tcPr>
            <w:tcW w:w="300" w:type="dxa"/>
            <w:vAlign w:val="bottom"/>
          </w:tcPr>
          <w:p>
            <w:pPr>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Falor Farm Center, Inc.</w:t>
            </w:r>
          </w:p>
        </w:tc>
        <w:tc>
          <w:tcPr>
            <w:tcW w:w="1260" w:type="dxa"/>
            <w:vAlign w:val="bottom"/>
          </w:tcPr>
          <w:p>
            <w:pPr>
              <w:spacing w:after="0"/>
              <w:rPr>
                <w:sz w:val="20"/>
                <w:szCs w:val="20"/>
                <w:color w:val="auto"/>
              </w:rPr>
            </w:pPr>
            <w:r>
              <w:rPr>
                <w:rFonts w:ascii="Arial" w:cs="Arial" w:eastAsia="Arial" w:hAnsi="Arial"/>
                <w:sz w:val="18"/>
                <w:szCs w:val="18"/>
                <w:color w:val="auto"/>
              </w:rPr>
              <w:t>2012</w:t>
            </w: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Lars B. Eller</w:t>
            </w:r>
          </w:p>
        </w:tc>
        <w:tc>
          <w:tcPr>
            <w:tcW w:w="300" w:type="dxa"/>
            <w:vAlign w:val="bottom"/>
          </w:tcPr>
          <w:p>
            <w:pPr>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and CEO of the Company and</w:t>
            </w:r>
          </w:p>
        </w:tc>
        <w:tc>
          <w:tcPr>
            <w:tcW w:w="1260" w:type="dxa"/>
            <w:vAlign w:val="bottom"/>
          </w:tcPr>
          <w:p>
            <w:pPr>
              <w:spacing w:after="0"/>
              <w:rPr>
                <w:sz w:val="20"/>
                <w:szCs w:val="20"/>
                <w:color w:val="auto"/>
              </w:rPr>
            </w:pPr>
            <w:r>
              <w:rPr>
                <w:rFonts w:ascii="Arial" w:cs="Arial" w:eastAsia="Arial" w:hAnsi="Arial"/>
                <w:sz w:val="18"/>
                <w:szCs w:val="18"/>
                <w:color w:val="auto"/>
              </w:rPr>
              <w:t>2018</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The Farmers &amp; Merchants State Bank</w:t>
            </w:r>
          </w:p>
        </w:tc>
        <w:tc>
          <w:tcPr>
            <w:tcW w:w="1260" w:type="dxa"/>
            <w:vAlign w:val="bottom"/>
          </w:tcPr>
          <w:p>
            <w:pPr>
              <w:spacing w:after="0"/>
              <w:rPr>
                <w:sz w:val="19"/>
                <w:szCs w:val="19"/>
                <w:color w:val="auto"/>
              </w:rPr>
            </w:pP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Jo Ellen Hornish</w:t>
            </w:r>
          </w:p>
        </w:tc>
        <w:tc>
          <w:tcPr>
            <w:tcW w:w="300" w:type="dxa"/>
            <w:vAlign w:val="bottom"/>
          </w:tcPr>
          <w:p>
            <w:pPr>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CEO, Hornish Bros, Inc. / Fountain City Leasing, Inc. / Advantage Powder</w:t>
            </w:r>
          </w:p>
        </w:tc>
        <w:tc>
          <w:tcPr>
            <w:tcW w:w="1260" w:type="dxa"/>
            <w:vAlign w:val="bottom"/>
          </w:tcPr>
          <w:p>
            <w:pPr>
              <w:spacing w:after="0"/>
              <w:rPr>
                <w:sz w:val="20"/>
                <w:szCs w:val="20"/>
                <w:color w:val="auto"/>
              </w:rPr>
            </w:pPr>
            <w:r>
              <w:rPr>
                <w:rFonts w:ascii="Arial" w:cs="Arial" w:eastAsia="Arial" w:hAnsi="Arial"/>
                <w:sz w:val="18"/>
                <w:szCs w:val="18"/>
                <w:color w:val="auto"/>
              </w:rPr>
              <w:t>2013</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Coating, Inc.</w:t>
            </w:r>
          </w:p>
        </w:tc>
        <w:tc>
          <w:tcPr>
            <w:tcW w:w="1260" w:type="dxa"/>
            <w:vAlign w:val="bottom"/>
          </w:tcPr>
          <w:p>
            <w:pPr>
              <w:spacing w:after="0"/>
              <w:rPr>
                <w:sz w:val="19"/>
                <w:szCs w:val="19"/>
                <w:color w:val="auto"/>
              </w:rPr>
            </w:pPr>
          </w:p>
        </w:tc>
      </w:tr>
      <w:tr>
        <w:trPr>
          <w:trHeight w:val="422"/>
        </w:trPr>
        <w:tc>
          <w:tcPr>
            <w:tcW w:w="3040" w:type="dxa"/>
            <w:vAlign w:val="bottom"/>
            <w:gridSpan w:val="2"/>
          </w:tcPr>
          <w:p>
            <w:pPr>
              <w:spacing w:after="0"/>
              <w:rPr>
                <w:sz w:val="20"/>
                <w:szCs w:val="20"/>
                <w:color w:val="auto"/>
              </w:rPr>
            </w:pPr>
            <w:r>
              <w:rPr>
                <w:rFonts w:ascii="Arial" w:cs="Arial" w:eastAsia="Arial" w:hAnsi="Arial"/>
                <w:sz w:val="18"/>
                <w:szCs w:val="18"/>
                <w:color w:val="auto"/>
              </w:rPr>
              <w:t>Jack C. Johnson</w:t>
            </w:r>
          </w:p>
        </w:tc>
        <w:tc>
          <w:tcPr>
            <w:tcW w:w="300" w:type="dxa"/>
            <w:vAlign w:val="bottom"/>
          </w:tcPr>
          <w:p>
            <w:pPr>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Hawk’s Clothing, Inc.</w:t>
            </w:r>
          </w:p>
        </w:tc>
        <w:tc>
          <w:tcPr>
            <w:tcW w:w="1260" w:type="dxa"/>
            <w:vAlign w:val="bottom"/>
          </w:tcPr>
          <w:p>
            <w:pPr>
              <w:spacing w:after="0"/>
              <w:rPr>
                <w:sz w:val="20"/>
                <w:szCs w:val="20"/>
                <w:color w:val="auto"/>
              </w:rPr>
            </w:pPr>
            <w:r>
              <w:rPr>
                <w:rFonts w:ascii="Arial" w:cs="Arial" w:eastAsia="Arial" w:hAnsi="Arial"/>
                <w:sz w:val="18"/>
                <w:szCs w:val="18"/>
                <w:color w:val="auto"/>
              </w:rPr>
              <w:t>1991</w:t>
            </w:r>
          </w:p>
        </w:tc>
      </w:tr>
      <w:tr>
        <w:trPr>
          <w:trHeight w:val="422"/>
        </w:trPr>
        <w:tc>
          <w:tcPr>
            <w:tcW w:w="3040" w:type="dxa"/>
            <w:vAlign w:val="bottom"/>
            <w:gridSpan w:val="2"/>
          </w:tcPr>
          <w:p>
            <w:pPr>
              <w:spacing w:after="0"/>
              <w:rPr>
                <w:sz w:val="20"/>
                <w:szCs w:val="20"/>
                <w:color w:val="auto"/>
              </w:rPr>
            </w:pPr>
            <w:r>
              <w:rPr>
                <w:rFonts w:ascii="Arial" w:cs="Arial" w:eastAsia="Arial" w:hAnsi="Arial"/>
                <w:sz w:val="18"/>
                <w:szCs w:val="18"/>
                <w:color w:val="auto"/>
              </w:rPr>
              <w:t>Lori A. Johnston</w:t>
            </w:r>
          </w:p>
        </w:tc>
        <w:tc>
          <w:tcPr>
            <w:tcW w:w="300" w:type="dxa"/>
            <w:vAlign w:val="bottom"/>
          </w:tcPr>
          <w:p>
            <w:pPr>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ProMedica Insurance Corporation</w:t>
            </w:r>
          </w:p>
        </w:tc>
        <w:tc>
          <w:tcPr>
            <w:tcW w:w="1260" w:type="dxa"/>
            <w:vAlign w:val="bottom"/>
          </w:tcPr>
          <w:p>
            <w:pPr>
              <w:spacing w:after="0"/>
              <w:rPr>
                <w:sz w:val="20"/>
                <w:szCs w:val="20"/>
                <w:color w:val="auto"/>
              </w:rPr>
            </w:pPr>
            <w:r>
              <w:rPr>
                <w:rFonts w:ascii="Arial" w:cs="Arial" w:eastAsia="Arial" w:hAnsi="Arial"/>
                <w:sz w:val="18"/>
                <w:szCs w:val="18"/>
                <w:color w:val="auto"/>
              </w:rPr>
              <w:t>2020</w:t>
            </w: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Dr. Marcia S. Latta</w:t>
            </w:r>
          </w:p>
        </w:tc>
        <w:tc>
          <w:tcPr>
            <w:tcW w:w="300" w:type="dxa"/>
            <w:vAlign w:val="bottom"/>
          </w:tcPr>
          <w:p>
            <w:pPr>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Vice President of University Advancement,</w:t>
            </w:r>
          </w:p>
        </w:tc>
        <w:tc>
          <w:tcPr>
            <w:tcW w:w="1260" w:type="dxa"/>
            <w:vAlign w:val="bottom"/>
          </w:tcPr>
          <w:p>
            <w:pPr>
              <w:spacing w:after="0"/>
              <w:rPr>
                <w:sz w:val="20"/>
                <w:szCs w:val="20"/>
                <w:color w:val="auto"/>
              </w:rPr>
            </w:pPr>
            <w:r>
              <w:rPr>
                <w:rFonts w:ascii="Arial" w:cs="Arial" w:eastAsia="Arial" w:hAnsi="Arial"/>
                <w:sz w:val="18"/>
                <w:szCs w:val="18"/>
                <w:color w:val="auto"/>
              </w:rPr>
              <w:t>2009</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The University of Findlay</w:t>
            </w:r>
          </w:p>
        </w:tc>
        <w:tc>
          <w:tcPr>
            <w:tcW w:w="1260" w:type="dxa"/>
            <w:vAlign w:val="bottom"/>
          </w:tcPr>
          <w:p>
            <w:pPr>
              <w:spacing w:after="0"/>
              <w:rPr>
                <w:sz w:val="19"/>
                <w:szCs w:val="19"/>
                <w:color w:val="auto"/>
              </w:rPr>
            </w:pPr>
          </w:p>
        </w:tc>
      </w:tr>
      <w:tr>
        <w:trPr>
          <w:trHeight w:val="422"/>
        </w:trPr>
        <w:tc>
          <w:tcPr>
            <w:tcW w:w="3040" w:type="dxa"/>
            <w:vAlign w:val="bottom"/>
            <w:gridSpan w:val="2"/>
          </w:tcPr>
          <w:p>
            <w:pPr>
              <w:spacing w:after="0"/>
              <w:rPr>
                <w:sz w:val="20"/>
                <w:szCs w:val="20"/>
                <w:color w:val="auto"/>
              </w:rPr>
            </w:pPr>
            <w:r>
              <w:rPr>
                <w:rFonts w:ascii="Arial" w:cs="Arial" w:eastAsia="Arial" w:hAnsi="Arial"/>
                <w:sz w:val="18"/>
                <w:szCs w:val="18"/>
                <w:color w:val="auto"/>
              </w:rPr>
              <w:t>Steven J. Planson</w:t>
            </w:r>
          </w:p>
        </w:tc>
        <w:tc>
          <w:tcPr>
            <w:tcW w:w="300" w:type="dxa"/>
            <w:vAlign w:val="bottom"/>
          </w:tcPr>
          <w:p>
            <w:pPr>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Planson Farms, Inc.</w:t>
            </w:r>
          </w:p>
        </w:tc>
        <w:tc>
          <w:tcPr>
            <w:tcW w:w="1260" w:type="dxa"/>
            <w:vAlign w:val="bottom"/>
          </w:tcPr>
          <w:p>
            <w:pPr>
              <w:spacing w:after="0"/>
              <w:rPr>
                <w:sz w:val="20"/>
                <w:szCs w:val="20"/>
                <w:color w:val="auto"/>
              </w:rPr>
            </w:pPr>
            <w:r>
              <w:rPr>
                <w:rFonts w:ascii="Arial" w:cs="Arial" w:eastAsia="Arial" w:hAnsi="Arial"/>
                <w:sz w:val="18"/>
                <w:szCs w:val="18"/>
                <w:color w:val="auto"/>
              </w:rPr>
              <w:t>2008</w:t>
            </w: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Kevin J. Sauder</w:t>
            </w:r>
          </w:p>
        </w:tc>
        <w:tc>
          <w:tcPr>
            <w:tcW w:w="300" w:type="dxa"/>
            <w:vAlign w:val="bottom"/>
          </w:tcPr>
          <w:p>
            <w:pPr>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w:t>
            </w:r>
          </w:p>
        </w:tc>
        <w:tc>
          <w:tcPr>
            <w:tcW w:w="1260" w:type="dxa"/>
            <w:vAlign w:val="bottom"/>
          </w:tcPr>
          <w:p>
            <w:pPr>
              <w:spacing w:after="0"/>
              <w:rPr>
                <w:sz w:val="20"/>
                <w:szCs w:val="20"/>
                <w:color w:val="auto"/>
              </w:rPr>
            </w:pPr>
            <w:r>
              <w:rPr>
                <w:rFonts w:ascii="Arial" w:cs="Arial" w:eastAsia="Arial" w:hAnsi="Arial"/>
                <w:sz w:val="18"/>
                <w:szCs w:val="18"/>
                <w:color w:val="auto"/>
              </w:rPr>
              <w:t>2004</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Sauder Woodworking Co.</w:t>
            </w:r>
          </w:p>
        </w:tc>
        <w:tc>
          <w:tcPr>
            <w:tcW w:w="1260" w:type="dxa"/>
            <w:vAlign w:val="bottom"/>
          </w:tcPr>
          <w:p>
            <w:pPr>
              <w:spacing w:after="0"/>
              <w:rPr>
                <w:sz w:val="19"/>
                <w:szCs w:val="19"/>
                <w:color w:val="auto"/>
              </w:rPr>
            </w:pP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Frank R. Simon</w:t>
            </w:r>
          </w:p>
        </w:tc>
        <w:tc>
          <w:tcPr>
            <w:tcW w:w="300" w:type="dxa"/>
            <w:vAlign w:val="bottom"/>
          </w:tcPr>
          <w:p>
            <w:pPr>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Founder &amp; Managing Member / Attorney</w:t>
            </w:r>
          </w:p>
        </w:tc>
        <w:tc>
          <w:tcPr>
            <w:tcW w:w="1260" w:type="dxa"/>
            <w:vAlign w:val="bottom"/>
          </w:tcPr>
          <w:p>
            <w:pPr>
              <w:spacing w:after="0"/>
              <w:rPr>
                <w:sz w:val="20"/>
                <w:szCs w:val="20"/>
                <w:color w:val="auto"/>
              </w:rPr>
            </w:pPr>
            <w:r>
              <w:rPr>
                <w:rFonts w:ascii="Arial" w:cs="Arial" w:eastAsia="Arial" w:hAnsi="Arial"/>
                <w:sz w:val="18"/>
                <w:szCs w:val="18"/>
                <w:color w:val="auto"/>
              </w:rPr>
              <w:t>2021</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Simon PLC Attorneys &amp; Counselors</w:t>
            </w:r>
          </w:p>
        </w:tc>
        <w:tc>
          <w:tcPr>
            <w:tcW w:w="1260" w:type="dxa"/>
            <w:vAlign w:val="bottom"/>
          </w:tcPr>
          <w:p>
            <w:pPr>
              <w:spacing w:after="0"/>
              <w:rPr>
                <w:sz w:val="19"/>
                <w:szCs w:val="19"/>
                <w:color w:val="auto"/>
              </w:rPr>
            </w:pP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Dr. K. Brad Stamm</w:t>
            </w:r>
          </w:p>
        </w:tc>
        <w:tc>
          <w:tcPr>
            <w:tcW w:w="300" w:type="dxa"/>
            <w:vAlign w:val="bottom"/>
          </w:tcPr>
          <w:p>
            <w:pPr>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President and Educational Consultant of</w:t>
            </w:r>
          </w:p>
        </w:tc>
        <w:tc>
          <w:tcPr>
            <w:tcW w:w="1260" w:type="dxa"/>
            <w:vAlign w:val="bottom"/>
          </w:tcPr>
          <w:p>
            <w:pPr>
              <w:spacing w:after="0"/>
              <w:rPr>
                <w:sz w:val="20"/>
                <w:szCs w:val="20"/>
                <w:color w:val="auto"/>
              </w:rPr>
            </w:pPr>
            <w:r>
              <w:rPr>
                <w:rFonts w:ascii="Arial" w:cs="Arial" w:eastAsia="Arial" w:hAnsi="Arial"/>
                <w:sz w:val="18"/>
                <w:szCs w:val="18"/>
                <w:color w:val="auto"/>
              </w:rPr>
              <w:t>2016</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Stamm Management Group</w:t>
            </w:r>
          </w:p>
        </w:tc>
        <w:tc>
          <w:tcPr>
            <w:tcW w:w="1260" w:type="dxa"/>
            <w:vAlign w:val="bottom"/>
          </w:tcPr>
          <w:p>
            <w:pPr>
              <w:spacing w:after="0"/>
              <w:rPr>
                <w:sz w:val="19"/>
                <w:szCs w:val="19"/>
                <w:color w:val="auto"/>
              </w:rPr>
            </w:pP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David P. Vernon</w:t>
            </w:r>
          </w:p>
        </w:tc>
        <w:tc>
          <w:tcPr>
            <w:tcW w:w="300" w:type="dxa"/>
            <w:vAlign w:val="bottom"/>
          </w:tcPr>
          <w:p>
            <w:pPr>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Owner, Licensed Funeral Director &amp; Embalmer</w:t>
            </w:r>
          </w:p>
        </w:tc>
        <w:tc>
          <w:tcPr>
            <w:tcW w:w="1260" w:type="dxa"/>
            <w:vAlign w:val="bottom"/>
          </w:tcPr>
          <w:p>
            <w:pPr>
              <w:spacing w:after="0"/>
              <w:rPr>
                <w:sz w:val="20"/>
                <w:szCs w:val="20"/>
                <w:color w:val="auto"/>
              </w:rPr>
            </w:pPr>
            <w:r>
              <w:rPr>
                <w:rFonts w:ascii="Arial" w:cs="Arial" w:eastAsia="Arial" w:hAnsi="Arial"/>
                <w:sz w:val="18"/>
                <w:szCs w:val="18"/>
                <w:color w:val="auto"/>
              </w:rPr>
              <w:t>2021</w:t>
            </w:r>
          </w:p>
        </w:tc>
      </w:tr>
      <w:tr>
        <w:trPr>
          <w:trHeight w:val="222"/>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Vernon Family Funeral Homes</w:t>
            </w:r>
          </w:p>
        </w:tc>
        <w:tc>
          <w:tcPr>
            <w:tcW w:w="1260" w:type="dxa"/>
            <w:vAlign w:val="bottom"/>
          </w:tcPr>
          <w:p>
            <w:pPr>
              <w:spacing w:after="0"/>
              <w:rPr>
                <w:sz w:val="19"/>
                <w:szCs w:val="19"/>
                <w:color w:val="auto"/>
              </w:rPr>
            </w:pPr>
          </w:p>
        </w:tc>
      </w:tr>
    </w:tbl>
    <w:p>
      <w:pPr>
        <w:spacing w:after="0" w:line="200" w:lineRule="exact"/>
        <w:rPr>
          <w:sz w:val="20"/>
          <w:szCs w:val="20"/>
          <w:color w:val="auto"/>
        </w:rPr>
      </w:pPr>
    </w:p>
    <w:p>
      <w:pPr>
        <w:spacing w:after="0" w:line="3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Directors are elected annually at the annual meeting of shareholders.</w:t>
      </w:r>
    </w:p>
    <w:p>
      <w:pPr>
        <w:spacing w:after="0" w:line="21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20"/>
          </w:cols>
          <w:pgMar w:left="320" w:top="714" w:right="759" w:bottom="1440" w:gutter="0" w:footer="0" w:header="0"/>
        </w:sectPr>
      </w:pPr>
    </w:p>
    <w:bookmarkStart w:id="111" w:name="page112"/>
    <w:bookmarkEnd w:id="111"/>
    <w:tbl>
      <w:tblPr>
        <w:tblLayout w:type="fixed"/>
        <w:tblInd w:w="8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8"/>
              </w:rPr>
              <w:t>EXECUTIVE OFFICERS</w:t>
            </w:r>
          </w:p>
        </w:tc>
        <w:tc>
          <w:tcPr>
            <w:tcW w:w="3340" w:type="dxa"/>
            <w:vAlign w:val="bottom"/>
            <w:gridSpan w:val="2"/>
          </w:tcPr>
          <w:p>
            <w:pPr>
              <w:spacing w:after="0"/>
              <w:rPr>
                <w:sz w:val="17"/>
                <w:szCs w:val="17"/>
                <w:color w:val="auto"/>
              </w:rPr>
            </w:pPr>
          </w:p>
        </w:tc>
      </w:tr>
      <w:tr>
        <w:trPr>
          <w:trHeight w:val="350"/>
        </w:trPr>
        <w:tc>
          <w:tcPr>
            <w:tcW w:w="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Principal Occupation &amp; Offices Held with</w:t>
            </w:r>
          </w:p>
        </w:tc>
      </w:tr>
      <w:tr>
        <w:trPr>
          <w:trHeight w:val="184"/>
        </w:trPr>
        <w:tc>
          <w:tcPr>
            <w:tcW w:w="420" w:type="dxa"/>
            <w:vAlign w:val="bottom"/>
          </w:tcPr>
          <w:p>
            <w:pPr>
              <w:spacing w:after="0" w:line="183" w:lineRule="exact"/>
              <w:rPr>
                <w:sz w:val="20"/>
                <w:szCs w:val="20"/>
                <w:color w:val="auto"/>
              </w:rPr>
            </w:pPr>
            <w:r>
              <w:rPr>
                <w:rFonts w:ascii="Arial" w:cs="Arial" w:eastAsia="Arial" w:hAnsi="Arial"/>
                <w:sz w:val="18"/>
                <w:szCs w:val="18"/>
                <w:color w:val="auto"/>
                <w:w w:val="83"/>
              </w:rPr>
              <w:t>Name</w:t>
            </w:r>
          </w:p>
        </w:tc>
        <w:tc>
          <w:tcPr>
            <w:tcW w:w="3340" w:type="dxa"/>
            <w:vAlign w:val="bottom"/>
          </w:tcPr>
          <w:p>
            <w:pPr>
              <w:spacing w:after="0"/>
              <w:rPr>
                <w:sz w:val="15"/>
                <w:szCs w:val="15"/>
                <w:color w:val="auto"/>
              </w:rPr>
            </w:pPr>
          </w:p>
        </w:tc>
        <w:tc>
          <w:tcPr>
            <w:tcW w:w="1000" w:type="dxa"/>
            <w:vAlign w:val="bottom"/>
            <w:gridSpan w:val="3"/>
          </w:tcPr>
          <w:p>
            <w:pPr>
              <w:ind w:left="60"/>
              <w:spacing w:after="0" w:line="183" w:lineRule="exact"/>
              <w:rPr>
                <w:sz w:val="20"/>
                <w:szCs w:val="20"/>
                <w:color w:val="auto"/>
              </w:rPr>
            </w:pPr>
            <w:r>
              <w:rPr>
                <w:rFonts w:ascii="Arial" w:cs="Arial" w:eastAsia="Arial" w:hAnsi="Arial"/>
                <w:sz w:val="18"/>
                <w:szCs w:val="18"/>
                <w:color w:val="auto"/>
              </w:rPr>
              <w:t>Age</w:t>
            </w:r>
          </w:p>
        </w:tc>
        <w:tc>
          <w:tcPr>
            <w:tcW w:w="4320" w:type="dxa"/>
            <w:vAlign w:val="bottom"/>
            <w:gridSpan w:val="3"/>
          </w:tcPr>
          <w:p>
            <w:pPr>
              <w:spacing w:after="0" w:line="183" w:lineRule="exact"/>
              <w:rPr>
                <w:sz w:val="20"/>
                <w:szCs w:val="20"/>
                <w:color w:val="auto"/>
              </w:rPr>
            </w:pPr>
            <w:r>
              <w:rPr>
                <w:rFonts w:ascii="Arial" w:cs="Arial" w:eastAsia="Arial" w:hAnsi="Arial"/>
                <w:sz w:val="18"/>
                <w:szCs w:val="18"/>
                <w:color w:val="auto"/>
              </w:rPr>
              <w:t>Corporation &amp; Bank for Past Five Years</w:t>
            </w:r>
          </w:p>
        </w:tc>
      </w:tr>
      <w:tr>
        <w:trPr>
          <w:trHeight w:val="20"/>
        </w:trPr>
        <w:tc>
          <w:tcPr>
            <w:tcW w:w="42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40"/>
        </w:trPr>
        <w:tc>
          <w:tcPr>
            <w:tcW w:w="3760" w:type="dxa"/>
            <w:vAlign w:val="bottom"/>
            <w:gridSpan w:val="2"/>
          </w:tcPr>
          <w:p>
            <w:pPr>
              <w:spacing w:after="0"/>
              <w:rPr>
                <w:sz w:val="20"/>
                <w:szCs w:val="20"/>
                <w:color w:val="auto"/>
              </w:rPr>
            </w:pPr>
            <w:r>
              <w:rPr>
                <w:rFonts w:ascii="Arial" w:cs="Arial" w:eastAsia="Arial" w:hAnsi="Arial"/>
                <w:sz w:val="18"/>
                <w:szCs w:val="18"/>
                <w:color w:val="auto"/>
              </w:rPr>
              <w:t>Jack C. Johnson</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69</w:t>
            </w:r>
          </w:p>
        </w:tc>
        <w:tc>
          <w:tcPr>
            <w:tcW w:w="660" w:type="dxa"/>
            <w:vAlign w:val="bottom"/>
          </w:tcPr>
          <w:p>
            <w:pPr>
              <w:spacing w:after="0"/>
              <w:rPr>
                <w:sz w:val="24"/>
                <w:szCs w:val="24"/>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Chairman</w:t>
            </w:r>
          </w:p>
        </w:tc>
      </w:tr>
      <w:tr>
        <w:trPr>
          <w:trHeight w:val="422"/>
        </w:trPr>
        <w:tc>
          <w:tcPr>
            <w:tcW w:w="3760" w:type="dxa"/>
            <w:vAlign w:val="bottom"/>
            <w:gridSpan w:val="2"/>
          </w:tcPr>
          <w:p>
            <w:pPr>
              <w:spacing w:after="0"/>
              <w:rPr>
                <w:sz w:val="20"/>
                <w:szCs w:val="20"/>
                <w:color w:val="auto"/>
              </w:rPr>
            </w:pPr>
            <w:r>
              <w:rPr>
                <w:rFonts w:ascii="Arial" w:cs="Arial" w:eastAsia="Arial" w:hAnsi="Arial"/>
                <w:sz w:val="18"/>
                <w:szCs w:val="18"/>
                <w:color w:val="auto"/>
              </w:rPr>
              <w:t>Lars B. Eller</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24"/>
                <w:szCs w:val="24"/>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 xml:space="preserve">President and Chief Executive Officer (“PEO”) </w:t>
            </w:r>
            <w:r>
              <w:rPr>
                <w:rFonts w:ascii="Arial" w:cs="Arial" w:eastAsia="Arial" w:hAnsi="Arial"/>
                <w:sz w:val="14"/>
                <w:szCs w:val="14"/>
                <w:color w:val="auto"/>
              </w:rPr>
              <w:t>(1) (2)</w:t>
            </w:r>
          </w:p>
        </w:tc>
      </w:tr>
      <w:tr>
        <w:trPr>
          <w:trHeight w:val="409"/>
        </w:trPr>
        <w:tc>
          <w:tcPr>
            <w:tcW w:w="3760" w:type="dxa"/>
            <w:vAlign w:val="bottom"/>
            <w:gridSpan w:val="2"/>
          </w:tcPr>
          <w:p>
            <w:pPr>
              <w:spacing w:after="0"/>
              <w:rPr>
                <w:sz w:val="20"/>
                <w:szCs w:val="20"/>
                <w:color w:val="auto"/>
              </w:rPr>
            </w:pPr>
            <w:r>
              <w:rPr>
                <w:rFonts w:ascii="Arial" w:cs="Arial" w:eastAsia="Arial" w:hAnsi="Arial"/>
                <w:sz w:val="18"/>
                <w:szCs w:val="18"/>
                <w:color w:val="auto"/>
              </w:rPr>
              <w:t>Barbara J. Britenriker</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11"/>
        </w:trPr>
        <w:tc>
          <w:tcPr>
            <w:tcW w:w="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w w:val="91"/>
              </w:rPr>
              <w:t xml:space="preserve">Chief Financial Officer (“PFO”) </w:t>
            </w:r>
            <w:r>
              <w:rPr>
                <w:rFonts w:ascii="Arial" w:cs="Arial" w:eastAsia="Arial" w:hAnsi="Arial"/>
                <w:sz w:val="14"/>
                <w:szCs w:val="14"/>
                <w:color w:val="auto"/>
                <w:w w:val="91"/>
              </w:rPr>
              <w:t>(1)</w:t>
            </w:r>
            <w:r>
              <w:rPr>
                <w:rFonts w:ascii="Arial" w:cs="Arial" w:eastAsia="Arial" w:hAnsi="Arial"/>
                <w:sz w:val="18"/>
                <w:szCs w:val="18"/>
                <w:color w:val="auto"/>
                <w:w w:val="91"/>
              </w:rPr>
              <w:t xml:space="preserve"> and Chief Retail Banking</w:t>
            </w:r>
          </w:p>
        </w:tc>
      </w:tr>
      <w:tr>
        <w:trPr>
          <w:trHeight w:val="223"/>
        </w:trPr>
        <w:tc>
          <w:tcPr>
            <w:tcW w:w="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 xml:space="preserve">Officer </w:t>
            </w:r>
            <w:r>
              <w:rPr>
                <w:rFonts w:ascii="Arial" w:cs="Arial" w:eastAsia="Arial" w:hAnsi="Arial"/>
                <w:sz w:val="14"/>
                <w:szCs w:val="14"/>
                <w:color w:val="auto"/>
              </w:rPr>
              <w:t>(3)</w:t>
            </w:r>
          </w:p>
        </w:tc>
      </w:tr>
      <w:tr>
        <w:trPr>
          <w:trHeight w:val="410"/>
        </w:trPr>
        <w:tc>
          <w:tcPr>
            <w:tcW w:w="3760" w:type="dxa"/>
            <w:vAlign w:val="bottom"/>
            <w:gridSpan w:val="2"/>
          </w:tcPr>
          <w:p>
            <w:pPr>
              <w:spacing w:after="0"/>
              <w:rPr>
                <w:sz w:val="20"/>
                <w:szCs w:val="20"/>
                <w:color w:val="auto"/>
              </w:rPr>
            </w:pPr>
            <w:r>
              <w:rPr>
                <w:rFonts w:ascii="Arial" w:cs="Arial" w:eastAsia="Arial" w:hAnsi="Arial"/>
                <w:sz w:val="18"/>
                <w:szCs w:val="18"/>
                <w:color w:val="auto"/>
              </w:rPr>
              <w:t>Edward A. Leininger</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24"/>
                <w:szCs w:val="24"/>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22"/>
        </w:trPr>
        <w:tc>
          <w:tcPr>
            <w:tcW w:w="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Chief Operating Officer</w:t>
            </w:r>
          </w:p>
        </w:tc>
      </w:tr>
      <w:tr>
        <w:trPr>
          <w:trHeight w:val="409"/>
        </w:trPr>
        <w:tc>
          <w:tcPr>
            <w:tcW w:w="3760" w:type="dxa"/>
            <w:vAlign w:val="bottom"/>
            <w:gridSpan w:val="2"/>
          </w:tcPr>
          <w:p>
            <w:pPr>
              <w:spacing w:after="0"/>
              <w:rPr>
                <w:sz w:val="20"/>
                <w:szCs w:val="20"/>
                <w:color w:val="auto"/>
              </w:rPr>
            </w:pPr>
            <w:r>
              <w:rPr>
                <w:rFonts w:ascii="Arial" w:cs="Arial" w:eastAsia="Arial" w:hAnsi="Arial"/>
                <w:sz w:val="18"/>
                <w:szCs w:val="18"/>
                <w:color w:val="auto"/>
              </w:rPr>
              <w:t>Rex D. Rice</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63</w:t>
            </w:r>
          </w:p>
        </w:tc>
        <w:tc>
          <w:tcPr>
            <w:tcW w:w="660" w:type="dxa"/>
            <w:vAlign w:val="bottom"/>
          </w:tcPr>
          <w:p>
            <w:pPr>
              <w:spacing w:after="0"/>
              <w:rPr>
                <w:sz w:val="24"/>
                <w:szCs w:val="24"/>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23"/>
        </w:trPr>
        <w:tc>
          <w:tcPr>
            <w:tcW w:w="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 xml:space="preserve">and Chief Lending Officer </w:t>
            </w:r>
            <w:r>
              <w:rPr>
                <w:rFonts w:ascii="Arial" w:cs="Arial" w:eastAsia="Arial" w:hAnsi="Arial"/>
                <w:sz w:val="14"/>
                <w:szCs w:val="14"/>
                <w:color w:val="auto"/>
              </w:rPr>
              <w:t>(4)</w:t>
            </w:r>
          </w:p>
        </w:tc>
      </w:tr>
    </w:tbl>
    <w:p>
      <w:pPr>
        <w:spacing w:after="0" w:line="106" w:lineRule="exact"/>
        <w:rPr>
          <w:sz w:val="20"/>
          <w:szCs w:val="20"/>
          <w:color w:val="auto"/>
        </w:rPr>
      </w:pPr>
    </w:p>
    <w:p>
      <w:pPr>
        <w:ind w:left="620"/>
        <w:spacing w:after="0"/>
        <w:rPr>
          <w:sz w:val="20"/>
          <w:szCs w:val="20"/>
          <w:color w:val="auto"/>
        </w:rPr>
      </w:pPr>
      <w:r>
        <w:rPr>
          <w:rFonts w:ascii="Arial" w:cs="Arial" w:eastAsia="Arial" w:hAnsi="Arial"/>
          <w:sz w:val="13"/>
          <w:szCs w:val="13"/>
          <w:color w:val="auto"/>
        </w:rPr>
        <w:t>____________________________________________________________________________________________________________________________________</w:t>
      </w:r>
    </w:p>
    <w:p>
      <w:pPr>
        <w:spacing w:after="0" w:line="140" w:lineRule="exact"/>
        <w:rPr>
          <w:sz w:val="20"/>
          <w:szCs w:val="20"/>
          <w:color w:val="auto"/>
        </w:rPr>
      </w:pPr>
    </w:p>
    <w:p>
      <w:pPr>
        <w:ind w:left="440"/>
        <w:spacing w:after="0"/>
        <w:tabs>
          <w:tab w:leader="none" w:pos="8140" w:val="left"/>
        </w:tabs>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The designation PEO means principal executive officer and PFO means principal financial officer under the</w:t>
      </w:r>
      <w:r>
        <w:rPr>
          <w:sz w:val="20"/>
          <w:szCs w:val="20"/>
          <w:color w:val="auto"/>
        </w:rPr>
        <w:tab/>
      </w:r>
      <w:r>
        <w:rPr>
          <w:rFonts w:ascii="Arial" w:cs="Arial" w:eastAsia="Arial" w:hAnsi="Arial"/>
          <w:sz w:val="15"/>
          <w:szCs w:val="15"/>
          <w:color w:val="auto"/>
        </w:rPr>
        <w:t>rules of the SEC.</w:t>
      </w:r>
    </w:p>
    <w:p>
      <w:pPr>
        <w:spacing w:after="0" w:line="227" w:lineRule="exact"/>
        <w:rPr>
          <w:sz w:val="20"/>
          <w:szCs w:val="20"/>
          <w:color w:val="auto"/>
        </w:rPr>
      </w:pPr>
    </w:p>
    <w:p>
      <w:pPr>
        <w:ind w:left="620" w:hanging="185"/>
        <w:spacing w:after="0" w:line="325" w:lineRule="auto"/>
        <w:tabs>
          <w:tab w:leader="none" w:pos="661" w:val="left"/>
        </w:tabs>
        <w:numPr>
          <w:ilvl w:val="0"/>
          <w:numId w:val="23"/>
        </w:numPr>
        <w:rPr>
          <w:rFonts w:ascii="Arial" w:cs="Arial" w:eastAsia="Arial" w:hAnsi="Arial"/>
          <w:sz w:val="14"/>
          <w:szCs w:val="14"/>
          <w:color w:val="auto"/>
        </w:rPr>
      </w:pPr>
      <w:r>
        <w:rPr>
          <w:rFonts w:ascii="Arial" w:cs="Arial" w:eastAsia="Arial" w:hAnsi="Arial"/>
          <w:sz w:val="16"/>
          <w:szCs w:val="16"/>
          <w:color w:val="auto"/>
        </w:rPr>
        <w:t>From 2013-2017, Mr. Eller was Executive Vice President and Chief Retail Banking Officer of Royal Bank America in Philadelphia. From January 1, 2018, until June 30, 2018, Mr. Eller was a consultant for Cambridge Savings Bank in Massachusetts.</w:t>
      </w:r>
    </w:p>
    <w:p>
      <w:pPr>
        <w:spacing w:after="0" w:line="134" w:lineRule="exact"/>
        <w:rPr>
          <w:rFonts w:ascii="Arial" w:cs="Arial" w:eastAsia="Arial" w:hAnsi="Arial"/>
          <w:sz w:val="14"/>
          <w:szCs w:val="14"/>
          <w:color w:val="auto"/>
        </w:rPr>
      </w:pPr>
    </w:p>
    <w:p>
      <w:pPr>
        <w:ind w:left="620" w:hanging="186"/>
        <w:spacing w:after="0" w:line="262" w:lineRule="auto"/>
        <w:tabs>
          <w:tab w:leader="none" w:pos="661" w:val="left"/>
        </w:tabs>
        <w:numPr>
          <w:ilvl w:val="0"/>
          <w:numId w:val="23"/>
        </w:numPr>
        <w:rPr>
          <w:rFonts w:ascii="Arial" w:cs="Arial" w:eastAsia="Arial" w:hAnsi="Arial"/>
          <w:sz w:val="15"/>
          <w:szCs w:val="15"/>
          <w:color w:val="auto"/>
        </w:rPr>
      </w:pPr>
      <w:r>
        <w:rPr>
          <w:rFonts w:ascii="Arial" w:cs="Arial" w:eastAsia="Arial" w:hAnsi="Arial"/>
          <w:sz w:val="18"/>
          <w:szCs w:val="18"/>
          <w:color w:val="auto"/>
        </w:rPr>
        <w:t>Ms. Britenriker was appointed to serve as the Chief Retail Banking Officer of the Bank on January 7, 2019 and will also remain as the Chief Financial Officer of the Company.</w:t>
      </w:r>
    </w:p>
    <w:p>
      <w:pPr>
        <w:spacing w:after="0" w:line="180" w:lineRule="exact"/>
        <w:rPr>
          <w:rFonts w:ascii="Arial" w:cs="Arial" w:eastAsia="Arial" w:hAnsi="Arial"/>
          <w:sz w:val="15"/>
          <w:szCs w:val="15"/>
          <w:color w:val="auto"/>
        </w:rPr>
      </w:pPr>
    </w:p>
    <w:p>
      <w:pPr>
        <w:ind w:left="620" w:hanging="186"/>
        <w:spacing w:after="0" w:line="325" w:lineRule="auto"/>
        <w:tabs>
          <w:tab w:leader="none" w:pos="661" w:val="left"/>
        </w:tabs>
        <w:numPr>
          <w:ilvl w:val="0"/>
          <w:numId w:val="23"/>
        </w:numPr>
        <w:rPr>
          <w:rFonts w:ascii="Arial" w:cs="Arial" w:eastAsia="Arial" w:hAnsi="Arial"/>
          <w:sz w:val="14"/>
          <w:szCs w:val="14"/>
          <w:color w:val="auto"/>
        </w:rPr>
      </w:pPr>
      <w:r>
        <w:rPr>
          <w:rFonts w:ascii="Arial" w:cs="Arial" w:eastAsia="Arial" w:hAnsi="Arial"/>
          <w:sz w:val="16"/>
          <w:szCs w:val="16"/>
          <w:color w:val="auto"/>
        </w:rPr>
        <w:t>Mr. Rice was the Executive Vice President and Senior Commercial Banking Manager until January 31, 2020. Mr. Rice assumed the position of Chief Lending Officer of the Bank effective upon the retirement of Todd Graham as of February 1, 2020.</w:t>
      </w:r>
    </w:p>
    <w:p>
      <w:pPr>
        <w:spacing w:after="0" w:line="13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Any remaining information required by Item 401 of Regulation S-K is presented in the proxy statement to be furnished in connection with the solicitation of proxies on behalf of the Board of Directors of the Registrant for use at its Annual Meeting to be held on April 12, 2022, and is incorporated herein by reference to the sections of the proxy statement captioned ‘Nominations for Members of the Board of Director,” “Our Board Compensation” and “PROPOSAL ONE – Election of Directors and Information Concerning Directors and Officers.” The information called for under Item 405 of Regulation S-K and called for under paragraphs (d)(4) and (d)(5) of Item 407 is presented in the proxy statement to be furnished in connection with the solicitation of proxies on behalf of the Board of Directors of the Registrant for use at its Annual Meeting to be held on April 12, 2021, and is incorporated herein by reference to the sections of the proxy statement captioned “Delinquent Section 16(a) Reports,” “Audit Committee Report” and “Committees of the Board of Directors.”</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Board of Directors of the Company adopted a Code of Business Conduct and Ethics (the “Code”) at its meeting on February 13, 2004. While the Sarbanes-Oxley Act of 2002 mandates the adoption of a code of ethics for the most senior executive officers of all public companies, the Code adopted by the Corporation's Board of Directors is broader in the activities covered and applies to all officers, directors and employees of the Corporation and the Bank, including the chief executive officer, chief financial officer, principal accounting officer and other senior officers performing accounting, auditing, financial management or similar functions. The administration of the Code has been delegated to the Audit Committee of the Board of Directors, a Committee comprised entirely of “independent directors.” The Code addresses topics such as compliance with laws and regulations, honest and ethical conduct, conflicts of interest, confidentiality and protection of Corporation assets, fair dealing and accurate and timely periodic reports, and also provides for enforcement mechanisms. The Board and management of the Corporation intends to continue to monitor not only the developing legal requirements in this area, but also the best practices of comparable companies, to assure that the Corporation maintains sound corporate governance practices in the future. Annual testing and review of the Code is conducted and attested to by signatures of all officers and directors of the Company.</w:t>
      </w:r>
    </w:p>
    <w:p>
      <w:pPr>
        <w:spacing w:after="0" w:line="17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64770</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40"/>
          </w:cols>
          <w:pgMar w:left="1120" w:top="170" w:right="339" w:bottom="1440" w:gutter="0" w:footer="0" w:header="0"/>
        </w:sectPr>
      </w:pPr>
    </w:p>
    <w:bookmarkStart w:id="112" w:name="page113"/>
    <w:bookmarkEnd w:id="112"/>
    <w:p>
      <w:pPr>
        <w:jc w:val="both"/>
        <w:spacing w:after="0" w:line="291" w:lineRule="auto"/>
        <w:rPr>
          <w:sz w:val="20"/>
          <w:szCs w:val="20"/>
          <w:color w:val="auto"/>
        </w:rPr>
      </w:pPr>
      <w:r>
        <w:rPr>
          <w:rFonts w:ascii="Arial" w:cs="Arial" w:eastAsia="Arial" w:hAnsi="Arial"/>
          <w:sz w:val="16"/>
          <w:szCs w:val="16"/>
          <w:color w:val="auto"/>
        </w:rPr>
        <w:t>A copy of the Corporation's Code is available on the website of the Bank (</w:t>
      </w:r>
      <w:r>
        <w:rPr>
          <w:rFonts w:ascii="Arial" w:cs="Arial" w:eastAsia="Arial" w:hAnsi="Arial"/>
          <w:sz w:val="16"/>
          <w:szCs w:val="16"/>
          <w:u w:val="single" w:color="auto"/>
          <w:color w:val="auto"/>
        </w:rPr>
        <w:t>www.fm.bank</w:t>
      </w:r>
      <w:r>
        <w:rPr>
          <w:rFonts w:ascii="Arial" w:cs="Arial" w:eastAsia="Arial" w:hAnsi="Arial"/>
          <w:sz w:val="16"/>
          <w:szCs w:val="16"/>
          <w:color w:val="auto"/>
        </w:rPr>
        <w:t>). In addition, a copy of the Code is available to any shareholder free of charge upon request. Shareholders desiring a copy of the Code should address written requests to Mr. Lars B. Eller, President, Chief Executive Officer and Treasurer of Farmers &amp; Merchants Bancorp, Inc., 307 North Defiance Street, Archbold, Ohio 43502, and are asked to mark Code of Business Conduct and Ethics on the outside of the envelope containing the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64770</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40"/>
          </w:cols>
          <w:pgMar w:left="1120" w:top="404"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15"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The information called for herein by Item 402 and paragraphs (e)(4) and (e)(5) of Item 407, Regulations S-K is presented in the proxy statement to be furnished in connection with the solicitation of proxies on behalf of the Board of Directors of the Registrant for use at its Annual Meeting to be held on April 12, 2022, and is incorporated herein by reference to the sections of the proxy statement captioned “Compensation Discussion and Analysis,” “Compensation Committee Report on Executive Compensation,” and “Related Party Transactions.”</w:t>
      </w:r>
    </w:p>
    <w:p>
      <w:pPr>
        <w:spacing w:after="0" w:line="261" w:lineRule="exact"/>
        <w:rPr>
          <w:sz w:val="20"/>
          <w:szCs w:val="20"/>
          <w:color w:val="auto"/>
        </w:rPr>
      </w:pPr>
    </w:p>
    <w:p>
      <w:pPr>
        <w:ind w:right="820"/>
        <w:spacing w:after="0" w:line="269"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69"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color w:val="auto"/>
        </w:rPr>
        <w:t>The information called for by Item 403 of Regulation S-K is presented in the proxy statement to be furnished in connection with the solicitation of proxies on behalf of the Board of Directors of the Registrant for use at its Annual Meeting to be held Tuesday, April 12, 2022 and is incorporated herein by reference to the section of the proxy statement captioned “Security Ownership of Certain Beneficial Owners and Named Executive Officers.”</w:t>
      </w:r>
    </w:p>
    <w:p>
      <w:pPr>
        <w:spacing w:after="0" w:line="191" w:lineRule="exact"/>
        <w:rPr>
          <w:sz w:val="20"/>
          <w:szCs w:val="20"/>
          <w:color w:val="auto"/>
        </w:rPr>
      </w:pPr>
    </w:p>
    <w:p>
      <w:pPr>
        <w:jc w:val="both"/>
        <w:ind w:left="800"/>
        <w:spacing w:after="0" w:line="304" w:lineRule="auto"/>
        <w:rPr>
          <w:sz w:val="20"/>
          <w:szCs w:val="20"/>
          <w:color w:val="auto"/>
        </w:rPr>
      </w:pPr>
      <w:r>
        <w:rPr>
          <w:rFonts w:ascii="Arial" w:cs="Arial" w:eastAsia="Arial" w:hAnsi="Arial"/>
          <w:sz w:val="15"/>
          <w:szCs w:val="15"/>
          <w:color w:val="auto"/>
        </w:rPr>
        <w:t>On April 16, 2015 the Company’s shareholders approved the Farmers &amp; Merchants Bancorp, Inc. 2015 Long-Term Stock Incentive Plan (which replaced the expired 2005 Long-Term Stock Incentive Plan). The plan authorizes the issuance of up to 1,600,000 (adjusted for a two-for-one stock split) of the Company’s common shares in the form of stock options, restricted stock, performance shares, and unrestricted stock to employees of the Company and its subsidiaries. To date, the Company has only made awards of restricted stock under the Plan, which awards are subject to time vesting. This requires the executive or employee to remain employed with the Company or the Bank, as the case may be, until the awards have vested, or such shares of restricted stock will be forfeited. During 2021, 48,750 shares were awarded to 96 employees and 2,575 were forfeited under its long term incentive plan. At year-end, 2021, the Company held 997,766 shares in Treasury stock and 111,131 in unearned stock awards.</w:t>
      </w:r>
    </w:p>
    <w:p>
      <w:pPr>
        <w:spacing w:after="0" w:line="148" w:lineRule="exact"/>
        <w:rPr>
          <w:sz w:val="20"/>
          <w:szCs w:val="20"/>
          <w:color w:val="auto"/>
        </w:rPr>
      </w:pPr>
    </w:p>
    <w:p>
      <w:pPr>
        <w:jc w:val="both"/>
        <w:ind w:left="800"/>
        <w:spacing w:after="0" w:line="251" w:lineRule="auto"/>
        <w:rPr>
          <w:sz w:val="20"/>
          <w:szCs w:val="20"/>
          <w:color w:val="auto"/>
        </w:rPr>
      </w:pPr>
      <w:r>
        <w:rPr>
          <w:rFonts w:ascii="Arial" w:cs="Arial" w:eastAsia="Arial" w:hAnsi="Arial"/>
          <w:sz w:val="20"/>
          <w:szCs w:val="20"/>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each year. On June 5, 2020, each Director received approximately $4,000 worth of shares which equated to 176 shares. On November 20, 2020, a new director received 20 prorated shares. On June 4, 2021, ten directors received approximately $6,000 worth of shares which equated to 272 shares while four directors received a prorated value of shares. On October 1, 2021, a new director received 68 prorated shares.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0"/>
              </w:rPr>
              <w:t>Equity Compensation Plan Information</w:t>
            </w:r>
          </w:p>
        </w:tc>
        <w:tc>
          <w:tcPr>
            <w:tcW w:w="1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50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00"/>
              <w:spacing w:after="0" w:line="205" w:lineRule="exact"/>
              <w:rPr>
                <w:sz w:val="20"/>
                <w:szCs w:val="20"/>
                <w:color w:val="auto"/>
              </w:rPr>
            </w:pPr>
            <w:r>
              <w:rPr>
                <w:rFonts w:ascii="Arial" w:cs="Arial" w:eastAsia="Arial" w:hAnsi="Arial"/>
                <w:sz w:val="18"/>
                <w:szCs w:val="18"/>
                <w:color w:val="auto"/>
                <w:w w:val="90"/>
              </w:rPr>
              <w:t>Number of</w:t>
            </w:r>
          </w:p>
        </w:tc>
      </w:tr>
      <w:tr>
        <w:trPr>
          <w:trHeight w:val="211"/>
        </w:trPr>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securities remaining</w:t>
            </w:r>
          </w:p>
        </w:tc>
      </w:tr>
      <w:tr>
        <w:trPr>
          <w:trHeight w:val="211"/>
        </w:trPr>
        <w:tc>
          <w:tcPr>
            <w:tcW w:w="5020" w:type="dxa"/>
            <w:vAlign w:val="bottom"/>
          </w:tcPr>
          <w:p>
            <w:pPr>
              <w:spacing w:after="0"/>
              <w:rPr>
                <w:sz w:val="18"/>
                <w:szCs w:val="18"/>
                <w:color w:val="auto"/>
              </w:rPr>
            </w:pPr>
          </w:p>
        </w:tc>
        <w:tc>
          <w:tcPr>
            <w:tcW w:w="1660" w:type="dxa"/>
            <w:vAlign w:val="bottom"/>
          </w:tcPr>
          <w:p>
            <w:pPr>
              <w:jc w:val="center"/>
              <w:ind w:left="92"/>
              <w:spacing w:after="0"/>
              <w:rPr>
                <w:sz w:val="20"/>
                <w:szCs w:val="20"/>
                <w:color w:val="auto"/>
              </w:rPr>
            </w:pPr>
            <w:r>
              <w:rPr>
                <w:rFonts w:ascii="Arial" w:cs="Arial" w:eastAsia="Arial" w:hAnsi="Arial"/>
                <w:sz w:val="18"/>
                <w:szCs w:val="18"/>
                <w:color w:val="auto"/>
                <w:w w:val="90"/>
              </w:rPr>
              <w:t>Number of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available for future</w:t>
            </w:r>
          </w:p>
        </w:tc>
      </w:tr>
      <w:tr>
        <w:trPr>
          <w:trHeight w:val="211"/>
        </w:trPr>
        <w:tc>
          <w:tcPr>
            <w:tcW w:w="5020" w:type="dxa"/>
            <w:vAlign w:val="bottom"/>
          </w:tcPr>
          <w:p>
            <w:pPr>
              <w:spacing w:after="0"/>
              <w:rPr>
                <w:sz w:val="18"/>
                <w:szCs w:val="18"/>
                <w:color w:val="auto"/>
              </w:rPr>
            </w:pPr>
          </w:p>
        </w:tc>
        <w:tc>
          <w:tcPr>
            <w:tcW w:w="1660" w:type="dxa"/>
            <w:vAlign w:val="bottom"/>
          </w:tcPr>
          <w:p>
            <w:pPr>
              <w:jc w:val="center"/>
              <w:ind w:left="72"/>
              <w:spacing w:after="0"/>
              <w:rPr>
                <w:sz w:val="20"/>
                <w:szCs w:val="20"/>
                <w:color w:val="auto"/>
              </w:rPr>
            </w:pPr>
            <w:r>
              <w:rPr>
                <w:rFonts w:ascii="Arial" w:cs="Arial" w:eastAsia="Arial" w:hAnsi="Arial"/>
                <w:sz w:val="18"/>
                <w:szCs w:val="18"/>
                <w:color w:val="auto"/>
                <w:w w:val="87"/>
              </w:rPr>
              <w:t>securities to be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issuance under</w:t>
            </w:r>
          </w:p>
        </w:tc>
      </w:tr>
      <w:tr>
        <w:trPr>
          <w:trHeight w:val="211"/>
        </w:trPr>
        <w:tc>
          <w:tcPr>
            <w:tcW w:w="5020" w:type="dxa"/>
            <w:vAlign w:val="bottom"/>
          </w:tcPr>
          <w:p>
            <w:pPr>
              <w:spacing w:after="0"/>
              <w:rPr>
                <w:sz w:val="18"/>
                <w:szCs w:val="18"/>
                <w:color w:val="auto"/>
              </w:rPr>
            </w:pPr>
          </w:p>
        </w:tc>
        <w:tc>
          <w:tcPr>
            <w:tcW w:w="1660" w:type="dxa"/>
            <w:vAlign w:val="bottom"/>
          </w:tcPr>
          <w:p>
            <w:pPr>
              <w:jc w:val="center"/>
              <w:ind w:left="72"/>
              <w:spacing w:after="0"/>
              <w:rPr>
                <w:sz w:val="20"/>
                <w:szCs w:val="20"/>
                <w:color w:val="auto"/>
              </w:rPr>
            </w:pPr>
            <w:r>
              <w:rPr>
                <w:rFonts w:ascii="Arial" w:cs="Arial" w:eastAsia="Arial" w:hAnsi="Arial"/>
                <w:sz w:val="18"/>
                <w:szCs w:val="18"/>
                <w:color w:val="auto"/>
                <w:w w:val="86"/>
              </w:rPr>
              <w:t>issued upon exercise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Weighted-average</w:t>
            </w: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equity compensation</w:t>
            </w:r>
          </w:p>
        </w:tc>
      </w:tr>
      <w:tr>
        <w:trPr>
          <w:trHeight w:val="211"/>
        </w:trPr>
        <w:tc>
          <w:tcPr>
            <w:tcW w:w="5020" w:type="dxa"/>
            <w:vAlign w:val="bottom"/>
          </w:tcPr>
          <w:p>
            <w:pPr>
              <w:spacing w:after="0"/>
              <w:rPr>
                <w:sz w:val="18"/>
                <w:szCs w:val="18"/>
                <w:color w:val="auto"/>
              </w:rPr>
            </w:pPr>
          </w:p>
        </w:tc>
        <w:tc>
          <w:tcPr>
            <w:tcW w:w="1660" w:type="dxa"/>
            <w:vAlign w:val="bottom"/>
          </w:tcPr>
          <w:p>
            <w:pPr>
              <w:jc w:val="center"/>
              <w:ind w:left="72"/>
              <w:spacing w:after="0"/>
              <w:rPr>
                <w:sz w:val="20"/>
                <w:szCs w:val="20"/>
                <w:color w:val="auto"/>
              </w:rPr>
            </w:pPr>
            <w:r>
              <w:rPr>
                <w:rFonts w:ascii="Arial" w:cs="Arial" w:eastAsia="Arial" w:hAnsi="Arial"/>
                <w:sz w:val="18"/>
                <w:szCs w:val="18"/>
                <w:color w:val="auto"/>
                <w:w w:val="90"/>
              </w:rPr>
              <w:t>of outstanding</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3"/>
          </w:tcPr>
          <w:p>
            <w:pPr>
              <w:jc w:val="center"/>
              <w:ind w:right="620"/>
              <w:spacing w:after="0"/>
              <w:rPr>
                <w:sz w:val="20"/>
                <w:szCs w:val="20"/>
                <w:color w:val="auto"/>
              </w:rPr>
            </w:pPr>
            <w:r>
              <w:rPr>
                <w:rFonts w:ascii="Arial" w:cs="Arial" w:eastAsia="Arial" w:hAnsi="Arial"/>
                <w:sz w:val="18"/>
                <w:szCs w:val="18"/>
                <w:color w:val="auto"/>
                <w:w w:val="88"/>
              </w:rPr>
              <w:t>exercise price of</w:t>
            </w: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plans (excluding</w:t>
            </w:r>
          </w:p>
        </w:tc>
      </w:tr>
      <w:tr>
        <w:trPr>
          <w:trHeight w:val="211"/>
        </w:trPr>
        <w:tc>
          <w:tcPr>
            <w:tcW w:w="5020" w:type="dxa"/>
            <w:vAlign w:val="bottom"/>
          </w:tcPr>
          <w:p>
            <w:pPr>
              <w:spacing w:after="0"/>
              <w:rPr>
                <w:sz w:val="18"/>
                <w:szCs w:val="18"/>
                <w:color w:val="auto"/>
              </w:rPr>
            </w:pPr>
          </w:p>
        </w:tc>
        <w:tc>
          <w:tcPr>
            <w:tcW w:w="1660" w:type="dxa"/>
            <w:vAlign w:val="bottom"/>
          </w:tcPr>
          <w:p>
            <w:pPr>
              <w:jc w:val="center"/>
              <w:ind w:left="72"/>
              <w:spacing w:after="0"/>
              <w:rPr>
                <w:sz w:val="20"/>
                <w:szCs w:val="20"/>
                <w:color w:val="auto"/>
              </w:rPr>
            </w:pPr>
            <w:r>
              <w:rPr>
                <w:rFonts w:ascii="Arial" w:cs="Arial" w:eastAsia="Arial" w:hAnsi="Arial"/>
                <w:sz w:val="18"/>
                <w:szCs w:val="18"/>
                <w:color w:val="auto"/>
                <w:w w:val="88"/>
              </w:rPr>
              <w:t>options, warrants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outstanding options,</w:t>
            </w: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securities reflected</w:t>
            </w:r>
          </w:p>
        </w:tc>
      </w:tr>
      <w:tr>
        <w:trPr>
          <w:trHeight w:val="223"/>
        </w:trPr>
        <w:tc>
          <w:tcPr>
            <w:tcW w:w="5020" w:type="dxa"/>
            <w:vAlign w:val="bottom"/>
          </w:tcPr>
          <w:p>
            <w:pPr>
              <w:spacing w:after="0"/>
              <w:rPr>
                <w:sz w:val="19"/>
                <w:szCs w:val="19"/>
                <w:color w:val="auto"/>
              </w:rPr>
            </w:pPr>
          </w:p>
        </w:tc>
        <w:tc>
          <w:tcPr>
            <w:tcW w:w="166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88"/>
              </w:rPr>
              <w:t>and rights</w:t>
            </w:r>
          </w:p>
        </w:tc>
        <w:tc>
          <w:tcPr>
            <w:tcW w:w="1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8"/>
              </w:rPr>
              <w:t>warrants and rights</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0"/>
              </w:rPr>
              <w:t>in column (a))</w:t>
            </w:r>
          </w:p>
        </w:tc>
        <w:tc>
          <w:tcPr>
            <w:tcW w:w="100" w:type="dxa"/>
            <w:vAlign w:val="bottom"/>
          </w:tcPr>
          <w:p>
            <w:pPr>
              <w:spacing w:after="0"/>
              <w:rPr>
                <w:sz w:val="19"/>
                <w:szCs w:val="19"/>
                <w:color w:val="auto"/>
              </w:rPr>
            </w:pPr>
          </w:p>
        </w:tc>
      </w:tr>
      <w:tr>
        <w:trPr>
          <w:trHeight w:val="217"/>
        </w:trPr>
        <w:tc>
          <w:tcPr>
            <w:tcW w:w="502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87"/>
              </w:rPr>
              <w:t>( a )</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7"/>
              </w:rPr>
              <w:t>( b )</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0"/>
              </w:rPr>
              <w:t>( c )</w:t>
            </w:r>
          </w:p>
        </w:tc>
        <w:tc>
          <w:tcPr>
            <w:tcW w:w="100" w:type="dxa"/>
            <w:vAlign w:val="bottom"/>
            <w:tcBorders>
              <w:bottom w:val="single" w:sz="8" w:color="CFF0FC"/>
            </w:tcBorders>
          </w:tcPr>
          <w:p>
            <w:pPr>
              <w:spacing w:after="0"/>
              <w:rPr>
                <w:sz w:val="18"/>
                <w:szCs w:val="18"/>
                <w:color w:val="auto"/>
              </w:rPr>
            </w:pPr>
          </w:p>
        </w:tc>
      </w:tr>
      <w:tr>
        <w:trPr>
          <w:trHeight w:val="205"/>
        </w:trPr>
        <w:tc>
          <w:tcPr>
            <w:tcW w:w="668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color w:val="auto"/>
              </w:rPr>
              <w:t>Equity compensation plans approved by</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3"/>
        </w:trPr>
        <w:tc>
          <w:tcPr>
            <w:tcW w:w="6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1,353,966</w:t>
            </w:r>
          </w:p>
        </w:tc>
        <w:tc>
          <w:tcPr>
            <w:tcW w:w="100" w:type="dxa"/>
            <w:vAlign w:val="bottom"/>
            <w:shd w:val="clear" w:color="auto" w:fill="CFF0FC"/>
          </w:tcPr>
          <w:p>
            <w:pPr>
              <w:spacing w:after="0"/>
              <w:rPr>
                <w:sz w:val="19"/>
                <w:szCs w:val="19"/>
                <w:color w:val="auto"/>
              </w:rPr>
            </w:pPr>
          </w:p>
        </w:tc>
      </w:tr>
      <w:tr>
        <w:trPr>
          <w:trHeight w:val="212"/>
        </w:trPr>
        <w:tc>
          <w:tcPr>
            <w:tcW w:w="66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4"/>
        </w:trPr>
        <w:tc>
          <w:tcPr>
            <w:tcW w:w="6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1,353,966</w:t>
            </w:r>
          </w:p>
        </w:tc>
        <w:tc>
          <w:tcPr>
            <w:tcW w:w="100" w:type="dxa"/>
            <w:vAlign w:val="bottom"/>
            <w:shd w:val="clear" w:color="auto" w:fill="CFF0FC"/>
          </w:tcPr>
          <w:p>
            <w:pPr>
              <w:spacing w:after="0"/>
              <w:rPr>
                <w:sz w:val="19"/>
                <w:szCs w:val="19"/>
                <w:color w:val="auto"/>
              </w:rPr>
            </w:pPr>
          </w:p>
        </w:tc>
      </w:tr>
      <w:tr>
        <w:trPr>
          <w:trHeight w:val="842"/>
        </w:trPr>
        <w:tc>
          <w:tcPr>
            <w:tcW w:w="6680" w:type="dxa"/>
            <w:vAlign w:val="bottom"/>
            <w:gridSpan w:val="2"/>
          </w:tcPr>
          <w:p>
            <w:pPr>
              <w:ind w:left="550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50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w:t>
      </w:r>
    </w:p>
    <w:p>
      <w:pPr>
        <w:spacing w:after="0" w:line="11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The information called for herein by Item 404 and paragraph (a) of Item 407 is presented in the proxy statement to be furnished in connection with the solicitation of proxies on behalf of the Board of Directors of the Registrant for use at its Annual Meeting to be held on April 12, 2022, and is incorporated herein by reference to the sections of the proxy statement captioned “Related Party Transactions.”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115" w:lineRule="exact"/>
        <w:rPr>
          <w:sz w:val="20"/>
          <w:szCs w:val="20"/>
          <w:color w:val="auto"/>
        </w:rPr>
      </w:pPr>
    </w:p>
    <w:p>
      <w:pPr>
        <w:jc w:val="both"/>
        <w:ind w:left="800"/>
        <w:spacing w:after="0" w:line="300" w:lineRule="auto"/>
        <w:rPr>
          <w:sz w:val="20"/>
          <w:szCs w:val="20"/>
          <w:color w:val="auto"/>
        </w:rPr>
      </w:pPr>
      <w:r>
        <w:rPr>
          <w:rFonts w:ascii="Arial" w:cs="Arial" w:eastAsia="Arial" w:hAnsi="Arial"/>
          <w:sz w:val="16"/>
          <w:szCs w:val="16"/>
          <w:color w:val="auto"/>
        </w:rPr>
        <w:t>The information called for by this Item is presented in the proxy statement to be furnished in connection with the solicitation of proxies on behalf of the Board of Directors of the Registrant for use at its Annual Meeting to be held on April 12, 2022, and is incorporated herein by reference to the section of the proxy statement captioned “Selection of Auditors/Principal Accounting Firm Fees.”</w:t>
      </w:r>
    </w:p>
    <w:p>
      <w:pPr>
        <w:spacing w:after="0" w:line="153" w:lineRule="exact"/>
        <w:rPr>
          <w:sz w:val="20"/>
          <w:szCs w:val="20"/>
          <w:color w:val="auto"/>
        </w:rPr>
      </w:pPr>
    </w:p>
    <w:p>
      <w:pPr>
        <w:jc w:val="both"/>
        <w:ind w:left="800"/>
        <w:spacing w:after="0" w:line="262" w:lineRule="auto"/>
        <w:rPr>
          <w:sz w:val="20"/>
          <w:szCs w:val="20"/>
          <w:color w:val="auto"/>
        </w:rPr>
      </w:pPr>
      <w:r>
        <w:rPr>
          <w:rFonts w:ascii="Arial" w:cs="Arial" w:eastAsia="Arial" w:hAnsi="Arial"/>
          <w:sz w:val="18"/>
          <w:szCs w:val="18"/>
          <w:color w:val="auto"/>
        </w:rPr>
        <w:t>The opinion related to the financial statements in the annual report was provided by BKD, LLP from Fort Wayne, Indiana. The Public Company Accounting Oversight Board (PCAOB) ID number for BKD, LLP is 686.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auto"/>
        </w:rPr>
        <w:t>PART IV</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STATEMENTS SCHEDULES</w:t>
      </w:r>
    </w:p>
    <w:p>
      <w:pPr>
        <w:spacing w:after="0" w:line="128" w:lineRule="exact"/>
        <w:rPr>
          <w:sz w:val="20"/>
          <w:szCs w:val="20"/>
          <w:color w:val="auto"/>
        </w:rPr>
      </w:pPr>
    </w:p>
    <w:p>
      <w:pPr>
        <w:ind w:left="1360" w:hanging="446"/>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82" w:lineRule="exact"/>
        <w:rPr>
          <w:rFonts w:ascii="Arial" w:cs="Arial" w:eastAsia="Arial" w:hAnsi="Arial"/>
          <w:sz w:val="18"/>
          <w:szCs w:val="18"/>
          <w:color w:val="auto"/>
        </w:rPr>
      </w:pPr>
    </w:p>
    <w:p>
      <w:pPr>
        <w:ind w:left="2360" w:right="4920" w:hanging="998"/>
        <w:spacing w:after="0" w:line="251" w:lineRule="auto"/>
        <w:tabs>
          <w:tab w:leader="none" w:pos="2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Financial Statements (included in this 10-K under Item 8) Report of Independent Accountants</w:t>
      </w:r>
    </w:p>
    <w:p>
      <w:pPr>
        <w:ind w:left="2360" w:right="6480"/>
        <w:spacing w:after="0" w:line="293" w:lineRule="auto"/>
        <w:rPr>
          <w:rFonts w:ascii="Arial" w:cs="Arial" w:eastAsia="Arial" w:hAnsi="Arial"/>
          <w:sz w:val="18"/>
          <w:szCs w:val="18"/>
          <w:color w:val="auto"/>
        </w:rPr>
      </w:pPr>
      <w:r>
        <w:rPr>
          <w:rFonts w:ascii="Arial" w:cs="Arial" w:eastAsia="Arial" w:hAnsi="Arial"/>
          <w:sz w:val="15"/>
          <w:szCs w:val="15"/>
          <w:color w:val="auto"/>
        </w:rPr>
        <w:t>Consolidated Balance Sheets Consolidated Statements of Income</w:t>
      </w:r>
    </w:p>
    <w:p>
      <w:pPr>
        <w:ind w:left="2360" w:right="4680"/>
        <w:spacing w:after="0" w:line="274" w:lineRule="auto"/>
        <w:rPr>
          <w:rFonts w:ascii="Arial" w:cs="Arial" w:eastAsia="Arial" w:hAnsi="Arial"/>
          <w:sz w:val="18"/>
          <w:szCs w:val="18"/>
          <w:color w:val="auto"/>
        </w:rPr>
      </w:pPr>
      <w:r>
        <w:rPr>
          <w:rFonts w:ascii="Arial" w:cs="Arial" w:eastAsia="Arial" w:hAnsi="Arial"/>
          <w:sz w:val="16"/>
          <w:szCs w:val="16"/>
          <w:color w:val="auto"/>
        </w:rPr>
        <w:t>Consolidated Statements of Changes in Shareholders’ Equity Consolidated Statements of Cash Flows</w:t>
      </w:r>
    </w:p>
    <w:p>
      <w:pPr>
        <w:spacing w:after="0" w:line="1" w:lineRule="exact"/>
        <w:rPr>
          <w:rFonts w:ascii="Arial" w:cs="Arial" w:eastAsia="Arial" w:hAnsi="Arial"/>
          <w:sz w:val="18"/>
          <w:szCs w:val="18"/>
          <w:color w:val="auto"/>
        </w:rPr>
      </w:pPr>
    </w:p>
    <w:p>
      <w:pPr>
        <w:ind w:left="2360"/>
        <w:spacing w:after="0"/>
        <w:rPr>
          <w:rFonts w:ascii="Arial" w:cs="Arial" w:eastAsia="Arial" w:hAnsi="Arial"/>
          <w:sz w:val="18"/>
          <w:szCs w:val="18"/>
          <w:color w:val="auto"/>
        </w:rPr>
      </w:pPr>
      <w:r>
        <w:rPr>
          <w:rFonts w:ascii="Arial" w:cs="Arial" w:eastAsia="Arial" w:hAnsi="Arial"/>
          <w:sz w:val="18"/>
          <w:szCs w:val="18"/>
          <w:color w:val="auto"/>
        </w:rPr>
        <w:t>Note to Consolidated Financial Statements</w:t>
      </w:r>
    </w:p>
    <w:p>
      <w:pPr>
        <w:spacing w:after="0" w:line="71" w:lineRule="exact"/>
        <w:rPr>
          <w:rFonts w:ascii="Arial" w:cs="Arial" w:eastAsia="Arial" w:hAnsi="Arial"/>
          <w:sz w:val="18"/>
          <w:szCs w:val="18"/>
          <w:color w:val="auto"/>
        </w:rPr>
      </w:pPr>
    </w:p>
    <w:p>
      <w:pPr>
        <w:ind w:left="2360" w:right="6560" w:hanging="998"/>
        <w:spacing w:after="0" w:line="325" w:lineRule="auto"/>
        <w:tabs>
          <w:tab w:leader="none" w:pos="2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Financial Statement Schedules Five Year Summary of Operations</w:t>
      </w:r>
    </w:p>
    <w:p>
      <w:pPr>
        <w:spacing w:after="0" w:line="2" w:lineRule="exact"/>
        <w:rPr>
          <w:rFonts w:ascii="Arial" w:cs="Arial" w:eastAsia="Arial" w:hAnsi="Arial"/>
          <w:sz w:val="16"/>
          <w:szCs w:val="16"/>
          <w:color w:val="auto"/>
        </w:rPr>
      </w:pPr>
    </w:p>
    <w:p>
      <w:pPr>
        <w:ind w:left="1360" w:hanging="446"/>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8980" w:type="dxa"/>
            <w:vAlign w:val="bottom"/>
            <w:tcBorders>
              <w:bottom w:val="single" w:sz="8" w:color="0000EE"/>
            </w:tcBorders>
            <w:gridSpan w:val="10"/>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Amended Articles of Incorporation of the Registrant (incorporated by reference to Exhibit 3.1 to Registrant's Quarterly Repor</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4300" w:type="dxa"/>
            <w:vAlign w:val="bottom"/>
            <w:tcBorders>
              <w:bottom w:val="single" w:sz="8" w:color="0000EE"/>
            </w:tcBorders>
            <w:gridSpan w:val="7"/>
          </w:tcPr>
          <w:p>
            <w:pPr>
              <w:spacing w:after="0" w:line="191"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Form 10-Q filed with the Commission on October 25, 2017).</w:t>
              </w:r>
            </w:hyperlink>
          </w:p>
        </w:tc>
        <w:tc>
          <w:tcPr>
            <w:tcW w:w="46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8980" w:type="dxa"/>
            <w:vAlign w:val="bottom"/>
            <w:tcBorders>
              <w:bottom w:val="single" w:sz="8" w:color="0000EE"/>
            </w:tcBorders>
            <w:gridSpan w:val="10"/>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Code of Regulations of the Registrant (incorporated by reference to Exhibit 3.2 to the Company’s Quarterly Report on Form 1</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3820" w:type="dxa"/>
            <w:vAlign w:val="bottom"/>
            <w:tcBorders>
              <w:bottom w:val="single" w:sz="8" w:color="0000EE"/>
            </w:tcBorders>
            <w:gridSpan w:val="6"/>
          </w:tcPr>
          <w:p>
            <w:pPr>
              <w:spacing w:after="0" w:line="191"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that was filed with the Commission on July 26, 2017).</w:t>
              </w:r>
            </w:hyperlink>
          </w:p>
        </w:tc>
        <w:tc>
          <w:tcPr>
            <w:tcW w:w="51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8980" w:type="dxa"/>
            <w:vAlign w:val="bottom"/>
            <w:tcBorders>
              <w:bottom w:val="single" w:sz="8" w:color="0000EE"/>
            </w:tcBorders>
            <w:gridSpan w:val="10"/>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Description of Registrant's Common Stock (incorporated by reference to Exhibit 4.1 to Registrant's Annual Report on Form 1</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8980" w:type="dxa"/>
            <w:vAlign w:val="bottom"/>
            <w:gridSpan w:val="10"/>
          </w:tcPr>
          <w:p>
            <w:pPr>
              <w:spacing w:after="0" w:line="191" w:lineRule="exact"/>
              <w:rPr>
                <w:rFonts w:ascii="Arial" w:cs="Arial" w:eastAsia="Arial" w:hAnsi="Arial"/>
                <w:sz w:val="18"/>
                <w:szCs w:val="18"/>
                <w:color w:val="0000EE"/>
              </w:rPr>
            </w:pPr>
            <w:hyperlink r:id="rId149">
              <w:r>
                <w:rPr>
                  <w:rFonts w:ascii="Arial" w:cs="Arial" w:eastAsia="Arial" w:hAnsi="Arial"/>
                  <w:sz w:val="18"/>
                  <w:szCs w:val="18"/>
                  <w:color w:val="0000EE"/>
                </w:rPr>
                <w:t>filed with the Commission on February 26,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8980" w:type="dxa"/>
            <w:vAlign w:val="bottom"/>
            <w:tcBorders>
              <w:bottom w:val="single" w:sz="8" w:color="0000EE"/>
            </w:tcBorders>
            <w:gridSpan w:val="10"/>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Form of 3.25% Fixed to Floating Rate Subordinated Note due July 30, 2031 (included as Exhibit A to the Purchase Agree</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2020" w:type="dxa"/>
            <w:vAlign w:val="bottom"/>
            <w:tcBorders>
              <w:bottom w:val="single" w:sz="8" w:color="0000EE"/>
            </w:tcBorders>
          </w:tcPr>
          <w:p>
            <w:pPr>
              <w:spacing w:after="0" w:line="191"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filed as Exhibit 10.6 hereto).</w:t>
              </w:r>
            </w:hyperlink>
          </w:p>
        </w:tc>
        <w:tc>
          <w:tcPr>
            <w:tcW w:w="696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8980" w:type="dxa"/>
            <w:vAlign w:val="bottom"/>
            <w:tcBorders>
              <w:bottom w:val="single" w:sz="8" w:color="0000EE"/>
            </w:tcBorders>
            <w:gridSpan w:val="10"/>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Form of Change in Control Agreement executed by and between the Company and Barbara J. Britenriker on December 26, 2</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8980" w:type="dxa"/>
            <w:vAlign w:val="bottom"/>
            <w:tcBorders>
              <w:bottom w:val="single" w:sz="8" w:color="0000EE"/>
            </w:tcBorders>
            <w:gridSpan w:val="10"/>
          </w:tcPr>
          <w:p>
            <w:pPr>
              <w:spacing w:after="0" w:line="191"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(incorporated by reference to Exhibit 10.1 to the Annual Report on Form 10-K filed with the Commission on February 25, 2013</w:t>
              </w:r>
            </w:hyperlink>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8980" w:type="dxa"/>
            <w:vAlign w:val="bottom"/>
            <w:tcBorders>
              <w:bottom w:val="single" w:sz="8" w:color="0000EE"/>
            </w:tcBorders>
            <w:gridSpan w:val="10"/>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Form of Change in Control Agreement executed by and between the Company and each of Edward A. Leininger and Rex D. R</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8980" w:type="dxa"/>
            <w:vAlign w:val="bottom"/>
            <w:tcBorders>
              <w:bottom w:val="single" w:sz="8" w:color="0000EE"/>
            </w:tcBorders>
            <w:gridSpan w:val="10"/>
          </w:tcPr>
          <w:p>
            <w:pPr>
              <w:spacing w:after="0" w:line="191"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respectively, on December 26, 2012 (incorporated by reference to Exhibit 10.2 to the Annual Report on Form 10-K filed with</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8980" w:type="dxa"/>
            <w:vAlign w:val="bottom"/>
            <w:gridSpan w:val="10"/>
          </w:tcPr>
          <w:p>
            <w:pPr>
              <w:spacing w:after="0" w:line="191" w:lineRule="exact"/>
              <w:rPr>
                <w:rFonts w:ascii="Arial" w:cs="Arial" w:eastAsia="Arial" w:hAnsi="Arial"/>
                <w:sz w:val="18"/>
                <w:szCs w:val="18"/>
                <w:color w:val="0000EE"/>
              </w:rPr>
            </w:pPr>
            <w:hyperlink r:id="rId152">
              <w:r>
                <w:rPr>
                  <w:rFonts w:ascii="Arial" w:cs="Arial" w:eastAsia="Arial" w:hAnsi="Arial"/>
                  <w:sz w:val="18"/>
                  <w:szCs w:val="18"/>
                  <w:color w:val="0000EE"/>
                </w:rPr>
                <w:t>Commission on February 25, 2013).</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2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000" w:type="dxa"/>
            <w:vAlign w:val="bottom"/>
            <w:vMerge w:val="continue"/>
          </w:tcPr>
          <w:p>
            <w:pPr>
              <w:spacing w:after="0"/>
              <w:rPr>
                <w:sz w:val="24"/>
                <w:szCs w:val="24"/>
                <w:color w:val="auto"/>
              </w:rPr>
            </w:pPr>
          </w:p>
        </w:tc>
        <w:tc>
          <w:tcPr>
            <w:tcW w:w="8980" w:type="dxa"/>
            <w:vAlign w:val="bottom"/>
            <w:gridSpan w:val="10"/>
            <w:vMerge w:val="restart"/>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Employment Agreement executed by and between The Farmers &amp; Merchants State Bank and Lars B. Eller on September 1, 2</w:t>
              </w:r>
            </w:hyperlink>
          </w:p>
        </w:tc>
        <w:tc>
          <w:tcPr>
            <w:tcW w:w="0" w:type="dxa"/>
            <w:vAlign w:val="bottom"/>
          </w:tcPr>
          <w:p>
            <w:pPr>
              <w:spacing w:after="0"/>
              <w:rPr>
                <w:sz w:val="1"/>
                <w:szCs w:val="1"/>
                <w:color w:val="auto"/>
              </w:rPr>
            </w:pPr>
          </w:p>
        </w:tc>
      </w:tr>
      <w:tr>
        <w:trPr>
          <w:trHeight w:val="45"/>
        </w:trPr>
        <w:tc>
          <w:tcPr>
            <w:tcW w:w="1000" w:type="dxa"/>
            <w:vAlign w:val="bottom"/>
          </w:tcPr>
          <w:p>
            <w:pPr>
              <w:spacing w:after="0"/>
              <w:rPr>
                <w:sz w:val="3"/>
                <w:szCs w:val="3"/>
                <w:color w:val="auto"/>
              </w:rPr>
            </w:pPr>
          </w:p>
        </w:tc>
        <w:tc>
          <w:tcPr>
            <w:tcW w:w="8980" w:type="dxa"/>
            <w:vAlign w:val="bottom"/>
            <w:tcBorders>
              <w:bottom w:val="single" w:sz="8" w:color="0000EE"/>
            </w:tcBorders>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8980" w:type="dxa"/>
            <w:vAlign w:val="bottom"/>
            <w:gridSpan w:val="10"/>
          </w:tcPr>
          <w:p>
            <w:pPr>
              <w:spacing w:after="0" w:line="191"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(incorporated by reference to Exhibit 10.1 to Registrant’s Report on Form 8-K filed with the Commission on August 18,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8980" w:type="dxa"/>
            <w:vAlign w:val="bottom"/>
            <w:tcBorders>
              <w:bottom w:val="single" w:sz="8" w:color="0000EE"/>
            </w:tcBorders>
            <w:gridSpan w:val="10"/>
          </w:tcPr>
          <w:p>
            <w:pPr>
              <w:spacing w:after="0"/>
              <w:rPr>
                <w:rFonts w:ascii="Arial" w:cs="Arial" w:eastAsia="Arial" w:hAnsi="Arial"/>
                <w:sz w:val="18"/>
                <w:szCs w:val="18"/>
                <w:color w:val="0000EE"/>
                <w:w w:val="97"/>
              </w:rPr>
            </w:pPr>
            <w:hyperlink r:id="rId154">
              <w:r>
                <w:rPr>
                  <w:rFonts w:ascii="Arial" w:cs="Arial" w:eastAsia="Arial" w:hAnsi="Arial"/>
                  <w:sz w:val="18"/>
                  <w:szCs w:val="18"/>
                  <w:color w:val="0000EE"/>
                  <w:w w:val="97"/>
                </w:rPr>
                <w:t>Farmers &amp; Merchants Bancorp, Inc. 2015 Long-Term Stock Incentive Plan (incorporated by reference to Appendix A</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8060" w:type="dxa"/>
            <w:vAlign w:val="bottom"/>
            <w:tcBorders>
              <w:bottom w:val="single" w:sz="8" w:color="0000EE"/>
            </w:tcBorders>
            <w:gridSpan w:val="8"/>
          </w:tcPr>
          <w:p>
            <w:pPr>
              <w:spacing w:after="0" w:line="191"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Registrant’s Definitive 14A Proxy Statement, File No. 000-14492, filed with the Commission on March 16, 2015).</w:t>
              </w:r>
            </w:hyperlink>
          </w:p>
        </w:tc>
        <w:tc>
          <w:tcPr>
            <w:tcW w:w="9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8980" w:type="dxa"/>
            <w:vAlign w:val="bottom"/>
            <w:tcBorders>
              <w:bottom w:val="single" w:sz="8" w:color="0000EE"/>
            </w:tcBorders>
            <w:gridSpan w:val="10"/>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Form on Restricted Stock Agreement (incorporated by reference to Exhibit 10.2 to the Quarterly Report on Form 10-Q filed</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2740" w:type="dxa"/>
            <w:vAlign w:val="bottom"/>
            <w:tcBorders>
              <w:bottom w:val="single" w:sz="8" w:color="0000EE"/>
            </w:tcBorders>
            <w:gridSpan w:val="4"/>
          </w:tcPr>
          <w:p>
            <w:pPr>
              <w:spacing w:after="0" w:line="191" w:lineRule="exact"/>
              <w:rPr>
                <w:rFonts w:ascii="Arial" w:cs="Arial" w:eastAsia="Arial" w:hAnsi="Arial"/>
                <w:sz w:val="18"/>
                <w:szCs w:val="18"/>
                <w:color w:val="0000EE"/>
                <w:w w:val="87"/>
              </w:rPr>
            </w:pPr>
            <w:hyperlink r:id="rId155">
              <w:r>
                <w:rPr>
                  <w:rFonts w:ascii="Arial" w:cs="Arial" w:eastAsia="Arial" w:hAnsi="Arial"/>
                  <w:sz w:val="18"/>
                  <w:szCs w:val="18"/>
                  <w:color w:val="0000EE"/>
                  <w:w w:val="87"/>
                </w:rPr>
                <w:t>the Commission on October 27, 2005).</w:t>
              </w:r>
            </w:hyperlink>
          </w:p>
        </w:tc>
        <w:tc>
          <w:tcPr>
            <w:tcW w:w="624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8980" w:type="dxa"/>
            <w:vAlign w:val="bottom"/>
            <w:tcBorders>
              <w:bottom w:val="single" w:sz="8" w:color="0000EE"/>
            </w:tcBorders>
            <w:gridSpan w:val="10"/>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Form of Subordinated Note Purchase Agreement, dated July 30, 2021, by and among Farmers &amp; Merchants Bancorp, Inc, and</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8980" w:type="dxa"/>
            <w:vAlign w:val="bottom"/>
            <w:tcBorders>
              <w:bottom w:val="single" w:sz="8" w:color="0000EE"/>
            </w:tcBorders>
            <w:gridSpan w:val="10"/>
          </w:tcPr>
          <w:p>
            <w:pPr>
              <w:spacing w:after="0" w:line="191" w:lineRule="exact"/>
              <w:rPr>
                <w:rFonts w:ascii="Arial" w:cs="Arial" w:eastAsia="Arial" w:hAnsi="Arial"/>
                <w:sz w:val="18"/>
                <w:szCs w:val="18"/>
                <w:color w:val="0000EE"/>
                <w:w w:val="95"/>
              </w:rPr>
            </w:pPr>
            <w:hyperlink r:id="rId150">
              <w:r>
                <w:rPr>
                  <w:rFonts w:ascii="Arial" w:cs="Arial" w:eastAsia="Arial" w:hAnsi="Arial"/>
                  <w:sz w:val="18"/>
                  <w:szCs w:val="18"/>
                  <w:color w:val="0000EE"/>
                  <w:w w:val="95"/>
                </w:rPr>
                <w:t>Purchasers (as defined therein) (incorporated by reference to Exhibit 10.1 to the Current Report on Form 8-K filed with</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2340" w:type="dxa"/>
            <w:vAlign w:val="bottom"/>
            <w:tcBorders>
              <w:bottom w:val="single" w:sz="8" w:color="0000EE"/>
            </w:tcBorders>
            <w:gridSpan w:val="2"/>
          </w:tcPr>
          <w:p>
            <w:pPr>
              <w:spacing w:after="0" w:line="191" w:lineRule="exact"/>
              <w:rPr>
                <w:rFonts w:ascii="Arial" w:cs="Arial" w:eastAsia="Arial" w:hAnsi="Arial"/>
                <w:sz w:val="18"/>
                <w:szCs w:val="18"/>
                <w:color w:val="0000EE"/>
                <w:w w:val="88"/>
              </w:rPr>
            </w:pPr>
            <w:hyperlink r:id="rId150">
              <w:r>
                <w:rPr>
                  <w:rFonts w:ascii="Arial" w:cs="Arial" w:eastAsia="Arial" w:hAnsi="Arial"/>
                  <w:sz w:val="18"/>
                  <w:szCs w:val="18"/>
                  <w:color w:val="0000EE"/>
                  <w:w w:val="88"/>
                </w:rPr>
                <w:t>Commission on August 2, 2021).</w:t>
              </w:r>
            </w:hyperlink>
          </w:p>
        </w:tc>
        <w:tc>
          <w:tcPr>
            <w:tcW w:w="664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360" w:hanging="998"/>
        <w:spacing w:after="0"/>
        <w:tabs>
          <w:tab w:leader="none" w:pos="2360" w:val="left"/>
        </w:tabs>
        <w:numPr>
          <w:ilvl w:val="0"/>
          <w:numId w:val="25"/>
        </w:numPr>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Subsidiaries of Farmers &amp; Merchants Bancorp, Inc.</w:t>
        </w:r>
      </w:hyperlink>
    </w:p>
    <w:p>
      <w:pPr>
        <w:spacing w:after="0" w:line="83" w:lineRule="exact"/>
        <w:rPr>
          <w:sz w:val="20"/>
          <w:szCs w:val="20"/>
          <w:color w:val="auto"/>
        </w:rPr>
      </w:pPr>
    </w:p>
    <w:p>
      <w:pPr>
        <w:ind w:left="2360" w:hanging="998"/>
        <w:spacing w:after="0"/>
        <w:tabs>
          <w:tab w:leader="none" w:pos="23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0000EE"/>
        </w:rPr>
        <w:t>Consent of BKD, LLP</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jc w:val="right"/>
              <w:ind w:right="492"/>
              <w:spacing w:after="0"/>
              <w:rPr>
                <w:sz w:val="20"/>
                <w:szCs w:val="20"/>
                <w:color w:val="auto"/>
              </w:rPr>
            </w:pPr>
            <w:r>
              <w:rPr>
                <w:rFonts w:ascii="Arial" w:cs="Arial" w:eastAsia="Arial" w:hAnsi="Arial"/>
                <w:sz w:val="18"/>
                <w:szCs w:val="18"/>
                <w:color w:val="auto"/>
              </w:rPr>
              <w:t>(31.1)</w:t>
            </w:r>
          </w:p>
        </w:tc>
        <w:tc>
          <w:tcPr>
            <w:tcW w:w="6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21">
              <w:r>
                <w:rPr>
                  <w:rFonts w:ascii="Arial" w:cs="Arial" w:eastAsia="Arial" w:hAnsi="Arial"/>
                  <w:sz w:val="18"/>
                  <w:szCs w:val="18"/>
                  <w:color w:val="0000EE"/>
                  <w:w w:val="89"/>
                </w:rPr>
                <w:t>Certification of the Chief Executive Officer Required under Rule 13(a)-14(a)/15d-14(a)</w:t>
              </w:r>
            </w:hyperlink>
          </w:p>
        </w:tc>
        <w:tc>
          <w:tcPr>
            <w:tcW w:w="2720" w:type="dxa"/>
            <w:vAlign w:val="bottom"/>
            <w:gridSpan w:val="3"/>
          </w:tcPr>
          <w:p>
            <w:pPr>
              <w:spacing w:after="0"/>
              <w:rPr>
                <w:sz w:val="18"/>
                <w:szCs w:val="18"/>
                <w:color w:val="auto"/>
              </w:rPr>
            </w:pPr>
          </w:p>
        </w:tc>
      </w:tr>
      <w:tr>
        <w:trPr>
          <w:trHeight w:val="270"/>
        </w:trPr>
        <w:tc>
          <w:tcPr>
            <w:tcW w:w="2360" w:type="dxa"/>
            <w:vAlign w:val="bottom"/>
          </w:tcPr>
          <w:p>
            <w:pPr>
              <w:jc w:val="right"/>
              <w:ind w:right="492"/>
              <w:spacing w:after="0"/>
              <w:rPr>
                <w:sz w:val="20"/>
                <w:szCs w:val="20"/>
                <w:color w:val="auto"/>
              </w:rPr>
            </w:pPr>
            <w:r>
              <w:rPr>
                <w:rFonts w:ascii="Arial" w:cs="Arial" w:eastAsia="Arial" w:hAnsi="Arial"/>
                <w:sz w:val="18"/>
                <w:szCs w:val="18"/>
                <w:color w:val="auto"/>
              </w:rPr>
              <w:t>(31.2)</w:t>
            </w:r>
          </w:p>
        </w:tc>
        <w:tc>
          <w:tcPr>
            <w:tcW w:w="8880" w:type="dxa"/>
            <w:vAlign w:val="bottom"/>
            <w:gridSpan w:val="5"/>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Certification of the Chief Financial Officer Required under Rule 13(a)-14(a)/15d-14(a)</w:t>
              </w:r>
            </w:hyperlink>
          </w:p>
        </w:tc>
      </w:tr>
      <w:tr>
        <w:trPr>
          <w:trHeight w:val="20"/>
        </w:trPr>
        <w:tc>
          <w:tcPr>
            <w:tcW w:w="2360" w:type="dxa"/>
            <w:vAlign w:val="bottom"/>
          </w:tcPr>
          <w:p>
            <w:pPr>
              <w:spacing w:after="0" w:line="20" w:lineRule="exact"/>
              <w:rPr>
                <w:sz w:val="1"/>
                <w:szCs w:val="1"/>
                <w:color w:val="auto"/>
              </w:rPr>
            </w:pPr>
          </w:p>
        </w:tc>
        <w:tc>
          <w:tcPr>
            <w:tcW w:w="610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0"/>
        </w:trPr>
        <w:tc>
          <w:tcPr>
            <w:tcW w:w="2360" w:type="dxa"/>
            <w:vAlign w:val="bottom"/>
          </w:tcPr>
          <w:p>
            <w:pPr>
              <w:jc w:val="right"/>
              <w:ind w:right="492"/>
              <w:spacing w:after="0"/>
              <w:rPr>
                <w:sz w:val="20"/>
                <w:szCs w:val="20"/>
                <w:color w:val="auto"/>
              </w:rPr>
            </w:pPr>
            <w:r>
              <w:rPr>
                <w:rFonts w:ascii="Arial" w:cs="Arial" w:eastAsia="Arial" w:hAnsi="Arial"/>
                <w:sz w:val="18"/>
                <w:szCs w:val="18"/>
                <w:color w:val="auto"/>
              </w:rPr>
              <w:t>(32.1)</w:t>
            </w:r>
          </w:p>
        </w:tc>
        <w:tc>
          <w:tcPr>
            <w:tcW w:w="8880" w:type="dxa"/>
            <w:vAlign w:val="bottom"/>
            <w:gridSpan w:val="5"/>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Certification of the Chief Executive Officer Pursuant to Section 906 of the Sarbanes-Oxley Act of 2002.</w:t>
              </w:r>
            </w:hyperlink>
          </w:p>
        </w:tc>
      </w:tr>
      <w:tr>
        <w:trPr>
          <w:trHeight w:val="270"/>
        </w:trPr>
        <w:tc>
          <w:tcPr>
            <w:tcW w:w="2360" w:type="dxa"/>
            <w:vAlign w:val="bottom"/>
          </w:tcPr>
          <w:p>
            <w:pPr>
              <w:jc w:val="right"/>
              <w:ind w:right="492"/>
              <w:spacing w:after="0"/>
              <w:rPr>
                <w:sz w:val="20"/>
                <w:szCs w:val="20"/>
                <w:color w:val="auto"/>
              </w:rPr>
            </w:pPr>
            <w:r>
              <w:rPr>
                <w:rFonts w:ascii="Arial" w:cs="Arial" w:eastAsia="Arial" w:hAnsi="Arial"/>
                <w:sz w:val="18"/>
                <w:szCs w:val="18"/>
                <w:color w:val="auto"/>
              </w:rPr>
              <w:t>(32.2)</w:t>
            </w:r>
          </w:p>
        </w:tc>
        <w:tc>
          <w:tcPr>
            <w:tcW w:w="7320" w:type="dxa"/>
            <w:vAlign w:val="bottom"/>
            <w:tcBorders>
              <w:top w:val="single" w:sz="8" w:color="0000EE"/>
            </w:tcBorders>
            <w:gridSpan w:val="4"/>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Certification of the Chief Financial Officer Pursuant to Section 906 of the Sarbanes-Oxley Act of 2002.</w:t>
              </w:r>
            </w:hyperlink>
          </w:p>
        </w:tc>
        <w:tc>
          <w:tcPr>
            <w:tcW w:w="1560" w:type="dxa"/>
            <w:vAlign w:val="bottom"/>
          </w:tcPr>
          <w:p>
            <w:pPr>
              <w:spacing w:after="0"/>
              <w:rPr>
                <w:sz w:val="23"/>
                <w:szCs w:val="23"/>
                <w:color w:val="auto"/>
              </w:rPr>
            </w:pPr>
          </w:p>
        </w:tc>
      </w:tr>
      <w:tr>
        <w:trPr>
          <w:trHeight w:val="440"/>
        </w:trPr>
        <w:tc>
          <w:tcPr>
            <w:tcW w:w="2360" w:type="dxa"/>
            <w:vAlign w:val="bottom"/>
          </w:tcPr>
          <w:p>
            <w:pPr>
              <w:spacing w:after="0"/>
              <w:rPr>
                <w:sz w:val="24"/>
                <w:szCs w:val="24"/>
                <w:color w:val="auto"/>
              </w:rPr>
            </w:pPr>
          </w:p>
        </w:tc>
        <w:tc>
          <w:tcPr>
            <w:tcW w:w="6100" w:type="dxa"/>
            <w:vAlign w:val="bottom"/>
            <w:tcBorders>
              <w:top w:val="single" w:sz="8" w:color="0000EE"/>
            </w:tcBorders>
          </w:tcPr>
          <w:p>
            <w:pPr>
              <w:ind w:left="3140"/>
              <w:spacing w:after="0"/>
              <w:rPr>
                <w:sz w:val="20"/>
                <w:szCs w:val="20"/>
                <w:color w:val="auto"/>
              </w:rPr>
            </w:pPr>
            <w:r>
              <w:rPr>
                <w:rFonts w:ascii="Arial" w:cs="Arial" w:eastAsia="Arial" w:hAnsi="Arial"/>
                <w:sz w:val="18"/>
                <w:szCs w:val="18"/>
                <w:color w:val="auto"/>
              </w:rPr>
              <w:t>116</w:t>
            </w:r>
          </w:p>
        </w:tc>
        <w:tc>
          <w:tcPr>
            <w:tcW w:w="6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2"/>
        </w:trPr>
        <w:tc>
          <w:tcPr>
            <w:tcW w:w="2360" w:type="dxa"/>
            <w:vAlign w:val="bottom"/>
            <w:tcBorders>
              <w:bottom w:val="single" w:sz="8" w:color="9A9A9A"/>
            </w:tcBorders>
          </w:tcPr>
          <w:p>
            <w:pPr>
              <w:spacing w:after="0"/>
              <w:rPr>
                <w:sz w:val="9"/>
                <w:szCs w:val="9"/>
                <w:color w:val="auto"/>
              </w:rPr>
            </w:pPr>
          </w:p>
        </w:tc>
        <w:tc>
          <w:tcPr>
            <w:tcW w:w="6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98" w:right="239" w:bottom="1440" w:gutter="0" w:footer="0" w:header="0"/>
        </w:sectPr>
      </w:pPr>
    </w:p>
    <w:bookmarkStart w:id="116" w:name="page117"/>
    <w:bookmarkEnd w:id="116"/>
    <w:tbl>
      <w:tblPr>
        <w:tblLayout w:type="fixed"/>
        <w:tblInd w:w="1360" w:type="dxa"/>
        <w:tblCellMar>
          <w:top w:w="0" w:type="dxa"/>
          <w:left w:w="0" w:type="dxa"/>
          <w:bottom w:w="0" w:type="dxa"/>
          <w:right w:w="0" w:type="dxa"/>
        </w:tblCellMar>
      </w:tblPr>
      <w:tr>
        <w:trPr>
          <w:trHeight w:val="210"/>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9140" w:type="dxa"/>
            <w:vAlign w:val="bottom"/>
          </w:tcPr>
          <w:p>
            <w:pPr>
              <w:ind w:left="160"/>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its XBRL tags</w:t>
            </w:r>
          </w:p>
        </w:tc>
      </w:tr>
      <w:tr>
        <w:trPr>
          <w:trHeight w:val="223"/>
        </w:trPr>
        <w:tc>
          <w:tcPr>
            <w:tcW w:w="840" w:type="dxa"/>
            <w:vAlign w:val="bottom"/>
          </w:tcPr>
          <w:p>
            <w:pPr>
              <w:spacing w:after="0"/>
              <w:rPr>
                <w:sz w:val="19"/>
                <w:szCs w:val="19"/>
                <w:color w:val="auto"/>
              </w:rPr>
            </w:pP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embedded within the Inline XBRL document. </w:t>
            </w:r>
            <w:r>
              <w:rPr>
                <w:rFonts w:ascii="Arial" w:cs="Arial" w:eastAsia="Arial" w:hAnsi="Arial"/>
                <w:sz w:val="14"/>
                <w:szCs w:val="14"/>
                <w:color w:val="auto"/>
              </w:rPr>
              <w:t>(1)</w:t>
            </w: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4"/>
                <w:szCs w:val="14"/>
                <w:color w:val="auto"/>
              </w:rPr>
              <w:t>(1)</w:t>
            </w: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4"/>
                <w:szCs w:val="14"/>
                <w:color w:val="auto"/>
              </w:rPr>
              <w:t>(1)</w:t>
            </w: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4"/>
                <w:szCs w:val="14"/>
                <w:color w:val="auto"/>
              </w:rPr>
              <w:t>(1)</w:t>
            </w: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4"/>
                <w:szCs w:val="14"/>
                <w:color w:val="auto"/>
              </w:rPr>
              <w:t>(1)</w:t>
            </w: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9140" w:type="dxa"/>
            <w:vAlign w:val="bottom"/>
          </w:tcPr>
          <w:p>
            <w:pPr>
              <w:ind w:left="160"/>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4"/>
                <w:szCs w:val="14"/>
                <w:color w:val="auto"/>
              </w:rPr>
              <w:t>(1)</w:t>
            </w:r>
          </w:p>
        </w:tc>
      </w:tr>
    </w:tbl>
    <w:p>
      <w:pPr>
        <w:ind w:left="2360" w:hanging="998"/>
        <w:spacing w:after="0" w:line="248" w:lineRule="auto"/>
        <w:tabs>
          <w:tab w:leader="none" w:pos="2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year ended December 31, 2020, has been formatte Inline XBRL.</w:t>
      </w:r>
    </w:p>
    <w:p>
      <w:pPr>
        <w:spacing w:after="0" w:line="74" w:lineRule="exact"/>
        <w:rPr>
          <w:rFonts w:ascii="Arial" w:cs="Arial" w:eastAsia="Arial" w:hAnsi="Arial"/>
          <w:sz w:val="18"/>
          <w:szCs w:val="18"/>
          <w:color w:val="auto"/>
        </w:rPr>
      </w:pPr>
    </w:p>
    <w:p>
      <w:pPr>
        <w:ind w:right="180" w:firstLine="5"/>
        <w:spacing w:after="0" w:line="253" w:lineRule="auto"/>
        <w:tabs>
          <w:tab w:leader="none" w:pos="218" w:val="left"/>
        </w:tabs>
        <w:numPr>
          <w:ilvl w:val="0"/>
          <w:numId w:val="28"/>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72"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By  /s/ Lars B. Eller</w:t>
            </w:r>
          </w:p>
        </w:tc>
        <w:tc>
          <w:tcPr>
            <w:tcW w:w="720" w:type="dxa"/>
            <w:vAlign w:val="bottom"/>
          </w:tcPr>
          <w:p>
            <w:pPr>
              <w:ind w:left="100"/>
              <w:spacing w:after="0"/>
              <w:rPr>
                <w:sz w:val="20"/>
                <w:szCs w:val="20"/>
                <w:color w:val="auto"/>
              </w:rPr>
            </w:pPr>
            <w:r>
              <w:rPr>
                <w:rFonts w:ascii="Arial" w:cs="Arial" w:eastAsia="Arial" w:hAnsi="Arial"/>
                <w:sz w:val="18"/>
                <w:szCs w:val="18"/>
                <w:color w:val="auto"/>
              </w:rPr>
              <w:t>Date:</w:t>
            </w:r>
          </w:p>
        </w:tc>
        <w:tc>
          <w:tcPr>
            <w:tcW w:w="1820" w:type="dxa"/>
            <w:vAlign w:val="bottom"/>
          </w:tcPr>
          <w:p>
            <w:pPr>
              <w:spacing w:after="0"/>
              <w:rPr>
                <w:sz w:val="20"/>
                <w:szCs w:val="20"/>
                <w:color w:val="auto"/>
              </w:rPr>
            </w:pPr>
            <w:r>
              <w:rPr>
                <w:rFonts w:ascii="Arial" w:cs="Arial" w:eastAsia="Arial" w:hAnsi="Arial"/>
                <w:sz w:val="18"/>
                <w:szCs w:val="18"/>
                <w:color w:val="auto"/>
              </w:rPr>
              <w:t>February 15, 2022</w:t>
            </w:r>
          </w:p>
        </w:tc>
      </w:tr>
      <w:tr>
        <w:trPr>
          <w:trHeight w:val="192"/>
        </w:trPr>
        <w:tc>
          <w:tcPr>
            <w:tcW w:w="360" w:type="dxa"/>
            <w:vAlign w:val="bottom"/>
          </w:tcPr>
          <w:p>
            <w:pPr>
              <w:spacing w:after="0"/>
              <w:rPr>
                <w:sz w:val="16"/>
                <w:szCs w:val="16"/>
                <w:color w:val="auto"/>
              </w:rPr>
            </w:pPr>
          </w:p>
        </w:tc>
        <w:tc>
          <w:tcPr>
            <w:tcW w:w="328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Lars B. Eller</w:t>
            </w:r>
          </w:p>
        </w:tc>
        <w:tc>
          <w:tcPr>
            <w:tcW w:w="7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r>
      <w:tr>
        <w:trPr>
          <w:trHeight w:val="211"/>
        </w:trPr>
        <w:tc>
          <w:tcPr>
            <w:tcW w:w="3640" w:type="dxa"/>
            <w:vAlign w:val="bottom"/>
            <w:gridSpan w:val="2"/>
          </w:tcPr>
          <w:p>
            <w:pPr>
              <w:ind w:left="360"/>
              <w:spacing w:after="0"/>
              <w:rPr>
                <w:sz w:val="20"/>
                <w:szCs w:val="20"/>
                <w:color w:val="auto"/>
              </w:rPr>
            </w:pPr>
            <w:r>
              <w:rPr>
                <w:rFonts w:ascii="Arial" w:cs="Arial" w:eastAsia="Arial" w:hAnsi="Arial"/>
                <w:sz w:val="18"/>
                <w:szCs w:val="18"/>
                <w:color w:val="auto"/>
              </w:rPr>
              <w:t>Chief Executive Officer</w:t>
            </w:r>
          </w:p>
        </w:tc>
        <w:tc>
          <w:tcPr>
            <w:tcW w:w="7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3640" w:type="dxa"/>
            <w:vAlign w:val="bottom"/>
            <w:gridSpan w:val="2"/>
          </w:tcPr>
          <w:p>
            <w:pPr>
              <w:ind w:left="360"/>
              <w:spacing w:after="0"/>
              <w:rPr>
                <w:sz w:val="20"/>
                <w:szCs w:val="20"/>
                <w:color w:val="auto"/>
              </w:rPr>
            </w:pPr>
            <w:r>
              <w:rPr>
                <w:rFonts w:ascii="Arial" w:cs="Arial" w:eastAsia="Arial" w:hAnsi="Arial"/>
                <w:sz w:val="18"/>
                <w:szCs w:val="18"/>
                <w:color w:val="auto"/>
              </w:rPr>
              <w:t>President</w:t>
            </w:r>
          </w:p>
        </w:tc>
        <w:tc>
          <w:tcPr>
            <w:tcW w:w="72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auto"/>
              </w:rPr>
              <w:t>/s/ Lars B. Eller</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February 15, 2022</w:t>
            </w:r>
          </w:p>
        </w:tc>
        <w:tc>
          <w:tcPr>
            <w:tcW w:w="3020" w:type="dxa"/>
            <w:vAlign w:val="bottom"/>
            <w:gridSpan w:val="2"/>
          </w:tcPr>
          <w:p>
            <w:pPr>
              <w:ind w:left="80"/>
              <w:spacing w:after="0"/>
              <w:rPr>
                <w:sz w:val="20"/>
                <w:szCs w:val="20"/>
                <w:color w:val="auto"/>
              </w:rPr>
            </w:pPr>
            <w:r>
              <w:rPr>
                <w:rFonts w:ascii="Arial" w:cs="Arial" w:eastAsia="Arial" w:hAnsi="Arial"/>
                <w:sz w:val="18"/>
                <w:szCs w:val="18"/>
                <w:color w:val="auto"/>
              </w:rPr>
              <w:t>/s/ Barbara J. Britenriker</w:t>
            </w:r>
          </w:p>
        </w:tc>
        <w:tc>
          <w:tcPr>
            <w:tcW w:w="580" w:type="dxa"/>
            <w:vAlign w:val="bottom"/>
          </w:tcPr>
          <w:p>
            <w:pPr>
              <w:ind w:left="60"/>
              <w:spacing w:after="0"/>
              <w:rPr>
                <w:sz w:val="20"/>
                <w:szCs w:val="20"/>
                <w:color w:val="auto"/>
              </w:rPr>
            </w:pPr>
            <w:r>
              <w:rPr>
                <w:rFonts w:ascii="Arial" w:cs="Arial" w:eastAsia="Arial" w:hAnsi="Arial"/>
                <w:sz w:val="18"/>
                <w:szCs w:val="18"/>
                <w:color w:val="auto"/>
              </w:rPr>
              <w:t>Date:</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15, 2022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4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Lars B. Eller</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Barbara J. Britenriker</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500" w:type="dxa"/>
            <w:vAlign w:val="bottom"/>
            <w:gridSpan w:val="5"/>
          </w:tcPr>
          <w:p>
            <w:pPr>
              <w:spacing w:after="0"/>
              <w:rPr>
                <w:sz w:val="20"/>
                <w:szCs w:val="20"/>
                <w:color w:val="auto"/>
              </w:rPr>
            </w:pPr>
            <w:r>
              <w:rPr>
                <w:rFonts w:ascii="Arial" w:cs="Arial" w:eastAsia="Arial" w:hAnsi="Arial"/>
                <w:sz w:val="18"/>
                <w:szCs w:val="18"/>
                <w:color w:val="auto"/>
              </w:rPr>
              <w:t>Chief Executive Officer (Principal Executive Officer)</w:t>
            </w:r>
          </w:p>
        </w:tc>
        <w:tc>
          <w:tcPr>
            <w:tcW w:w="302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/s/ Andrew J. Briggs</w:t>
            </w:r>
          </w:p>
        </w:tc>
        <w:tc>
          <w:tcPr>
            <w:tcW w:w="540" w:type="dxa"/>
            <w:vAlign w:val="bottom"/>
            <w:vMerge w:val="restart"/>
          </w:tcPr>
          <w:p>
            <w:pPr>
              <w:ind w:left="80"/>
              <w:spacing w:after="0"/>
              <w:rPr>
                <w:sz w:val="20"/>
                <w:szCs w:val="20"/>
                <w:color w:val="auto"/>
              </w:rPr>
            </w:pPr>
            <w:r>
              <w:rPr>
                <w:rFonts w:ascii="Arial" w:cs="Arial" w:eastAsia="Arial" w:hAnsi="Arial"/>
                <w:sz w:val="18"/>
                <w:szCs w:val="18"/>
                <w:color w:val="auto"/>
              </w:rPr>
              <w:t>Date:</w:t>
            </w:r>
          </w:p>
        </w:tc>
        <w:tc>
          <w:tcPr>
            <w:tcW w:w="2000" w:type="dxa"/>
            <w:vAlign w:val="bottom"/>
            <w:gridSpan w:val="2"/>
            <w:vMerge w:val="restart"/>
          </w:tcPr>
          <w:p>
            <w:pPr>
              <w:ind w:left="80"/>
              <w:spacing w:after="0"/>
              <w:rPr>
                <w:sz w:val="20"/>
                <w:szCs w:val="20"/>
                <w:color w:val="auto"/>
              </w:rPr>
            </w:pPr>
            <w:r>
              <w:rPr>
                <w:rFonts w:ascii="Arial" w:cs="Arial" w:eastAsia="Arial" w:hAnsi="Arial"/>
                <w:sz w:val="18"/>
                <w:szCs w:val="18"/>
                <w:color w:val="auto"/>
              </w:rPr>
              <w:t>February 15, 2022</w:t>
            </w:r>
          </w:p>
        </w:tc>
        <w:tc>
          <w:tcPr>
            <w:tcW w:w="5680" w:type="dxa"/>
            <w:vAlign w:val="bottom"/>
            <w:gridSpan w:val="5"/>
          </w:tcPr>
          <w:p>
            <w:pPr>
              <w:ind w:left="80"/>
              <w:spacing w:after="0"/>
              <w:rPr>
                <w:sz w:val="20"/>
                <w:szCs w:val="20"/>
                <w:color w:val="auto"/>
              </w:rPr>
            </w:pPr>
            <w:r>
              <w:rPr>
                <w:rFonts w:ascii="Arial" w:cs="Arial" w:eastAsia="Arial" w:hAnsi="Arial"/>
                <w:sz w:val="18"/>
                <w:szCs w:val="18"/>
                <w:color w:val="auto"/>
              </w:rPr>
              <w:t>(Principal Financial Officer/Principal Accounting Officer)</w:t>
            </w:r>
          </w:p>
        </w:tc>
        <w:tc>
          <w:tcPr>
            <w:tcW w:w="0" w:type="dxa"/>
            <w:vAlign w:val="bottom"/>
          </w:tcPr>
          <w:p>
            <w:pPr>
              <w:spacing w:after="0"/>
              <w:rPr>
                <w:sz w:val="1"/>
                <w:szCs w:val="1"/>
                <w:color w:val="auto"/>
              </w:rPr>
            </w:pPr>
          </w:p>
        </w:tc>
      </w:tr>
      <w:tr>
        <w:trPr>
          <w:trHeight w:val="199"/>
        </w:trPr>
        <w:tc>
          <w:tcPr>
            <w:tcW w:w="296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60" w:type="dxa"/>
            <w:vAlign w:val="bottom"/>
            <w:gridSpan w:val="2"/>
          </w:tcPr>
          <w:p>
            <w:pPr>
              <w:spacing w:after="0"/>
              <w:rPr>
                <w:sz w:val="20"/>
                <w:szCs w:val="20"/>
                <w:color w:val="auto"/>
              </w:rPr>
            </w:pPr>
            <w:r>
              <w:rPr>
                <w:rFonts w:ascii="Arial" w:cs="Arial" w:eastAsia="Arial" w:hAnsi="Arial"/>
                <w:sz w:val="18"/>
                <w:szCs w:val="18"/>
                <w:color w:val="auto"/>
              </w:rPr>
              <w:t>Andrew J. Briggs, Director</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960" w:type="dxa"/>
            <w:vAlign w:val="bottom"/>
            <w:gridSpan w:val="2"/>
          </w:tcPr>
          <w:p>
            <w:pPr>
              <w:spacing w:after="0"/>
              <w:rPr>
                <w:sz w:val="20"/>
                <w:szCs w:val="20"/>
                <w:color w:val="auto"/>
              </w:rPr>
            </w:pPr>
            <w:r>
              <w:rPr>
                <w:rFonts w:ascii="Arial" w:cs="Arial" w:eastAsia="Arial" w:hAnsi="Arial"/>
                <w:sz w:val="18"/>
                <w:szCs w:val="18"/>
                <w:color w:val="auto"/>
              </w:rPr>
              <w:t>/s/ Eugene N. Burkholder</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February 15, 2022</w:t>
            </w:r>
          </w:p>
        </w:tc>
        <w:tc>
          <w:tcPr>
            <w:tcW w:w="3020" w:type="dxa"/>
            <w:vAlign w:val="bottom"/>
            <w:gridSpan w:val="2"/>
          </w:tcPr>
          <w:p>
            <w:pPr>
              <w:ind w:left="80"/>
              <w:spacing w:after="0"/>
              <w:rPr>
                <w:sz w:val="20"/>
                <w:szCs w:val="20"/>
                <w:color w:val="auto"/>
              </w:rPr>
            </w:pPr>
            <w:r>
              <w:rPr>
                <w:rFonts w:ascii="Arial" w:cs="Arial" w:eastAsia="Arial" w:hAnsi="Arial"/>
                <w:sz w:val="18"/>
                <w:szCs w:val="18"/>
                <w:color w:val="auto"/>
              </w:rPr>
              <w:t>/s/ Jo Ellen Hornish</w:t>
            </w:r>
          </w:p>
        </w:tc>
        <w:tc>
          <w:tcPr>
            <w:tcW w:w="580" w:type="dxa"/>
            <w:vAlign w:val="bottom"/>
          </w:tcPr>
          <w:p>
            <w:pPr>
              <w:ind w:left="60"/>
              <w:spacing w:after="0"/>
              <w:rPr>
                <w:sz w:val="20"/>
                <w:szCs w:val="20"/>
                <w:color w:val="auto"/>
              </w:rPr>
            </w:pPr>
            <w:r>
              <w:rPr>
                <w:rFonts w:ascii="Arial" w:cs="Arial" w:eastAsia="Arial" w:hAnsi="Arial"/>
                <w:sz w:val="18"/>
                <w:szCs w:val="18"/>
                <w:color w:val="auto"/>
              </w:rPr>
              <w:t>Date:</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15,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Eugene N. Burkholder, Director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 Ellen Hornish, Director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60" w:type="dxa"/>
            <w:vAlign w:val="bottom"/>
            <w:gridSpan w:val="2"/>
          </w:tcPr>
          <w:p>
            <w:pPr>
              <w:spacing w:after="0"/>
              <w:rPr>
                <w:sz w:val="20"/>
                <w:szCs w:val="20"/>
                <w:color w:val="auto"/>
              </w:rPr>
            </w:pPr>
            <w:r>
              <w:rPr>
                <w:rFonts w:ascii="Arial" w:cs="Arial" w:eastAsia="Arial" w:hAnsi="Arial"/>
                <w:sz w:val="18"/>
                <w:szCs w:val="18"/>
                <w:color w:val="auto"/>
              </w:rPr>
              <w:t>/s/ Jack C. Johnson</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February 15, 2022</w:t>
            </w:r>
          </w:p>
        </w:tc>
        <w:tc>
          <w:tcPr>
            <w:tcW w:w="3020" w:type="dxa"/>
            <w:vAlign w:val="bottom"/>
            <w:gridSpan w:val="2"/>
          </w:tcPr>
          <w:p>
            <w:pPr>
              <w:ind w:left="80"/>
              <w:spacing w:after="0"/>
              <w:rPr>
                <w:sz w:val="20"/>
                <w:szCs w:val="20"/>
                <w:color w:val="auto"/>
              </w:rPr>
            </w:pPr>
            <w:r>
              <w:rPr>
                <w:rFonts w:ascii="Arial" w:cs="Arial" w:eastAsia="Arial" w:hAnsi="Arial"/>
                <w:sz w:val="18"/>
                <w:szCs w:val="18"/>
                <w:color w:val="auto"/>
              </w:rPr>
              <w:t>/s/ Lori A. Johnston</w:t>
            </w:r>
          </w:p>
        </w:tc>
        <w:tc>
          <w:tcPr>
            <w:tcW w:w="580" w:type="dxa"/>
            <w:vAlign w:val="bottom"/>
          </w:tcPr>
          <w:p>
            <w:pPr>
              <w:ind w:left="60"/>
              <w:spacing w:after="0"/>
              <w:rPr>
                <w:sz w:val="20"/>
                <w:szCs w:val="20"/>
                <w:color w:val="auto"/>
              </w:rPr>
            </w:pPr>
            <w:r>
              <w:rPr>
                <w:rFonts w:ascii="Arial" w:cs="Arial" w:eastAsia="Arial" w:hAnsi="Arial"/>
                <w:sz w:val="18"/>
                <w:szCs w:val="18"/>
                <w:color w:val="auto"/>
              </w:rPr>
              <w:t>Date:</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15,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Jack C. Johnson, Director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Lori A. Johnston, Director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60" w:type="dxa"/>
            <w:vAlign w:val="bottom"/>
            <w:gridSpan w:val="2"/>
          </w:tcPr>
          <w:p>
            <w:pPr>
              <w:spacing w:after="0"/>
              <w:rPr>
                <w:sz w:val="20"/>
                <w:szCs w:val="20"/>
                <w:color w:val="auto"/>
              </w:rPr>
            </w:pPr>
            <w:r>
              <w:rPr>
                <w:rFonts w:ascii="Arial" w:cs="Arial" w:eastAsia="Arial" w:hAnsi="Arial"/>
                <w:sz w:val="18"/>
                <w:szCs w:val="18"/>
                <w:color w:val="auto"/>
              </w:rPr>
              <w:t>/s/ Marcia S. Latta</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February 15, 2022</w:t>
            </w:r>
          </w:p>
        </w:tc>
        <w:tc>
          <w:tcPr>
            <w:tcW w:w="3020" w:type="dxa"/>
            <w:vAlign w:val="bottom"/>
            <w:gridSpan w:val="2"/>
          </w:tcPr>
          <w:p>
            <w:pPr>
              <w:ind w:left="80"/>
              <w:spacing w:after="0"/>
              <w:rPr>
                <w:sz w:val="20"/>
                <w:szCs w:val="20"/>
                <w:color w:val="auto"/>
              </w:rPr>
            </w:pPr>
            <w:r>
              <w:rPr>
                <w:rFonts w:ascii="Arial" w:cs="Arial" w:eastAsia="Arial" w:hAnsi="Arial"/>
                <w:sz w:val="18"/>
                <w:szCs w:val="18"/>
                <w:color w:val="auto"/>
              </w:rPr>
              <w:t>/s/ Steven J. Planson</w:t>
            </w:r>
          </w:p>
        </w:tc>
        <w:tc>
          <w:tcPr>
            <w:tcW w:w="580" w:type="dxa"/>
            <w:vAlign w:val="bottom"/>
          </w:tcPr>
          <w:p>
            <w:pPr>
              <w:ind w:left="60"/>
              <w:spacing w:after="0"/>
              <w:rPr>
                <w:sz w:val="20"/>
                <w:szCs w:val="20"/>
                <w:color w:val="auto"/>
              </w:rPr>
            </w:pPr>
            <w:r>
              <w:rPr>
                <w:rFonts w:ascii="Arial" w:cs="Arial" w:eastAsia="Arial" w:hAnsi="Arial"/>
                <w:sz w:val="18"/>
                <w:szCs w:val="18"/>
                <w:color w:val="auto"/>
              </w:rPr>
              <w:t>Date:</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15,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Marcia S. Latta, Director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J. Planson, Director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60" w:type="dxa"/>
            <w:vAlign w:val="bottom"/>
            <w:gridSpan w:val="2"/>
          </w:tcPr>
          <w:p>
            <w:pPr>
              <w:spacing w:after="0"/>
              <w:rPr>
                <w:sz w:val="20"/>
                <w:szCs w:val="20"/>
                <w:color w:val="auto"/>
              </w:rPr>
            </w:pPr>
            <w:r>
              <w:rPr>
                <w:rFonts w:ascii="Arial" w:cs="Arial" w:eastAsia="Arial" w:hAnsi="Arial"/>
                <w:sz w:val="18"/>
                <w:szCs w:val="18"/>
                <w:color w:val="auto"/>
              </w:rPr>
              <w:t>/s/ Kevin J. Sauder</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February 15, 2022</w:t>
            </w:r>
          </w:p>
        </w:tc>
        <w:tc>
          <w:tcPr>
            <w:tcW w:w="3020" w:type="dxa"/>
            <w:vAlign w:val="bottom"/>
            <w:gridSpan w:val="2"/>
          </w:tcPr>
          <w:p>
            <w:pPr>
              <w:ind w:left="80"/>
              <w:spacing w:after="0"/>
              <w:rPr>
                <w:sz w:val="20"/>
                <w:szCs w:val="20"/>
                <w:color w:val="auto"/>
              </w:rPr>
            </w:pPr>
            <w:r>
              <w:rPr>
                <w:rFonts w:ascii="Arial" w:cs="Arial" w:eastAsia="Arial" w:hAnsi="Arial"/>
                <w:sz w:val="18"/>
                <w:szCs w:val="18"/>
                <w:color w:val="auto"/>
              </w:rPr>
              <w:t>/s/ Frank R. Simon</w:t>
            </w:r>
          </w:p>
        </w:tc>
        <w:tc>
          <w:tcPr>
            <w:tcW w:w="580" w:type="dxa"/>
            <w:vAlign w:val="bottom"/>
          </w:tcPr>
          <w:p>
            <w:pPr>
              <w:ind w:left="60"/>
              <w:spacing w:after="0"/>
              <w:rPr>
                <w:sz w:val="20"/>
                <w:szCs w:val="20"/>
                <w:color w:val="auto"/>
              </w:rPr>
            </w:pPr>
            <w:r>
              <w:rPr>
                <w:rFonts w:ascii="Arial" w:cs="Arial" w:eastAsia="Arial" w:hAnsi="Arial"/>
                <w:sz w:val="18"/>
                <w:szCs w:val="18"/>
                <w:color w:val="auto"/>
              </w:rPr>
              <w:t>Date:</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15,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J. Sauder, Director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R. Simon, Director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60" w:type="dxa"/>
            <w:vAlign w:val="bottom"/>
            <w:gridSpan w:val="2"/>
          </w:tcPr>
          <w:p>
            <w:pPr>
              <w:spacing w:after="0"/>
              <w:rPr>
                <w:sz w:val="20"/>
                <w:szCs w:val="20"/>
                <w:color w:val="auto"/>
              </w:rPr>
            </w:pPr>
            <w:r>
              <w:rPr>
                <w:rFonts w:ascii="Arial" w:cs="Arial" w:eastAsia="Arial" w:hAnsi="Arial"/>
                <w:sz w:val="18"/>
                <w:szCs w:val="18"/>
                <w:color w:val="auto"/>
              </w:rPr>
              <w:t>/s/ K. Brad Stamm</w:t>
            </w:r>
          </w:p>
        </w:tc>
        <w:tc>
          <w:tcPr>
            <w:tcW w:w="540" w:type="dxa"/>
            <w:vAlign w:val="bottom"/>
          </w:tcPr>
          <w:p>
            <w:pPr>
              <w:ind w:left="80"/>
              <w:spacing w:after="0"/>
              <w:rPr>
                <w:sz w:val="20"/>
                <w:szCs w:val="20"/>
                <w:color w:val="auto"/>
              </w:rPr>
            </w:pPr>
            <w:r>
              <w:rPr>
                <w:rFonts w:ascii="Arial" w:cs="Arial" w:eastAsia="Arial" w:hAnsi="Arial"/>
                <w:sz w:val="18"/>
                <w:szCs w:val="18"/>
                <w:color w:val="auto"/>
              </w:rPr>
              <w:t>Date:</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February 15, 2022</w:t>
            </w:r>
          </w:p>
        </w:tc>
        <w:tc>
          <w:tcPr>
            <w:tcW w:w="3020" w:type="dxa"/>
            <w:vAlign w:val="bottom"/>
            <w:gridSpan w:val="2"/>
          </w:tcPr>
          <w:p>
            <w:pPr>
              <w:ind w:left="80"/>
              <w:spacing w:after="0"/>
              <w:rPr>
                <w:sz w:val="20"/>
                <w:szCs w:val="20"/>
                <w:color w:val="auto"/>
              </w:rPr>
            </w:pPr>
            <w:r>
              <w:rPr>
                <w:rFonts w:ascii="Arial" w:cs="Arial" w:eastAsia="Arial" w:hAnsi="Arial"/>
                <w:sz w:val="18"/>
                <w:szCs w:val="18"/>
                <w:color w:val="auto"/>
              </w:rPr>
              <w:t>/s/ David P. Vernon</w:t>
            </w:r>
          </w:p>
        </w:tc>
        <w:tc>
          <w:tcPr>
            <w:tcW w:w="580" w:type="dxa"/>
            <w:vAlign w:val="bottom"/>
          </w:tcPr>
          <w:p>
            <w:pPr>
              <w:ind w:left="60"/>
              <w:spacing w:after="0"/>
              <w:rPr>
                <w:sz w:val="20"/>
                <w:szCs w:val="20"/>
                <w:color w:val="auto"/>
              </w:rPr>
            </w:pPr>
            <w:r>
              <w:rPr>
                <w:rFonts w:ascii="Arial" w:cs="Arial" w:eastAsia="Arial" w:hAnsi="Arial"/>
                <w:sz w:val="18"/>
                <w:szCs w:val="18"/>
                <w:color w:val="auto"/>
              </w:rPr>
              <w:t>Date:</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15,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 Brad Stamm, Director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P. Vernon, Director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87"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Exhibit 21</w:t>
      </w:r>
    </w:p>
    <w:p>
      <w:pPr>
        <w:spacing w:after="0" w:line="21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SUBSIDIAIRIES OF FARMERS &amp; MERCHANTS BANCORP, INC</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FARMERS &amp; MERCHANTS STATE BANK</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FARMERS &amp; MERCHANTS RISK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2799"/>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139"/>
          </w:cols>
          <w:pgMar w:left="320" w:top="319" w:right="1440"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147955</wp:posOffset>
            </wp:positionV>
            <wp:extent cx="5219700" cy="560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5219700" cy="56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consent to the incorporation by reference in this Registration Statement on Form S-8 (SEC File No. 333-248781) of our reports dated February 22, 2022, on our audits of the consolidated financial statements of Farmers &amp; Merchants Bancorp, Inc. as of December 31, 2021 and 2020, and for the three-year period ended December 31, 2021, which report is included in Farmers &amp; Merchants Bancorp, Inc.’s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1003935" cy="300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1003935" cy="30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Fort Wayne, 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Chief Executive Officer of Farmers &amp; Merchants Bancorp, Inc., certify that:</w:t>
      </w:r>
    </w:p>
    <w:p>
      <w:pPr>
        <w:spacing w:after="0" w:line="215" w:lineRule="exact"/>
        <w:rPr>
          <w:sz w:val="20"/>
          <w:szCs w:val="20"/>
          <w:color w:val="auto"/>
        </w:rPr>
      </w:pPr>
    </w:p>
    <w:p>
      <w:pPr>
        <w:ind w:left="400" w:hanging="395"/>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214" w:lineRule="exact"/>
        <w:rPr>
          <w:rFonts w:ascii="Arial" w:cs="Arial" w:eastAsia="Arial" w:hAnsi="Arial"/>
          <w:sz w:val="18"/>
          <w:szCs w:val="18"/>
          <w:color w:val="auto"/>
        </w:rPr>
      </w:pPr>
    </w:p>
    <w:p>
      <w:pPr>
        <w:ind w:left="400" w:hanging="395"/>
        <w:spacing w:after="0" w:line="325" w:lineRule="auto"/>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6"/>
          <w:szCs w:val="16"/>
          <w:color w:val="auto"/>
        </w:rPr>
      </w:pPr>
    </w:p>
    <w:p>
      <w:pPr>
        <w:ind w:left="400" w:hanging="395"/>
        <w:spacing w:after="0" w:line="262"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00" w:hanging="395"/>
        <w:spacing w:after="0" w:line="253"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00" w:firstLine="8"/>
        <w:spacing w:after="0" w:line="253"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00" w:firstLine="8"/>
        <w:spacing w:after="0" w:line="253" w:lineRule="auto"/>
        <w:tabs>
          <w:tab w:leader="none" w:pos="8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00" w:firstLine="8"/>
        <w:spacing w:after="0" w:line="325" w:lineRule="auto"/>
        <w:tabs>
          <w:tab w:leader="none" w:pos="887"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600" w:firstLine="8"/>
        <w:spacing w:after="0" w:line="253" w:lineRule="auto"/>
        <w:tabs>
          <w:tab w:leader="none" w:pos="8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00" w:hanging="395"/>
        <w:spacing w:after="0" w:line="325" w:lineRule="auto"/>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600" w:firstLine="8"/>
        <w:spacing w:after="0" w:line="262" w:lineRule="auto"/>
        <w:tabs>
          <w:tab w:leader="none" w:pos="8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00" w:firstLine="8"/>
        <w:spacing w:after="0" w:line="262" w:lineRule="auto"/>
        <w:tabs>
          <w:tab w:leader="none" w:pos="86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2540</wp:posOffset>
            </wp:positionV>
            <wp:extent cx="35636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Lars B. Eller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CEO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19"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Chief Financial Officer of Farmers &amp; Merchants Bancorp, Inc., certify that:</w:t>
      </w:r>
    </w:p>
    <w:p>
      <w:pPr>
        <w:spacing w:after="0" w:line="215" w:lineRule="exact"/>
        <w:rPr>
          <w:sz w:val="20"/>
          <w:szCs w:val="20"/>
          <w:color w:val="auto"/>
        </w:rPr>
      </w:pPr>
    </w:p>
    <w:p>
      <w:pPr>
        <w:ind w:left="400" w:hanging="395"/>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214" w:lineRule="exact"/>
        <w:rPr>
          <w:rFonts w:ascii="Arial" w:cs="Arial" w:eastAsia="Arial" w:hAnsi="Arial"/>
          <w:sz w:val="18"/>
          <w:szCs w:val="18"/>
          <w:color w:val="auto"/>
        </w:rPr>
      </w:pPr>
    </w:p>
    <w:p>
      <w:pPr>
        <w:ind w:left="400" w:hanging="395"/>
        <w:spacing w:after="0" w:line="325" w:lineRule="auto"/>
        <w:tabs>
          <w:tab w:leader="none" w:pos="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6"/>
          <w:szCs w:val="16"/>
          <w:color w:val="auto"/>
        </w:rPr>
      </w:pPr>
    </w:p>
    <w:p>
      <w:pPr>
        <w:ind w:left="400" w:hanging="395"/>
        <w:spacing w:after="0" w:line="262" w:lineRule="auto"/>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00" w:hanging="395"/>
        <w:spacing w:after="0" w:line="253" w:lineRule="auto"/>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00" w:firstLine="8"/>
        <w:spacing w:after="0" w:line="253" w:lineRule="auto"/>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00" w:firstLine="8"/>
        <w:spacing w:after="0" w:line="253" w:lineRule="auto"/>
        <w:tabs>
          <w:tab w:leader="none" w:pos="88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00" w:firstLine="8"/>
        <w:spacing w:after="0" w:line="325" w:lineRule="auto"/>
        <w:tabs>
          <w:tab w:leader="none" w:pos="887"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600" w:firstLine="8"/>
        <w:spacing w:after="0" w:line="253" w:lineRule="auto"/>
        <w:tabs>
          <w:tab w:leader="none" w:pos="8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00" w:hanging="395"/>
        <w:spacing w:after="0" w:line="325" w:lineRule="auto"/>
        <w:tabs>
          <w:tab w:leader="none" w:pos="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600" w:firstLine="8"/>
        <w:spacing w:after="0" w:line="262" w:lineRule="auto"/>
        <w:tabs>
          <w:tab w:leader="none" w:pos="8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00" w:firstLine="8"/>
        <w:spacing w:after="0" w:line="262" w:lineRule="auto"/>
        <w:tabs>
          <w:tab w:leader="none" w:pos="86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Date: February 22, 2022</w:t>
            </w:r>
          </w:p>
        </w:tc>
        <w:tc>
          <w:tcPr>
            <w:tcW w:w="196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192"/>
        </w:trPr>
        <w:tc>
          <w:tcPr>
            <w:tcW w:w="3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600" w:type="dxa"/>
            <w:vAlign w:val="bottom"/>
          </w:tcPr>
          <w:p>
            <w:pPr>
              <w:spacing w:after="0" w:line="192" w:lineRule="exact"/>
              <w:rPr>
                <w:sz w:val="20"/>
                <w:szCs w:val="20"/>
                <w:color w:val="auto"/>
              </w:rPr>
            </w:pPr>
            <w:r>
              <w:rPr>
                <w:rFonts w:ascii="Arial" w:cs="Arial" w:eastAsia="Arial" w:hAnsi="Arial"/>
                <w:sz w:val="18"/>
                <w:szCs w:val="18"/>
                <w:color w:val="auto"/>
              </w:rPr>
              <w:t>Barbara J. Britenriker</w:t>
            </w:r>
          </w:p>
        </w:tc>
      </w:tr>
      <w:tr>
        <w:trPr>
          <w:trHeight w:val="222"/>
        </w:trPr>
        <w:tc>
          <w:tcPr>
            <w:tcW w:w="3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32"/>
        </w:trPr>
        <w:tc>
          <w:tcPr>
            <w:tcW w:w="3680" w:type="dxa"/>
            <w:vAlign w:val="bottom"/>
          </w:tcPr>
          <w:p>
            <w:pPr>
              <w:spacing w:after="0"/>
              <w:rPr>
                <w:sz w:val="24"/>
                <w:szCs w:val="24"/>
                <w:color w:val="auto"/>
              </w:rPr>
            </w:pPr>
          </w:p>
        </w:tc>
        <w:tc>
          <w:tcPr>
            <w:tcW w:w="7560" w:type="dxa"/>
            <w:vAlign w:val="bottom"/>
            <w:gridSpan w:val="2"/>
          </w:tcPr>
          <w:p>
            <w:pPr>
              <w:jc w:val="right"/>
              <w:ind w:right="549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31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ENACTED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2021, as filed with the Securities and Exchange Commission (the “Report”), I, Lars B. Eller, Chief Executive Officer, of the Company, certify, pursuant to 18 U.S.C. 1350, as added by 906 of the Sarbanes-Oxley Act of 2002, that:</w:t>
      </w:r>
    </w:p>
    <w:p>
      <w:pPr>
        <w:spacing w:after="0" w:line="189" w:lineRule="exact"/>
        <w:rPr>
          <w:sz w:val="20"/>
          <w:szCs w:val="20"/>
          <w:color w:val="auto"/>
        </w:rPr>
      </w:pPr>
    </w:p>
    <w:p>
      <w:pPr>
        <w:ind w:left="800" w:hanging="399"/>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15(d) of the Securities Exchange Act of 1934; and;</w:t>
      </w:r>
    </w:p>
    <w:p>
      <w:pPr>
        <w:spacing w:after="0" w:line="240" w:lineRule="exact"/>
        <w:rPr>
          <w:rFonts w:ascii="Arial" w:cs="Arial" w:eastAsia="Arial" w:hAnsi="Arial"/>
          <w:sz w:val="18"/>
          <w:szCs w:val="18"/>
          <w:color w:val="auto"/>
        </w:rPr>
      </w:pPr>
    </w:p>
    <w:p>
      <w:pPr>
        <w:ind w:left="800" w:hanging="399"/>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Date: February 22, 2022</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2"/>
        </w:trPr>
        <w:tc>
          <w:tcPr>
            <w:tcW w:w="5640" w:type="dxa"/>
            <w:vAlign w:val="bottom"/>
          </w:tcPr>
          <w:p>
            <w:pPr>
              <w:spacing w:after="0"/>
              <w:rPr>
                <w:sz w:val="16"/>
                <w:szCs w:val="16"/>
                <w:color w:val="auto"/>
              </w:rPr>
            </w:pPr>
          </w:p>
        </w:tc>
        <w:tc>
          <w:tcPr>
            <w:tcW w:w="5600" w:type="dxa"/>
            <w:vAlign w:val="bottom"/>
          </w:tcPr>
          <w:p>
            <w:pPr>
              <w:spacing w:after="0" w:line="192" w:lineRule="exact"/>
              <w:rPr>
                <w:sz w:val="20"/>
                <w:szCs w:val="20"/>
                <w:color w:val="auto"/>
              </w:rPr>
            </w:pPr>
            <w:r>
              <w:rPr>
                <w:rFonts w:ascii="Arial" w:cs="Arial" w:eastAsia="Arial" w:hAnsi="Arial"/>
                <w:sz w:val="18"/>
                <w:szCs w:val="18"/>
                <w:color w:val="auto"/>
              </w:rPr>
              <w:t>Lars B. Eller</w:t>
            </w:r>
          </w:p>
        </w:tc>
      </w:tr>
      <w:tr>
        <w:trPr>
          <w:trHeight w:val="222"/>
        </w:trPr>
        <w:tc>
          <w:tcPr>
            <w:tcW w:w="56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19"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ENACTED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2021, as filed with the Securities and Exchange Commission (the “Report”), I, Barbara J. Britenriker, Chief Financial Officer, of the Company, certify, pursuant to 18 U.S.C. 1350, as added by 906 of the Sarbanes-Oxley Act of 2002, that:</w:t>
      </w:r>
    </w:p>
    <w:p>
      <w:pPr>
        <w:spacing w:after="0" w:line="189" w:lineRule="exact"/>
        <w:rPr>
          <w:sz w:val="20"/>
          <w:szCs w:val="20"/>
          <w:color w:val="auto"/>
        </w:rPr>
      </w:pPr>
    </w:p>
    <w:p>
      <w:pPr>
        <w:ind w:left="800" w:hanging="399"/>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15(d) of the Securities Exchange Act of 1934; and;</w:t>
      </w:r>
    </w:p>
    <w:p>
      <w:pPr>
        <w:spacing w:after="0" w:line="240" w:lineRule="exact"/>
        <w:rPr>
          <w:rFonts w:ascii="Arial" w:cs="Arial" w:eastAsia="Arial" w:hAnsi="Arial"/>
          <w:sz w:val="18"/>
          <w:szCs w:val="18"/>
          <w:color w:val="auto"/>
        </w:rPr>
      </w:pPr>
    </w:p>
    <w:p>
      <w:pPr>
        <w:ind w:left="800" w:hanging="399"/>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Date: February 22, 2022</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192"/>
        </w:trPr>
        <w:tc>
          <w:tcPr>
            <w:tcW w:w="5640" w:type="dxa"/>
            <w:vAlign w:val="bottom"/>
          </w:tcPr>
          <w:p>
            <w:pPr>
              <w:spacing w:after="0"/>
              <w:rPr>
                <w:sz w:val="16"/>
                <w:szCs w:val="16"/>
                <w:color w:val="auto"/>
              </w:rPr>
            </w:pPr>
          </w:p>
        </w:tc>
        <w:tc>
          <w:tcPr>
            <w:tcW w:w="5600" w:type="dxa"/>
            <w:vAlign w:val="bottom"/>
          </w:tcPr>
          <w:p>
            <w:pPr>
              <w:spacing w:after="0" w:line="192" w:lineRule="exact"/>
              <w:rPr>
                <w:sz w:val="20"/>
                <w:szCs w:val="20"/>
                <w:color w:val="auto"/>
              </w:rPr>
            </w:pPr>
            <w:r>
              <w:rPr>
                <w:rFonts w:ascii="Arial" w:cs="Arial" w:eastAsia="Arial" w:hAnsi="Arial"/>
                <w:sz w:val="18"/>
                <w:szCs w:val="18"/>
                <w:color w:val="auto"/>
              </w:rPr>
              <w:t>Barbara J. Britenriker</w:t>
            </w:r>
          </w:p>
        </w:tc>
      </w:tr>
      <w:tr>
        <w:trPr>
          <w:trHeight w:val="222"/>
        </w:trPr>
        <w:tc>
          <w:tcPr>
            <w:tcW w:w="56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lvl w:ilvl="1">
      <w:lvlJc w:val="left"/>
      <w:lvlText w:val="o"/>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5"/>
    </w:lvl>
  </w:abstractNum>
  <w:abstractNum w:abstractNumId="10">
    <w:nsid w:val="333AB105"/>
    <w:multiLevelType w:val="hybridMultilevel"/>
    <w:lvl w:ilvl="0">
      <w:lvlJc w:val="left"/>
      <w:lvlText w:val="%1)"/>
      <w:numFmt w:val="decimal"/>
      <w:start w:val="2"/>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upperLetter"/>
      <w:start w:val="68"/>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amp;"/>
      <w:numFmt w:val="bullet"/>
      <w:start w:val="1"/>
    </w:lvl>
  </w:abstractNum>
  <w:abstractNum w:abstractNumId="17">
    <w:nsid w:val="79838CB2"/>
    <w:multiLevelType w:val="hybridMultilevel"/>
    <w:lvl w:ilvl="0">
      <w:lvlJc w:val="left"/>
      <w:lvlText w:val="o"/>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4"/>
    </w:lvl>
    <w:lvl w:ilvl="1">
      <w:lvlJc w:val="left"/>
      <w:lvlText w:val="%2."/>
      <w:numFmt w:val="lowerLetter"/>
      <w:start w:val="1"/>
    </w:lvl>
  </w:abstractNum>
  <w:abstractNum w:abstractNumId="21">
    <w:nsid w:val="54E49EB4"/>
    <w:multiLevelType w:val="hybridMultilevel"/>
    <w:lvl w:ilvl="0">
      <w:lvlJc w:val="left"/>
      <w:lvlText w:val="%1."/>
      <w:numFmt w:val="decimal"/>
      <w:start w:val="8"/>
    </w:lvl>
    <w:lvl w:ilvl="1">
      <w:lvlJc w:val="left"/>
      <w:lvlText w:val="%2."/>
      <w:numFmt w:val="lowerLetter"/>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1."/>
      <w:numFmt w:val="lowerLetter"/>
      <w:start w:val="1"/>
    </w:lvl>
    <w:lvl w:ilvl="1">
      <w:lvlJc w:val="left"/>
      <w:lvlText w:val="(%2)"/>
      <w:numFmt w:val="decimal"/>
      <w:start w:val="1"/>
    </w:lvl>
  </w:abstractNum>
  <w:abstractNum w:abstractNumId="24">
    <w:nsid w:val="836C40E"/>
    <w:multiLevelType w:val="hybridMultilevel"/>
    <w:lvl w:ilvl="0">
      <w:lvlJc w:val="left"/>
      <w:lvlText w:val="(%1)"/>
      <w:numFmt w:val="decimal"/>
      <w:start w:val="21"/>
    </w:lvl>
  </w:abstractNum>
  <w:abstractNum w:abstractNumId="25">
    <w:nsid w:val="2901D82"/>
    <w:multiLevelType w:val="hybridMultilevel"/>
    <w:lvl w:ilvl="0">
      <w:lvlJc w:val="left"/>
      <w:lvlText w:val="(%1)"/>
      <w:numFmt w:val="decimal"/>
      <w:start w:val="23"/>
    </w:lvl>
  </w:abstractNum>
  <w:abstractNum w:abstractNumId="26">
    <w:nsid w:val="3A95F874"/>
    <w:multiLevelType w:val="hybridMultilevel"/>
    <w:lvl w:ilvl="0">
      <w:lvlJc w:val="left"/>
      <w:lvlText w:val="%1"/>
      <w:numFmt w:val="decimal"/>
      <w:start w:val="1"/>
    </w:lvl>
    <w:lvl w:ilvl="1">
      <w:lvlJc w:val="left"/>
      <w:lvlText w:val="%2"/>
      <w:numFmt w:val="decimal"/>
      <w:start w:val="104"/>
    </w:lvl>
  </w:abstractNum>
  <w:abstractNum w:abstractNumId="27">
    <w:nsid w:val="8138641"/>
    <w:multiLevelType w:val="hybridMultilevel"/>
    <w:lvl w:ilvl="0">
      <w:lvlJc w:val="left"/>
      <w:lvlText w:val="(%1)"/>
      <w:numFmt w:val="decimal"/>
      <w:start w:val="1"/>
    </w:lvl>
    <w:lvl w:ilvl="1">
      <w:lvlJc w:val="left"/>
      <w:lvlText w:val="%2"/>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jpeg"/><Relationship Id="rId160" Type="http://schemas.openxmlformats.org/officeDocument/2006/relationships/image" Target="media/image144.jpeg"/><Relationship Id="rId161" Type="http://schemas.openxmlformats.org/officeDocument/2006/relationships/image" Target="media/image145.png"/><Relationship Id="rId147" Type="http://schemas.openxmlformats.org/officeDocument/2006/relationships/hyperlink" Target="http://www.sec.gov/Archives/edgar/data/792966/000119312517318709/d447990dex31.htm" TargetMode="External"/><Relationship Id="rId148" Type="http://schemas.openxmlformats.org/officeDocument/2006/relationships/hyperlink" Target="http://www.sec.gov/Archives/edgar/data/792966/000119312517235925/d422994dex32.htm" TargetMode="External"/><Relationship Id="rId149" Type="http://schemas.openxmlformats.org/officeDocument/2006/relationships/hyperlink" Target="http://www.sec.gov/Archives/edgar/data/792966/000156459020006695/fmao-ex41_282.htm" TargetMode="External"/><Relationship Id="rId150" Type="http://schemas.openxmlformats.org/officeDocument/2006/relationships/hyperlink" Target="http://www.sec.gov/Archives/edgar/data/792966/000156459021039640/fmao-ex101_70.htm" TargetMode="External"/><Relationship Id="rId151" Type="http://schemas.openxmlformats.org/officeDocument/2006/relationships/hyperlink" Target="http://www.sec.gov/Archives/edgar/data/792966/000119312513073008/d445099dex101.htm" TargetMode="External"/><Relationship Id="rId152" Type="http://schemas.openxmlformats.org/officeDocument/2006/relationships/hyperlink" Target="http://www.sec.gov/Archives/edgar/data/792966/000119312513073008/d445099dex102.htm" TargetMode="External"/><Relationship Id="rId153" Type="http://schemas.openxmlformats.org/officeDocument/2006/relationships/hyperlink" Target="http://www.sec.gov/Archives/edgar/data/792966/000156459021045036/fmao-ex101_7.htm" TargetMode="External"/><Relationship Id="rId154" Type="http://schemas.openxmlformats.org/officeDocument/2006/relationships/hyperlink" Target="http://www.sec.gov/Archives/edgar/data/792966/000119312515093241/d891255ddef14a.htm" TargetMode="External"/><Relationship Id="rId155" Type="http://schemas.openxmlformats.org/officeDocument/2006/relationships/hyperlink" Target="http://www.sec.gov/Archives/edgar/data/792966/000095012405005979/k99341exv10w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2022-02-22T15:03:47Z</dcterms:created>
  <dcterms:modified xsi:type="dcterms:W3CDTF">2022-02-22T15:03:47Z</dcterms:modified>
</cp:coreProperties>
</file>