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0-14492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FARMERS &amp; MERCHANTS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4980" w:type="dxa"/>
            <w:vAlign w:val="bottom"/>
            <w:gridSpan w:val="2"/>
          </w:tcPr>
          <w:p>
            <w:pPr>
              <w:jc w:val="center"/>
              <w:ind w:right="3790"/>
              <w:spacing w:after="0"/>
              <w:rPr>
                <w:sz w:val="20"/>
                <w:szCs w:val="20"/>
                <w:color w:val="auto"/>
              </w:rPr>
            </w:pPr>
            <w:r>
              <w:rPr>
                <w:rFonts w:ascii="Arial" w:cs="Arial" w:eastAsia="Arial" w:hAnsi="Arial"/>
                <w:sz w:val="18"/>
                <w:szCs w:val="18"/>
                <w:b w:val="1"/>
                <w:bCs w:val="1"/>
                <w:color w:val="auto"/>
              </w:rPr>
              <w:t>OHIO</w:t>
            </w:r>
          </w:p>
        </w:tc>
        <w:tc>
          <w:tcPr>
            <w:tcW w:w="2660" w:type="dxa"/>
            <w:vAlign w:val="bottom"/>
          </w:tcPr>
          <w:p>
            <w:pPr>
              <w:jc w:val="right"/>
              <w:ind w:right="820"/>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5640" w:type="dxa"/>
            <w:vAlign w:val="bottom"/>
            <w:gridSpan w:val="3"/>
          </w:tcPr>
          <w:p>
            <w:pPr>
              <w:jc w:val="center"/>
              <w:ind w:right="311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640" w:type="dxa"/>
            <w:vAlign w:val="bottom"/>
            <w:gridSpan w:val="3"/>
          </w:tcPr>
          <w:p>
            <w:pPr>
              <w:jc w:val="center"/>
              <w:ind w:right="3110"/>
              <w:spacing w:after="0"/>
              <w:rPr>
                <w:sz w:val="20"/>
                <w:szCs w:val="20"/>
                <w:color w:val="auto"/>
              </w:rPr>
            </w:pPr>
            <w:r>
              <w:rPr>
                <w:rFonts w:ascii="Arial" w:cs="Arial" w:eastAsia="Arial" w:hAnsi="Arial"/>
                <w:sz w:val="14"/>
                <w:szCs w:val="14"/>
                <w:b w:val="1"/>
                <w:bCs w:val="1"/>
                <w:color w:val="auto"/>
                <w:w w:val="94"/>
              </w:rPr>
              <w:t>incorporation or organization)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640" w:type="dxa"/>
            <w:vAlign w:val="bottom"/>
            <w:gridSpan w:val="3"/>
          </w:tcPr>
          <w:p>
            <w:pPr>
              <w:jc w:val="center"/>
              <w:ind w:right="3130"/>
              <w:spacing w:after="0"/>
              <w:rPr>
                <w:sz w:val="20"/>
                <w:szCs w:val="20"/>
                <w:color w:val="auto"/>
              </w:rPr>
            </w:pPr>
            <w:r>
              <w:rPr>
                <w:rFonts w:ascii="Arial" w:cs="Arial" w:eastAsia="Arial" w:hAnsi="Arial"/>
                <w:sz w:val="18"/>
                <w:szCs w:val="18"/>
                <w:b w:val="1"/>
                <w:bCs w:val="1"/>
                <w:color w:val="auto"/>
                <w:w w:val="90"/>
              </w:rPr>
              <w:t>307 North Defiance Street</w:t>
            </w:r>
          </w:p>
        </w:tc>
        <w:tc>
          <w:tcPr>
            <w:tcW w:w="2660" w:type="dxa"/>
            <w:vAlign w:val="bottom"/>
          </w:tcPr>
          <w:p>
            <w:pPr>
              <w:spacing w:after="0"/>
              <w:rPr>
                <w:sz w:val="24"/>
                <w:szCs w:val="24"/>
                <w:color w:val="auto"/>
              </w:rPr>
            </w:pPr>
          </w:p>
        </w:tc>
      </w:tr>
      <w:tr>
        <w:trPr>
          <w:trHeight w:val="225"/>
        </w:trPr>
        <w:tc>
          <w:tcPr>
            <w:tcW w:w="5640" w:type="dxa"/>
            <w:vAlign w:val="bottom"/>
            <w:gridSpan w:val="3"/>
          </w:tcPr>
          <w:p>
            <w:pPr>
              <w:jc w:val="center"/>
              <w:ind w:right="3110"/>
              <w:spacing w:after="0"/>
              <w:rPr>
                <w:sz w:val="20"/>
                <w:szCs w:val="20"/>
                <w:color w:val="auto"/>
              </w:rPr>
            </w:pPr>
            <w:r>
              <w:rPr>
                <w:rFonts w:ascii="Arial" w:cs="Arial" w:eastAsia="Arial" w:hAnsi="Arial"/>
                <w:sz w:val="18"/>
                <w:szCs w:val="18"/>
                <w:b w:val="1"/>
                <w:bCs w:val="1"/>
                <w:color w:val="auto"/>
                <w:w w:val="92"/>
              </w:rPr>
              <w:t>Archbold, Ohio</w:t>
            </w:r>
          </w:p>
        </w:tc>
        <w:tc>
          <w:tcPr>
            <w:tcW w:w="2660" w:type="dxa"/>
            <w:vAlign w:val="bottom"/>
          </w:tcPr>
          <w:p>
            <w:pPr>
              <w:jc w:val="right"/>
              <w:ind w:right="1020"/>
              <w:spacing w:after="0"/>
              <w:rPr>
                <w:sz w:val="20"/>
                <w:szCs w:val="20"/>
                <w:color w:val="auto"/>
              </w:rPr>
            </w:pPr>
            <w:r>
              <w:rPr>
                <w:rFonts w:ascii="Arial" w:cs="Arial" w:eastAsia="Arial" w:hAnsi="Arial"/>
                <w:sz w:val="18"/>
                <w:szCs w:val="18"/>
                <w:b w:val="1"/>
                <w:bCs w:val="1"/>
                <w:color w:val="auto"/>
              </w:rPr>
              <w:t>43502</w:t>
            </w:r>
          </w:p>
        </w:tc>
      </w:tr>
      <w:tr>
        <w:trPr>
          <w:trHeight w:val="186"/>
        </w:trPr>
        <w:tc>
          <w:tcPr>
            <w:tcW w:w="5640" w:type="dxa"/>
            <w:vAlign w:val="bottom"/>
            <w:gridSpan w:val="3"/>
          </w:tcPr>
          <w:p>
            <w:pPr>
              <w:jc w:val="center"/>
              <w:ind w:right="313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660" w:type="dxa"/>
            <w:vAlign w:val="bottom"/>
          </w:tcPr>
          <w:p>
            <w:pPr>
              <w:spacing w:after="0"/>
              <w:rPr>
                <w:sz w:val="24"/>
                <w:szCs w:val="24"/>
                <w:color w:val="auto"/>
              </w:rPr>
            </w:pPr>
          </w:p>
        </w:tc>
        <w:tc>
          <w:tcPr>
            <w:tcW w:w="7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Registrant’s telephone number, including area code (419) 446-2501</w:t>
            </w:r>
          </w:p>
        </w:tc>
      </w:tr>
      <w:tr>
        <w:trPr>
          <w:trHeight w:val="432"/>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54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660" w:type="dxa"/>
            <w:vAlign w:val="bottom"/>
          </w:tcPr>
          <w:p>
            <w:pPr>
              <w:spacing w:after="0"/>
              <w:rPr>
                <w:sz w:val="24"/>
                <w:szCs w:val="24"/>
                <w:color w:val="auto"/>
              </w:rPr>
            </w:pPr>
          </w:p>
        </w:tc>
        <w:tc>
          <w:tcPr>
            <w:tcW w:w="4980" w:type="dxa"/>
            <w:vAlign w:val="bottom"/>
            <w:gridSpan w:val="2"/>
          </w:tcPr>
          <w:p>
            <w:pPr>
              <w:jc w:val="center"/>
              <w:ind w:right="377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66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388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r>
    </w:tbl>
    <w:p>
      <w:pPr>
        <w:spacing w:after="0" w:line="3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 without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tabs>
          <w:tab w:leader="none" w:pos="9520" w:val="left"/>
          <w:tab w:leader="none" w:pos="1022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41" w:orient="portrait"/>
          <w:cols w:equalWidth="0" w:num="1">
            <w:col w:w="11420"/>
          </w:cols>
          <w:pgMar w:left="240" w:top="230" w:right="239" w:bottom="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87" w:right="239" w:bottom="1440" w:gutter="0" w:footer="0" w:header="0"/>
        </w:sectPr>
      </w:pPr>
    </w:p>
    <w:p>
      <w:pPr>
        <w:spacing w:after="0" w:line="16" w:lineRule="exact"/>
        <w:rPr>
          <w:sz w:val="20"/>
          <w:szCs w:val="20"/>
          <w:color w:val="auto"/>
        </w:rPr>
      </w:pPr>
    </w:p>
    <w:p>
      <w:pPr>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187" w:right="2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2016, the aggregate market value of the registrant’s common stock held by non-affiliates of the registrant was $131,027,442.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22, 2017, the Registrant had 5,200,000 shares of common stock issued of which 4,620,875 shares are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Part III of Form 10-K – Portions of the definitive Proxy Statement for the 2017 Annual Meeting of Shareholders of Farmers &amp; Merchants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gridSpan w:val="11"/>
          </w:tcPr>
          <w:p>
            <w:pPr>
              <w:jc w:val="center"/>
              <w:ind w:right="2500"/>
              <w:spacing w:after="0"/>
              <w:rPr>
                <w:sz w:val="20"/>
                <w:szCs w:val="20"/>
                <w:color w:val="auto"/>
              </w:rPr>
            </w:pPr>
            <w:r>
              <w:rPr>
                <w:rFonts w:ascii="Arial" w:cs="Arial" w:eastAsia="Arial" w:hAnsi="Arial"/>
                <w:sz w:val="18"/>
                <w:szCs w:val="18"/>
                <w:color w:val="auto"/>
                <w:w w:val="95"/>
              </w:rPr>
              <w:t>FARMERS &amp; MERCHANTS BANCORP, INC.</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20" w:type="dxa"/>
            <w:vAlign w:val="bottom"/>
            <w:gridSpan w:val="8"/>
          </w:tcPr>
          <w:p>
            <w:pPr>
              <w:jc w:val="center"/>
              <w:ind w:right="388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60" w:type="dxa"/>
            <w:vAlign w:val="bottom"/>
            <w:gridSpan w:val="3"/>
          </w:tcPr>
          <w:p>
            <w:pPr>
              <w:spacing w:after="0"/>
              <w:rPr>
                <w:sz w:val="20"/>
                <w:szCs w:val="20"/>
                <w:color w:val="auto"/>
              </w:rPr>
            </w:pPr>
            <w:r>
              <w:rPr>
                <w:rFonts w:ascii="Arial" w:cs="Arial" w:eastAsia="Arial" w:hAnsi="Arial"/>
                <w:sz w:val="14"/>
                <w:szCs w:val="14"/>
                <w:color w:val="auto"/>
              </w:rPr>
              <w:t>Form 10-K Items</w:t>
            </w:r>
          </w:p>
        </w:tc>
        <w:tc>
          <w:tcPr>
            <w:tcW w:w="620" w:type="dxa"/>
            <w:vAlign w:val="bottom"/>
            <w:vMerge w:val="restart"/>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260" w:type="dxa"/>
            <w:vAlign w:val="bottom"/>
            <w:gridSpan w:val="2"/>
            <w:vMerge w:val="restart"/>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1"/>
        </w:trPr>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Item 1.</w:t>
            </w:r>
          </w:p>
        </w:tc>
        <w:tc>
          <w:tcPr>
            <w:tcW w:w="260" w:type="dxa"/>
            <w:vAlign w:val="bottom"/>
          </w:tcPr>
          <w:p>
            <w:pPr>
              <w:spacing w:after="0"/>
              <w:rPr>
                <w:sz w:val="13"/>
                <w:szCs w:val="13"/>
                <w:color w:val="auto"/>
              </w:rPr>
            </w:pPr>
          </w:p>
        </w:tc>
        <w:tc>
          <w:tcPr>
            <w:tcW w:w="620" w:type="dxa"/>
            <w:vAlign w:val="bottom"/>
            <w:tcBorders>
              <w:bottom w:val="single" w:sz="8" w:color="0000EE"/>
            </w:tcBorders>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3">
              <w:r>
                <w:rPr>
                  <w:rFonts w:ascii="Arial" w:cs="Arial" w:eastAsia="Arial" w:hAnsi="Arial"/>
                  <w:sz w:val="18"/>
                  <w:szCs w:val="18"/>
                  <w:color w:val="0000EE"/>
                  <w:w w:val="85"/>
                </w:rPr>
                <w:t>Risk Factors</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940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80" w:type="dxa"/>
            <w:vAlign w:val="bottom"/>
            <w:tcBorders>
              <w:top w:val="single" w:sz="8" w:color="0000EE"/>
            </w:tcBorders>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Legal Proceedings</w:t>
              </w:r>
            </w:hyperlink>
          </w:p>
        </w:tc>
        <w:tc>
          <w:tcPr>
            <w:tcW w:w="808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00" w:type="dxa"/>
            <w:vAlign w:val="bottom"/>
            <w:gridSpan w:val="2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17-19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5300" w:type="dxa"/>
            <w:vAlign w:val="bottom"/>
            <w:tcBorders>
              <w:top w:val="single" w:sz="8" w:color="0000EE"/>
            </w:tcBorders>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41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3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 Discussion and Analysis of Financial Condition and Results of Operations</w:t>
              </w:r>
            </w:hyperlink>
          </w:p>
        </w:tc>
        <w:tc>
          <w:tcPr>
            <w:tcW w:w="30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Quantitative and Qualitative Disclosures About Market Risk</w:t>
              </w:r>
            </w:hyperlink>
          </w:p>
        </w:tc>
        <w:tc>
          <w:tcPr>
            <w:tcW w:w="506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8.</w:t>
            </w:r>
          </w:p>
        </w:tc>
        <w:tc>
          <w:tcPr>
            <w:tcW w:w="9400" w:type="dxa"/>
            <w:vAlign w:val="bottom"/>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9.</w:t>
            </w:r>
          </w:p>
        </w:tc>
        <w:tc>
          <w:tcPr>
            <w:tcW w:w="51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Changes In and Disagreements on Accounting and Financial Disclosure</w:t>
              </w:r>
            </w:hyperlink>
          </w:p>
        </w:tc>
        <w:tc>
          <w:tcPr>
            <w:tcW w:w="424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Item9a.</w:t>
            </w:r>
          </w:p>
        </w:tc>
        <w:tc>
          <w:tcPr>
            <w:tcW w:w="9400" w:type="dxa"/>
            <w:vAlign w:val="bottom"/>
            <w:gridSpan w:val="20"/>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Other Information</w:t>
              </w:r>
            </w:hyperlink>
          </w:p>
        </w:tc>
        <w:tc>
          <w:tcPr>
            <w:tcW w:w="380" w:type="dxa"/>
            <w:vAlign w:val="bottom"/>
            <w:tcBorders>
              <w:top w:val="single" w:sz="8" w:color="0000EE"/>
            </w:tcBorders>
            <w:gridSpan w:val="3"/>
          </w:tcPr>
          <w:p>
            <w:pPr>
              <w:spacing w:after="0"/>
              <w:rPr>
                <w:sz w:val="24"/>
                <w:szCs w:val="24"/>
                <w:color w:val="auto"/>
              </w:rPr>
            </w:pPr>
          </w:p>
        </w:tc>
        <w:tc>
          <w:tcPr>
            <w:tcW w:w="772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36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Directors and Executive Officers of the Registrant</w:t>
              </w:r>
            </w:hyperlink>
          </w:p>
        </w:tc>
        <w:tc>
          <w:tcPr>
            <w:tcW w:w="580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940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940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w:t>
              </w:r>
            </w:hyperlink>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4860" w:type="dxa"/>
            <w:vAlign w:val="bottom"/>
            <w:tcBorders>
              <w:top w:val="single" w:sz="8" w:color="0000EE"/>
            </w:tcBorders>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w:t>
              </w:r>
            </w:hyperlink>
          </w:p>
        </w:tc>
        <w:tc>
          <w:tcPr>
            <w:tcW w:w="45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28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01">
              <w:r>
                <w:rPr>
                  <w:rFonts w:ascii="Arial" w:cs="Arial" w:eastAsia="Arial" w:hAnsi="Arial"/>
                  <w:sz w:val="18"/>
                  <w:szCs w:val="18"/>
                  <w:color w:val="0000EE"/>
                  <w:w w:val="88"/>
                </w:rPr>
                <w:t>Principal Accountant Fees and Services</w:t>
              </w:r>
            </w:hyperlink>
          </w:p>
        </w:tc>
        <w:tc>
          <w:tcPr>
            <w:tcW w:w="540" w:type="dxa"/>
            <w:vAlign w:val="bottom"/>
            <w:tcBorders>
              <w:top w:val="single" w:sz="8" w:color="0000EE"/>
            </w:tcBorders>
            <w:gridSpan w:val="2"/>
          </w:tcPr>
          <w:p>
            <w:pPr>
              <w:spacing w:after="0"/>
              <w:rPr>
                <w:sz w:val="24"/>
                <w:szCs w:val="24"/>
                <w:color w:val="auto"/>
              </w:rPr>
            </w:pPr>
          </w:p>
        </w:tc>
        <w:tc>
          <w:tcPr>
            <w:tcW w:w="6020" w:type="dxa"/>
            <w:vAlign w:val="bottom"/>
            <w:gridSpan w:val="8"/>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9400" w:type="dxa"/>
            <w:vAlign w:val="bottom"/>
            <w:gridSpan w:val="20"/>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Schedules and Reports on Form 8-K</w:t>
              </w:r>
            </w:hyperlink>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100-101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6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Form 10-K Summary</w:t>
              </w:r>
            </w:hyperlink>
          </w:p>
        </w:tc>
        <w:tc>
          <w:tcPr>
            <w:tcW w:w="5400" w:type="dxa"/>
            <w:vAlign w:val="bottom"/>
            <w:gridSpan w:val="6"/>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39"/>
        </w:trPr>
        <w:tc>
          <w:tcPr>
            <w:tcW w:w="1260" w:type="dxa"/>
            <w:vAlign w:val="bottom"/>
            <w:gridSpan w:val="3"/>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2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gridSpan w:val="3"/>
          </w:tcPr>
          <w:p>
            <w:pPr>
              <w:spacing w:after="0"/>
              <w:rPr>
                <w:sz w:val="20"/>
                <w:szCs w:val="20"/>
                <w:color w:val="auto"/>
              </w:rPr>
            </w:pPr>
            <w:r>
              <w:rPr>
                <w:rFonts w:ascii="Arial" w:cs="Arial" w:eastAsia="Arial" w:hAnsi="Arial"/>
                <w:sz w:val="18"/>
                <w:szCs w:val="18"/>
                <w:color w:val="auto"/>
              </w:rPr>
              <w:t>Exhibit 21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20" w:type="dxa"/>
            <w:vAlign w:val="bottom"/>
            <w:gridSpan w:val="17"/>
          </w:tcPr>
          <w:p>
            <w:pPr>
              <w:ind w:left="360"/>
              <w:spacing w:after="0"/>
              <w:rPr>
                <w:sz w:val="20"/>
                <w:szCs w:val="20"/>
                <w:color w:val="auto"/>
              </w:rPr>
            </w:pPr>
            <w:r>
              <w:rPr>
                <w:rFonts w:ascii="Arial" w:cs="Arial" w:eastAsia="Arial" w:hAnsi="Arial"/>
                <w:sz w:val="18"/>
                <w:szCs w:val="18"/>
                <w:color w:val="auto"/>
              </w:rPr>
              <w:t>Subsidiaries of Farmers &amp; Merchants Bancorp, Inc.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Exhibit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20" w:type="dxa"/>
            <w:vAlign w:val="bottom"/>
            <w:gridSpan w:val="17"/>
          </w:tcPr>
          <w:p>
            <w:pPr>
              <w:ind w:left="360"/>
              <w:spacing w:after="0"/>
              <w:rPr>
                <w:sz w:val="20"/>
                <w:szCs w:val="20"/>
                <w:color w:val="auto"/>
              </w:rPr>
            </w:pPr>
            <w:r>
              <w:rPr>
                <w:rFonts w:ascii="Arial" w:cs="Arial" w:eastAsia="Arial" w:hAnsi="Arial"/>
                <w:sz w:val="18"/>
                <w:szCs w:val="18"/>
                <w:color w:val="auto"/>
              </w:rPr>
              <w:t>Certifications Under Section 302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gridSpan w:val="3"/>
          </w:tcPr>
          <w:p>
            <w:pPr>
              <w:spacing w:after="0"/>
              <w:rPr>
                <w:sz w:val="20"/>
                <w:szCs w:val="20"/>
                <w:color w:val="auto"/>
              </w:rPr>
            </w:pPr>
            <w:r>
              <w:rPr>
                <w:rFonts w:ascii="Arial" w:cs="Arial" w:eastAsia="Arial" w:hAnsi="Arial"/>
                <w:sz w:val="18"/>
                <w:szCs w:val="18"/>
                <w:color w:val="auto"/>
              </w:rPr>
              <w:t>Exhibit 32.</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20" w:type="dxa"/>
            <w:vAlign w:val="bottom"/>
            <w:gridSpan w:val="17"/>
          </w:tcPr>
          <w:p>
            <w:pPr>
              <w:ind w:left="360"/>
              <w:spacing w:after="0"/>
              <w:rPr>
                <w:sz w:val="20"/>
                <w:szCs w:val="20"/>
                <w:color w:val="auto"/>
              </w:rPr>
            </w:pPr>
            <w:r>
              <w:rPr>
                <w:rFonts w:ascii="Arial" w:cs="Arial" w:eastAsia="Arial" w:hAnsi="Arial"/>
                <w:sz w:val="18"/>
                <w:szCs w:val="18"/>
                <w:color w:val="auto"/>
              </w:rPr>
              <w:t>Certifications Under Section 906</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60" w:type="dxa"/>
            <w:vAlign w:val="bottom"/>
            <w:gridSpan w:val="3"/>
          </w:tcPr>
          <w:p>
            <w:pPr>
              <w:spacing w:after="0"/>
              <w:rPr>
                <w:sz w:val="20"/>
                <w:szCs w:val="20"/>
                <w:color w:val="auto"/>
              </w:rPr>
            </w:pPr>
            <w:r>
              <w:rPr>
                <w:rFonts w:ascii="Arial" w:cs="Arial" w:eastAsia="Arial" w:hAnsi="Arial"/>
                <w:sz w:val="18"/>
                <w:szCs w:val="18"/>
                <w:color w:val="auto"/>
                <w:w w:val="98"/>
              </w:rPr>
              <w:t>Exhibit 101.INS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20" w:type="dxa"/>
            <w:vAlign w:val="bottom"/>
            <w:gridSpan w:val="17"/>
          </w:tcPr>
          <w:p>
            <w:pPr>
              <w:spacing w:after="0"/>
              <w:rPr>
                <w:sz w:val="20"/>
                <w:szCs w:val="20"/>
                <w:color w:val="auto"/>
              </w:rPr>
            </w:pPr>
            <w:r>
              <w:rPr>
                <w:rFonts w:ascii="Arial" w:cs="Arial" w:eastAsia="Arial" w:hAnsi="Arial"/>
                <w:sz w:val="18"/>
                <w:szCs w:val="18"/>
                <w:color w:val="auto"/>
              </w:rPr>
              <w:t>XBRL Instance Document (1)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gridSpan w:val="6"/>
          </w:tcPr>
          <w:p>
            <w:pPr>
              <w:spacing w:after="0"/>
              <w:rPr>
                <w:sz w:val="20"/>
                <w:szCs w:val="20"/>
                <w:color w:val="auto"/>
              </w:rPr>
            </w:pPr>
            <w:r>
              <w:rPr>
                <w:rFonts w:ascii="Arial" w:cs="Arial" w:eastAsia="Arial" w:hAnsi="Arial"/>
                <w:sz w:val="18"/>
                <w:szCs w:val="18"/>
                <w:color w:val="auto"/>
              </w:rPr>
              <w:t>Exhibit 101.SCH</w:t>
            </w:r>
          </w:p>
        </w:tc>
        <w:tc>
          <w:tcPr>
            <w:tcW w:w="852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 (1)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6"/>
          </w:tcPr>
          <w:p>
            <w:pPr>
              <w:spacing w:after="0"/>
              <w:rPr>
                <w:sz w:val="20"/>
                <w:szCs w:val="20"/>
                <w:color w:val="auto"/>
              </w:rPr>
            </w:pPr>
            <w:r>
              <w:rPr>
                <w:rFonts w:ascii="Arial" w:cs="Arial" w:eastAsia="Arial" w:hAnsi="Arial"/>
                <w:sz w:val="18"/>
                <w:szCs w:val="18"/>
                <w:color w:val="auto"/>
              </w:rPr>
              <w:t>Exhibit 101.CAL</w:t>
            </w:r>
          </w:p>
        </w:tc>
        <w:tc>
          <w:tcPr>
            <w:tcW w:w="85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w w:val="93"/>
              </w:rPr>
              <w:t>Exhibit 101.DEF</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2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6"/>
          </w:tcPr>
          <w:p>
            <w:pPr>
              <w:spacing w:after="0"/>
              <w:rPr>
                <w:sz w:val="20"/>
                <w:szCs w:val="20"/>
                <w:color w:val="auto"/>
              </w:rPr>
            </w:pPr>
            <w:r>
              <w:rPr>
                <w:rFonts w:ascii="Arial" w:cs="Arial" w:eastAsia="Arial" w:hAnsi="Arial"/>
                <w:sz w:val="18"/>
                <w:szCs w:val="18"/>
                <w:color w:val="auto"/>
              </w:rPr>
              <w:t>Exhibit 101.LAB</w:t>
            </w:r>
          </w:p>
        </w:tc>
        <w:tc>
          <w:tcPr>
            <w:tcW w:w="85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 (1)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w w:val="93"/>
              </w:rPr>
              <w:t>Exhibit 101.PRE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540" w:hanging="352"/>
        <w:spacing w:after="0" w:line="312" w:lineRule="auto"/>
        <w:tabs>
          <w:tab w:leader="none" w:pos="40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Farmers &amp; Merchants Bancorp, Inc. on Form 10-K for the year ended December 31, 2016, formatted in XBRL (Extensible Business Reporting Language): (i) the Consolidated Balance Sheets; (ii) the Consolidated Statements of Income and Comprehensive Income; (iii) the Consolidated Statements of Cash Flows and (iv) Notes to Consolidated Financial Statements, tagged as blocks of text.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Total Pages:</w:t>
            </w:r>
          </w:p>
        </w:tc>
        <w:tc>
          <w:tcPr>
            <w:tcW w:w="534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Statements contained in this portion of the Company’s annual report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1.</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community bank operating in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a discussion of the general development of the Company’s business throughout 2016, please see the portion of Management’s Discussion and Analysis of Financial Condition and Results of Operations captioned “2016 in Review.”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local economies of Northwest Ohio and Northeast Indiana continued to strengthen throughout 2016. Unemployment levels decreased throughout the year as businesses profits also improved in most industries. The agricultural industry continued to operate with lower commodity prices and most were still able to operate profitably. The farm community was better prepared to handle challenges in 2016 than it was in the 1980’s. 2016 began with the first prime rate increase in seven years and ended with the second prime rate increase in December. Overall, the local economies should continue to improve while addressing the new challenges of a rising rate environment.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Farmers &amp; Merchants State Bank engages in general commercial banking business. Its activities include commercial, agricultural and residential mortgage as well as consumer and credit card lending activities. Because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operation lines of credit and machinery purchases.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Bank also provides checking account services, as well as savings and time deposit services such as certificates of deposits. In addition, ATM’s (automated teller machines) are provided at most branch locations along with other independent locations including major employers and hospitals in the market area. The Bank has custodial services for IRA’s (Individual Retirement Accounts) and HSA’s (Health Savings Accounts). The Bank provides on-line banking access for consumer and business customers. For consumers, this includes bill-pay and on-line statement opportunities. For business customers, it provides the option of electronic transaction origination such as wire and ACH file transmittal. In addition, the Bank offers remote deposit capture or electronic deposit processing. Mobile banking was added in 2012 and has been widely accepted and used by consumers.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recent years, an expansion of services and products to prevent or identify fraud has been offered to both consumer and commercial account holders.</w:t>
      </w:r>
    </w:p>
    <w:p>
      <w:pPr>
        <w:spacing w:after="0" w:line="2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Bank’s underwriting policies, exercised through established procedures, facilitate operating in a safe and sound manner in accordance with supervisory and regulatory guidance. Within this sphere of safety and soundness, the Bank’s practice has been to avoid promoting innovative, unproven credit products which may not be in the best interest of the Bank or its customers. The Bank does offer a hybrid loan. Hybrid loans are loans that start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retains the servicing on these partially or 100% sold loans. In order for the customer to participate in these programs, they must meet the requirements established by these agencies. The Bank’s policies focus on initiating mainly qualified mortgages.</w:t>
      </w:r>
    </w:p>
    <w:p>
      <w:pPr>
        <w:spacing w:after="0" w:line="1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r>
        <w:rPr>
          <w:rFonts w:ascii="Arial" w:cs="Arial" w:eastAsia="Arial" w:hAnsi="Arial"/>
          <w:sz w:val="18"/>
          <w:szCs w:val="18"/>
          <w:b w:val="1"/>
          <w:bCs w:val="1"/>
          <w:color w:val="auto"/>
        </w:rPr>
        <w: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Maximum loan to value (LTV) for cars, trucks and light trucks vary from 90% to 110% depending on whether direct or indirect. Loans above 100% are generally due to additional charges for extended warranties and/or insurance coverage periods of lost wages or death.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Boats, campers, motorcycles, RV’s and Motor Coaches range from 80%-90% based on age of vehicle.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r>
        <w:rPr>
          <w:rFonts w:ascii="Arial" w:cs="Arial" w:eastAsia="Arial" w:hAnsi="Arial"/>
          <w:sz w:val="18"/>
          <w:szCs w:val="18"/>
          <w:color w:val="auto"/>
        </w:rPr>
        <w:t xml:space="preserve"> mortgages on 1-4 family homes range from 75%-90% with “in-house” first real estate mortgages requiring private mortgage insurance on those exceeding 80% LTV.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Raw land LTV maximum ranges from 65%-75% depending on whether or not the property has been improved.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Maximum LTVs range from 70%-80% depending on type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Up to 80% LTV less retainages and greater than 90 days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Agriculture: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Commercial: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LTV of 50% on raw and finished goods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Used vehicles, new recreational vehicles and manufactured homes not to exceed (NTE) 80% LTV</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not to exceed 80% of invoice, used NTE 50% of listed book or 75% of appraised market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Restaurant equipment up to 35% of market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Heavy trucks, titled trailers up to NTE 75% LTV and aircraft up to 75% of appraised value</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Bank’s primary market includes communities located in the Ohio counties of Defiance, Fulton, Henry, Lucas, Williams, Wood and in the Indiana counties of Allen, DeKalb and Steuben. In the first half of 2016, the Bank added the Indiana county of Allen to its service area with the opening of its newly constructed office in Fort Wayne. The commercial banking business in this market is highly competitive, with approximately 17 other depository institutions currently doing business in the Bank’s primary market. In the fourth quarter 2016, we opened an office in Bowling Green, Ohio. The office is a leased property which was renovated to facilitate the Bank. Bowling Green was a natural extension to our existing markets.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9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At December 31, 2016, we had 273 full time equivalent employees. The employees are not represented by a collective bargaining unit. We provide our employees with a comprehensive benefit program, some of which is contributory. We consider our employee relations to be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now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Transactions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 to its non-bank affiliates be secured, and Section 23B of the Federal Reserve Act generally requires that an insured depository institution’s transactions with its non-bank affiliates be on arms-length terms.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ability of banks to acquire branch offices is contingent, however, on the host state having adopted legislation “opting in” to those provisions of Riegle-Neal. In addition, the ability of a bank to merge with a bank located in another state is contingent on the host state not having adopted legislation “opting out” of that provision of Riegle-Neal. The Company could from time to time use Riegle-Neal to acquire banks in additional states.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Change in Bank Control Act prohibits a person or group of persons from acquiring “control” of a bank holding company, unless the Federal Reserve Board has been notified and has not objected to the transaction. Under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non-bank businesses. The required capital levels and the Company’s capital position at December 31, 2016 and 2015 are summarized in the table included in Note 15 to the consolidated financial statements.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will be overseen by the Federal Reserve, the FDIC and the OCC. Reporting under the new rules began with the March 2015 quarterly regulatory filings.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FDICIA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2016 the Bank was well capitalized pursuant to these prompt corrective action guidelines.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8"/>
          <w:szCs w:val="18"/>
          <w:b w:val="1"/>
          <w:bCs w:val="1"/>
          <w:color w:val="auto"/>
        </w:rPr>
        <w:t>y</w:t>
      </w:r>
      <w:r>
        <w:rPr>
          <w:rFonts w:ascii="Arial" w:cs="Arial" w:eastAsia="Arial" w:hAnsi="Arial"/>
          <w:sz w:val="18"/>
          <w:szCs w:val="18"/>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account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w:t>
      </w:r>
    </w:p>
    <w:p>
      <w:pPr>
        <w:spacing w:after="0" w:line="1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Due to the changes to the assessment base and assessment rates, as well as the DIF restoration time frame, the impact on the Company’s future deposit insurance assessments has been and should continue to be favorable.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Dodd-Frank Act permanently raised the standard maximum deposit insurance coverage amount to $250,000.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FDIC deposit insurance coverage limit applies per depositor, per insured depository institution for each account ownership category.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Regulation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Implementation of the Dodd-Frank Act provisions has resulted in new rulemaking by the federal regulatory agencies and new rules yet to be issued. Implementing the new and expanded regulations involve extreme diligence to ensure compliance with the complexities of the rules, as well as extensive new disclosure and reporting requirements.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 - adds another regulator to scrutinize and police financial activities. Transfer to the Bureau of all consumer financial protection functions for designated laws by the other federal agencies was completed on July 21, 2011. The Bureau was given responsibility for mortgage reform and enforcement, as well as broad new powers over consumer financial activities, including consumer financial products and services and how they are provided.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Significant mortgage rules mandated by the Dodd-Frank Act provisions were enacted in response to the breakdown in the mortgage lending markets and to provide for consumer protections. Final rules were issued by the Bureau or jointly with other regulatory agencies to implement requirements under the Dodd-Frank Act regarding mortgage-related matters such as ability-to-repay, qualified mortgage standards, mortgage servicing, mortgage loan originator compensation, escrow requirements for higher-priced mortgage loans, and providing appraisals. These new mortgage rules, effective in January 2014, have been implemented in order to address problems consumers face in the three major steps in buying a home – shopping for a mortgage, closing on a mortgage, and paying off a mortgage.</w:t>
      </w:r>
    </w:p>
    <w:p>
      <w:pPr>
        <w:spacing w:after="0" w:line="193"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Final rules on integrated mortgage disclosures under the Real Estate Settlement Act (RESPA) and Truth in Lending Act (TILA) became effective on October 3, 2015. Amendments to the integrated mortgage disclosure rules also became October 3,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Loan Origination System changes, as well as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Overall mortgage loan volume was up through the end of the year. New TRID requirements, especially the timing requirements that had to be met, did slow the loan origination process slightly but did not result in excessive delays of scheduled loan closings. Due to the complexities of the TRID rule, industry questions persist. Pending proposed additional amendments to the TRID rules are intended to provide further clarity to certain provisions. Remaining attentive to these matters will ensure practices and procedures continue to be fully compliant.</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Final rules, mostly effective on October 1,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This rule amended regulations which apply to loans secured by properties located in special flood hazard areas and included the following:</w:t>
      </w:r>
    </w:p>
    <w:p>
      <w:pPr>
        <w:spacing w:after="0" w:line="94" w:lineRule="exact"/>
        <w:rPr>
          <w:sz w:val="20"/>
          <w:szCs w:val="20"/>
          <w:color w:val="auto"/>
        </w:rPr>
      </w:pPr>
    </w:p>
    <w:p>
      <w:pPr>
        <w:ind w:left="900" w:right="2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a statutory exemption from the requirement to purchase flood insurance for a detached structure that is part of a residential property and does not serve as a residence. Under the HFIAA lenders may require flood insurance on these detached structures to protect collateral securing the mortgage. The Bank presently evaluates all instances on a case-by-case basis as they are identified and to determine the appropriate action to be taken.</w:t>
      </w:r>
    </w:p>
    <w:p>
      <w:pPr>
        <w:spacing w:after="0" w:line="92"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January 1, 2016 in accordance with the HFIAA, for loans made, increased, extended, or renewed to be secured by residential real estate or mobile homes, regulated lending institutions must;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Require an escrow for flood insurance premiums and fees, unless the loan qualifies for a statutory exception;</w:t>
      </w:r>
    </w:p>
    <w:p>
      <w:pPr>
        <w:spacing w:after="0" w:line="130" w:lineRule="exact"/>
        <w:rPr>
          <w:rFonts w:ascii="Arial" w:cs="Arial" w:eastAsia="Arial" w:hAnsi="Arial"/>
          <w:sz w:val="18"/>
          <w:szCs w:val="18"/>
          <w:color w:val="auto"/>
        </w:rPr>
      </w:pPr>
    </w:p>
    <w:p>
      <w:pPr>
        <w:ind w:left="1920" w:right="360" w:hanging="440"/>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Provide borrowers with residential loans outstanding as of January 1, 2016 the option to escrow flood insurance premiums and fees.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Provide new and revised sample notice forms and clauses regarding the escrow requirements and the option to escrow.</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Biggert-Waters Act provisions on force placement of flood insurance coverage:</w:t>
      </w:r>
    </w:p>
    <w:p>
      <w:pPr>
        <w:spacing w:after="0" w:line="130" w:lineRule="exact"/>
        <w:rPr>
          <w:rFonts w:ascii="Arial" w:cs="Arial" w:eastAsia="Arial" w:hAnsi="Arial"/>
          <w:sz w:val="18"/>
          <w:szCs w:val="18"/>
          <w:color w:val="auto"/>
        </w:rPr>
      </w:pPr>
    </w:p>
    <w:p>
      <w:pPr>
        <w:ind w:left="1920" w:right="40" w:hanging="440"/>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Beginning on the date a borrower’s flood coverage lapses or becomes insufficient, a regulated lending institutions has the authority to charge a borrower for the cost of force-placed insurance coverage.</w:t>
      </w:r>
    </w:p>
    <w:p>
      <w:pPr>
        <w:spacing w:after="0" w:line="75"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Circumstances under which a lender must terminate force-placed flood insurance coverage and refund payments to the borrower are also stipulated.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Changes to existing processes and procedures along with the implementation of new forms and notifications resulted from this new rule. Fines and penalties for compliance with flood insurance requirements promote a continued focus on adherence to the new flood rule and existing requirements.</w:t>
      </w:r>
    </w:p>
    <w:p>
      <w:pPr>
        <w:spacing w:after="0" w:line="14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October 3, 2016, compliance was required with the Department of Defense (DOD) new rules amending its regulation that implements the Military Lending Act (MLA). The MLA was enacted as part of the John Warner National Defense Act of 2007. These new rules significantly expanded the scope of the Act to cover all consumer credit except residential mortgages and purchase money loans. For credit cards, the required compliance date is October 3,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 More specifically, the final rule:</w:t>
      </w:r>
    </w:p>
    <w:p>
      <w:pPr>
        <w:spacing w:after="0" w:line="73" w:lineRule="exact"/>
        <w:rPr>
          <w:sz w:val="20"/>
          <w:szCs w:val="20"/>
          <w:color w:val="auto"/>
        </w:rPr>
      </w:pPr>
    </w:p>
    <w:p>
      <w:pPr>
        <w:ind w:left="900" w:right="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Makes financial institutions responsible for determining an applicant’s military status through inquiry using the database maintained by the DOD or a consumer reporting agency that provides such information.</w:t>
      </w:r>
    </w:p>
    <w:p>
      <w:pPr>
        <w:spacing w:after="0" w:line="75" w:lineRule="exact"/>
        <w:rPr>
          <w:rFonts w:ascii="Arial" w:cs="Arial" w:eastAsia="Arial" w:hAnsi="Arial"/>
          <w:sz w:val="18"/>
          <w:szCs w:val="18"/>
          <w:color w:val="auto"/>
        </w:rPr>
      </w:pPr>
    </w:p>
    <w:p>
      <w:pPr>
        <w:ind w:left="900" w:right="180" w:hanging="446"/>
        <w:spacing w:after="0" w:line="30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Limits what may be charged in fees and interest on covered consumer loans by imposing a 36% “military annual percentage rate” (MAPR) cap. The MAPR cap is an “all-in” annual percentage rate (APR) that includes interest and fees associated with the loan such as application fee and annual fees, as well as fees and premiums for add-on products such as credit insurance, debt cancellation, and debt suspension often sold in connection with a consumer credit transaction. Providing a loan to a covered borrower that exceeds the 36% MAPR is prohibited.</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Requires additional disclosures which must be provided to military personnel, their spouses, and dependents when they obtain a loan.</w:t>
      </w:r>
    </w:p>
    <w:p>
      <w:pPr>
        <w:spacing w:after="0" w:line="142"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Prohibits certain terms or provisions that require arbitration, involve assessment of a prepayment penalty, or require service members or their dependents to waive any rights under the Service member’s Civil Relief Act or any other federal or state law.</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Any covered loans made without providing proper disclosures or in violation of the MLA is void. Creditors who knowingly or willfully violate the rules could be subject to a fine, imprisonment up to one year or both. Implementation of these new rules involved an understanding of its impact on the covered consumer credit products offered, collaboration with Loan Origination System vendors for assistance with calculations and required disclosures, and an efficient and effective process for identifying covered borrowers. Though the rule is designed to benefit service members, it involves a series of price controls which in essence may restrict the availability of some forms of conventional consumer credit for service members and their dependents.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final rule with amendments regarding Small Creditors and Rural Areas under the TILA became effective on January 1, 2016. In determining eligibility for small creditor status, the loan origination limit was increased from 500 to 2,000 first-lien mortgage loan transactions during the preceding calendar year and excluded loans held in portfolio by the lender. In addition, the definition of rural areas was expanded from counties that are considered rural to include smaller census blocks within a county that are not in urban areas. An automated tool for assessing whether a property is located in a rural or underserved area was made available by the Bureau. The Bank meets the criteria to qualify as a small creditor based on the number of loans made during the prior calendar year and due to its asset size of less than $2.069 billion (the asset size threshold subject to an annual CPI adjustment as of December 31, 2016); however it is not a creditor that operates predominantly in rural or underserved areas as it did not extend more than 50% of its total first-lien covered transactions in rural or underserved areas in calendar year 2016. The Bank continues to seek Qualified Mortgage (QM) status for mortgage loans made as they provide certain presumptions of compliance under the Ability to Repay Regulation adopted under the Dodd-Frank Act. In satisfying QM requirements, any mortgage lender regardless of their size can make loans which are entitled to the QM presumption of compliance.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Revised Regulation C rules which implement the Home Mortgage Disclosure Act (HMDA) published by the Bureau become effective on January 1, 2018 for reportable loan applications. The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or borrower age, credit score, automated underwriting system information, property value, application channel, points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Year-end submission of the data to be reported will be completed using a yet-to-be-developed web-based tool. The data format and use of the yet-to-be developed web-based tool also affect the year-end submission of 2017 HMDA data. Implementation of these new requirements will involve the workgroup being attentive to the provisions in the final rules. A thorough assessment will involve evaluating the impact on the data collection processes and procedures within each affected business line, as well as data collection features within the loan origination systems utilized to generate loan applications and loan closing documentation.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Unfair or deceptive acts or practices (UDAP) standards originally developed years ago by the Federal Trade Commission focus on unacceptable practices that may not specifically be addressed elsewhere in banking or consumer finance law. Banking regulatory agencies have increasingly used this authority over the last few years to address acts or practices that are deemed harmful, deceptive, or misleading to consumers. The Federal Trade Commission (FTC) no longer has the authority to issue credit practice rules under Section 5 of the Federal Trade Commission Act for financial institutions, since this was repealed as a result of the Dodd-Frank Act. In August 2014, Guidance issued collectively by the FDIC, FRB, the Bureau, NCUA, and OCC clearly indicated certain consumer credit practices are not permissible and remain subject to Section 5 of the Federal Trade Commission Act, as well as Sections 1031 and 1036 of the Dodd-Frank Act. Though the authority has been repealed, the interagency guidance further noted that the Agencies will continue to have supervisory authority and enforcement authority for unfair or deceptive acts or practices, which could include those practices previously addressed in the former credit practices rules. The guidance warned financial institutions not to interpret the repeal of these rules to indicate that the unfair or deceptive practices previously described are permissible. Remaining attentive to the UDAP standards, in relation to the offering and marketing of Bank products and services is extremely important.</w:t>
      </w:r>
    </w:p>
    <w:p>
      <w:pPr>
        <w:spacing w:after="0" w:line="1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a number of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 Various provisions and regulations authorized or required by the Dodd-Frank Act have not yet been proposed or implemented by federal regulators. Uncertainty also exists with respect to the Dodd-Frank Act regulations authorized or required that have not yet been proposed or finalized.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maintains an Internet web site at the following internet address: www.fm-bank.com.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reasonable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Real estate loans, which constitute a large portion of our loan portfolio, include home equity, commercial, construction and residential loans, and such loans are concentrated in the Bank’s primary markets in northwest Ohio and Northeast Indiana.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The Gramm-Leach-Bliley Act regarding financial modernization that became effective in November 1999 removed many of the barriers to the integration of the banking, securities and insurance industries and is likely to increase the competitive pressures upon the Bank. We cannot predict what effect such Act and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During 2014, the Company’s margin and spread began to improve slightly even though the rate environment remained low and flat. 2015 ended with a slight tightening of the margin as compared to 2014 and for 2016 the Company’s margin improved. This widening of the margin directly correlated to the improvement of the Bank’s loan to asset ratio and was aided by the Federal Reserve rate increase in December 2015.</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Non-officers receive incentive pay in December of the same year based on the year-to-date base compensation through the last pay received in November.</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Officers, other than executive officers, receive incentive pay based on additional criterion. The officers are rewarded based on overall ROA of the Bank along with individual pre-established goals. Officers, therefore, have incentive pay at risk for individual performance. The individualized goals are recommended by each officer’s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Officers in a support department may be given goals which create efficiencies, ensure compliance with procedures, or generate new fee or product opportunities. On average, three to four goals were given to each officer in 2016. Officers are paid cash incentives based on the year-end ROA of the Bank and receive it within the first quarter of the following year. Should the ROA be forecasted to be positive but below the base target set by the Board, the officers are paid an incentive under the same basis and timing as non-officers disclosed above.</w:t>
      </w:r>
    </w:p>
    <w:p>
      <w:pPr>
        <w:spacing w:after="0" w:line="16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12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dividends from the Bank which is subject to restrictions and limitations in the amount and timing of the dividends it may pay to the Company. The Bank has been declaring additional dividends each quarter to provide this liquidity to the Company. In future years, we anticipate the Captive will also upstream dividends to the Company once reserve levels are adequately provided for.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our operations are dependent on our ability to process financial transactions in a secure manner. Failure in or breach of our operational or security systems or infrastructure, or those of our third party vendors and other service providers could disrupt our businesses or the businesses of our customers, result in the disclosure or misuse of confidential or proprietary information, damage our reputation, increase our costs and cause losses. We must ensure that information is properly protected from a variety of threats such as cyber-attacks, error, fraud, sabotage, terrorism, industrial espionage, privacy violation, service interruption, and natural disaster. The Company, with the assistance of third-party service providers, intends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 Any activity that jeopardizes our network and the security of the information stored on our network may result in significant cost to the Company and have a significant negative effect on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Trading Market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its shares of stock listed on the OTC Markets Group trading platform. Our stock is traded on the OTC-QX platform. The Company’s trading symbol is “FMAO.”</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225"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The bank owns a parking lot in downtown Montpelier which is provided for community use.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Bank owns all of its office locations, with the exception of Angola, Indiana and Bowling Green, Ohio. Both of these office locations are leased.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Bank currently maintains retail branch banking offices at the following locations:</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300" w:type="dxa"/>
            <w:vAlign w:val="bottom"/>
            <w:gridSpan w:val="2"/>
          </w:tcPr>
          <w:p>
            <w:pPr>
              <w:spacing w:after="0"/>
              <w:rPr>
                <w:sz w:val="20"/>
                <w:szCs w:val="20"/>
                <w:color w:val="auto"/>
              </w:rPr>
            </w:pPr>
            <w:r>
              <w:rPr>
                <w:rFonts w:ascii="Arial" w:cs="Arial" w:eastAsia="Arial" w:hAnsi="Arial"/>
                <w:sz w:val="14"/>
                <w:szCs w:val="14"/>
                <w:color w:val="auto"/>
              </w:rPr>
              <w:t>Office</w:t>
            </w: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ind w:left="700"/>
              <w:spacing w:after="0"/>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00" w:type="dxa"/>
            <w:vAlign w:val="bottom"/>
            <w:gridSpan w:val="2"/>
          </w:tcPr>
          <w:p>
            <w:pPr>
              <w:spacing w:after="0" w:line="195" w:lineRule="exact"/>
              <w:rPr>
                <w:sz w:val="20"/>
                <w:szCs w:val="20"/>
                <w:color w:val="auto"/>
              </w:rPr>
            </w:pPr>
            <w:r>
              <w:rPr>
                <w:rFonts w:ascii="Arial" w:cs="Arial" w:eastAsia="Arial" w:hAnsi="Arial"/>
                <w:sz w:val="18"/>
                <w:szCs w:val="18"/>
                <w:color w:val="auto"/>
              </w:rPr>
              <w:t>Archbold, Ohio</w:t>
            </w:r>
          </w:p>
        </w:tc>
        <w:tc>
          <w:tcPr>
            <w:tcW w:w="1760" w:type="dxa"/>
            <w:vAlign w:val="bottom"/>
            <w:vMerge w:val="continue"/>
          </w:tcPr>
          <w:p>
            <w:pPr>
              <w:spacing w:after="0"/>
              <w:rPr>
                <w:sz w:val="16"/>
                <w:szCs w:val="16"/>
                <w:color w:val="auto"/>
              </w:rPr>
            </w:pPr>
          </w:p>
        </w:tc>
        <w:tc>
          <w:tcPr>
            <w:tcW w:w="380" w:type="dxa"/>
            <w:vAlign w:val="bottom"/>
            <w:gridSpan w:val="2"/>
          </w:tcPr>
          <w:p>
            <w:pPr>
              <w:spacing w:after="0" w:line="195" w:lineRule="exact"/>
              <w:rPr>
                <w:sz w:val="20"/>
                <w:szCs w:val="20"/>
                <w:color w:val="auto"/>
              </w:rPr>
            </w:pPr>
            <w:r>
              <w:rPr>
                <w:rFonts w:ascii="Arial" w:cs="Arial" w:eastAsia="Arial" w:hAnsi="Arial"/>
                <w:sz w:val="18"/>
                <w:szCs w:val="18"/>
                <w:color w:val="auto"/>
                <w:w w:val="89"/>
              </w:rPr>
              <w:t>1313</w:t>
            </w:r>
          </w:p>
        </w:tc>
        <w:tc>
          <w:tcPr>
            <w:tcW w:w="2320" w:type="dxa"/>
            <w:vAlign w:val="bottom"/>
          </w:tcPr>
          <w:p>
            <w:pPr>
              <w:ind w:left="20"/>
              <w:spacing w:after="0" w:line="195" w:lineRule="exact"/>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Wauseon,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1130 N Shoop Avenue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119 N Fulton Street</w:t>
            </w:r>
          </w:p>
        </w:tc>
        <w:tc>
          <w:tcPr>
            <w:tcW w:w="0" w:type="dxa"/>
            <w:vAlign w:val="bottom"/>
          </w:tcPr>
          <w:p>
            <w:pPr>
              <w:spacing w:after="0"/>
              <w:rPr>
                <w:sz w:val="1"/>
                <w:szCs w:val="1"/>
                <w:color w:val="auto"/>
              </w:rPr>
            </w:pP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color w:val="auto"/>
              </w:rPr>
              <w:t>Stryker, Ohio</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300</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West Unity, Ohio</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200</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W Jackson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Bryan, Ohio</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929</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E High Street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1000</w:t>
            </w:r>
          </w:p>
        </w:tc>
        <w:tc>
          <w:tcPr>
            <w:tcW w:w="2320" w:type="dxa"/>
            <w:vAlign w:val="bottom"/>
          </w:tcPr>
          <w:p>
            <w:pPr>
              <w:ind w:left="20"/>
              <w:spacing w:after="0"/>
              <w:rPr>
                <w:sz w:val="20"/>
                <w:szCs w:val="20"/>
                <w:color w:val="auto"/>
              </w:rPr>
            </w:pPr>
            <w:r>
              <w:rPr>
                <w:rFonts w:ascii="Arial" w:cs="Arial" w:eastAsia="Arial" w:hAnsi="Arial"/>
                <w:sz w:val="18"/>
                <w:szCs w:val="18"/>
                <w:color w:val="auto"/>
              </w:rPr>
              <w:t>S Main Street</w:t>
            </w:r>
          </w:p>
        </w:tc>
        <w:tc>
          <w:tcPr>
            <w:tcW w:w="0" w:type="dxa"/>
            <w:vAlign w:val="bottom"/>
          </w:tcPr>
          <w:p>
            <w:pPr>
              <w:spacing w:after="0"/>
              <w:rPr>
                <w:sz w:val="1"/>
                <w:szCs w:val="1"/>
                <w:color w:val="auto"/>
              </w:rPr>
            </w:pPr>
          </w:p>
        </w:tc>
      </w:tr>
      <w:tr>
        <w:trPr>
          <w:trHeight w:val="323"/>
        </w:trPr>
        <w:tc>
          <w:tcPr>
            <w:tcW w:w="3300" w:type="dxa"/>
            <w:vAlign w:val="bottom"/>
            <w:gridSpan w:val="2"/>
          </w:tcPr>
          <w:p>
            <w:pPr>
              <w:spacing w:after="0"/>
              <w:rPr>
                <w:sz w:val="20"/>
                <w:szCs w:val="20"/>
                <w:color w:val="auto"/>
              </w:rPr>
            </w:pPr>
            <w:r>
              <w:rPr>
                <w:rFonts w:ascii="Arial" w:cs="Arial" w:eastAsia="Arial" w:hAnsi="Arial"/>
                <w:sz w:val="18"/>
                <w:szCs w:val="18"/>
                <w:color w:val="auto"/>
              </w:rPr>
              <w:t>Delta, Ohio</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101</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Montpelier,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1150 E Main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Napoleon, Ohio</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2255</w:t>
            </w:r>
          </w:p>
        </w:tc>
        <w:tc>
          <w:tcPr>
            <w:tcW w:w="2320" w:type="dxa"/>
            <w:vAlign w:val="bottom"/>
          </w:tcPr>
          <w:p>
            <w:pPr>
              <w:ind w:left="20"/>
              <w:spacing w:after="0"/>
              <w:rPr>
                <w:sz w:val="20"/>
                <w:szCs w:val="20"/>
                <w:color w:val="auto"/>
              </w:rPr>
            </w:pPr>
            <w:r>
              <w:rPr>
                <w:rFonts w:ascii="Arial" w:cs="Arial" w:eastAsia="Arial" w:hAnsi="Arial"/>
                <w:sz w:val="18"/>
                <w:szCs w:val="18"/>
                <w:color w:val="auto"/>
              </w:rPr>
              <w:t>Scott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Swanton,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7 Turtle Creek Circle</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Defiance,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1175 Hotel Drive</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Perrysburg, Ohio</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7001</w:t>
            </w:r>
          </w:p>
        </w:tc>
        <w:tc>
          <w:tcPr>
            <w:tcW w:w="2320" w:type="dxa"/>
            <w:vAlign w:val="bottom"/>
          </w:tcPr>
          <w:p>
            <w:pPr>
              <w:ind w:left="20"/>
              <w:spacing w:after="0"/>
              <w:rPr>
                <w:sz w:val="20"/>
                <w:szCs w:val="20"/>
                <w:color w:val="auto"/>
              </w:rPr>
            </w:pPr>
            <w:r>
              <w:rPr>
                <w:rFonts w:ascii="Arial" w:cs="Arial" w:eastAsia="Arial" w:hAnsi="Arial"/>
                <w:sz w:val="18"/>
                <w:szCs w:val="18"/>
                <w:color w:val="auto"/>
              </w:rPr>
              <w:t>Lighthouse Way</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Butler, Indiana</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200</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S Broadway</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Auburn, Indiana</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403</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Erie Pass</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Angola, Indiana</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2310</w:t>
            </w:r>
          </w:p>
        </w:tc>
        <w:tc>
          <w:tcPr>
            <w:tcW w:w="2320" w:type="dxa"/>
            <w:vAlign w:val="bottom"/>
          </w:tcPr>
          <w:p>
            <w:pPr>
              <w:ind w:left="20"/>
              <w:spacing w:after="0"/>
              <w:rPr>
                <w:sz w:val="20"/>
                <w:szCs w:val="20"/>
                <w:color w:val="auto"/>
              </w:rPr>
            </w:pPr>
            <w:r>
              <w:rPr>
                <w:rFonts w:ascii="Arial" w:cs="Arial" w:eastAsia="Arial" w:hAnsi="Arial"/>
                <w:sz w:val="18"/>
                <w:szCs w:val="18"/>
                <w:color w:val="auto"/>
              </w:rPr>
              <w:t>N Wayne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Hicksville, Ohio</w:t>
            </w:r>
          </w:p>
        </w:tc>
        <w:tc>
          <w:tcPr>
            <w:tcW w:w="2040" w:type="dxa"/>
            <w:vAlign w:val="bottom"/>
            <w:gridSpan w:val="2"/>
          </w:tcPr>
          <w:p>
            <w:pPr>
              <w:ind w:left="1740"/>
              <w:spacing w:after="0"/>
              <w:rPr>
                <w:sz w:val="20"/>
                <w:szCs w:val="20"/>
                <w:color w:val="auto"/>
              </w:rPr>
            </w:pPr>
            <w:r>
              <w:rPr>
                <w:rFonts w:ascii="Arial" w:cs="Arial" w:eastAsia="Arial" w:hAnsi="Arial"/>
                <w:sz w:val="18"/>
                <w:szCs w:val="18"/>
                <w:color w:val="auto"/>
                <w:w w:val="93"/>
              </w:rPr>
              <w:t>100</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Waterville,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8720 Waterville-Swanton Road</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Custar, Ohio</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22973 Defiance Pike</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Sylvania, Ohio</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5830</w:t>
            </w:r>
          </w:p>
        </w:tc>
        <w:tc>
          <w:tcPr>
            <w:tcW w:w="2320" w:type="dxa"/>
            <w:vAlign w:val="bottom"/>
          </w:tcPr>
          <w:p>
            <w:pPr>
              <w:ind w:left="20"/>
              <w:spacing w:after="0"/>
              <w:rPr>
                <w:sz w:val="20"/>
                <w:szCs w:val="20"/>
                <w:color w:val="auto"/>
              </w:rPr>
            </w:pPr>
            <w:r>
              <w:rPr>
                <w:rFonts w:ascii="Arial" w:cs="Arial" w:eastAsia="Arial" w:hAnsi="Arial"/>
                <w:sz w:val="18"/>
                <w:szCs w:val="18"/>
                <w:color w:val="auto"/>
              </w:rPr>
              <w:t>Monroe Street</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Fort Wayne, Indiana</w:t>
            </w:r>
          </w:p>
        </w:tc>
        <w:tc>
          <w:tcPr>
            <w:tcW w:w="4460" w:type="dxa"/>
            <w:vAlign w:val="bottom"/>
            <w:gridSpan w:val="4"/>
          </w:tcPr>
          <w:p>
            <w:pPr>
              <w:ind w:left="1740"/>
              <w:spacing w:after="0"/>
              <w:rPr>
                <w:sz w:val="20"/>
                <w:szCs w:val="20"/>
                <w:color w:val="auto"/>
              </w:rPr>
            </w:pPr>
            <w:r>
              <w:rPr>
                <w:rFonts w:ascii="Arial" w:cs="Arial" w:eastAsia="Arial" w:hAnsi="Arial"/>
                <w:sz w:val="18"/>
                <w:szCs w:val="18"/>
                <w:color w:val="auto"/>
              </w:rPr>
              <w:t>12106 Lima Road</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Bowling Green, Ohio</w:t>
            </w:r>
          </w:p>
        </w:tc>
        <w:tc>
          <w:tcPr>
            <w:tcW w:w="2140" w:type="dxa"/>
            <w:vAlign w:val="bottom"/>
            <w:gridSpan w:val="3"/>
          </w:tcPr>
          <w:p>
            <w:pPr>
              <w:ind w:left="1740"/>
              <w:spacing w:after="0"/>
              <w:rPr>
                <w:sz w:val="20"/>
                <w:szCs w:val="20"/>
                <w:color w:val="auto"/>
              </w:rPr>
            </w:pPr>
            <w:r>
              <w:rPr>
                <w:rFonts w:ascii="Arial" w:cs="Arial" w:eastAsia="Arial" w:hAnsi="Arial"/>
                <w:sz w:val="18"/>
                <w:szCs w:val="18"/>
                <w:color w:val="auto"/>
                <w:w w:val="94"/>
              </w:rPr>
              <w:t>1072</w:t>
            </w:r>
          </w:p>
        </w:tc>
        <w:tc>
          <w:tcPr>
            <w:tcW w:w="2320" w:type="dxa"/>
            <w:vAlign w:val="bottom"/>
          </w:tcPr>
          <w:p>
            <w:pPr>
              <w:ind w:left="20"/>
              <w:spacing w:after="0"/>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but one of the above locations has drive-up service facilities and an ATM. The Captive operates from leased office space at 101 Convention Center Dr., Suite 850, Las Vegas, NV 89109.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u w:val="single" w:color="auto"/>
          <w:color w:val="auto"/>
        </w:rPr>
        <w:t>MARKET FOR REGISTRANT’S COMMON EQUITY AND RELATED STOCKHOLDER MATTERS</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has its shares of stock quoted on the OTC Markets Group OTC-QX trading platform. OTC Markets Group developed QX platform specifically for community banks. The separate market is intended to help community banks improve liquidity by increasing the trading volume of their shares.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market makers that set a price for our stock; however, private sales continue to occur. The high and low sale prices of the Company’s stock known to our management, as reported on Bloomberg.com, are as follows:</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Stock Prices 2016</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156"/>
        </w:trPr>
        <w:tc>
          <w:tcPr>
            <w:tcW w:w="21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color w:val="auto"/>
              </w:rPr>
              <w:t>Quarter</w:t>
            </w:r>
          </w:p>
        </w:tc>
        <w:tc>
          <w:tcPr>
            <w:tcW w:w="50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rPr>
              <w:t>Low</w:t>
            </w:r>
          </w:p>
        </w:tc>
        <w:tc>
          <w:tcPr>
            <w:tcW w:w="4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High</w:t>
            </w: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w:t>
            </w:r>
          </w:p>
        </w:tc>
        <w:tc>
          <w:tcPr>
            <w:tcW w:w="166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$26.00</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2nd</w:t>
            </w:r>
          </w:p>
        </w:tc>
        <w:tc>
          <w:tcPr>
            <w:tcW w:w="5540" w:type="dxa"/>
            <w:vAlign w:val="bottom"/>
            <w:gridSpan w:val="2"/>
          </w:tcPr>
          <w:p>
            <w:pPr>
              <w:jc w:val="center"/>
              <w:ind w:left="4953"/>
              <w:spacing w:after="0"/>
              <w:rPr>
                <w:sz w:val="20"/>
                <w:szCs w:val="20"/>
                <w:color w:val="auto"/>
              </w:rPr>
            </w:pPr>
            <w:r>
              <w:rPr>
                <w:rFonts w:ascii="Arial" w:cs="Arial" w:eastAsia="Arial" w:hAnsi="Arial"/>
                <w:sz w:val="18"/>
                <w:szCs w:val="18"/>
                <w:color w:val="auto"/>
                <w:w w:val="90"/>
              </w:rPr>
              <w:t>$27.30</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$28.95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w:t>
            </w:r>
          </w:p>
        </w:tc>
        <w:tc>
          <w:tcPr>
            <w:tcW w:w="5540" w:type="dxa"/>
            <w:vAlign w:val="bottom"/>
            <w:gridSpan w:val="2"/>
            <w:shd w:val="clear" w:color="auto" w:fill="CCEEFF"/>
          </w:tcPr>
          <w:p>
            <w:pPr>
              <w:jc w:val="center"/>
              <w:ind w:left="4953"/>
              <w:spacing w:after="0"/>
              <w:rPr>
                <w:sz w:val="20"/>
                <w:szCs w:val="20"/>
                <w:color w:val="auto"/>
              </w:rPr>
            </w:pPr>
            <w:r>
              <w:rPr>
                <w:rFonts w:ascii="Arial" w:cs="Arial" w:eastAsia="Arial" w:hAnsi="Arial"/>
                <w:sz w:val="18"/>
                <w:szCs w:val="18"/>
                <w:color w:val="auto"/>
                <w:w w:val="90"/>
              </w:rPr>
              <w:t>$28.20</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$32.50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4th</w:t>
            </w:r>
          </w:p>
        </w:tc>
        <w:tc>
          <w:tcPr>
            <w:tcW w:w="5540" w:type="dxa"/>
            <w:vAlign w:val="bottom"/>
            <w:gridSpan w:val="2"/>
          </w:tcPr>
          <w:p>
            <w:pPr>
              <w:jc w:val="center"/>
              <w:ind w:left="4953"/>
              <w:spacing w:after="0"/>
              <w:rPr>
                <w:sz w:val="20"/>
                <w:szCs w:val="20"/>
                <w:color w:val="auto"/>
              </w:rPr>
            </w:pPr>
            <w:r>
              <w:rPr>
                <w:rFonts w:ascii="Arial" w:cs="Arial" w:eastAsia="Arial" w:hAnsi="Arial"/>
                <w:sz w:val="18"/>
                <w:szCs w:val="18"/>
                <w:color w:val="auto"/>
                <w:w w:val="90"/>
              </w:rPr>
              <w:t>$30.81</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$40.00</w:t>
            </w:r>
          </w:p>
        </w:tc>
        <w:tc>
          <w:tcPr>
            <w:tcW w:w="1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ind w:left="1660"/>
              <w:spacing w:after="0"/>
              <w:rPr>
                <w:sz w:val="20"/>
                <w:szCs w:val="20"/>
                <w:color w:val="auto"/>
              </w:rPr>
            </w:pPr>
            <w:r>
              <w:rPr>
                <w:rFonts w:ascii="Arial" w:cs="Arial" w:eastAsia="Arial" w:hAnsi="Arial"/>
                <w:sz w:val="14"/>
                <w:szCs w:val="14"/>
                <w:color w:val="auto"/>
              </w:rPr>
              <w:t>Stock Prices 2015</w:t>
            </w: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rPr>
              <w:t>Quarter</w:t>
            </w:r>
          </w:p>
        </w:tc>
        <w:tc>
          <w:tcPr>
            <w:tcW w:w="5040" w:type="dxa"/>
            <w:vAlign w:val="bottom"/>
          </w:tcPr>
          <w:p>
            <w:pPr>
              <w:spacing w:after="0"/>
              <w:rPr>
                <w:sz w:val="13"/>
                <w:szCs w:val="13"/>
                <w:color w:val="auto"/>
              </w:rPr>
            </w:pPr>
          </w:p>
        </w:tc>
        <w:tc>
          <w:tcPr>
            <w:tcW w:w="500" w:type="dxa"/>
            <w:vAlign w:val="bottom"/>
          </w:tcPr>
          <w:p>
            <w:pPr>
              <w:jc w:val="center"/>
              <w:spacing w:after="0" w:line="155" w:lineRule="exact"/>
              <w:rPr>
                <w:sz w:val="20"/>
                <w:szCs w:val="20"/>
                <w:color w:val="auto"/>
              </w:rPr>
            </w:pPr>
            <w:r>
              <w:rPr>
                <w:rFonts w:ascii="Arial" w:cs="Arial" w:eastAsia="Arial" w:hAnsi="Arial"/>
                <w:sz w:val="14"/>
                <w:szCs w:val="14"/>
                <w:color w:val="auto"/>
              </w:rPr>
              <w:t>Low</w:t>
            </w:r>
          </w:p>
        </w:tc>
        <w:tc>
          <w:tcPr>
            <w:tcW w:w="440" w:type="dxa"/>
            <w:vAlign w:val="bottom"/>
          </w:tcPr>
          <w:p>
            <w:pPr>
              <w:spacing w:after="0"/>
              <w:rPr>
                <w:sz w:val="13"/>
                <w:szCs w:val="13"/>
                <w:color w:val="auto"/>
              </w:rPr>
            </w:pPr>
          </w:p>
        </w:tc>
        <w:tc>
          <w:tcPr>
            <w:tcW w:w="500" w:type="dxa"/>
            <w:vAlign w:val="bottom"/>
          </w:tcPr>
          <w:p>
            <w:pPr>
              <w:jc w:val="center"/>
              <w:spacing w:after="0" w:line="155" w:lineRule="exact"/>
              <w:rPr>
                <w:sz w:val="20"/>
                <w:szCs w:val="20"/>
                <w:color w:val="auto"/>
              </w:rPr>
            </w:pPr>
            <w:r>
              <w:rPr>
                <w:rFonts w:ascii="Arial" w:cs="Arial" w:eastAsia="Arial" w:hAnsi="Arial"/>
                <w:sz w:val="14"/>
                <w:szCs w:val="14"/>
                <w:color w:val="auto"/>
                <w:w w:val="97"/>
              </w:rPr>
              <w:t>High</w:t>
            </w: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w:t>
            </w:r>
          </w:p>
        </w:tc>
        <w:tc>
          <w:tcPr>
            <w:tcW w:w="166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$25.35</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2nd</w:t>
            </w:r>
          </w:p>
        </w:tc>
        <w:tc>
          <w:tcPr>
            <w:tcW w:w="5540" w:type="dxa"/>
            <w:vAlign w:val="bottom"/>
            <w:gridSpan w:val="2"/>
          </w:tcPr>
          <w:p>
            <w:pPr>
              <w:jc w:val="center"/>
              <w:ind w:left="4953"/>
              <w:spacing w:after="0"/>
              <w:rPr>
                <w:sz w:val="20"/>
                <w:szCs w:val="20"/>
                <w:color w:val="auto"/>
              </w:rPr>
            </w:pPr>
            <w:r>
              <w:rPr>
                <w:rFonts w:ascii="Arial" w:cs="Arial" w:eastAsia="Arial" w:hAnsi="Arial"/>
                <w:sz w:val="18"/>
                <w:szCs w:val="18"/>
                <w:color w:val="auto"/>
                <w:w w:val="90"/>
              </w:rPr>
              <w:t>$25.56</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$27.80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w:t>
            </w:r>
          </w:p>
        </w:tc>
        <w:tc>
          <w:tcPr>
            <w:tcW w:w="5540" w:type="dxa"/>
            <w:vAlign w:val="bottom"/>
            <w:gridSpan w:val="2"/>
            <w:shd w:val="clear" w:color="auto" w:fill="CCEEFF"/>
          </w:tcPr>
          <w:p>
            <w:pPr>
              <w:jc w:val="center"/>
              <w:ind w:left="4953"/>
              <w:spacing w:after="0"/>
              <w:rPr>
                <w:sz w:val="20"/>
                <w:szCs w:val="20"/>
                <w:color w:val="auto"/>
              </w:rPr>
            </w:pPr>
            <w:r>
              <w:rPr>
                <w:rFonts w:ascii="Arial" w:cs="Arial" w:eastAsia="Arial" w:hAnsi="Arial"/>
                <w:sz w:val="18"/>
                <w:szCs w:val="18"/>
                <w:color w:val="auto"/>
                <w:w w:val="90"/>
              </w:rPr>
              <w:t>$25.60</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$28.25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4th</w:t>
            </w:r>
          </w:p>
        </w:tc>
        <w:tc>
          <w:tcPr>
            <w:tcW w:w="5540" w:type="dxa"/>
            <w:vAlign w:val="bottom"/>
            <w:gridSpan w:val="2"/>
          </w:tcPr>
          <w:p>
            <w:pPr>
              <w:jc w:val="center"/>
              <w:ind w:left="4953"/>
              <w:spacing w:after="0"/>
              <w:rPr>
                <w:sz w:val="20"/>
                <w:szCs w:val="20"/>
                <w:color w:val="auto"/>
              </w:rPr>
            </w:pPr>
            <w:r>
              <w:rPr>
                <w:rFonts w:ascii="Arial" w:cs="Arial" w:eastAsia="Arial" w:hAnsi="Arial"/>
                <w:sz w:val="18"/>
                <w:szCs w:val="18"/>
                <w:color w:val="auto"/>
                <w:w w:val="90"/>
              </w:rPr>
              <w:t>$25.50</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$27.00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Computershare as its transfer agent.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30, 2017 there were 1,842 record holders of our common stock of which 25.58% of the outstanding shares are being held in brokerage accounts or “street name” and only considered as one record holder.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following page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2016. The chart compares the value of $100 invested in the Corporation and each of the indices and assumes investment on December 31, 2011 with all dividends reinvested.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134620</wp:posOffset>
            </wp:positionV>
            <wp:extent cx="5334000" cy="1646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34000"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2011</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2015</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FMAO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134.68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166.12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171.98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223.29</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NASDAQ - COMPOSITE</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117.70</w:t>
            </w:r>
          </w:p>
        </w:tc>
        <w:tc>
          <w:tcPr>
            <w:tcW w:w="200" w:type="dxa"/>
            <w:vAlign w:val="bottom"/>
          </w:tcPr>
          <w:p>
            <w:pPr>
              <w:spacing w:after="0"/>
              <w:rPr>
                <w:sz w:val="18"/>
                <w:szCs w:val="18"/>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163.93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187.52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200.39</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217.39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NASDAQ-BANK INDEX</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118.55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166.38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174.11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188.61</w:t>
            </w: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254.24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Dividends are declared and paid quarterly. Per share dividends declared for the years ended 2016 and 2015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400" w:type="dxa"/>
            <w:vAlign w:val="bottom"/>
          </w:tcPr>
          <w:p>
            <w:pPr>
              <w:ind w:left="640"/>
              <w:spacing w:after="0"/>
              <w:rPr>
                <w:sz w:val="20"/>
                <w:szCs w:val="20"/>
                <w:color w:val="auto"/>
              </w:rPr>
            </w:pPr>
            <w:r>
              <w:rPr>
                <w:rFonts w:ascii="Arial" w:cs="Arial" w:eastAsia="Arial" w:hAnsi="Arial"/>
                <w:sz w:val="14"/>
                <w:szCs w:val="14"/>
                <w:color w:val="auto"/>
              </w:rPr>
              <w:t>1st Quarter</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w w:val="96"/>
              </w:rPr>
              <w:t>2nd Quarter</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ind w:left="520"/>
              <w:spacing w:after="0"/>
              <w:rPr>
                <w:sz w:val="20"/>
                <w:szCs w:val="20"/>
                <w:color w:val="auto"/>
              </w:rPr>
            </w:pPr>
            <w:r>
              <w:rPr>
                <w:rFonts w:ascii="Arial" w:cs="Arial" w:eastAsia="Arial" w:hAnsi="Arial"/>
                <w:sz w:val="14"/>
                <w:szCs w:val="14"/>
                <w:color w:val="auto"/>
                <w:w w:val="97"/>
              </w:rPr>
              <w:t>3rd Quarter</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140" w:type="dxa"/>
            <w:vAlign w:val="bottom"/>
            <w:gridSpan w:val="2"/>
          </w:tcPr>
          <w:p>
            <w:pPr>
              <w:ind w:left="520"/>
              <w:spacing w:after="0"/>
              <w:rPr>
                <w:sz w:val="20"/>
                <w:szCs w:val="20"/>
                <w:color w:val="auto"/>
              </w:rPr>
            </w:pPr>
            <w:r>
              <w:rPr>
                <w:rFonts w:ascii="Arial" w:cs="Arial" w:eastAsia="Arial" w:hAnsi="Arial"/>
                <w:sz w:val="14"/>
                <w:szCs w:val="14"/>
                <w:color w:val="auto"/>
              </w:rPr>
              <w:t>4th Quarter</w:t>
            </w:r>
          </w:p>
        </w:tc>
        <w:tc>
          <w:tcPr>
            <w:tcW w:w="1700" w:type="dxa"/>
            <w:vAlign w:val="bottom"/>
          </w:tcPr>
          <w:p>
            <w:pPr>
              <w:jc w:val="right"/>
              <w:ind w:right="616"/>
              <w:spacing w:after="0"/>
              <w:rPr>
                <w:sz w:val="20"/>
                <w:szCs w:val="20"/>
                <w:color w:val="auto"/>
              </w:rPr>
            </w:pPr>
            <w:r>
              <w:rPr>
                <w:rFonts w:ascii="Arial" w:cs="Arial" w:eastAsia="Arial" w:hAnsi="Arial"/>
                <w:sz w:val="14"/>
                <w:szCs w:val="14"/>
                <w:color w:val="auto"/>
              </w:rPr>
              <w:t>Total</w:t>
            </w:r>
          </w:p>
        </w:tc>
      </w:tr>
      <w:tr>
        <w:trPr>
          <w:trHeight w:val="210"/>
        </w:trPr>
        <w:tc>
          <w:tcPr>
            <w:tcW w:w="90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84"/>
              </w:rPr>
              <w:t>2016</w:t>
            </w:r>
          </w:p>
        </w:tc>
        <w:tc>
          <w:tcPr>
            <w:tcW w:w="1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$0.23</w:t>
            </w:r>
          </w:p>
        </w:tc>
        <w:tc>
          <w:tcPr>
            <w:tcW w:w="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$0.23</w:t>
            </w:r>
          </w:p>
        </w:tc>
        <w:tc>
          <w:tcPr>
            <w:tcW w:w="4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30"/>
        </w:trPr>
        <w:tc>
          <w:tcPr>
            <w:tcW w:w="900" w:type="dxa"/>
            <w:vAlign w:val="bottom"/>
          </w:tcPr>
          <w:p>
            <w:pPr>
              <w:jc w:val="right"/>
              <w:ind w:right="450"/>
              <w:spacing w:after="0"/>
              <w:rPr>
                <w:sz w:val="20"/>
                <w:szCs w:val="20"/>
                <w:color w:val="auto"/>
              </w:rPr>
            </w:pPr>
            <w:r>
              <w:rPr>
                <w:rFonts w:ascii="Arial" w:cs="Arial" w:eastAsia="Arial" w:hAnsi="Arial"/>
                <w:sz w:val="18"/>
                <w:szCs w:val="18"/>
                <w:color w:val="auto"/>
                <w:w w:val="84"/>
              </w:rPr>
              <w:t>2015</w:t>
            </w:r>
          </w:p>
        </w:tc>
        <w:tc>
          <w:tcPr>
            <w:tcW w:w="1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$0.21</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$0.22</w:t>
            </w:r>
          </w:p>
        </w:tc>
        <w:tc>
          <w:tcPr>
            <w:tcW w:w="12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$0.22</w:t>
            </w:r>
          </w:p>
        </w:tc>
        <w:tc>
          <w:tcPr>
            <w:tcW w:w="1700" w:type="dxa"/>
            <w:vAlign w:val="bottom"/>
          </w:tcPr>
          <w:p>
            <w:pPr>
              <w:jc w:val="right"/>
              <w:spacing w:after="0"/>
              <w:rPr>
                <w:sz w:val="20"/>
                <w:szCs w:val="20"/>
                <w:color w:val="auto"/>
              </w:rPr>
            </w:pPr>
            <w:r>
              <w:rPr>
                <w:rFonts w:ascii="Arial" w:cs="Arial" w:eastAsia="Arial" w:hAnsi="Arial"/>
                <w:sz w:val="18"/>
                <w:szCs w:val="18"/>
                <w:color w:val="auto"/>
              </w:rPr>
              <w:t>$0.22</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$0.87</w:t>
            </w:r>
          </w:p>
        </w:tc>
      </w:tr>
    </w:tbl>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ability of the Company to pay dividends is impacted by the dividend that the Company receives from the Bank. The Bank may pay as dividends to the Company its retained earnings during the current year and its prior two years. Various U.S. federal statutory provisions also limit the amount of dividends the Company’s banking subsidiary can pay to the Company without regulatory approval. In 2009, The Board of Governors of the Federal Reserve Division of Banking Supervision and Regulation issued SR09-4 regarding the safe and sound payment of dividends by bank holding companies. Currently, such limitation on the payment of dividends from the Bank to the Company does not materially restrict the Company’s ability to pay dividends to its shareholders. See Note 16 to the consolidated financial statements for additional information on applicable dividend restrictions.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Dividends declared during 2016 were $0.91 per share totaling $4.16 million, 4.6% higher than 2015 declared dividends of $0.87 per share. During 2016, the Company repurchased 7,000 shares and awarded 16,150 shares to 74 employees and 773 shares were forfeited under its long term incentive plan. At yearend, 2016, the Company held 579,125 shares in Treasury stock and 43,150 in unearned stock awards.</w:t>
      </w:r>
    </w:p>
    <w:p>
      <w:pPr>
        <w:spacing w:after="0" w:line="18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Dividends declared during 2015 were $0.87 per share totaling $3.99 million, 3.57% higher than 2014 declared dividends of $0.84 per share. During 2015, the Company purchased 30,685 shares and awarded 16,000 restricted shares to 67 employees under its long term incentive plan. 100 shares were forfeited under its long term incentive plan. At yearend 2015, the Company held 587,466 shares in Treasury stock and 38,995 in unearned stock awards.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have a strong capital base and to maintain regulatory capital ratios that are significantly above the defined regulatory capital ratios.</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34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3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11.91%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4680" w:type="dxa"/>
            <w:vAlign w:val="bottom"/>
            <w:gridSpan w:val="3"/>
          </w:tcPr>
          <w:p>
            <w:pPr>
              <w:jc w:val="right"/>
              <w:ind w:right="380"/>
              <w:spacing w:after="0"/>
              <w:rPr>
                <w:sz w:val="20"/>
                <w:szCs w:val="20"/>
                <w:color w:val="auto"/>
              </w:rPr>
            </w:pPr>
            <w:r>
              <w:rPr>
                <w:rFonts w:ascii="Arial" w:cs="Arial" w:eastAsia="Arial" w:hAnsi="Arial"/>
                <w:sz w:val="18"/>
                <w:szCs w:val="18"/>
                <w:color w:val="auto"/>
              </w:rPr>
              <w:t>14.46%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14.95%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4680" w:type="dxa"/>
            <w:vAlign w:val="bottom"/>
            <w:gridSpan w:val="3"/>
          </w:tcPr>
          <w:p>
            <w:pPr>
              <w:jc w:val="right"/>
              <w:ind w:right="380"/>
              <w:spacing w:after="0"/>
              <w:rPr>
                <w:sz w:val="20"/>
                <w:szCs w:val="20"/>
                <w:color w:val="auto"/>
              </w:rPr>
            </w:pPr>
            <w:r>
              <w:rPr>
                <w:rFonts w:ascii="Arial" w:cs="Arial" w:eastAsia="Arial" w:hAnsi="Arial"/>
                <w:sz w:val="18"/>
                <w:szCs w:val="18"/>
                <w:color w:val="auto"/>
              </w:rPr>
              <w:t>11.89%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4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r>
      <w:tr>
        <w:trPr>
          <w:trHeight w:val="365"/>
        </w:trPr>
        <w:tc>
          <w:tcPr>
            <w:tcW w:w="3340" w:type="dxa"/>
            <w:vAlign w:val="bottom"/>
          </w:tcPr>
          <w:p>
            <w:pPr>
              <w:spacing w:after="0"/>
              <w:rPr>
                <w:sz w:val="24"/>
                <w:szCs w:val="24"/>
                <w:color w:val="auto"/>
              </w:rPr>
            </w:pPr>
          </w:p>
        </w:tc>
        <w:tc>
          <w:tcPr>
            <w:tcW w:w="3680" w:type="dxa"/>
            <w:vAlign w:val="bottom"/>
          </w:tcPr>
          <w:p>
            <w:pPr>
              <w:jc w:val="right"/>
              <w:ind w:right="251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 January 20, 2017, the Company announced the authorization by its Board of Directors for the Company’s repurchase, either on the open market, or in privately negotiated transactions, of up to 200,000 shares of its outstanding common stock commencing January 20, 2017 and ending December 31, 2017.</w:t>
      </w:r>
    </w:p>
    <w:p>
      <w:pPr>
        <w:spacing w:after="0" w:line="3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tcPr>
          <w:p>
            <w:pPr>
              <w:ind w:left="400"/>
              <w:spacing w:after="0"/>
              <w:rPr>
                <w:sz w:val="20"/>
                <w:szCs w:val="20"/>
                <w:color w:val="auto"/>
              </w:rPr>
            </w:pPr>
            <w:r>
              <w:rPr>
                <w:rFonts w:ascii="Arial" w:cs="Arial" w:eastAsia="Arial" w:hAnsi="Arial"/>
                <w:sz w:val="14"/>
                <w:szCs w:val="14"/>
                <w:color w:val="auto"/>
              </w:rPr>
              <w:t>Total Number of Shares</w:t>
            </w:r>
          </w:p>
        </w:tc>
        <w:tc>
          <w:tcPr>
            <w:tcW w:w="40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Remaining share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40" w:type="dxa"/>
            <w:vAlign w:val="bottom"/>
          </w:tcPr>
          <w:p>
            <w:pPr>
              <w:ind w:left="320"/>
              <w:spacing w:after="0" w:line="149" w:lineRule="exact"/>
              <w:rPr>
                <w:sz w:val="20"/>
                <w:szCs w:val="20"/>
                <w:color w:val="auto"/>
              </w:rPr>
            </w:pPr>
            <w:r>
              <w:rPr>
                <w:rFonts w:ascii="Arial" w:cs="Arial" w:eastAsia="Arial" w:hAnsi="Arial"/>
                <w:sz w:val="14"/>
                <w:szCs w:val="14"/>
                <w:color w:val="auto"/>
              </w:rPr>
              <w:t>Total Number</w:t>
            </w:r>
          </w:p>
        </w:tc>
        <w:tc>
          <w:tcPr>
            <w:tcW w:w="400" w:type="dxa"/>
            <w:vAlign w:val="bottom"/>
          </w:tcPr>
          <w:p>
            <w:pPr>
              <w:spacing w:after="0"/>
              <w:rPr>
                <w:sz w:val="12"/>
                <w:szCs w:val="12"/>
                <w:color w:val="auto"/>
              </w:rPr>
            </w:pPr>
          </w:p>
        </w:tc>
        <w:tc>
          <w:tcPr>
            <w:tcW w:w="1400" w:type="dxa"/>
            <w:vAlign w:val="bottom"/>
          </w:tcPr>
          <w:p>
            <w:pPr>
              <w:ind w:left="300"/>
              <w:spacing w:after="0" w:line="149" w:lineRule="exact"/>
              <w:rPr>
                <w:sz w:val="20"/>
                <w:szCs w:val="20"/>
                <w:color w:val="auto"/>
              </w:rPr>
            </w:pPr>
            <w:r>
              <w:rPr>
                <w:rFonts w:ascii="Arial" w:cs="Arial" w:eastAsia="Arial" w:hAnsi="Arial"/>
                <w:sz w:val="14"/>
                <w:szCs w:val="14"/>
                <w:color w:val="auto"/>
              </w:rPr>
              <w:t>Average Price</w:t>
            </w:r>
          </w:p>
        </w:tc>
        <w:tc>
          <w:tcPr>
            <w:tcW w:w="400" w:type="dxa"/>
            <w:vAlign w:val="bottom"/>
          </w:tcPr>
          <w:p>
            <w:pPr>
              <w:spacing w:after="0"/>
              <w:rPr>
                <w:sz w:val="12"/>
                <w:szCs w:val="12"/>
                <w:color w:val="auto"/>
              </w:rPr>
            </w:pPr>
          </w:p>
        </w:tc>
        <w:tc>
          <w:tcPr>
            <w:tcW w:w="2160" w:type="dxa"/>
            <w:vAlign w:val="bottom"/>
          </w:tcPr>
          <w:p>
            <w:pPr>
              <w:ind w:left="240"/>
              <w:spacing w:after="0" w:line="149" w:lineRule="exact"/>
              <w:rPr>
                <w:sz w:val="20"/>
                <w:szCs w:val="20"/>
                <w:color w:val="auto"/>
              </w:rPr>
            </w:pPr>
            <w:r>
              <w:rPr>
                <w:rFonts w:ascii="Arial" w:cs="Arial" w:eastAsia="Arial" w:hAnsi="Arial"/>
                <w:sz w:val="14"/>
                <w:szCs w:val="14"/>
                <w:color w:val="auto"/>
              </w:rPr>
              <w:t>Purchased as Part of Publicly</w:t>
            </w:r>
          </w:p>
        </w:tc>
        <w:tc>
          <w:tcPr>
            <w:tcW w:w="4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Repurchases</w:t>
            </w:r>
          </w:p>
        </w:tc>
        <w:tc>
          <w:tcPr>
            <w:tcW w:w="0" w:type="dxa"/>
            <w:vAlign w:val="bottom"/>
          </w:tcPr>
          <w:p>
            <w:pPr>
              <w:spacing w:after="0"/>
              <w:rPr>
                <w:sz w:val="1"/>
                <w:szCs w:val="1"/>
                <w:color w:val="auto"/>
              </w:rPr>
            </w:pPr>
          </w:p>
        </w:tc>
      </w:tr>
      <w:tr>
        <w:trPr>
          <w:trHeight w:val="176"/>
        </w:trPr>
        <w:tc>
          <w:tcPr>
            <w:tcW w:w="32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440" w:type="dxa"/>
            <w:vAlign w:val="bottom"/>
          </w:tcPr>
          <w:p>
            <w:pPr>
              <w:ind w:left="140"/>
              <w:spacing w:after="0"/>
              <w:rPr>
                <w:sz w:val="20"/>
                <w:szCs w:val="20"/>
                <w:color w:val="auto"/>
              </w:rPr>
            </w:pPr>
            <w:r>
              <w:rPr>
                <w:rFonts w:ascii="Arial" w:cs="Arial" w:eastAsia="Arial" w:hAnsi="Arial"/>
                <w:sz w:val="14"/>
                <w:szCs w:val="14"/>
                <w:color w:val="auto"/>
                <w:w w:val="97"/>
              </w:rPr>
              <w:t>of Shares Purchased</w:t>
            </w:r>
          </w:p>
        </w:tc>
        <w:tc>
          <w:tcPr>
            <w:tcW w:w="40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Arial" w:cs="Arial" w:eastAsia="Arial" w:hAnsi="Arial"/>
                <w:sz w:val="14"/>
                <w:szCs w:val="14"/>
                <w:color w:val="auto"/>
              </w:rPr>
              <w:t>Paid per Share</w:t>
            </w:r>
          </w:p>
        </w:tc>
        <w:tc>
          <w:tcPr>
            <w:tcW w:w="400" w:type="dxa"/>
            <w:vAlign w:val="bottom"/>
          </w:tcPr>
          <w:p>
            <w:pPr>
              <w:spacing w:after="0"/>
              <w:rPr>
                <w:sz w:val="15"/>
                <w:szCs w:val="15"/>
                <w:color w:val="auto"/>
              </w:rPr>
            </w:pPr>
          </w:p>
        </w:tc>
        <w:tc>
          <w:tcPr>
            <w:tcW w:w="2160" w:type="dxa"/>
            <w:vAlign w:val="bottom"/>
          </w:tcPr>
          <w:p>
            <w:pPr>
              <w:ind w:left="240"/>
              <w:spacing w:after="0"/>
              <w:rPr>
                <w:sz w:val="20"/>
                <w:szCs w:val="20"/>
                <w:color w:val="auto"/>
              </w:rPr>
            </w:pPr>
            <w:r>
              <w:rPr>
                <w:rFonts w:ascii="Arial" w:cs="Arial" w:eastAsia="Arial" w:hAnsi="Arial"/>
                <w:sz w:val="14"/>
                <w:szCs w:val="14"/>
                <w:color w:val="auto"/>
              </w:rPr>
              <w:t>Announced Plan or Programs</w:t>
            </w:r>
          </w:p>
        </w:tc>
        <w:tc>
          <w:tcPr>
            <w:tcW w:w="4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Authorization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10/1/2016 to 10/31/2016</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4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11/1/2016 to 11/30/2016</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160" w:type="dxa"/>
            <w:vAlign w:val="bottom"/>
          </w:tcPr>
          <w:p>
            <w:pPr>
              <w:ind w:left="19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12/1/2016 to 12/31/2016</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193,000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160" w:type="dxa"/>
            <w:vAlign w:val="bottom"/>
            <w:tcBorders>
              <w:top w:val="single" w:sz="8" w:color="auto"/>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purchased shares in the market pursuant to stock repurchase program publicly announced on January 15, 2016. On that date, the Board of Directors authorized the repurchase of 200,000 common shares between January 16, 2016 and December 31, 2016. In total for 2016, 7,000 shares were repurchased.</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8"/>
          <w:szCs w:val="18"/>
          <w:b w:val="1"/>
          <w:bCs w:val="1"/>
          <w:u w:val="single" w:color="auto"/>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2015 and 2014 consolidated financial statements have been reclassified to conform with the 2016 presentation.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CONSOLIDATED FINANCIAL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color w:val="auto"/>
              </w:rPr>
              <w:t>(In Thousands, except share data)</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color w:val="auto"/>
              </w:rPr>
              <w:t>2015</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color w:val="auto"/>
              </w:rPr>
              <w:t>2014</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37,727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33,650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33,453</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280"/>
              <w:spacing w:after="0"/>
              <w:rPr>
                <w:sz w:val="20"/>
                <w:szCs w:val="20"/>
                <w:color w:val="auto"/>
              </w:rPr>
            </w:pPr>
            <w:r>
              <w:rPr>
                <w:rFonts w:ascii="Arial" w:cs="Arial" w:eastAsia="Arial" w:hAnsi="Arial"/>
                <w:sz w:val="18"/>
                <w:szCs w:val="18"/>
                <w:color w:val="auto"/>
              </w:rPr>
              <w:t>31,428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3,716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4,604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33,504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30,063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29,737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26,824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32,383</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29,438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28,546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25,966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(16,063)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(13,363)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16,320</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14,159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13,517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12,603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3,871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11,664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10,340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9,646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9,007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Per Share of Common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Earnings per common share outstanding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700"/>
              <w:spacing w:after="0"/>
              <w:rPr>
                <w:sz w:val="20"/>
                <w:szCs w:val="20"/>
                <w:color w:val="auto"/>
              </w:rPr>
            </w:pPr>
            <w:r>
              <w:rPr>
                <w:rFonts w:ascii="Arial" w:cs="Arial" w:eastAsia="Arial" w:hAnsi="Arial"/>
                <w:sz w:val="18"/>
                <w:szCs w:val="18"/>
                <w:color w:val="auto"/>
              </w:rPr>
              <w:t>Dividends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0.91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ind w:left="700"/>
              <w:spacing w:after="0" w:line="195" w:lineRule="exact"/>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including participating securities</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84"/>
              </w:rPr>
              <w:t>4,612,115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4,617,058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4,628,178</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89"/>
              </w:rPr>
              <w:t>4,676,547</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4,695,876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  Based on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w w:val="95"/>
              </w:rPr>
              <w:t>(In Thousands)</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2016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50"/>
              <w:spacing w:after="0" w:line="142" w:lineRule="exact"/>
              <w:rPr>
                <w:sz w:val="20"/>
                <w:szCs w:val="20"/>
                <w:color w:val="auto"/>
              </w:rPr>
            </w:pPr>
            <w:r>
              <w:rPr>
                <w:rFonts w:ascii="Arial" w:cs="Arial" w:eastAsia="Arial" w:hAnsi="Arial"/>
                <w:sz w:val="14"/>
                <w:szCs w:val="14"/>
                <w:color w:val="auto"/>
              </w:rPr>
              <w:t>2014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$1,055,895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$989,068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$941,213</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$965,938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$946,660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753,365</w:t>
            </w:r>
          </w:p>
        </w:tc>
        <w:tc>
          <w:tcPr>
            <w:tcW w:w="100" w:type="dxa"/>
            <w:vAlign w:val="bottom"/>
          </w:tcPr>
          <w:p>
            <w:pPr>
              <w:spacing w:after="0"/>
              <w:rPr>
                <w:sz w:val="18"/>
                <w:szCs w:val="18"/>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679,821</w:t>
            </w:r>
          </w:p>
        </w:tc>
        <w:tc>
          <w:tcPr>
            <w:tcW w:w="100" w:type="dxa"/>
            <w:vAlign w:val="bottom"/>
          </w:tcPr>
          <w:p>
            <w:pPr>
              <w:spacing w:after="0"/>
              <w:rPr>
                <w:sz w:val="18"/>
                <w:szCs w:val="18"/>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8"/>
                <w:szCs w:val="18"/>
                <w:color w:val="auto"/>
              </w:rPr>
              <w:t>616,021</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570,919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496,178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842,203</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771,339</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762,560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776,464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763,252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0"/>
                <w:szCs w:val="20"/>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125,577</w:t>
            </w:r>
          </w:p>
        </w:tc>
        <w:tc>
          <w:tcPr>
            <w:tcW w:w="100" w:type="dxa"/>
            <w:vAlign w:val="bottom"/>
          </w:tcPr>
          <w:p>
            <w:pPr>
              <w:spacing w:after="0"/>
              <w:rPr>
                <w:sz w:val="20"/>
                <w:szCs w:val="20"/>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8"/>
                <w:szCs w:val="18"/>
                <w:color w:val="auto"/>
              </w:rPr>
              <w:t>120,097</w:t>
            </w:r>
          </w:p>
        </w:tc>
        <w:tc>
          <w:tcPr>
            <w:tcW w:w="100" w:type="dxa"/>
            <w:vAlign w:val="bottom"/>
          </w:tcPr>
          <w:p>
            <w:pPr>
              <w:spacing w:after="0"/>
              <w:rPr>
                <w:sz w:val="20"/>
                <w:szCs w:val="20"/>
                <w:color w:val="auto"/>
              </w:rPr>
            </w:pPr>
          </w:p>
        </w:tc>
        <w:tc>
          <w:tcPr>
            <w:tcW w:w="1160" w:type="dxa"/>
            <w:vAlign w:val="bottom"/>
            <w:gridSpan w:val="4"/>
          </w:tcPr>
          <w:p>
            <w:pPr>
              <w:jc w:val="right"/>
              <w:ind w:right="380"/>
              <w:spacing w:after="0"/>
              <w:rPr>
                <w:sz w:val="20"/>
                <w:szCs w:val="20"/>
                <w:color w:val="auto"/>
              </w:rPr>
            </w:pPr>
            <w:r>
              <w:rPr>
                <w:rFonts w:ascii="Arial" w:cs="Arial" w:eastAsia="Arial" w:hAnsi="Arial"/>
                <w:sz w:val="18"/>
                <w:szCs w:val="18"/>
                <w:color w:val="auto"/>
              </w:rPr>
              <w:t>114,493</w:t>
            </w: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108,340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Key Ratios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Return on average equity</w:t>
            </w:r>
          </w:p>
        </w:tc>
        <w:tc>
          <w:tcPr>
            <w:tcW w:w="100" w:type="dxa"/>
            <w:vAlign w:val="bottom"/>
          </w:tcPr>
          <w:p>
            <w:pPr>
              <w:spacing w:after="0"/>
              <w:rPr>
                <w:sz w:val="18"/>
                <w:szCs w:val="18"/>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on average assets</w:t>
            </w: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Loans to deposits</w:t>
            </w:r>
          </w:p>
        </w:tc>
        <w:tc>
          <w:tcPr>
            <w:tcW w:w="100" w:type="dxa"/>
            <w:vAlign w:val="bottom"/>
          </w:tcPr>
          <w:p>
            <w:pPr>
              <w:spacing w:after="0"/>
              <w:rPr>
                <w:sz w:val="18"/>
                <w:szCs w:val="18"/>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18"/>
                <w:szCs w:val="18"/>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88.14%</w:t>
            </w:r>
          </w:p>
        </w:tc>
        <w:tc>
          <w:tcPr>
            <w:tcW w:w="100" w:type="dxa"/>
            <w:vAlign w:val="bottom"/>
          </w:tcPr>
          <w:p>
            <w:pPr>
              <w:spacing w:after="0"/>
              <w:rPr>
                <w:sz w:val="18"/>
                <w:szCs w:val="18"/>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80.78%</w:t>
            </w:r>
          </w:p>
        </w:tc>
        <w:tc>
          <w:tcPr>
            <w:tcW w:w="8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73.53%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to assets</w:t>
            </w:r>
          </w:p>
        </w:tc>
        <w:tc>
          <w:tcPr>
            <w:tcW w:w="1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12.16%</w:t>
            </w: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Dividend payout</w:t>
            </w:r>
          </w:p>
        </w:tc>
        <w:tc>
          <w:tcPr>
            <w:tcW w:w="100" w:type="dxa"/>
            <w:vAlign w:val="bottom"/>
          </w:tcPr>
          <w:p>
            <w:pPr>
              <w:spacing w:after="0"/>
              <w:rPr>
                <w:sz w:val="20"/>
                <w:szCs w:val="20"/>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20"/>
                <w:szCs w:val="20"/>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0"/>
                <w:szCs w:val="20"/>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40.04%</w:t>
            </w:r>
          </w:p>
        </w:tc>
        <w:tc>
          <w:tcPr>
            <w:tcW w:w="80" w:type="dxa"/>
            <w:vAlign w:val="bottom"/>
          </w:tcPr>
          <w:p>
            <w:pPr>
              <w:spacing w:after="0"/>
              <w:rPr>
                <w:sz w:val="20"/>
                <w:szCs w:val="20"/>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41.69%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1460"/>
        <w:spacing w:after="0" w:line="378"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ind w:right="100"/>
        <w:spacing w:after="0" w:line="255"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7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Assets acquired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conditions. The accuracy of these estimates and assumptions by management and its third party can be directly tied back to the fact that management has not been required to record a valuation allowance through its income statement based upon the valuation of each stratum of serving rights.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in Review</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experienced record earnings for 2016, with net income over $11 million. The Bank also reached a milestone of net income over $10 million though the Company had reached it in 2015 on a consolidated basis. Profitability improved due to the increased loan balances, new product offerings and continued strong asset quality. Net loans grew by $73.5 million with asset size increasing by a slightly smaller $66.8 million. Loans were funded by higher deposit levels, sales and maturities of investment securities and Federal Home Loan Bank borrowings.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2016’s net income grew by $1.3 million over 2015. Improvement in net interest income, which was $3.4 million over 2015, was the largest contributing factor. This was accomplished through higher loan balances and aided by the two prime rate increases in December 2015 and 2016. Interest income benefited from those rate hikes more than the cost increase experienced in interest expense. While 2015 was similar in that loan growth fueled improved interest income, the rate increase was too late in the year to have much impact. Interest expense actually decreased in 2015 as compared to 2014 due to movement within deposits from interest bearing accounts to non-interest bearing due to the introduction of “secure checking,” a new demand deposit account offering. Overall, 2015’s net interest income improved by $326 thousand over 2014.</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performance of one of our newest offices, Sylvania, Ohio, which opened during the second half of 2014, exceeded our expectations and contributed profitably within its first two years of operation. The Company continues to focus on expansion and we opened our next office in Indiana at the end of the first quarter 2016. Our location is situated within Huntertown but with a Fort Wayne address. In the fourth quarter of 2016, we opened our Bowling Green, Ohio office in a leased property which the Bank renovated. The Bank has been able to establish ties with the Athletic Department of Bowling Green State University and will begin offering a credit card to its alumni in 2017. We expect the offices to be a slight drag on earnings during 2017 as a result of start-up costs, with great potential for later years.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 deposit strategy to revamp the Bank’s deposit mix was begun in the later part of 2014. The strategy included offering a new checking account product line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discontinuing some of the older products. An emphasis was on realigning our products to provide value to our depositors while building revenue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decreasing costs to the Bank. “Secure checking” and “FM eXpress” were two of the revamped or new product offerings. This contributed to the almost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 thousand improvement in customer service fees and other service charges and fees in noninterest income during 2015. The focus remains on growing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core deposits and offering additional services. The strategy continued in 2016 with the addition of “KASASA cash back” which we felt would appeal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younger depositors. This product rewards the account owner based on debit card usage rather than on account balances and focuses on lower cost digital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interaction with the Bank through the use of on-line statements. As the name implies, the depositor receives “cash back” for completing a minimum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debit card transactions when all criteria is met. The strategy will expand to our business depositors in 2017 as those product and services will be revamped.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success of this consumer strategy is evidenced by the growth in core deposits along with increased debit card activity, on-line statement usage and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funds.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Short-term rates increased slightly in December of 2015. The slope of the yield curve for most of 2015 and 2016, enabled the Company to continue to sell investment securities with shorter term maturities and recognize a gain without compromising the yield. The proceeds were mainly used to fund loan growth. For 2016, the recognized gain on the sale of securities was $588 thousand, higher than 2015’s recognized gain of $451 thousand and 2014’s $494 thousand. The Bank was able to continue to capitalize on the steepness of the yield curve. The market value of the security portfolio has decreased as evidenced by the decrease in comprehensive income reported on the income statement. The Company will continue to look for opportunities to utilize the sale of securities from the investment portfolio to fund loan growth.</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 facilitate the availability of the investment portfolio to be used for loan growth, the Bank has begun to offer the insured cash sweep, (“ICS”), which is a sister product of Promontory’s certificate of deposit account registry, (“CDARs”). ICS provides FDIC insurance coverage through the use of a bank network thereby replacing the use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pledged securities to Ohio public depositors and for daily repurchase agreements to the Bank’s other sweep customers. The process of accepting the new product began in earnest during the fourth quarter of 2016 and plans to be completed in early 2017. This action does not assure the continued use of the investment portfolio to fund loan growth nor does it assure an ongoing source of income, however, it does assure the availability of the opportunity to do so.</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Throughout 2014, 2015 and 2016, the Company has done an exceptional job of recognizing opportunities to provide services and products that the low rate environment made possible. A commitment to improve asset quality over the years has also benefited the Company. These opportunities are further discussed in the Material Changes in Results of Operations. The Company remains strong, stable and well capitalized and has the capacity to continue to cover the increased costs of doing business in a tough economy while seeking good loans to improve profitability. The Company continues to look for new opportunities to generate and protect revenue while providing additional channels through which to serve our customers and maintain our high level of customer satisfaction. The Company plans to continue on its strategy of expansion into new markets, whether by acquisition or the establishment of new branch office locations.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net interest income.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as a result of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interest spread.</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mention previously, the largest factor of the record earnings for 2016 was the $3.4 million improvement in net interest income as compared to 2015. In 2015, net interest income increased $326 thousand as compared to 2014. Interest and fee income from loans were responsible for the improvement. Given that securities were sold to fund the loan growth, interest income from that balance sheet component has declined each of the last two years. Total interest income was $4.1 million higher for 2016 than 2015 and was $197 thousand higher for 2015 than 2014.</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Interest expense increased from all interest bearing funding sources in 2016 as compared to 2015. This reversed a previous trend of declining interest expense that occurred in 2015 and 2014. Two strategies employed during 2014 and 2015 were responsible. One was to allow expensive time deposit funds to run off and secondly to offer new non-interest bearing deposit products. The new secure checking product also caused some movement of existing funds out of interest bearing products to this new non-interest bearing account. Interest on deposits decreased $189 thousand in 2015 as compared to 2014. For 2015, total interest expense (which includes federal funds purchased, securities sold under agreement to repurchase, and borrowed funds) totaled $3.6 million which was down $129 thousand from 2014’s $3.7 million. The increase in expense in 2016 was due to growth in the balances on interest bearing funds and an increase in the rates paid. 2016’s interest expense was $636 thousand higher than 2015’s. Borrowed funds that were utilized in December remained in place throughout 2016 which accounted for $148 thousand of the 2016 interest expense increase.</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81"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The dollar amount of improvement has been shown. Now the discussion moves on to the percentages and the change in the net interest margin and spread. 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Overall, we see roller coaster movement in the net interest margin and spread beginning with an upward movement in the fourth quarter of 2013 and continued upward throughout 2014. It lessened in 2015 when the net interest margin decreased by 14 basis points during 2015 as compared to 2014 with the yield on interest earning assets the main factor. Loan volume was primarily responsible for the improvement in interest income as the yield on the overall loan portfolio decreased 15 basis points during 2015. The only category of asset yield to increase was the short term federal funds sold and interest bearing deposits which was aided by the Federal Reserve increase in rates of 25 basis points in December 2015. Overall, asset yield decreased 17 basis points in 2015 as compared to 2014.</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net interest margin again began the climb up in 2016, ending 7 basis points over 2015. Asset yield raised 10 basis points and the cost of funds increased only 5 basis points. The yields on the individual segments did not cause the overall improvement as many either decreased or remained unchanged. The improvement in the asset yield was primarily a result of the change in the asset mix. In addition, loans as a percentage of earning assets increased to 75.3% in 2016 compared to 70.8% in 2015. Loans to assets also increased to 70.7% for 2016 compared to 2015’s 65.7%. Overall yield improves when the balances of the highest yield asset increases, which is loans.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With respect to the cost of funds, the Bank’s goal is to grow the least expensive category of funding sources. The largest average balance increase for 2016 was $34.7 million in savings deposits over 2015’s average balances. This helped to keep the increase in funding expense to just 5 basis points when comparing 2016 to 2015.</w:t>
      </w:r>
    </w:p>
    <w:p>
      <w:pPr>
        <w:spacing w:after="0" w:line="18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Cost of funds ended at 0.54% for the average during 2015. This was down 1 basis point from 2014. As mentioned previously, the movement of some of the interest bearing checking accounts greatly helped to decrease interest expense in terms of dollars; however, it also removed some of the lowest cost of funds out of the cost percentages. Therefore, the correlation to improvement in margin and spread is not easily visible.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always prefer to see improvement in real dollars over percentages. The strategy for increasing core deposits, in order to decrease interest expense and to continue to establish the opportunity for fee dollars from services provided, remains for 2017.</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Total assets of the Company increased overall as did the earning assets in both average and year end during 2016 and 2015. This matched the movement in interest dollars, just not in yield. 2014 experienced just the opposite: a decrease in asset size and an improvement in yield. The largest increase in balances and interest income was in the loan portfolio. One similarity for all years 2014 through 2016 was that loan volume was the driver to income improvement not rate. For 2016, increases in loan volume generated an additional $4.5 million over 2015 with $127 thousand of interest lost as a result of decreases in rates. For 2015, the growth in loan volume yielded $2.2 million in interest income versus a decrease of $1.0 million due to rate. For 2014, increases in loan volume generated an additional $3.7 million over as compared to 2013, even when taking into account the $575 thousand given up due to lower yields on the portfolio in 2014. The interest earning line item made up of investment securities had lower earnings in all three years also. Lower average balances in the total investment securities were the cause as the balances decreased to fund loan growth. The improvement in interest earnings generated from loan growth far outweighed the decreased earnings in the remaining earning assets for 2014, 2015, and 2016.</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The challenge began to change in 2016 as rates increased in December 2015. In a rising rate environment, the challenge is to hold the cost steady while allowing time for the asset portfolio to rise. Floors and ceilings on variable products can also impact the level of increase in either scenario. The 25 basis point prime rate increase of 2015 did little to increase the rate on the variable loans because of the floors in place and the spread of rate to prime. The floors provided yield protection in the previous lower rate environment and the rising rates won’t benefit the asset yield until the spread plus prime is higher than the floor. The challenge is to increase the spread during renewals and on new loans.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terms of interest expense, 2016’s increase was due to both an increase in average balances and an increase in rates as compared to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decrease in the cost is apparent for 2015 as compared to 2014. Unfortunately, in 2015, as compared to 2014, the asset yield decreased more than funding costs. As a result, both the net interest margin and spread decreased for the periods of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change in the portfolio mix was a factor in the liabilities as it was in the assets. Time deposits and other borrowed money term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decreased in interest expense in comparing 2015 to 2014 and increased when comparing 2016 to 2015. Saving deposits increased in cost for 2016 and 2015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preceding years. Fed Funds purchased and securities sold under agreement to repurchase increased for both 2016 and 2015 also. While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due to increased balance and rate, 2015 was due only to higher rates. Time deposits and other borrowed money both decreased in cost and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2015. This reversed in 2016, as both those portfolios increased in average balances and had higher costs associated with them. The Bank paid off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million of FHLB borrowings during 2014. The Bank again borrowed $10 million in December 2015 to fund loan growth. The average balance of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borrowed money was lower by $50 thousand for 2015 which calculated to $108 thousand as compared to 2014 and the borrowings remained throughout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color w:val="auto"/>
        </w:rPr>
        <w:t>The following tables present net interest income, interest spread and net interest margin for the three years 2014 through 2016, comparing average outstanding balances of earning assets and interest bearing liabilities with the associated interest income and expense. The tables show the corresponding average rates of interest earned and paid. The tax-exempt asset yields have been tax adjusted to reflect a marginal corporate tax rate of 34%. Average outstanding loan balances include non-performing loans and mortgage loans held for sale. Average outstanding security balances are computed based on carrying values including unrealized gains and losses on available-for-sale securities.</w:t>
      </w:r>
    </w:p>
    <w:p>
      <w:pPr>
        <w:spacing w:after="0" w:line="17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percentage of interest earning assets to total assets increased to 93.9% in 2016 from 92.8% in 2015 and 89.1% in 2014. Noninterest earning assets increased during 2014 by $46.1 million as the earning credit rates paid by our correspondent banks were higher than the interest rates. The Bank switched those accounts to noninterest bearing to save costs which resulted in a lower percentage of interest earning assets. Those accounts still remain noninterest bearing; however the increased loan balances have decreased their impact as a percentage of assets.</w:t>
      </w:r>
    </w:p>
    <w:p>
      <w:pPr>
        <w:spacing w:after="0" w:line="17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Noninterest bearing liabilities increased on average $9.7 million in 2015 over 2014, providing the lowest cost of funds possible. Movement in the Bank’s deposits, specifically checking products, to the newer noninterest bearing “Pure” and “Secure” checking product lines was the main driver.</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deposit strategy was implemented during 2014 to alter the deposit mix and introduce new products resulted in lower interest bearing liabilities. In average balances, 2014 had $41.3 million less than 2013 in interest bearing liabilities. “Secure” and “Pure” checking were the main launches. Secure checking offers ID Protect along with credit score monitoring (reporting the score quarterly and providing notification of any access occurring) for a monthly charge. Pure provides depositors options to reduce or eliminate fees through modification of usage or having a total deposit relationship over a specified amount. The majority of the new offered accounts were noninterest bearing which caused the reduction in interest bearing liabilities. Time deposits also continued to run off during 2014 thereby reducing in average balance by approximately $36.1 million as compared to 2013. The average cost of deposits also decreased 10 basis points, aided by the decrease in time deposits and payoff of all other borrowed money during 2014. The average cost of funds for 2016 was .59%, 2015 was 0.54%, the average cost in 2014 for interest bearing liabilities was 0.55%.</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34% tax 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rPr>
              <w:t>Average</w:t>
            </w:r>
          </w:p>
        </w:tc>
        <w:tc>
          <w:tcPr>
            <w:tcW w:w="5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Interest/</w:t>
            </w: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color w:val="auto"/>
              </w:rPr>
              <w:t>Balance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tcBorders>
            <w:shd w:val="clear" w:color="auto" w:fill="CCEEFF"/>
          </w:tcPr>
          <w:p>
            <w:pPr>
              <w:ind w:left="27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4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33,703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172,647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2,730</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55,395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37,727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34,826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1,024,318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446,996</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1,690</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purchased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securties sold under agreement to</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64,825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716,574</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169,510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899,980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Total Liabilities and</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1,024,318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Interest/Dividend income/yield</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w w:val="87"/>
              </w:rPr>
              <w:t>37,727</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yield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33,504</w:t>
            </w:r>
          </w:p>
        </w:tc>
        <w:tc>
          <w:tcPr>
            <w:tcW w:w="440" w:type="dxa"/>
            <w:vAlign w:val="bottom"/>
            <w:vMerge w:val="continue"/>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47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5"/>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Average</w:t>
            </w:r>
          </w:p>
        </w:tc>
        <w:tc>
          <w:tcPr>
            <w:tcW w:w="5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Interest/</w:t>
            </w: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Balance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800"/>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1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$627,194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29,293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177,833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2,808</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66,156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885,542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33,650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954,159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$412,269</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1,557</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189,822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Federal funds purchased and securties sold under agreement to repurchase</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57,918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660,117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162,028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14,461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836,606</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117,553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954,159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33,650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3,587</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30,063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70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40" w:type="dxa"/>
            <w:vAlign w:val="bottom"/>
            <w:gridSpan w:val="5"/>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Average</w:t>
            </w:r>
          </w:p>
        </w:tc>
        <w:tc>
          <w:tcPr>
            <w:tcW w:w="5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Interest/</w:t>
            </w: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Balance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800"/>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1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$581,483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28,070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189,003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3,570</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65,520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844,998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33,453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23,634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79,296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947,928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$394,690</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1,449</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Federal funds purchased and securties sold under agreement to repurchase</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60,989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4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670,517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4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152,155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14,622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837,294</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110,634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947,928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33,453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3,716</w:t>
            </w: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29,737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70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color w:val="auto"/>
                <w:w w:val="92"/>
              </w:rPr>
              <w:t>2016 vs 2015</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540"/>
              <w:spacing w:after="0" w:line="142" w:lineRule="exact"/>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0"/>
                <w:szCs w:val="10"/>
                <w:color w:val="auto"/>
              </w:rPr>
            </w:pPr>
          </w:p>
        </w:tc>
        <w:tc>
          <w:tcPr>
            <w:tcW w:w="1520" w:type="dxa"/>
            <w:vAlign w:val="bottom"/>
            <w:gridSpan w:val="3"/>
          </w:tcPr>
          <w:p>
            <w:pPr>
              <w:spacing w:after="0" w:line="123" w:lineRule="exact"/>
              <w:rPr>
                <w:sz w:val="20"/>
                <w:szCs w:val="20"/>
                <w:color w:val="auto"/>
              </w:rPr>
            </w:pPr>
            <w:r>
              <w:rPr>
                <w:rFonts w:ascii="Arial" w:cs="Arial" w:eastAsia="Arial" w:hAnsi="Arial"/>
                <w:sz w:val="14"/>
                <w:szCs w:val="14"/>
                <w:color w:val="auto"/>
              </w:rPr>
              <w:t>Due to change in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320"/>
              <w:spacing w:after="0"/>
              <w:rPr>
                <w:sz w:val="20"/>
                <w:szCs w:val="20"/>
                <w:color w:val="auto"/>
              </w:rPr>
            </w:pPr>
            <w:r>
              <w:rPr>
                <w:rFonts w:ascii="Arial" w:cs="Arial" w:eastAsia="Arial" w:hAnsi="Arial"/>
                <w:sz w:val="14"/>
                <w:szCs w:val="14"/>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color w:val="auto"/>
              </w:rPr>
              <w:t>Volume</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Rate</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Earning 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Loans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$4,410</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investment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Tax-exempt investment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(284)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4,077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Federal funds purchased and securities sold under agreement to repurchase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color w:val="auto"/>
                <w:w w:val="92"/>
              </w:rPr>
              <w:t>2015 vs 2014</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540"/>
              <w:spacing w:after="0" w:line="142" w:lineRule="exact"/>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420"/>
              <w:spacing w:after="0" w:line="123"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0"/>
                <w:szCs w:val="10"/>
                <w:color w:val="auto"/>
              </w:rPr>
            </w:pPr>
          </w:p>
        </w:tc>
        <w:tc>
          <w:tcPr>
            <w:tcW w:w="1520" w:type="dxa"/>
            <w:vAlign w:val="bottom"/>
            <w:gridSpan w:val="3"/>
          </w:tcPr>
          <w:p>
            <w:pPr>
              <w:spacing w:after="0" w:line="123" w:lineRule="exact"/>
              <w:rPr>
                <w:sz w:val="20"/>
                <w:szCs w:val="20"/>
                <w:color w:val="auto"/>
              </w:rPr>
            </w:pPr>
            <w:r>
              <w:rPr>
                <w:rFonts w:ascii="Arial" w:cs="Arial" w:eastAsia="Arial" w:hAnsi="Arial"/>
                <w:sz w:val="14"/>
                <w:szCs w:val="14"/>
                <w:color w:val="auto"/>
              </w:rPr>
              <w:t>Due to change in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320"/>
              <w:spacing w:after="0"/>
              <w:rPr>
                <w:sz w:val="20"/>
                <w:szCs w:val="20"/>
                <w:color w:val="auto"/>
              </w:rPr>
            </w:pPr>
            <w:r>
              <w:rPr>
                <w:rFonts w:ascii="Arial" w:cs="Arial" w:eastAsia="Arial" w:hAnsi="Arial"/>
                <w:sz w:val="14"/>
                <w:szCs w:val="14"/>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color w:val="auto"/>
              </w:rPr>
              <w:t>Volume</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Rate</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Earning 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Loans</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87"/>
              </w:rPr>
              <w:t>$1,223</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investment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(762)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Tax-exempt investment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(281)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Federal funds purchased and securities sold under agreement to repurchase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2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 (129</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discussion now turns to the noninterest activity of 2016 operations, beginning with the revenue portion. In comparing line items of the consolidated statements of income for years ended 2014 through 2016, it can be seen where the Company has been spending its time and the impact of the recession and slow recovery. This section will focus on the significant noninterest items that impacted the operations of the Company.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concerns with the increased costs associated with regulatory compliance such as the possible loss of revenue from new regulations stemming from the Dodd-Frank Act. History has proven the concern is justified. One area of revenue impacted was overdraft fees. The Bank has ended each of the last 3 years with a lower revenue stream from overdraft fees. This has occurred in spite of the addition of the new offices. Each year, the number of checking accounts has increased along with the balances; however average collected overdraft fees per account decreased. Overdraft fees in 2016 and 2015 accounted for $2.4 million in noninterest income, compared to $2.5 million in 2014 and $2.7 million for 2013. The Bank had made this an area of focus for 2015 as this revenue stream remains under intense regulator review. In 2015, the Bank adjusted its overdraft program and renamed it “Courtesy Pay.” Courtesy Pay establishes dynamic limits based on a customer’s behavior and likelihood of repayment. The Bank has sought to better service the customer’s needs while decreasing the need for collections and improving profitability. At the current time, profitability has not been impacted and in 2016 it only slowed the amount of decrease. Service charges on checking accounts also leveled off in 2016. Excluding Health Savings Accounts, service charges were up $120 thousand for 2015 and $208.7 thousand for 2014. This improvement is credited to the new checking accounts mentioned previously.</w:t>
      </w:r>
    </w:p>
    <w:p>
      <w:pPr>
        <w:spacing w:after="0" w:line="1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Bank has long promoted the use of debit cards by its customers and continued that philosophy with the introduction of additional new products. 2016 revenue improved $122.4 thousand, 2015 revenue improved $142.9 thousand and 2014 revenue improved $250.5 from ATM/debit card usage as compared to each of the respective prior years. The Bank receives interchange revenue from each use by a customer of a Bank issued ATM/debit the card. In 2011, this revenue stream was at risk of being reduced by the Federal Reserve regulation of the interchange fee. The establishment by the Federal Reserve of a tiered pricing for banks under $10 billion has helped to protect the profitability from such fees, although the concern remains as to how long this tiered pricing will remain in effect.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9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Noninterest income from net gain on sales of loans increased for 2016 after having decreased for both 2015 and 2014. The change may be related to the increase in rates after the long duration of the flat rate interest environment. The net gain on sale of loans is derived from sales of real estate loans into the secondary market. Of these loan types, the Bank sells 100% of the residential loans and 90% of the agricultural loans into the secondary market. Gains of $683.7 and $204.0 thousand were recorded for residential an agricultural real estate respectively for 2016. Gains of $559.6 and $140.8 thousand were recorded for residential and agricultural real estate respectively for 2015 compared to gains of $452.7 and $194.3 thousand respectively for 2014. In conjunction with these sales, the Bank maintains servicing rights and those income amounts during all three years are included in the customer service fees line item and accounted for over $400 thousand in revenue for 2016 and 2015.</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last line item in the noninterest income section is the net gain on sale of investments. The Bank has taken advantage of this opportunity the last three years and expects to continue as long as the rates remain low and the yield curve is favorable to the transaction. The Bank will not increase short-term gains at the sacrifice of long-term profitability. All of the sales of securities in 2016, 2015 and 2014 of $85.7, $47.0 and $57.9 million respectively were used to fund loan growth. This is a source of funds that will continue to be analyzed for use in the coming year. Gains of $588 thousand were recorded for 2016, $451 thousand for 2015 as compared to $494 thousand for 2014.</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Customer service fees show an improvement of $271 thousand collected in 2016 as compared to 2015. 2015 experienced an even higher increase in customer service fees of $623 thousand over 2014. Almost $200 thousand can be attributed to classifying foreign ATM fees out of service charges into miscellaneous fees in 2015. Other fees included in this line item are the interchange fee mentioned previously, fees for wire activity, safe deposit box rent and profit on sales of checks to name a few.</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Overall, noninterest income increased $580 thousand in 2016 preceded by a year where it had increased $604 thousand. Some of the revenue may not be easily duplicated as it is dependent on economic and market conditions to provide the opportunity. However, the increased revenue amounts from deposit and loan services should continue to provide improved profitability in the future. Management expects gains on sales to continue in the near term.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Noninterest expense increased 5.2% in 2016 as compared to 2015 and was preceded by a 3.4% increase in 2015 as compared to 2014. Represented in dollars, 2016 was $1.4 million higher than 2015 and 2015 was $854 thousand higher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than 2014. The largest factor behind the increase both years was the expense of employee salaries and wages. During 2016, an additional $713 thousand was spent over 2015 which correlates to a 6.5% increase. When making the same analysis for 2015 as compared to 2014, 2015’s costs increased $721 thousand or 7.1%. Three main components flow into salaries and wages: base salary, deferred costs, and incentives composed of the expense of restricted stock awards and performance incentives. Base pay has increased with the addition of the three offices of Huntertown, Bowling Green and Sylvania, as well as from the operations of the Captive and through normal yearly increases to the remainder of the employees. Base pay was up $669.7 thousand for 2016 over the previous year and 2015 was up $559.3 thousand over 2014. The full time equivalent number of employees at each yearend increased to 273 for 2016, to 265 for 2015 compared to 2014’s 260.</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Incentive pay as it related to performance was up $177.4 thousand in 2016 over 2015. Measurements used for award incentive pay had improved in 2016 and 2015 and employees benefited accordingly. The expense for the restricted stock awards has also increased each of the last three years as more shares have been granted to a larger number of employees and the market value of the shares has increased. 2016’s cost for this program was $87.9 thousand higher than 2015 and 2015 was $82 thousand higher than 2014.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Employee benefits decreased in 2016 which correlated directly to a lower level of medical expense. As the Bank is partially self-insured, lower claims during 2016 decreased the expense. Employee group insurance was down $266.9 thousand for 2016. Overall, employee benefits were down $232 thousand or 6.5% from 2015.</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Employee benefits increased by a similar percentage as the salaries and wages for 2015 increased by 6.9% over 2014. The cost of the 401-K retirement plan increased each year as the profit share component increased along with the number of employees participating. Being partially self-insured has helped with lower claim experience though it is an unknown each year what that experience will be. For 2014 and 2015, a switch in the medical provider and comparison pricing also assisted to control the cost. Employees do participate in any premium increases.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occupancy expense typically increases as the Company expands, which is what has occurred for 2016 and 2015. One factor that can offset occupancy expense is the receipt by the Company of building rent as it is netted out of occupancy expense. The greatest contributor to building rent comes from the division of FM Investments within the Bank. This division experienced a strong 2014; however the department was short staffed most of 2015 and 2016. This has been remedied in 2017 and performance is expected to improve.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net loss on sale of other assets owned, mainly ORE property, does not represent income for the years presented, the decrease in the amount of the loss for 2015 as compared to 2014, did contribute to improved profitability. For 2016, the loss was higher at $81 thousand than 2015’s $47 thousand. Loss on sale of assets included any write downs in the carrying values of ORE property on the Bank’s balance sheet. In 2016 and 2015, the number of properties and the corresponding carrying values decreased as compared to 2014. The Bank also sold its St. Joe, Indiana property during 2015. While taking a loss for the sale, the Bank eliminated the continued maintenance expense of an unoccupied building. An easement was agreed upon to enable the ATM located on the property to remain operational.</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1-4 family mortgage refinancing activity has been slow over the last three years though increasing slightly each year. A correlating expense to that activity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2015 had net income of $33 thousand, a switch from 2014 which had net expense of $42.7 thousand. Of course, the value (or income) of the mortgage servicing right when sold also impacts the net position. 2016 has net income of $136 thousand and 2015 had higher additions and lower amortization expense from refinanced loans. The number of loans and balances also indicates this as the levels have remained fairly constant. 2014 was a year with limited sales and the amortization expense was therefore higher than the capitalized additions. As of December 31, 2016, 3,599 loans are being serviced with corresponding balances of $279.4 million. This is almost identical to the December 31, 2015 number and balance of loans 1-4 family being serviced. As of December 2015, 3,598 loans are being serviced with balances of $275.7 million. As of December 31, 2014, there were 3,638 loans serviced with balances of $275.4 million.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9"/>
              </w:rPr>
              <w:t>(In Thousands)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2"/>
                <w:szCs w:val="12"/>
                <w:color w:val="auto"/>
              </w:rPr>
            </w:pPr>
          </w:p>
        </w:tc>
        <w:tc>
          <w:tcPr>
            <w:tcW w:w="76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600" w:type="dxa"/>
            <w:vAlign w:val="bottom"/>
            <w:gridSpan w:val="2"/>
          </w:tcPr>
          <w:p>
            <w:pPr>
              <w:jc w:val="right"/>
              <w:ind w:right="30"/>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Year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Capitalized Additions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407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2,056</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2,023</w:t>
            </w:r>
          </w:p>
        </w:tc>
      </w:tr>
      <w:tr>
        <w:trPr>
          <w:trHeight w:val="20"/>
        </w:trPr>
        <w:tc>
          <w:tcPr>
            <w:tcW w:w="7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Furniture and equipment steadily increases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Data processing expense increased $109 thousand during 2016 as compared to an increased $50 thousand during 2015 and by $38 thousand in 2014 over 2013. The Company continues to investigate ways to reduce this expense. The pricing on many services, however, is based on number of accounts and the Bank fully expects those to increase with the growth from the newer offices and overall Bank growth.</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Bank began conducting a review of its core operating system in 2015 which culminated with a decision in the summer 2016 to extend the contract with the Bank’s existing provider, FiServ, for an additional seven year period. The Bank expects to see a current reduction in monthly expenses, though that reduction will be utilized to provide additional new product offerings and fund growth. Overall, data processing expense for 2017 may be similar to 2016 with a wider variety of customer offerings.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FDIC assessment has a decreasing cost trend and that is expected to continue into 2017 as the fourth quarter 2016 assessment was again below that of the previous quarter. This line item speaks to the health of the Bank and the financial industry. The assessment for 2016 was down $78 thousand from 2015.</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last line item with significant variation in noninterest expense to discuss is “other general and administrative.” The line item increased by $439 thousand during 2016 to end at $6.1 million as of December 31, 2016. $249 thousand of the increased expense was a result of management’s decision to accelerate the issuance of “chip” debit cards along with the normal replacement of cards due to fraud and expiration dates. The chip enhanced cards were to help decrease fraud and establish liability with the merchant if the chip was not used in the transaction. The Bank’s cost due to fraud was not lower yet in 2016; however it is hoped it will help mitigate fraud losses in 2017. Advertising and public relations increased also in 2016 by $113 thousand. With the addition of new offices, the credit card launch in conjunction with Bowling Green State University’s athletic department, it was expected to be higher than 2015. The Bank also celebrates the anniversary of office openings with a special event in each community.</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2015 experienced a decrease in the “other” general and administrative line item. The decrease of $348 thousand for 2015 as compared to 2014 can be mainly attributed to a $195.7 thousand reduction in marketing and consulting costs. A renegotiation of one service provider contract along with the maturity of another during 2015 led to the decrease. Another contributor to the reduction was lower losses due to NSF and fraud. The Bank applauds the work of our front-line staff to recognize possible fraud and scams attempted on our customers and stopping them before they can occur. An investment in additional fraud detection software has also helped our back office personnel to detect possible digital fraud. This was down $60.2 thousand in 2015 compared to an increase in 2014 of $40.9 thousand.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Provision expense increased by $496 thousand for 2016 in response to the significant loan growth for the period. It decreased by $566 thousand for 2015, following an increase of $333 thousand for 2014. The decrease for 2015 was due to the consistent strong asset quality of the Bank’s loan portfolio as evidenced by low levels of both net charge-offs and delinquencies. The increase for 2014 was needed to account for the loan growth and the net charge-off activity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2014. Sustained strong asset quality kept the provision expense lower than the growth alone would have warranted. Net charge-offs were $394, $473, and $480 thousand for 2016, 2015 and 2014, respectively. Commercial and Industrial loans had the largest charge-off activity in 2015. The consumer portfolios had the highest levels of charge-off activity in 2016 and 2014.</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segregates its Allowance for Credit Losses (ACL) into two reserves: The ACL and the Allowance for Unfunded Loan Commitments and Letters of Credit (AULC). When combined, these reserves constitute the total ACL. The AUCL is included in other liabilities on the consolidated balance sheets.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 off amount are referenced as well. A matrix formed by loan type from these indicators is used in making ALLL adjustments.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Watch list loan balances are comprised of loans graded 5-8. These loan balances increased $14.3 million as of December 31, 2016 as compared to same date 2015. The largest increases occurring in the lowest risk grade of 5. The loan grades of 7, which have a greater likelihood of default, all decreased for 2016. The Bank is mindful of the grade 5 loans but expects the number to decrease during first half 2017. All other measurements of asset quality improved during 2016. The watch list loan balances decreased 53.6% or $7.2 million from December 31, 2014 to December 31, 2015. The balances decreased mainly due to successful results from collection efforts. Given the size of the decrease, it is no surprise it is attributed mainly to the commercial real estate portfolio decreasing by $5.9 million. Three customers made up the bulk of the balances with one of three finding funding elsewhere. Commercial loans (non-real estate) on the Bank’s watch list also had a nice decrease during 2015, though just not as high at $1.9 million.</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yearend 2016, 59.7% of the watch list was comprised of loans classified as special mention, with an additional 39.0% classified as substandard and the remaining 1.3% classified as doubtful. The large increases in special mention and substandard are mainly driven by two loan relationships in the Bank’s commercial real estate portfolio.</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the aggregate watch list loan balances, as of December 31, 2015, special mention accounted for 36.6% with substandard comprising 49.1% and doubtful accounting for the final 14.3%. In comparison to 2014, special mention was down $7.2 million, substandard up slightly by $161 thousand and doubtful down almost exactly the same amount at $162 thousand.</w:t>
      </w:r>
    </w:p>
    <w:p>
      <w:pPr>
        <w:spacing w:after="0" w:line="18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2014, the increase in special mention is offset by significant decreases in the substandard classifications of those same commercial related portfolios. Overall, substandard and doubtful loans decreased 42.5% or $2.9 million as compared to yearend 2013. In response to these fluctuations and loan growth during 2014 and 2015, the Bank changed ALLL to outstanding loan coverage percentage changed to 0.89% as of December 31, 2016, 0.88% as of December 31, 2015, and 0.95% as of December 31, 2014.</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above indicators impacting ALLL are reviewed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each of 2014, 2015 and 2016, a slight improvement was noted in unemployment figures.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aggregate commercial and agricultural credits including real estate loans of $250,000 and over are reviewed annually by both credit committees and internal loan review to look for early signs of deterioration.</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The ACL increased $736, $153 and $755 thousand during 2016, 2015 and 2014 respectively. The large increase in 2016 directly correlates to the large increase in loan balances. With the improved asset quality, the metrics upon which the ACL is calculated did not support a larger increase in 2015 even though loan growth occurred. The percentage of ACL to the total loan portfolio was 0.98% as of December 31, 2014, 0.91% as of December 31, 2015 and</w:t>
      </w:r>
    </w:p>
    <w:p>
      <w:pPr>
        <w:spacing w:after="0"/>
        <w:rPr>
          <w:sz w:val="20"/>
          <w:szCs w:val="20"/>
          <w:color w:val="auto"/>
        </w:rPr>
      </w:pPr>
      <w:r>
        <w:rPr>
          <w:rFonts w:ascii="Arial" w:cs="Arial" w:eastAsia="Arial" w:hAnsi="Arial"/>
          <w:sz w:val="16"/>
          <w:szCs w:val="16"/>
          <w:color w:val="auto"/>
        </w:rPr>
        <w:t>0.92% as of December 31, 2016. December 31, 2016 had the lowest loans past due 30+ day percentage at 0.23% in the last ten years. December 31, 2014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were still at respectable lows of 0.37% and 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Effective tax rates were 28.53%, 26.97%, and 28.64% for 2016, 2015 and 2014 respectively. The effect of tax-exempt interest from holding tax-exempt securities and Industrial Development Bonds (IDBs) was $468, $554, and $634 thousand for 2016, 2015, and 2014, respectively. All years included an increase into a higher tax bracket for income over $10 million. Behind the decrease in 2015 is one of the benefits from the establishment of the Captive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shifts in the balance sheet during 2016 and 2015 have positioned the Company for continued improvement in profitability. On the asset side, interest income increased primarily from loan growth with funding for the increase provided by a decrease in the investment portfolio, growth in core deposits and growth in other borrowings generated in 2015 which carried over to 2016. The cost of funds was impacted by the shift of interest bearing liabilities to noninterest and the limited use of time deposits in 2016 with a decrease in time deposits in 2015. Both contributed to improved profitability in 2016 and 2015, and the Company expects continued improvement through 2017 and into 2018.</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Average earning assets increased throughout 2016 and 2015. Loan growth in both years was the main factor. 2014 was also aided by the Custar acquisition which took place in December 2013 and brought in $29 million in deposits. 2015 also benefited from the Sylvania office having been in office for a full year along with the growth in the other newer offices. 2016 had two offices open, one in each half of the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growth is also a consideration.</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2016, the Bank began to utilize Promontory’s ICS, product to replace pledged securities; thereby increasing liquidity. ICS utilizes a nation-wide bank network to provide FDIC insurance coverage to the Bank’s depositors. The Bank is using the product to replace pledged securities to the Bank’s Ohio public customers and for commercial sweep customers previously utilizing daily repurchase agreements to protect balances over $250 thousand.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Security balances as of December 31 are summarized below:</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25,393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82,474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98,220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119,234</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62,817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72,066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74,303</w:t>
            </w:r>
          </w:p>
        </w:tc>
      </w:tr>
      <w:tr>
        <w:trPr>
          <w:trHeight w:val="27"/>
        </w:trPr>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218,527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235,115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248,492</w:t>
            </w: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the maturities of investment securities as of December 31, 2016 and the weighted average yields of such securities calculated on the basis of cost and effective yields weighted for the scheduled maturity of each security. Tax-equivalent adjustments, using a thirty-four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5"/>
          </w:tcPr>
          <w:p>
            <w:pPr>
              <w:jc w:val="right"/>
              <w:ind w:right="920"/>
              <w:spacing w:after="0"/>
              <w:rPr>
                <w:sz w:val="20"/>
                <w:szCs w:val="20"/>
                <w:color w:val="auto"/>
              </w:rPr>
            </w:pPr>
            <w:r>
              <w:rPr>
                <w:rFonts w:ascii="Arial" w:cs="Arial" w:eastAsia="Arial" w:hAnsi="Arial"/>
                <w:sz w:val="14"/>
                <w:szCs w:val="14"/>
                <w:color w:val="auto"/>
              </w:rPr>
              <w:t>Maturities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color w:val="auto"/>
              </w:rPr>
              <w:t>(Amounts in Thousands)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7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4"/>
              </w:rPr>
              <w:t>After One Year</w:t>
            </w:r>
          </w:p>
        </w:tc>
        <w:tc>
          <w:tcPr>
            <w:tcW w:w="200" w:type="dxa"/>
            <w:vAlign w:val="bottom"/>
          </w:tcPr>
          <w:p>
            <w:pPr>
              <w:spacing w:after="0"/>
              <w:rPr>
                <w:sz w:val="10"/>
                <w:szCs w:val="10"/>
                <w:color w:val="auto"/>
              </w:rPr>
            </w:pPr>
          </w:p>
        </w:tc>
      </w:tr>
      <w:tr>
        <w:trPr>
          <w:trHeight w:val="167"/>
        </w:trPr>
        <w:tc>
          <w:tcPr>
            <w:tcW w:w="7120" w:type="dxa"/>
            <w:vAlign w:val="bottom"/>
          </w:tcPr>
          <w:p>
            <w:pPr>
              <w:spacing w:after="0"/>
              <w:rPr>
                <w:sz w:val="14"/>
                <w:szCs w:val="14"/>
                <w:color w:val="auto"/>
              </w:rPr>
            </w:pPr>
          </w:p>
        </w:tc>
        <w:tc>
          <w:tcPr>
            <w:tcW w:w="1660" w:type="dxa"/>
            <w:vAlign w:val="bottom"/>
            <w:gridSpan w:val="5"/>
          </w:tcPr>
          <w:p>
            <w:pPr>
              <w:ind w:left="180"/>
              <w:spacing w:after="0"/>
              <w:rPr>
                <w:sz w:val="20"/>
                <w:szCs w:val="20"/>
                <w:color w:val="auto"/>
              </w:rPr>
            </w:pPr>
            <w:r>
              <w:rPr>
                <w:rFonts w:ascii="Arial" w:cs="Arial" w:eastAsia="Arial" w:hAnsi="Arial"/>
                <w:sz w:val="14"/>
                <w:szCs w:val="14"/>
                <w:color w:val="auto"/>
              </w:rPr>
              <w:t>Within One Year</w:t>
            </w:r>
          </w:p>
        </w:tc>
        <w:tc>
          <w:tcPr>
            <w:tcW w:w="16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Within Five Years</w:t>
            </w:r>
          </w:p>
        </w:tc>
      </w:tr>
      <w:tr>
        <w:trPr>
          <w:trHeight w:val="142"/>
        </w:trPr>
        <w:tc>
          <w:tcPr>
            <w:tcW w:w="7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$14,233</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0.00%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43,245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4,144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7,805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2.14%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18,927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2.11%</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Taxable state and local governments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5,185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1.75%</w:t>
            </w:r>
          </w:p>
        </w:tc>
      </w:tr>
      <w:tr>
        <w:trPr>
          <w:trHeight w:val="346"/>
        </w:trPr>
        <w:tc>
          <w:tcPr>
            <w:tcW w:w="7120" w:type="dxa"/>
            <w:vAlign w:val="bottom"/>
          </w:tcPr>
          <w:p>
            <w:pPr>
              <w:spacing w:after="0"/>
              <w:rPr>
                <w:sz w:val="24"/>
                <w:szCs w:val="24"/>
                <w:color w:val="auto"/>
              </w:rPr>
            </w:pPr>
          </w:p>
        </w:tc>
        <w:tc>
          <w:tcPr>
            <w:tcW w:w="1660" w:type="dxa"/>
            <w:vAlign w:val="bottom"/>
            <w:gridSpan w:val="5"/>
          </w:tcPr>
          <w:p>
            <w:pPr>
              <w:ind w:left="200"/>
              <w:spacing w:after="0"/>
              <w:rPr>
                <w:sz w:val="20"/>
                <w:szCs w:val="20"/>
                <w:color w:val="auto"/>
              </w:rPr>
            </w:pPr>
            <w:r>
              <w:rPr>
                <w:rFonts w:ascii="Arial" w:cs="Arial" w:eastAsia="Arial" w:hAnsi="Arial"/>
                <w:sz w:val="14"/>
                <w:szCs w:val="14"/>
                <w:color w:val="auto"/>
              </w:rPr>
              <w:t>After Five Years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7"/>
        </w:trPr>
        <w:tc>
          <w:tcPr>
            <w:tcW w:w="7120" w:type="dxa"/>
            <w:vAlign w:val="bottom"/>
          </w:tcPr>
          <w:p>
            <w:pPr>
              <w:spacing w:after="0"/>
              <w:rPr>
                <w:sz w:val="14"/>
                <w:szCs w:val="14"/>
                <w:color w:val="auto"/>
              </w:rPr>
            </w:pPr>
          </w:p>
        </w:tc>
        <w:tc>
          <w:tcPr>
            <w:tcW w:w="1660" w:type="dxa"/>
            <w:vAlign w:val="bottom"/>
            <w:gridSpan w:val="5"/>
          </w:tcPr>
          <w:p>
            <w:pPr>
              <w:ind w:left="160"/>
              <w:spacing w:after="0"/>
              <w:rPr>
                <w:sz w:val="20"/>
                <w:szCs w:val="20"/>
                <w:color w:val="auto"/>
              </w:rPr>
            </w:pPr>
            <w:r>
              <w:rPr>
                <w:rFonts w:ascii="Arial" w:cs="Arial" w:eastAsia="Arial" w:hAnsi="Arial"/>
                <w:sz w:val="14"/>
                <w:szCs w:val="14"/>
                <w:color w:val="auto"/>
              </w:rPr>
              <w:t>Within Ten Years</w:t>
            </w:r>
          </w:p>
        </w:tc>
        <w:tc>
          <w:tcPr>
            <w:tcW w:w="16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After Ten Years</w:t>
            </w:r>
          </w:p>
        </w:tc>
      </w:tr>
      <w:tr>
        <w:trPr>
          <w:trHeight w:val="142"/>
        </w:trPr>
        <w:tc>
          <w:tcPr>
            <w:tcW w:w="7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Amount</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39,229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41,093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23,784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3,662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1.98%</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Taxable state and local governments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0.00%</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2016 the Bank did not hold a large block of any one investment security in excess of 10% of stockholders’ equity. The largest segment of holdings is in US Governments. The Bank also holds stock in the Federal Home Loan Bank of Cincinnati at a cost of $3.7 million. This is required in order to obtain Federal Home Loan Bank loans. The Bank also owns stock of Farmer Mac with a carrying value of $37.4 thousand which is required to participate loans in the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Bank’s loan portfolio by category of loan as of December 31</w:t>
      </w:r>
      <w:r>
        <w:rPr>
          <w:rFonts w:ascii="Arial" w:cs="Arial" w:eastAsia="Arial" w:hAnsi="Arial"/>
          <w:sz w:val="15"/>
          <w:szCs w:val="15"/>
          <w:color w:val="auto"/>
        </w:rPr>
        <w:t>st</w:t>
      </w:r>
      <w:r>
        <w:rPr>
          <w:rFonts w:ascii="Arial" w:cs="Arial" w:eastAsia="Arial" w:hAnsi="Arial"/>
          <w:sz w:val="18"/>
          <w:szCs w:val="18"/>
          <w:color w:val="auto"/>
        </w:rPr>
        <w:t xml:space="preserve"> of each year, including loans held for sale: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color w:val="auto"/>
                <w:w w:val="96"/>
              </w:rPr>
              <w:t>2015</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Loans:</w:t>
            </w:r>
          </w:p>
        </w:tc>
        <w:tc>
          <w:tcPr>
            <w:tcW w:w="57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ind w:left="360"/>
              <w:spacing w:after="0"/>
              <w:rPr>
                <w:sz w:val="20"/>
                <w:szCs w:val="20"/>
                <w:color w:val="auto"/>
              </w:rPr>
            </w:pPr>
            <w:r>
              <w:rPr>
                <w:rFonts w:ascii="Arial" w:cs="Arial" w:eastAsia="Arial" w:hAnsi="Arial"/>
                <w:sz w:val="18"/>
                <w:szCs w:val="18"/>
                <w:color w:val="auto"/>
              </w:rPr>
              <w:t>Consumer Real Estate</w:t>
            </w: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$ 87,273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88,189</w:t>
            </w: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97,550</w:t>
            </w:r>
          </w:p>
        </w:tc>
        <w:tc>
          <w:tcPr>
            <w:tcW w:w="160" w:type="dxa"/>
            <w:vAlign w:val="bottom"/>
            <w:gridSpan w:val="3"/>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92,438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80,287</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63,391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58,525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50,895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44,301</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40,143</w:t>
            </w:r>
          </w:p>
        </w:tc>
        <w:tc>
          <w:tcPr>
            <w:tcW w:w="0" w:type="dxa"/>
            <w:vAlign w:val="bottom"/>
          </w:tcPr>
          <w:p>
            <w:pPr>
              <w:spacing w:after="0"/>
              <w:rPr>
                <w:sz w:val="1"/>
                <w:szCs w:val="1"/>
                <w:color w:val="auto"/>
              </w:rPr>
            </w:pPr>
          </w:p>
        </w:tc>
      </w:tr>
      <w:tr>
        <w:trPr>
          <w:trHeight w:val="216"/>
        </w:trPr>
        <w:tc>
          <w:tcPr>
            <w:tcW w:w="6220" w:type="dxa"/>
            <w:vAlign w:val="bottom"/>
            <w:gridSpan w:val="3"/>
          </w:tcPr>
          <w:p>
            <w:pPr>
              <w:ind w:left="360"/>
              <w:spacing w:after="0"/>
              <w:rPr>
                <w:sz w:val="20"/>
                <w:szCs w:val="20"/>
                <w:color w:val="auto"/>
              </w:rPr>
            </w:pPr>
            <w:r>
              <w:rPr>
                <w:rFonts w:ascii="Arial" w:cs="Arial" w:eastAsia="Arial" w:hAnsi="Arial"/>
                <w:sz w:val="18"/>
                <w:szCs w:val="18"/>
                <w:color w:val="auto"/>
              </w:rPr>
              <w:t>Agricultural</w:t>
            </w: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84,563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82,654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74,611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65,449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57,770</w:t>
            </w: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377,481</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322,762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270,188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248,893</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tcPr>
          <w:p>
            <w:pPr>
              <w:ind w:left="360"/>
              <w:spacing w:after="0"/>
              <w:rPr>
                <w:sz w:val="20"/>
                <w:szCs w:val="20"/>
                <w:color w:val="auto"/>
              </w:rPr>
            </w:pPr>
            <w:r>
              <w:rPr>
                <w:rFonts w:ascii="Arial" w:cs="Arial" w:eastAsia="Arial" w:hAnsi="Arial"/>
                <w:sz w:val="18"/>
                <w:szCs w:val="18"/>
                <w:color w:val="auto"/>
              </w:rPr>
              <w:t>Commercial and Industrial</w:t>
            </w: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109,256</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100,125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100,126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33,179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27,770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24,277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20,413</w:t>
            </w:r>
          </w:p>
        </w:tc>
        <w:tc>
          <w:tcPr>
            <w:tcW w:w="0" w:type="dxa"/>
            <w:vAlign w:val="bottom"/>
          </w:tcPr>
          <w:p>
            <w:pPr>
              <w:spacing w:after="0"/>
              <w:rPr>
                <w:sz w:val="1"/>
                <w:szCs w:val="1"/>
                <w:color w:val="auto"/>
              </w:rPr>
            </w:pPr>
          </w:p>
        </w:tc>
      </w:tr>
      <w:tr>
        <w:trPr>
          <w:trHeight w:val="216"/>
        </w:trPr>
        <w:tc>
          <w:tcPr>
            <w:tcW w:w="6220" w:type="dxa"/>
            <w:vAlign w:val="bottom"/>
            <w:gridSpan w:val="3"/>
          </w:tcPr>
          <w:p>
            <w:pPr>
              <w:ind w:left="360"/>
              <w:spacing w:after="0"/>
              <w:rPr>
                <w:sz w:val="20"/>
                <w:szCs w:val="20"/>
                <w:color w:val="auto"/>
              </w:rPr>
            </w:pPr>
            <w:r>
              <w:rPr>
                <w:rFonts w:ascii="Arial" w:cs="Arial" w:eastAsia="Arial" w:hAnsi="Arial"/>
                <w:sz w:val="18"/>
                <w:szCs w:val="18"/>
                <w:color w:val="auto"/>
              </w:rPr>
              <w:t>Industrial Development Bonds</w:t>
            </w:r>
          </w:p>
        </w:tc>
        <w:tc>
          <w:tcPr>
            <w:tcW w:w="8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5,732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4,698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760,875</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686,516</w:t>
            </w:r>
          </w:p>
        </w:tc>
        <w:tc>
          <w:tcPr>
            <w:tcW w:w="3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622,345</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576,343</w:t>
            </w:r>
          </w:p>
        </w:tc>
        <w:tc>
          <w:tcPr>
            <w:tcW w:w="30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shows the maturity of loans as of December 31, 2016:</w:t>
            </w:r>
          </w:p>
        </w:tc>
        <w:tc>
          <w:tcPr>
            <w:tcW w:w="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6"/>
          </w:tcPr>
          <w:p>
            <w:pPr>
              <w:jc w:val="center"/>
              <w:ind w:right="420"/>
              <w:spacing w:after="0" w:line="123" w:lineRule="exact"/>
              <w:rPr>
                <w:sz w:val="20"/>
                <w:szCs w:val="20"/>
                <w:color w:val="auto"/>
              </w:rPr>
            </w:pPr>
            <w:r>
              <w:rPr>
                <w:rFonts w:ascii="Arial" w:cs="Arial" w:eastAsia="Arial" w:hAnsi="Arial"/>
                <w:sz w:val="14"/>
                <w:szCs w:val="14"/>
                <w:color w:val="auto"/>
                <w:w w:val="96"/>
              </w:rPr>
              <w:t>After One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rPr>
              <w:t>Within</w:t>
            </w:r>
          </w:p>
        </w:tc>
        <w:tc>
          <w:tcPr>
            <w:tcW w:w="420" w:type="dxa"/>
            <w:vAlign w:val="bottom"/>
          </w:tcPr>
          <w:p>
            <w:pPr>
              <w:spacing w:after="0"/>
              <w:rPr>
                <w:sz w:val="12"/>
                <w:szCs w:val="12"/>
                <w:color w:val="auto"/>
              </w:rPr>
            </w:pPr>
          </w:p>
        </w:tc>
        <w:tc>
          <w:tcPr>
            <w:tcW w:w="1120" w:type="dxa"/>
            <w:vAlign w:val="bottom"/>
            <w:gridSpan w:val="6"/>
          </w:tcPr>
          <w:p>
            <w:pPr>
              <w:jc w:val="center"/>
              <w:ind w:right="420"/>
              <w:spacing w:after="0" w:line="149" w:lineRule="exact"/>
              <w:rPr>
                <w:sz w:val="20"/>
                <w:szCs w:val="20"/>
                <w:color w:val="auto"/>
              </w:rPr>
            </w:pPr>
            <w:r>
              <w:rPr>
                <w:rFonts w:ascii="Arial" w:cs="Arial" w:eastAsia="Arial" w:hAnsi="Arial"/>
                <w:sz w:val="14"/>
                <w:szCs w:val="14"/>
                <w:color w:val="auto"/>
                <w:w w:val="96"/>
              </w:rPr>
              <w:t>Year Within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After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5"/>
          </w:tcPr>
          <w:p>
            <w:pPr>
              <w:jc w:val="center"/>
              <w:ind w:right="40"/>
              <w:spacing w:after="0"/>
              <w:rPr>
                <w:sz w:val="20"/>
                <w:szCs w:val="20"/>
                <w:color w:val="auto"/>
              </w:rPr>
            </w:pPr>
            <w:r>
              <w:rPr>
                <w:rFonts w:ascii="Arial" w:cs="Arial" w:eastAsia="Arial" w:hAnsi="Arial"/>
                <w:sz w:val="14"/>
                <w:szCs w:val="14"/>
                <w:color w:val="auto"/>
                <w:w w:val="90"/>
              </w:rPr>
              <w:t>One Year</w:t>
            </w:r>
          </w:p>
        </w:tc>
        <w:tc>
          <w:tcPr>
            <w:tcW w:w="420" w:type="dxa"/>
            <w:vAlign w:val="bottom"/>
          </w:tcPr>
          <w:p>
            <w:pPr>
              <w:spacing w:after="0"/>
              <w:rPr>
                <w:sz w:val="14"/>
                <w:szCs w:val="14"/>
                <w:color w:val="auto"/>
              </w:rPr>
            </w:pPr>
          </w:p>
        </w:tc>
        <w:tc>
          <w:tcPr>
            <w:tcW w:w="1120" w:type="dxa"/>
            <w:vAlign w:val="bottom"/>
            <w:gridSpan w:val="6"/>
          </w:tcPr>
          <w:p>
            <w:pPr>
              <w:jc w:val="center"/>
              <w:ind w:right="420"/>
              <w:spacing w:after="0"/>
              <w:rPr>
                <w:sz w:val="20"/>
                <w:szCs w:val="20"/>
                <w:color w:val="auto"/>
              </w:rPr>
            </w:pPr>
            <w:r>
              <w:rPr>
                <w:rFonts w:ascii="Arial" w:cs="Arial" w:eastAsia="Arial" w:hAnsi="Arial"/>
                <w:sz w:val="14"/>
                <w:szCs w:val="14"/>
                <w:color w:val="auto"/>
                <w:w w:val="92"/>
              </w:rPr>
              <w:t>Five Years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5"/>
              </w:rPr>
              <w:t>Five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2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2,900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72,115</w:t>
            </w:r>
          </w:p>
        </w:tc>
        <w:tc>
          <w:tcPr>
            <w:tcW w:w="2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911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3,156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59,324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51,411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22,771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10,381</w:t>
            </w:r>
          </w:p>
        </w:tc>
        <w:tc>
          <w:tcPr>
            <w:tcW w:w="2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920" w:type="dxa"/>
            <w:vAlign w:val="bottom"/>
            <w:gridSpan w:val="7"/>
          </w:tcPr>
          <w:p>
            <w:pPr>
              <w:jc w:val="right"/>
              <w:ind w:right="20"/>
              <w:spacing w:after="0"/>
              <w:rPr>
                <w:sz w:val="20"/>
                <w:szCs w:val="20"/>
                <w:color w:val="auto"/>
              </w:rPr>
            </w:pPr>
            <w:r>
              <w:rPr>
                <w:rFonts w:ascii="Arial" w:cs="Arial" w:eastAsia="Arial" w:hAnsi="Arial"/>
                <w:sz w:val="18"/>
                <w:szCs w:val="18"/>
                <w:color w:val="auto"/>
              </w:rPr>
              <w:t>7,636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w w:val="89"/>
              </w:rPr>
              <w:t>105,377</w:t>
            </w:r>
          </w:p>
        </w:tc>
        <w:tc>
          <w:tcPr>
            <w:tcW w:w="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264,468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49,757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35,400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24,099</w:t>
            </w:r>
          </w:p>
        </w:tc>
        <w:tc>
          <w:tcPr>
            <w:tcW w:w="2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Consumer</w:t>
            </w:r>
          </w:p>
        </w:tc>
        <w:tc>
          <w:tcPr>
            <w:tcW w:w="1920" w:type="dxa"/>
            <w:vAlign w:val="bottom"/>
            <w:gridSpan w:val="7"/>
          </w:tcPr>
          <w:p>
            <w:pPr>
              <w:jc w:val="right"/>
              <w:ind w:right="20"/>
              <w:spacing w:after="0"/>
              <w:rPr>
                <w:sz w:val="20"/>
                <w:szCs w:val="20"/>
                <w:color w:val="auto"/>
              </w:rPr>
            </w:pPr>
            <w:r>
              <w:rPr>
                <w:rFonts w:ascii="Arial" w:cs="Arial" w:eastAsia="Arial" w:hAnsi="Arial"/>
                <w:sz w:val="18"/>
                <w:szCs w:val="18"/>
                <w:color w:val="auto"/>
              </w:rPr>
              <w:t>5,880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20,212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9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0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119,526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$ 199,259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442,090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total of loans due after one year which has either 1) predetermined interest rates (fixed) or 2) floating or adjustable interest rates (variable):</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99"/>
              </w:rPr>
              <w:t>Fixed</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Variable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3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Rate</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Rate</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Total</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3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$ 78,607</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$ 5,766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$ 84,373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220" w:type="dxa"/>
            <w:vAlign w:val="bottom"/>
            <w:gridSpan w:val="3"/>
          </w:tcPr>
          <w:p>
            <w:pPr>
              <w:jc w:val="right"/>
              <w:ind w:right="520"/>
              <w:spacing w:after="0"/>
              <w:rPr>
                <w:sz w:val="20"/>
                <w:szCs w:val="20"/>
                <w:color w:val="auto"/>
              </w:rPr>
            </w:pPr>
            <w:r>
              <w:rPr>
                <w:rFonts w:ascii="Arial" w:cs="Arial" w:eastAsia="Arial" w:hAnsi="Arial"/>
                <w:sz w:val="18"/>
                <w:szCs w:val="18"/>
                <w:color w:val="auto"/>
              </w:rPr>
              <w:t>50,932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11,548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62,480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4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32,236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33,152</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220" w:type="dxa"/>
            <w:vAlign w:val="bottom"/>
            <w:gridSpan w:val="3"/>
          </w:tcPr>
          <w:p>
            <w:pPr>
              <w:jc w:val="right"/>
              <w:ind w:right="520"/>
              <w:spacing w:after="0"/>
              <w:rPr>
                <w:sz w:val="20"/>
                <w:szCs w:val="20"/>
                <w:color w:val="auto"/>
              </w:rPr>
            </w:pPr>
            <w:r>
              <w:rPr>
                <w:rFonts w:ascii="Arial" w:cs="Arial" w:eastAsia="Arial" w:hAnsi="Arial"/>
                <w:sz w:val="18"/>
                <w:szCs w:val="18"/>
                <w:color w:val="auto"/>
              </w:rPr>
              <w:t>291,128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78,717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369,845</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4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47,787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11,712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59,499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Consumer</w:t>
            </w:r>
          </w:p>
        </w:tc>
        <w:tc>
          <w:tcPr>
            <w:tcW w:w="4220" w:type="dxa"/>
            <w:vAlign w:val="bottom"/>
            <w:gridSpan w:val="3"/>
          </w:tcPr>
          <w:p>
            <w:pPr>
              <w:jc w:val="right"/>
              <w:ind w:right="520"/>
              <w:spacing w:after="0"/>
              <w:rPr>
                <w:sz w:val="20"/>
                <w:szCs w:val="20"/>
                <w:color w:val="auto"/>
              </w:rPr>
            </w:pPr>
            <w:r>
              <w:rPr>
                <w:rFonts w:ascii="Arial" w:cs="Arial" w:eastAsia="Arial" w:hAnsi="Arial"/>
                <w:sz w:val="18"/>
                <w:szCs w:val="18"/>
                <w:color w:val="auto"/>
              </w:rPr>
              <w:t>27,299</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27,299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4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4,701</w:t>
            </w: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4,701</w:t>
            </w:r>
          </w:p>
        </w:tc>
      </w:tr>
      <w:tr>
        <w:trPr>
          <w:trHeight w:val="365"/>
        </w:trPr>
        <w:tc>
          <w:tcPr>
            <w:tcW w:w="3460" w:type="dxa"/>
            <w:vAlign w:val="bottom"/>
          </w:tcPr>
          <w:p>
            <w:pPr>
              <w:spacing w:after="0"/>
              <w:rPr>
                <w:sz w:val="24"/>
                <w:szCs w:val="24"/>
                <w:color w:val="auto"/>
              </w:rPr>
            </w:pPr>
          </w:p>
        </w:tc>
        <w:tc>
          <w:tcPr>
            <w:tcW w:w="3000" w:type="dxa"/>
            <w:vAlign w:val="bottom"/>
          </w:tcPr>
          <w:p>
            <w:pPr>
              <w:jc w:val="right"/>
              <w:ind w:right="149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7"/>
              </w:rPr>
              <w:t>(In Thousands)</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c>
          <w:tcPr>
            <w:tcW w:w="74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2014</w:t>
            </w:r>
          </w:p>
        </w:tc>
        <w:tc>
          <w:tcPr>
            <w:tcW w:w="260" w:type="dxa"/>
            <w:vAlign w:val="bottom"/>
          </w:tcPr>
          <w:p>
            <w:pPr>
              <w:spacing w:after="0"/>
              <w:rPr>
                <w:sz w:val="12"/>
                <w:szCs w:val="12"/>
                <w:color w:val="auto"/>
              </w:rPr>
            </w:pPr>
          </w:p>
        </w:tc>
        <w:tc>
          <w:tcPr>
            <w:tcW w:w="560" w:type="dxa"/>
            <w:vAlign w:val="bottom"/>
            <w:gridSpan w:val="2"/>
          </w:tcPr>
          <w:p>
            <w:pPr>
              <w:jc w:val="right"/>
              <w:ind w:right="30"/>
              <w:spacing w:after="0" w:line="142"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$1,384</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$2,041</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$1,705</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2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 not included above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1,943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3,814</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4,829</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Although loans may be classified as non-performing, some pay on a regular basis, and many continue to pay interest irregularly or at less than original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contractual rates. Interest income that would have been recorded under the original terms of these loans would have aggregated $116.1 thousand for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$117.1 for 2015 and $52.3 thousand for 2014. Any collections of interest on nonaccrual loans are included in interest income when collected unless it is on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impaired loan with a specific allocation. A collection of interest on an impaired loan with a specific allocation is applied to the loan balance to decrease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Total interest collections, whether on an accrued or cash basis, amounted to $64 thousand for 2016, $96 thousand for 2015 and $87 thousand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$20.6 thousand of interest collected in 2015 was applied to reduce the specific allocation and was applied for the same reason in 2014.</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Loans are placed on nonaccrual status in the event that the loan is in past due status for more than 90 days or payment in full of principal and interest is not expected. The Bank had nonaccrual loan balances of $1.4 million at December 31, 2016 compared to balances of $2.0 and $1.7 million as of year-end 2015 and 2014. All of the balances of nonaccrual loans for the past three years were collaterally secured.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2016 the Bank had $20.4 million of loans which it considers to be “potential problem loans” in that the borrowers are experiencing financial difficulties. At December 31, 2015, the Bank had $7.0 million of these loans. The increase in 2016 relates to mainly two relationships. These loans are subject to constant management attention and are reviewed at least monthly. The amount of the potential problem loans was considered in management’s review of the loan loss reserve at December 31, 2016 and 2015.</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2016, the Bank had loans outstanding to individuals and firms engaged in the various fields of agriculture in the amount of $84.6 million with an additional $63.4 million in agricultural real estate loans these compared to $82.7 and $58.5 million respectively as of December 31, 2015. The ratio of this segment of loans to the total loan portfolio is not considered unusual for a bank engaged in and servicing rural communities.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2016, the Bank had $0.7 million of its loans that were classified as troubled debt restructurings, of which $138.3 thousand are included in non-accrual loans. This compares to $1.1 million as of same date 2015 and the Bank had almost $797.2 thousand classified as such as of December 31, 2014.</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presented in the table below, charge-offs decreased to $550 thousand for 2016, the lowest level of the five years presented. 75.6% of the charge-offs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stemmed from the consumer related portfolios. Charge-offs were $1.0 million for 2015, preceded by $778 thousand for 2014, $1.3 million for 2013,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$891 thousand for 2012. Recoveries were also the lowest in 2016 at $156 thousand compared to $557, $298, $374 and $286 thousand for 2015, 2014,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2012, respectively. The net charge-offs for the last five years were all under $1 million. 2016 was the lowest at $394 thousand.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Higher provision expense was used to fund the ALLL for loan growth in 2014 and 2016. For 2012, 2013 and 2015, the provision was used to replenish the balance decreased by the net charge-off activity. Overall, the ALLL increased from $5.2 million at yearend 2012 to $6.8 million at yearend 2016. After adding the allowance for unfunded loan commitments, the ACL ended 2016 just over $7 million. As the ratios on the bottom of the following table show, the trends for each have continually improved over the five years shown. Asset quality and the ACL are both strong and emphasize the level of credit quality.</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reviewing the bigger picture of the allowance for credit loss, the years with the higher percentage of ACL to total nonperforming loans ratio account for the lower level of nonaccrual and watch list loans. This demonstrates the extended time period with which it has taken to achieve resolution and/or collection of these loans. In 2012, the provision expense was to offset the higher year-end watch list values. A smaller portion of the allowance was needed to fund the impaired loans as collateral remained sufficient to cover the outstanding amounts in most cases. 2014’s significant and continued loan growth since fourth quarter 2013 was the reason behind 2014’s higher balances as asset quality remained strong. The ratio of ACL to nonperforming loans increased significantly in 2014 which is why provision loan expense was lower in 2015 in comparison. The ACL to nonperforming loans for 2015 remained more than adequate and emphasizes the existing strong level of credit quality.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allowance for credit losses for the years ended December 31, 2016, 2015, 2014, 2013 and 2012: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760,149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685,878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621,926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576,113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501,402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724,076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627,194</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581,483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507,126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492,697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Losses-Jan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Loan Recoveries: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Net Charge Offs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loan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Acquisition provision for loan loss</w:t>
            </w: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Dec 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Allowance for Unfunded Loan Commitments &amp; Letters of Credit Dec 31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 - Dec 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293.75%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160" w:hanging="5612"/>
        <w:spacing w:after="0" w:line="449"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due 90 days not on nonaccrual. 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right"/>
              <w:ind w:right="412"/>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92"/>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92"/>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39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r>
      <w:tr>
        <w:trPr>
          <w:trHeight w:val="149"/>
        </w:trPr>
        <w:tc>
          <w:tcPr>
            <w:tcW w:w="42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2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(000’s)</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(000’s)</w:t>
            </w: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(000’s)</w:t>
            </w: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color w:val="auto"/>
              </w:rPr>
              <w:t>(000’s)</w:t>
            </w: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(000’s)</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Consumer Real Estate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15.69</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54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Agricultural</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616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582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547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11.52</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3,250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49.59</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2,516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46.98</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2,367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2,107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1,749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1,229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1,421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1,359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2,183</w:t>
            </w:r>
          </w:p>
        </w:tc>
        <w:tc>
          <w:tcPr>
            <w:tcW w:w="54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Unallocated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6,784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6,057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5,905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5,194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5,224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100.00</w:t>
            </w: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7,001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6,265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6,112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5,357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5,386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 of outstanding time certificates of deposits and other time deposits in amounts of $100,000 or more by maturity as of December 31, 2016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5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(In Thousands)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3"/>
              </w:rPr>
              <w:t>Over Three</w:t>
            </w:r>
          </w:p>
        </w:tc>
        <w:tc>
          <w:tcPr>
            <w:tcW w:w="1300" w:type="dxa"/>
            <w:vAlign w:val="bottom"/>
            <w:gridSpan w:val="2"/>
          </w:tcPr>
          <w:p>
            <w:pPr>
              <w:jc w:val="center"/>
              <w:ind w:right="580"/>
              <w:spacing w:after="0" w:line="123" w:lineRule="exact"/>
              <w:rPr>
                <w:sz w:val="20"/>
                <w:szCs w:val="20"/>
                <w:color w:val="auto"/>
              </w:rPr>
            </w:pPr>
            <w:r>
              <w:rPr>
                <w:rFonts w:ascii="Arial" w:cs="Arial" w:eastAsia="Arial" w:hAnsi="Arial"/>
                <w:sz w:val="14"/>
                <w:szCs w:val="14"/>
                <w:color w:val="auto"/>
                <w:w w:val="96"/>
              </w:rPr>
              <w:t>Over Six</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Months</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Months Less</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Over</w:t>
            </w:r>
          </w:p>
        </w:tc>
      </w:tr>
      <w:tr>
        <w:trPr>
          <w:trHeight w:val="149"/>
        </w:trPr>
        <w:tc>
          <w:tcPr>
            <w:tcW w:w="59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Under</w:t>
            </w: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2"/>
              </w:rPr>
              <w:t>Less than</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3"/>
              </w:rPr>
              <w:t>Than One</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One</w:t>
            </w:r>
          </w:p>
        </w:tc>
      </w:tr>
      <w:tr>
        <w:trPr>
          <w:trHeight w:val="167"/>
        </w:trPr>
        <w:tc>
          <w:tcPr>
            <w:tcW w:w="59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Three Months</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8"/>
              </w:rPr>
              <w:t>Six Months</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color w:val="auto"/>
                <w:w w:val="87"/>
              </w:rPr>
              <w:t>Year</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Year</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21,606</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9,038</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13,071</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1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8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w w:val="90"/>
              </w:rPr>
              <w:t>Non-Interest</w:t>
            </w:r>
          </w:p>
        </w:tc>
        <w:tc>
          <w:tcPr>
            <w:tcW w:w="200" w:type="dxa"/>
            <w:vAlign w:val="bottom"/>
          </w:tcPr>
          <w:p>
            <w:pPr>
              <w:spacing w:after="0"/>
              <w:rPr>
                <w:sz w:val="10"/>
                <w:szCs w:val="10"/>
                <w:color w:val="auto"/>
              </w:rPr>
            </w:pPr>
          </w:p>
        </w:tc>
        <w:tc>
          <w:tcPr>
            <w:tcW w:w="1240" w:type="dxa"/>
            <w:vAlign w:val="bottom"/>
            <w:gridSpan w:val="2"/>
          </w:tcPr>
          <w:p>
            <w:pPr>
              <w:jc w:val="right"/>
              <w:ind w:right="680"/>
              <w:spacing w:after="0" w:line="123" w:lineRule="exact"/>
              <w:rPr>
                <w:sz w:val="20"/>
                <w:szCs w:val="20"/>
                <w:color w:val="auto"/>
              </w:rPr>
            </w:pPr>
            <w:r>
              <w:rPr>
                <w:rFonts w:ascii="Arial" w:cs="Arial" w:eastAsia="Arial" w:hAnsi="Arial"/>
                <w:sz w:val="14"/>
                <w:szCs w:val="14"/>
                <w:color w:val="auto"/>
              </w:rPr>
              <w:t>Interest</w:t>
            </w:r>
          </w:p>
        </w:tc>
        <w:tc>
          <w:tcPr>
            <w:tcW w:w="1040" w:type="dxa"/>
            <w:vAlign w:val="bottom"/>
            <w:gridSpan w:val="2"/>
          </w:tcPr>
          <w:p>
            <w:pPr>
              <w:jc w:val="right"/>
              <w:ind w:right="460"/>
              <w:spacing w:after="0" w:line="123" w:lineRule="exact"/>
              <w:rPr>
                <w:sz w:val="20"/>
                <w:szCs w:val="20"/>
                <w:color w:val="auto"/>
              </w:rPr>
            </w:pPr>
            <w:r>
              <w:rPr>
                <w:rFonts w:ascii="Arial" w:cs="Arial" w:eastAsia="Arial" w:hAnsi="Arial"/>
                <w:sz w:val="14"/>
                <w:szCs w:val="14"/>
                <w:color w:val="auto"/>
              </w:rPr>
              <w:t>Savings</w:t>
            </w:r>
          </w:p>
        </w:tc>
        <w:tc>
          <w:tcPr>
            <w:tcW w:w="200" w:type="dxa"/>
            <w:vAlign w:val="bottom"/>
          </w:tcPr>
          <w:p>
            <w:pPr>
              <w:spacing w:after="0"/>
              <w:rPr>
                <w:sz w:val="10"/>
                <w:szCs w:val="10"/>
                <w:color w:val="auto"/>
              </w:rPr>
            </w:pPr>
          </w:p>
        </w:tc>
        <w:tc>
          <w:tcPr>
            <w:tcW w:w="700" w:type="dxa"/>
            <w:vAlign w:val="bottom"/>
          </w:tcPr>
          <w:p>
            <w:pPr>
              <w:jc w:val="right"/>
              <w:ind w:right="128"/>
              <w:spacing w:after="0" w:line="123" w:lineRule="exact"/>
              <w:rPr>
                <w:sz w:val="20"/>
                <w:szCs w:val="20"/>
                <w:color w:val="auto"/>
              </w:rPr>
            </w:pPr>
            <w:r>
              <w:rPr>
                <w:rFonts w:ascii="Arial" w:cs="Arial" w:eastAsia="Arial" w:hAnsi="Arial"/>
                <w:sz w:val="14"/>
                <w:szCs w:val="14"/>
                <w:color w:val="auto"/>
              </w:rPr>
              <w:t>Time</w:t>
            </w:r>
          </w:p>
        </w:tc>
        <w:tc>
          <w:tcPr>
            <w:tcW w:w="200" w:type="dxa"/>
            <w:vAlign w:val="bottom"/>
          </w:tcPr>
          <w:p>
            <w:pPr>
              <w:spacing w:after="0"/>
              <w:rPr>
                <w:sz w:val="10"/>
                <w:szCs w:val="10"/>
                <w:color w:val="auto"/>
              </w:rPr>
            </w:pPr>
          </w:p>
        </w:tc>
      </w:tr>
      <w:tr>
        <w:trPr>
          <w:trHeight w:val="167"/>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DDAs</w:t>
            </w:r>
          </w:p>
        </w:tc>
        <w:tc>
          <w:tcPr>
            <w:tcW w:w="20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color w:val="auto"/>
              </w:rPr>
              <w:t>DDAs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Accounts</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Accounts</w:t>
            </w:r>
          </w:p>
        </w:tc>
      </w:tr>
      <w:tr>
        <w:trPr>
          <w:trHeight w:val="176"/>
        </w:trPr>
        <w:tc>
          <w:tcPr>
            <w:tcW w:w="14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December 31, 2016:</w:t>
            </w: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24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$ 169,510</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$207,057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$239,939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$194,753</w:t>
            </w:r>
          </w:p>
        </w:tc>
        <w:tc>
          <w:tcPr>
            <w:tcW w:w="20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2015:</w:t>
            </w:r>
          </w:p>
        </w:tc>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4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$ 162,028</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$184,941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$227,328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$189,822</w:t>
            </w:r>
          </w:p>
        </w:tc>
        <w:tc>
          <w:tcPr>
            <w:tcW w:w="20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0.62%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0.90%</w:t>
            </w:r>
          </w:p>
        </w:tc>
      </w:tr>
      <w:tr>
        <w:trPr>
          <w:trHeight w:val="196"/>
        </w:trPr>
        <w:tc>
          <w:tcPr>
            <w:tcW w:w="1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2014:</w:t>
            </w:r>
          </w:p>
        </w:tc>
        <w:tc>
          <w:tcPr>
            <w:tcW w:w="188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$ 152,155</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$178,285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$216,405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$214,680</w:t>
            </w:r>
          </w:p>
        </w:tc>
        <w:tc>
          <w:tcPr>
            <w:tcW w:w="20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0.94%</w:t>
            </w:r>
          </w:p>
        </w:tc>
      </w:tr>
      <w:tr>
        <w:trPr>
          <w:trHeight w:val="365"/>
        </w:trPr>
        <w:tc>
          <w:tcPr>
            <w:tcW w:w="1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8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Liquidity remains adequate though down from prior years as the Bank has decreased the investment portfolio to fund loans. The Bank has access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 million of unsecured borrowings through correspondent banks and $71.9 million of unpledged securities which may be sold or used as collateral.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unpledged securities increase almost $42.5 million as compared to 2015. This was accomplished with utilizing Promontory’s ICS product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protect Ohio public fund depositors and commercial sweep customers with FDIC coverage rather than pledged securities. For the Bank,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$4.7 million is also available from the Federal Home Loan Bank based on current collateral pledging with up to $115.7 million available provided adequate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collateral is pledged.</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$228.0 for 2016 and $262.1 million for 2015, and $296.5 million for 2014. This represented 22.3%, 28.0% and 31.8% of total average assets, respectively. Of the almost $201.2 million of debt securities in the bank’s portfolio as of December 31, 2016, $16.7 million, or 8.3% of the portfolio, is expected to receive payments or mature in 2017. This liquidity provides the opportunity to fund loan growth by analysis of the lowest cost and source of funds whether by increasing deposits, sales or runoff of investments or utilizing debt.</w:t>
      </w:r>
    </w:p>
    <w:p>
      <w:pPr>
        <w:spacing w:after="0" w:line="17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addition to the Bank’s investment portfolio, the Company has $17.3 million held in the holding company’s investment portfolio. $2.6 million of those investments will mature or receive payments in the next twelve months. These funds provide liquidity to the Company. The Bank has been declaring additional dividends each quarter to provide this liquidity to the Company. In future years, the Captive will also upstream dividends to the Company once reserve levels are adequately provided for. This will also provide additional liquidity for Company activities.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Historically, the primary source of liquidity has been core deposits that include noninterest bearing and interest bearing demand deposits, savings, money market accounts and time deposits of individuals. Core deposit balances as of year-end 2016 increased in all categories. Overall deposits increased an average of $39.7 million in 2016, $2.6 million in 2015 and $913 thousand in 2014. The Bank also utilized Federal Funds purchased at times during 2014 through 2016. The average balance for 2016 and 2015 was $1.9 million and $1.2 million respectively. The Bank used this temporary funding source heavier in December 2015 while it secured more permanent funding. During 2016, it was used heavily in the third quarter. The Bank is comfortable accessing these funds on a regular basis.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87.9% for 2016, 80.7% for 2015 and 76.4% for 2014. The Bank’s goal is for this ratio to be higher in the 80-90 percent range with loan growth being the driver. The Bank ended the year 2016 at an 89.4% loan to deposit ratio.</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$70.3 at December 31, 2016, $78.8 million at the end of 2015 compared to $56.0 million at the end of 2014. These accounts are used to provide a sweep product to the Bank’s commercial customers. As ICS is implemented, the sweep balances will move into interest bearing deposits.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borrowings” are also a source of funds. Other borrowings consist of loans from the Federal Home Loan Bank of Cincinnati. These funds are then used to provide loans in our community. The Bank utilized this funding source in December 2015 by borrowing $10 million. Prior borrowings from this source had decreased by $4.5 million to none at December 31, 2014. This compares to consistent borrowings during 2016 of $10 million. The decreased borrowings were payoffs of matured notes in 2013 and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instant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Contractual Obligations of the Company totaled $263.2 million as of December 31, 2016. Time deposits represent contractual agreements for certificates of deposits held by its customers. Long term debt represents the borrowings with the Federal Home Loan Bank and is further defined in Note 4 and 9 of the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color w:val="auto"/>
                <w:w w:val="91"/>
              </w:rPr>
              <w:t>Payment Due by Period (In Thousands)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4"/>
                <w:szCs w:val="14"/>
                <w:color w:val="auto"/>
                <w:w w:val="98"/>
              </w:rPr>
              <w:t>Less than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5"/>
              <w:spacing w:after="0" w:line="123"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15"/>
              <w:spacing w:after="0" w:line="123"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spacing w:after="0" w:line="123" w:lineRule="exact"/>
              <w:rPr>
                <w:sz w:val="20"/>
                <w:szCs w:val="20"/>
                <w:color w:val="auto"/>
              </w:rPr>
            </w:pPr>
            <w:r>
              <w:rPr>
                <w:rFonts w:ascii="Arial" w:cs="Arial" w:eastAsia="Arial" w:hAnsi="Arial"/>
                <w:sz w:val="14"/>
                <w:szCs w:val="14"/>
                <w:color w:val="auto"/>
                <w:w w:val="91"/>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5100" w:type="dxa"/>
            <w:vAlign w:val="bottom"/>
            <w:gridSpan w:val="3"/>
          </w:tcPr>
          <w:p>
            <w:pPr>
              <w:spacing w:after="0" w:line="154" w:lineRule="exact"/>
              <w:rPr>
                <w:sz w:val="20"/>
                <w:szCs w:val="20"/>
                <w:color w:val="auto"/>
              </w:rPr>
            </w:pPr>
            <w:r>
              <w:rPr>
                <w:rFonts w:ascii="Arial" w:cs="Arial" w:eastAsia="Arial" w:hAnsi="Arial"/>
                <w:sz w:val="14"/>
                <w:szCs w:val="14"/>
                <w:color w:val="auto"/>
              </w:rPr>
              <w:t>Contractual Obligations</w:t>
            </w: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20"/>
              <w:spacing w:after="0" w:line="154" w:lineRule="exact"/>
              <w:rPr>
                <w:sz w:val="20"/>
                <w:szCs w:val="20"/>
                <w:color w:val="auto"/>
              </w:rPr>
            </w:pPr>
            <w:r>
              <w:rPr>
                <w:rFonts w:ascii="Arial" w:cs="Arial" w:eastAsia="Arial" w:hAnsi="Arial"/>
                <w:sz w:val="14"/>
                <w:szCs w:val="14"/>
                <w:color w:val="auto"/>
              </w:rPr>
              <w:t>1 year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3"/>
                <w:szCs w:val="13"/>
                <w:color w:val="auto"/>
              </w:rPr>
            </w:pPr>
          </w:p>
        </w:tc>
        <w:tc>
          <w:tcPr>
            <w:tcW w:w="6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87"/>
              </w:rPr>
              <w:t>Years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spacing w:after="0" w:line="154"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Securities sold under agreement to repurchase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53,324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32,814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20,510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198,830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79,407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72,563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46,037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263,207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113,274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46,037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Stockholders’ equity was $125.6 million as of December 31, 2016 compared to $120.1 million at December 31, 2015. Dividends declared during 2016 were $0.91 per share totaling $4.2 million and dividends declared during 2015 were $0.87 per share totaling $3.99 million. Throughout 2016, the Company purchased 7,000 shares and awarded 16,150 shares of restricted stock awards to 74 employees. During 2015, the Company purchased 30,685 shares and awarded 16,000 shares of restricted stock to 67 employees. For a summary of activity as it relates to the Company’s restricted stock awards, please refer to Note 11: Employee Benefit Plans in the consolidated financial statements. On December 31, 2016 the Company held 579,125 shares in Treasury Stock and 43,150 unvested shares of restricted stock. At yearend 2015, the Company held 587,466 shares in Treasury stock and 38,995 unvested shares of restricted stock. On January 20, 2017 the Company announced the authorization by its Board of Directors for the Company’s repurchase,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either on the open market, or in privately negotiated transactions, of up to 200,000 shares of its outstanding common stock commencing January 20, 2017 and ending December 31, 2017. The Company has a history of approving a similar resolution to be in effect each year for at least the last five years.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continues to have a strong capital base and maintains regulatory capital ratios that are above the defined regulatory capital ratios. At December 31, 2016, the Bank and the Company had total risk-based capital ratios of 12.73% and 15.28%, respectively. Core capital to risk-based asset ratios of 11.91% and 14.46% for the Bank and the Company, respectively, are well in excess of regulatory guidelines. The Bank’s leverage ratio of 9.75% is also substantially in excess of regulatory guidelines, as is the Company’s at 11.77%. Under Basel III, the common equity Tier 1 Capital to risk-weighted assets ratios are also well above the required 4.50% and the 6.50% well capitalized levels with the Company at 14.46% and the Bank at 11.91%. For further discussion and analysis of regulatory capital requirements, refer to Note 15 of the Audited Financial Statements.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8"/>
          <w:szCs w:val="18"/>
          <w:b w:val="1"/>
          <w:bCs w:val="1"/>
          <w:u w:val="single" w:color="auto"/>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1480" w:type="dxa"/>
            <w:vAlign w:val="bottom"/>
          </w:tcPr>
          <w:p>
            <w:pPr>
              <w:jc w:val="right"/>
              <w:ind w:right="199"/>
              <w:spacing w:after="0"/>
              <w:rPr>
                <w:sz w:val="20"/>
                <w:szCs w:val="20"/>
                <w:color w:val="auto"/>
              </w:rPr>
            </w:pPr>
            <w:r>
              <w:rPr>
                <w:rFonts w:ascii="Arial" w:cs="Arial" w:eastAsia="Arial" w:hAnsi="Arial"/>
                <w:sz w:val="14"/>
                <w:szCs w:val="14"/>
                <w:color w:val="auto"/>
                <w:w w:val="99"/>
              </w:rPr>
              <w:t>Net Interest Margin</w:t>
            </w: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40" w:type="dxa"/>
            <w:vAlign w:val="bottom"/>
            <w:gridSpan w:val="2"/>
            <w:vMerge w:val="restart"/>
          </w:tcPr>
          <w:p>
            <w:pPr>
              <w:jc w:val="center"/>
              <w:ind w:right="1260"/>
              <w:spacing w:after="0"/>
              <w:rPr>
                <w:sz w:val="20"/>
                <w:szCs w:val="20"/>
                <w:color w:val="auto"/>
              </w:rPr>
            </w:pPr>
            <w:r>
              <w:rPr>
                <w:rFonts w:ascii="Arial" w:cs="Arial" w:eastAsia="Arial" w:hAnsi="Arial"/>
                <w:sz w:val="14"/>
                <w:szCs w:val="14"/>
                <w:color w:val="auto"/>
                <w:w w:val="87"/>
              </w:rPr>
              <w:t>Rate</w:t>
            </w:r>
          </w:p>
        </w:tc>
        <w:tc>
          <w:tcPr>
            <w:tcW w:w="1460" w:type="dxa"/>
            <w:vAlign w:val="bottom"/>
            <w:gridSpan w:val="2"/>
            <w:vMerge w:val="restart"/>
          </w:tcPr>
          <w:p>
            <w:pPr>
              <w:jc w:val="right"/>
              <w:ind w:right="1000"/>
              <w:spacing w:after="0"/>
              <w:rPr>
                <w:sz w:val="20"/>
                <w:szCs w:val="20"/>
                <w:color w:val="auto"/>
              </w:rPr>
            </w:pPr>
            <w:r>
              <w:rPr>
                <w:rFonts w:ascii="Arial" w:cs="Arial" w:eastAsia="Arial" w:hAnsi="Arial"/>
                <w:sz w:val="14"/>
                <w:szCs w:val="14"/>
                <w:color w:val="auto"/>
              </w:rPr>
              <w:t>Rate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3"/>
          </w:tcPr>
          <w:p>
            <w:pPr>
              <w:jc w:val="right"/>
              <w:ind w:right="1000"/>
              <w:spacing w:after="0"/>
              <w:rPr>
                <w:sz w:val="20"/>
                <w:szCs w:val="20"/>
                <w:color w:val="auto"/>
              </w:rPr>
            </w:pPr>
            <w:r>
              <w:rPr>
                <w:rFonts w:ascii="Arial" w:cs="Arial" w:eastAsia="Arial" w:hAnsi="Arial"/>
                <w:sz w:val="14"/>
                <w:szCs w:val="14"/>
                <w:color w:val="auto"/>
                <w:w w:val="96"/>
              </w:rPr>
              <w:t>Net Interest Income</w:t>
            </w:r>
          </w:p>
        </w:tc>
        <w:tc>
          <w:tcPr>
            <w:tcW w:w="0" w:type="dxa"/>
            <w:vAlign w:val="bottom"/>
          </w:tcPr>
          <w:p>
            <w:pPr>
              <w:spacing w:after="0"/>
              <w:rPr>
                <w:sz w:val="1"/>
                <w:szCs w:val="1"/>
                <w:color w:val="auto"/>
              </w:rPr>
            </w:pPr>
          </w:p>
        </w:tc>
      </w:tr>
      <w:tr>
        <w:trPr>
          <w:trHeight w:val="123"/>
        </w:trPr>
        <w:tc>
          <w:tcPr>
            <w:tcW w:w="2360" w:type="dxa"/>
            <w:vAlign w:val="bottom"/>
            <w:tcBorders>
              <w:top w:val="single" w:sz="8" w:color="auto"/>
            </w:tcBorders>
            <w:gridSpan w:val="2"/>
          </w:tcPr>
          <w:p>
            <w:pPr>
              <w:jc w:val="right"/>
              <w:ind w:right="1499"/>
              <w:spacing w:after="0" w:line="123" w:lineRule="exact"/>
              <w:rPr>
                <w:sz w:val="20"/>
                <w:szCs w:val="20"/>
                <w:color w:val="auto"/>
              </w:rPr>
            </w:pPr>
            <w:r>
              <w:rPr>
                <w:rFonts w:ascii="Arial" w:cs="Arial" w:eastAsia="Arial" w:hAnsi="Arial"/>
                <w:sz w:val="14"/>
                <w:szCs w:val="14"/>
                <w:color w:val="auto"/>
              </w:rPr>
              <w:t>Net Interest</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Change</w:t>
            </w:r>
          </w:p>
        </w:tc>
        <w:tc>
          <w:tcPr>
            <w:tcW w:w="146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Cumulative</w:t>
            </w:r>
          </w:p>
        </w:tc>
        <w:tc>
          <w:tcPr>
            <w:tcW w:w="1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Margin (Ratio)</w:t>
            </w:r>
          </w:p>
        </w:tc>
        <w:tc>
          <w:tcPr>
            <w:tcW w:w="14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to Flat Rate</w:t>
            </w:r>
          </w:p>
        </w:tc>
        <w:tc>
          <w:tcPr>
            <w:tcW w:w="1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Direction</w:t>
            </w:r>
          </w:p>
        </w:tc>
        <w:tc>
          <w:tcPr>
            <w:tcW w:w="1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changes by</w:t>
            </w:r>
          </w:p>
        </w:tc>
        <w:tc>
          <w:tcPr>
            <w:tcW w:w="8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Total (000)</w:t>
            </w:r>
          </w:p>
        </w:tc>
        <w:tc>
          <w:tcPr>
            <w:tcW w:w="6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to Flat 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80" w:type="dxa"/>
            <w:vAlign w:val="bottom"/>
            <w:shd w:val="clear" w:color="auto" w:fill="CCEEFF"/>
          </w:tcPr>
          <w:p>
            <w:pPr>
              <w:jc w:val="right"/>
              <w:ind w:right="1239"/>
              <w:spacing w:after="0"/>
              <w:rPr>
                <w:sz w:val="20"/>
                <w:szCs w:val="20"/>
                <w:color w:val="auto"/>
              </w:rPr>
            </w:pPr>
            <w:r>
              <w:rPr>
                <w:rFonts w:ascii="Arial" w:cs="Arial" w:eastAsia="Arial" w:hAnsi="Arial"/>
                <w:sz w:val="18"/>
                <w:szCs w:val="18"/>
                <w:color w:val="auto"/>
                <w:w w:val="87"/>
              </w:rPr>
              <w:t>%</w:t>
            </w:r>
          </w:p>
        </w:tc>
        <w:tc>
          <w:tcPr>
            <w:tcW w:w="21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-2.36%</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Rising</w:t>
            </w:r>
          </w:p>
        </w:tc>
        <w:tc>
          <w:tcPr>
            <w:tcW w:w="1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31,285</w:t>
            </w: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360" w:type="dxa"/>
            <w:vAlign w:val="bottom"/>
            <w:gridSpan w:val="2"/>
          </w:tcPr>
          <w:p>
            <w:pPr>
              <w:jc w:val="right"/>
              <w:ind w:right="1239"/>
              <w:spacing w:after="0"/>
              <w:rPr>
                <w:sz w:val="20"/>
                <w:szCs w:val="20"/>
                <w:color w:val="auto"/>
              </w:rPr>
            </w:pPr>
            <w:r>
              <w:rPr>
                <w:rFonts w:ascii="Arial" w:cs="Arial" w:eastAsia="Arial" w:hAnsi="Arial"/>
                <w:sz w:val="18"/>
                <w:szCs w:val="18"/>
                <w:color w:val="auto"/>
              </w:rPr>
              <w:t>3.05%</w:t>
            </w:r>
          </w:p>
        </w:tc>
        <w:tc>
          <w:tcPr>
            <w:tcW w:w="2140" w:type="dxa"/>
            <w:vAlign w:val="bottom"/>
            <w:gridSpan w:val="2"/>
          </w:tcPr>
          <w:p>
            <w:pPr>
              <w:jc w:val="right"/>
              <w:ind w:right="1320"/>
              <w:spacing w:after="0"/>
              <w:rPr>
                <w:sz w:val="20"/>
                <w:szCs w:val="20"/>
                <w:color w:val="auto"/>
              </w:rPr>
            </w:pPr>
            <w:r>
              <w:rPr>
                <w:rFonts w:ascii="Arial" w:cs="Arial" w:eastAsia="Arial" w:hAnsi="Arial"/>
                <w:sz w:val="18"/>
                <w:szCs w:val="18"/>
                <w:color w:val="auto"/>
              </w:rPr>
              <w:t>-1.68%</w:t>
            </w:r>
          </w:p>
        </w:tc>
        <w:tc>
          <w:tcPr>
            <w:tcW w:w="1840" w:type="dxa"/>
            <w:vAlign w:val="bottom"/>
            <w:gridSpan w:val="2"/>
          </w:tcPr>
          <w:p>
            <w:pPr>
              <w:jc w:val="center"/>
              <w:ind w:right="1280"/>
              <w:spacing w:after="0"/>
              <w:rPr>
                <w:sz w:val="20"/>
                <w:szCs w:val="20"/>
                <w:color w:val="auto"/>
              </w:rPr>
            </w:pPr>
            <w:r>
              <w:rPr>
                <w:rFonts w:ascii="Arial" w:cs="Arial" w:eastAsia="Arial" w:hAnsi="Arial"/>
                <w:sz w:val="18"/>
                <w:szCs w:val="18"/>
                <w:color w:val="auto"/>
                <w:w w:val="95"/>
              </w:rPr>
              <w:t>Rising</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31,529</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jc w:val="right"/>
              <w:ind w:right="1239"/>
              <w:spacing w:after="0"/>
              <w:rPr>
                <w:sz w:val="20"/>
                <w:szCs w:val="20"/>
                <w:color w:val="auto"/>
              </w:rPr>
            </w:pPr>
            <w:r>
              <w:rPr>
                <w:rFonts w:ascii="Arial" w:cs="Arial" w:eastAsia="Arial" w:hAnsi="Arial"/>
                <w:sz w:val="18"/>
                <w:szCs w:val="18"/>
                <w:color w:val="auto"/>
              </w:rPr>
              <w:t>3.07%</w:t>
            </w:r>
          </w:p>
        </w:tc>
        <w:tc>
          <w:tcPr>
            <w:tcW w:w="21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-1.06%</w:t>
            </w:r>
          </w:p>
        </w:tc>
        <w:tc>
          <w:tcPr>
            <w:tcW w:w="1840" w:type="dxa"/>
            <w:vAlign w:val="bottom"/>
            <w:gridSpan w:val="2"/>
            <w:shd w:val="clear" w:color="auto" w:fill="CCEEFF"/>
          </w:tcPr>
          <w:p>
            <w:pPr>
              <w:jc w:val="center"/>
              <w:ind w:right="1280"/>
              <w:spacing w:after="0"/>
              <w:rPr>
                <w:sz w:val="20"/>
                <w:szCs w:val="20"/>
                <w:color w:val="auto"/>
              </w:rPr>
            </w:pPr>
            <w:r>
              <w:rPr>
                <w:rFonts w:ascii="Arial" w:cs="Arial" w:eastAsia="Arial" w:hAnsi="Arial"/>
                <w:sz w:val="18"/>
                <w:szCs w:val="18"/>
                <w:color w:val="auto"/>
                <w:w w:val="95"/>
              </w:rPr>
              <w:t>Rising</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31,747</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360" w:type="dxa"/>
            <w:vAlign w:val="bottom"/>
            <w:gridSpan w:val="2"/>
          </w:tcPr>
          <w:p>
            <w:pPr>
              <w:jc w:val="right"/>
              <w:ind w:right="1239"/>
              <w:spacing w:after="0"/>
              <w:rPr>
                <w:sz w:val="20"/>
                <w:szCs w:val="20"/>
                <w:color w:val="auto"/>
              </w:rPr>
            </w:pPr>
            <w:r>
              <w:rPr>
                <w:rFonts w:ascii="Arial" w:cs="Arial" w:eastAsia="Arial" w:hAnsi="Arial"/>
                <w:sz w:val="18"/>
                <w:szCs w:val="18"/>
                <w:color w:val="auto"/>
              </w:rPr>
              <w:t>3.10%</w:t>
            </w:r>
          </w:p>
        </w:tc>
        <w:tc>
          <w:tcPr>
            <w:tcW w:w="2140" w:type="dxa"/>
            <w:vAlign w:val="bottom"/>
            <w:gridSpan w:val="2"/>
          </w:tcPr>
          <w:p>
            <w:pPr>
              <w:jc w:val="right"/>
              <w:ind w:right="15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center"/>
              <w:ind w:right="1280"/>
              <w:spacing w:after="0"/>
              <w:rPr>
                <w:sz w:val="20"/>
                <w:szCs w:val="20"/>
                <w:color w:val="auto"/>
              </w:rPr>
            </w:pPr>
            <w:r>
              <w:rPr>
                <w:rFonts w:ascii="Arial" w:cs="Arial" w:eastAsia="Arial" w:hAnsi="Arial"/>
                <w:sz w:val="18"/>
                <w:szCs w:val="18"/>
                <w:color w:val="auto"/>
                <w:w w:val="93"/>
              </w:rPr>
              <w:t>Flat</w:t>
            </w:r>
          </w:p>
        </w:tc>
        <w:tc>
          <w:tcPr>
            <w:tcW w:w="14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32,119</w:t>
            </w:r>
          </w:p>
        </w:tc>
        <w:tc>
          <w:tcPr>
            <w:tcW w:w="1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jc w:val="right"/>
              <w:ind w:right="1239"/>
              <w:spacing w:after="0"/>
              <w:rPr>
                <w:sz w:val="20"/>
                <w:szCs w:val="20"/>
                <w:color w:val="auto"/>
              </w:rPr>
            </w:pPr>
            <w:r>
              <w:rPr>
                <w:rFonts w:ascii="Arial" w:cs="Arial" w:eastAsia="Arial" w:hAnsi="Arial"/>
                <w:sz w:val="18"/>
                <w:szCs w:val="18"/>
                <w:color w:val="auto"/>
              </w:rPr>
              <w:t>3.15%</w:t>
            </w:r>
          </w:p>
        </w:tc>
        <w:tc>
          <w:tcPr>
            <w:tcW w:w="21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1.14%</w:t>
            </w:r>
          </w:p>
        </w:tc>
        <w:tc>
          <w:tcPr>
            <w:tcW w:w="1840" w:type="dxa"/>
            <w:vAlign w:val="bottom"/>
            <w:gridSpan w:val="2"/>
            <w:shd w:val="clear" w:color="auto" w:fill="CCEEFF"/>
          </w:tcPr>
          <w:p>
            <w:pPr>
              <w:jc w:val="center"/>
              <w:ind w:right="1280"/>
              <w:spacing w:after="0"/>
              <w:rPr>
                <w:sz w:val="20"/>
                <w:szCs w:val="20"/>
                <w:color w:val="auto"/>
              </w:rPr>
            </w:pPr>
            <w:r>
              <w:rPr>
                <w:rFonts w:ascii="Arial" w:cs="Arial" w:eastAsia="Arial" w:hAnsi="Arial"/>
                <w:sz w:val="18"/>
                <w:szCs w:val="18"/>
                <w:color w:val="auto"/>
                <w:w w:val="98"/>
              </w:rPr>
              <w:t>Falling</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32,594</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360" w:type="dxa"/>
            <w:vAlign w:val="bottom"/>
            <w:gridSpan w:val="2"/>
          </w:tcPr>
          <w:p>
            <w:pPr>
              <w:jc w:val="right"/>
              <w:ind w:right="1239"/>
              <w:spacing w:after="0"/>
              <w:rPr>
                <w:sz w:val="20"/>
                <w:szCs w:val="20"/>
                <w:color w:val="auto"/>
              </w:rPr>
            </w:pPr>
            <w:r>
              <w:rPr>
                <w:rFonts w:ascii="Arial" w:cs="Arial" w:eastAsia="Arial" w:hAnsi="Arial"/>
                <w:sz w:val="18"/>
                <w:szCs w:val="18"/>
                <w:color w:val="auto"/>
              </w:rPr>
              <w:t>3.00%</w:t>
            </w:r>
          </w:p>
        </w:tc>
        <w:tc>
          <w:tcPr>
            <w:tcW w:w="2140" w:type="dxa"/>
            <w:vAlign w:val="bottom"/>
            <w:gridSpan w:val="2"/>
          </w:tcPr>
          <w:p>
            <w:pPr>
              <w:jc w:val="right"/>
              <w:ind w:right="1320"/>
              <w:spacing w:after="0"/>
              <w:rPr>
                <w:sz w:val="20"/>
                <w:szCs w:val="20"/>
                <w:color w:val="auto"/>
              </w:rPr>
            </w:pPr>
            <w:r>
              <w:rPr>
                <w:rFonts w:ascii="Arial" w:cs="Arial" w:eastAsia="Arial" w:hAnsi="Arial"/>
                <w:sz w:val="18"/>
                <w:szCs w:val="18"/>
                <w:color w:val="auto"/>
              </w:rPr>
              <w:t>-3.44%</w:t>
            </w:r>
          </w:p>
        </w:tc>
        <w:tc>
          <w:tcPr>
            <w:tcW w:w="1840" w:type="dxa"/>
            <w:vAlign w:val="bottom"/>
            <w:gridSpan w:val="2"/>
          </w:tcPr>
          <w:p>
            <w:pPr>
              <w:jc w:val="center"/>
              <w:ind w:right="1280"/>
              <w:spacing w:after="0"/>
              <w:rPr>
                <w:sz w:val="20"/>
                <w:szCs w:val="20"/>
                <w:color w:val="auto"/>
              </w:rPr>
            </w:pPr>
            <w:r>
              <w:rPr>
                <w:rFonts w:ascii="Arial" w:cs="Arial" w:eastAsia="Arial" w:hAnsi="Arial"/>
                <w:sz w:val="18"/>
                <w:szCs w:val="18"/>
                <w:color w:val="auto"/>
                <w:w w:val="98"/>
              </w:rPr>
              <w:t>Falling</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-2.00%</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31,014</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jc w:val="right"/>
              <w:ind w:right="1239"/>
              <w:spacing w:after="0"/>
              <w:rPr>
                <w:sz w:val="20"/>
                <w:szCs w:val="20"/>
                <w:color w:val="auto"/>
              </w:rPr>
            </w:pPr>
            <w:r>
              <w:rPr>
                <w:rFonts w:ascii="Arial" w:cs="Arial" w:eastAsia="Arial" w:hAnsi="Arial"/>
                <w:sz w:val="18"/>
                <w:szCs w:val="18"/>
                <w:color w:val="auto"/>
              </w:rPr>
              <w:t>2.84%</w:t>
            </w:r>
          </w:p>
        </w:tc>
        <w:tc>
          <w:tcPr>
            <w:tcW w:w="21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-8.37%</w:t>
            </w:r>
          </w:p>
        </w:tc>
        <w:tc>
          <w:tcPr>
            <w:tcW w:w="1840" w:type="dxa"/>
            <w:vAlign w:val="bottom"/>
            <w:gridSpan w:val="2"/>
            <w:shd w:val="clear" w:color="auto" w:fill="CCEEFF"/>
          </w:tcPr>
          <w:p>
            <w:pPr>
              <w:jc w:val="center"/>
              <w:ind w:right="1280"/>
              <w:spacing w:after="0"/>
              <w:rPr>
                <w:sz w:val="20"/>
                <w:szCs w:val="20"/>
                <w:color w:val="auto"/>
              </w:rPr>
            </w:pPr>
            <w:r>
              <w:rPr>
                <w:rFonts w:ascii="Arial" w:cs="Arial" w:eastAsia="Arial" w:hAnsi="Arial"/>
                <w:sz w:val="18"/>
                <w:szCs w:val="18"/>
                <w:color w:val="auto"/>
                <w:w w:val="98"/>
              </w:rPr>
              <w:t>Falling</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29,408</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shock chart currently shows a tightening in net interest margin over the next twelve months in an increasing rate environment and a slight increase in a falling rate environment. Due to two rate increases since December 2015, the model predicts an expansion in a falling rate of 100 basis points. At a 200 basis falling rate, the margin will tighten because the cost of funds cannot price below 0% so only asset yield erodes at the higher falling rate environment. All rising rates scenarios are predicted to tighten the net interest margin and produce lower levels of net interest income. This would indicate that the assets yield is predicted to increase slower than the cost of funds will rise. Fixed rate assets or those with a fixed feature in the beginning have a longer time frame than 12 months until they reprice. The Bank continues to enhance its use of the software model and performs additional stress tests whose results management and the director’s review. Both directional changes are well within risk exposure guidelines. The effect of the rate shocks may be mitigated to the extent that not all lines of business are directly tied to an external index and actual balance sheet composition may differ from prediction.</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8"/>
          <w:szCs w:val="18"/>
          <w:b w:val="1"/>
          <w:bCs w:val="1"/>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for the years ended December 31, 2016,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to Shareholders’ Equity for the years ended December 31, 2016,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 for the years ended December 31, 2016,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205740</wp:posOffset>
            </wp:positionV>
            <wp:extent cx="5334000" cy="651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340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Farmers &amp; Merchants Bancorp, Inc. (Company) as of December 31, 2016 and 2015, and the related consolidated statements of income and comprehensive income, changes to stockholders’ equity and cash flows for each of the years in the three-year period ended December 31, 2016. The Company’s management is responsible for these financial statements. Our responsibility is to express an opinion on these financial statements based on our audits.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Our audits included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Farmers &amp; Merchants Bancorp, Inc. as of December 31, 2016 and 2015, and the results of its operations and its cash flows for each of the years in the three-year period ended December 31, 2016, in conformity with accounting principles generally accepted in the United States of America.</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Farmers &amp; Merchants Bancorp, Inc.’s internal control over financial reporting as of December 31, 2016, based on criteria established in </w:t>
      </w:r>
      <w:r>
        <w:rPr>
          <w:rFonts w:ascii="Arial" w:cs="Arial" w:eastAsia="Arial" w:hAnsi="Arial"/>
          <w:sz w:val="18"/>
          <w:szCs w:val="18"/>
          <w:i w:val="1"/>
          <w:iCs w:val="1"/>
          <w:color w:val="auto"/>
        </w:rPr>
        <w:t>2013 Internal Control-Integrated Framework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the Committee of Sponsoring Organizations of the Treadway Commission </w:t>
      </w:r>
      <w:r>
        <w:rPr>
          <w:rFonts w:ascii="Arial" w:cs="Arial" w:eastAsia="Arial" w:hAnsi="Arial"/>
          <w:sz w:val="18"/>
          <w:szCs w:val="18"/>
          <w:color w:val="auto"/>
        </w:rPr>
        <w:t>(COSO) and our report dated February 22, 2017,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BKD,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BKD,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205740</wp:posOffset>
            </wp:positionV>
            <wp:extent cx="5334000" cy="651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340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211"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color w:val="auto"/>
        </w:rPr>
        <w:t xml:space="preserve">We have audited Farmers &amp; Merchants Bancorp, Inc.’s (Company) internal control over financial reporting as of December 31, 2016, based on criteria established in 2013 </w:t>
      </w:r>
      <w:r>
        <w:rPr>
          <w:rFonts w:ascii="Arial" w:cs="Arial" w:eastAsia="Arial" w:hAnsi="Arial"/>
          <w:sz w:val="16"/>
          <w:szCs w:val="16"/>
          <w:i w:val="1"/>
          <w:iCs w:val="1"/>
          <w:color w:val="auto"/>
        </w:rPr>
        <w:t>Internal Control - Integrated Framework issued by the Committee of Sponsoring Organizations of the Treadway Commission</w:t>
      </w:r>
      <w:r>
        <w:rPr>
          <w:rFonts w:ascii="Arial" w:cs="Arial" w:eastAsia="Arial" w:hAnsi="Arial"/>
          <w:sz w:val="16"/>
          <w:szCs w:val="16"/>
          <w:color w:val="auto"/>
        </w:rPr>
        <w:t xml:space="preserve"> (COSO).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our opinion, Farmers &amp; Merchants, Bancorp, Inc.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2013 Internal Control - Integrated Framework issued by the Committee of Sponsoring Organizations of the Treadway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Commission </w:t>
      </w:r>
      <w:r>
        <w:rPr>
          <w:rFonts w:ascii="Arial" w:cs="Arial" w:eastAsia="Arial" w:hAnsi="Arial"/>
          <w:sz w:val="18"/>
          <w:szCs w:val="18"/>
          <w:color w:val="auto"/>
        </w:rPr>
        <w:t>(COSO).</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consolidated financial statements of Farmers &amp; Merchants Bancorp, Inc. and our report dated February 22, 2017,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BKD,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BKD,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and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ind w:left="438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Federal Funds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Interest-bearing time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Other Securities, at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21,457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Mortgage Servicing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Real Estate Owned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1,055,895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989,068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shd w:val="clear" w:color="auto" w:fill="CCEEFF"/>
          </w:tcPr>
          <w:p>
            <w:pPr>
              <w:ind w:left="322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700"/>
              <w:spacing w:after="0"/>
              <w:rPr>
                <w:sz w:val="20"/>
                <w:szCs w:val="20"/>
                <w:color w:val="auto"/>
              </w:rPr>
            </w:pPr>
            <w:r>
              <w:rPr>
                <w:rFonts w:ascii="Arial" w:cs="Arial" w:eastAsia="Arial" w:hAnsi="Arial"/>
                <w:sz w:val="18"/>
                <w:szCs w:val="18"/>
                <w:color w:val="auto"/>
              </w:rPr>
              <w:t>Noninterest-bearing</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186,390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190,890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Savings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106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771,339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Federal Funds Purchased and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 to repurchase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Federal Home Loan Bank (FHLB)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868,971</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Common shares 6,500,000 shares 12/31/15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 10,000,000 shares 12/31/16 shares; issued &amp; outstanding 5,200,000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Treasury Stock - 579,125 shares 2016, 587,466 shares 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1,055,895</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989,068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Income &amp; Comprehensive Income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33,703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29,293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28,070</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37,727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33,453</w:t>
            </w: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Income - </w:t>
            </w:r>
            <w:r>
              <w:rPr>
                <w:rFonts w:ascii="Arial" w:cs="Arial" w:eastAsia="Arial" w:hAnsi="Arial"/>
                <w:sz w:val="18"/>
                <w:szCs w:val="18"/>
                <w:color w:val="auto"/>
              </w:rPr>
              <w:t>Before provision for loan losses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33,504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29,737</w:t>
            </w: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b w:val="1"/>
                <w:bCs w:val="1"/>
                <w:color w:val="auto"/>
              </w:rPr>
              <w:t>For Loan Losses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32,383</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29,438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28,546</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Customer service fees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5,224</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service charges and fees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gain on sale of loans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11,368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10,788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10,184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10,186</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occupancy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Franchise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loss on sale of other assets owned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FDIC Assessment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6,020</w:t>
            </w:r>
          </w:p>
        </w:tc>
      </w:tr>
      <w:tr>
        <w:trPr>
          <w:trHeight w:val="230"/>
        </w:trPr>
        <w:tc>
          <w:tcPr>
            <w:tcW w:w="20" w:type="dxa"/>
            <w:vAlign w:val="bottom"/>
          </w:tcPr>
          <w:p>
            <w:pPr>
              <w:spacing w:after="0"/>
              <w:rPr>
                <w:sz w:val="20"/>
                <w:szCs w:val="20"/>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Total other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27,431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25,213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16,320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14,159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13,517</w:t>
            </w:r>
          </w:p>
        </w:tc>
      </w:tr>
      <w:tr>
        <w:trPr>
          <w:trHeight w:val="331"/>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10,340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9,646</w:t>
            </w: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(loss) on available for sale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(2,721)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Reclassification adjustment for gain on sale of available for sale securities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(loss) on available for sale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(3,309)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Tax expense (benefit)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(1,125)</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10,084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Changes to Stockholders’ Equity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Shares of</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Common</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Common</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Treasury</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Stock</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Stock</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4,638,438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$12,312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(11,611)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$107,910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108,617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9,646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(23,570)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Issuance of 13,250 shares of restricted stock (Net of Forfeitures - 780)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12,470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 $0.84 per share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4,627,338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$12,222</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(11,928)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$ 113,755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ind w:left="340"/>
              <w:spacing w:after="0" w:line="201" w:lineRule="exact"/>
              <w:rPr>
                <w:sz w:val="20"/>
                <w:szCs w:val="20"/>
                <w:color w:val="auto"/>
              </w:rPr>
            </w:pPr>
            <w:r>
              <w:rPr>
                <w:rFonts w:ascii="Arial" w:cs="Arial" w:eastAsia="Arial" w:hAnsi="Arial"/>
                <w:sz w:val="18"/>
                <w:szCs w:val="18"/>
                <w:color w:val="auto"/>
                <w:w w:val="97"/>
              </w:rPr>
              <w:t>Issuance of 16,000 shares of restricted stock (Net of Forfeitures - 100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Repurchases - 19)</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15,881</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dividends declared - $0.87 per share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4,612,534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$12,086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$(12,389)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$120,188</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11,664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Issuance of 16,150 shares of restricted stock (Net of Forfeitures - 773</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Repurchases - 36)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15,341</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402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 $0.91 per share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4,620,875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11,947</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(12,267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127,869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2015</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11,664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10,340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1,365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available for sale securities,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(52,706)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63,988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52,764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 owned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Gain on sales of available for 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14,809</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Activity in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26,059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85,723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47,029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(114,819)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(60,925)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Change in interest-bearing time depsoits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redemption of FHLB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Proceeds from sales of other assets owned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premises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(72,639)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(64,483)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(50,853)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(64,190)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(53,972)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22,853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of FHLB advances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Repayment of FHLB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dividends paid on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(4,115)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(3,943)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(36,638)</w:t>
            </w:r>
          </w:p>
        </w:tc>
        <w:tc>
          <w:tcPr>
            <w:tcW w:w="0" w:type="dxa"/>
            <w:vAlign w:val="bottom"/>
          </w:tcPr>
          <w:p>
            <w:pPr>
              <w:spacing w:after="0"/>
              <w:rPr>
                <w:sz w:val="1"/>
                <w:szCs w:val="1"/>
                <w:color w:val="auto"/>
              </w:rPr>
            </w:pPr>
          </w:p>
        </w:tc>
      </w:tr>
      <w:tr>
        <w:trPr>
          <w:trHeight w:val="224"/>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(2,277)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24,295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w:t>
            </w:r>
          </w:p>
        </w:tc>
        <w:tc>
          <w:tcPr>
            <w:tcW w:w="0" w:type="dxa"/>
            <w:vAlign w:val="bottom"/>
          </w:tcPr>
          <w:p>
            <w:pPr>
              <w:spacing w:after="0"/>
              <w:rPr>
                <w:sz w:val="1"/>
                <w:szCs w:val="1"/>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22,018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3,610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3,732</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3,079</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Transfer of loans to other real estate owned</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231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480"/>
        <w:spacing w:after="0" w:line="308" w:lineRule="auto"/>
        <w:rPr>
          <w:sz w:val="20"/>
          <w:szCs w:val="20"/>
          <w:color w:val="auto"/>
        </w:rPr>
      </w:pPr>
      <w:r>
        <w:rPr>
          <w:rFonts w:ascii="Arial" w:cs="Arial" w:eastAsia="Arial" w:hAnsi="Arial"/>
          <w:sz w:val="17"/>
          <w:szCs w:val="17"/>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Consolidation Policy</w:t>
      </w:r>
    </w:p>
    <w:p>
      <w:pPr>
        <w:spacing w:after="0" w:line="121"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All significant inter-company balances and transactions have been eliminated.</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goodwill, available for sale investment securities, other real estate owned and impaired loans. Actual results could differ from those estimates.</w:t>
      </w:r>
    </w:p>
    <w:p>
      <w:pPr>
        <w:spacing w:after="0" w:line="85"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73"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73"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are purchased for one day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21"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 Bank is required to maintain average balances on hand with the Federal Reserve Bank. The aggregate reserve was $5.0 million for December 31, 2016 and it was $6.5 million for December 31, 2015. The Company and its subsidiaries maintain cash balances with high quality credit institutions. At times such balances may be in excess of the federally insured limits.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(expense) and, when applicable, are reported as a reclassification adjustment, net of tax, in other comprehensive income (loss). Gains and losses on sales of securities are determined on the specific-identification method.</w:t>
      </w:r>
    </w:p>
    <w:p>
      <w:pPr>
        <w:spacing w:after="0" w:line="79"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Other Securities consists of Federal Home Loan Bank of Cincinnati stock and Farmer Mac stock. These stocks are carried at cost and are held to enable the Bank to conduct business with the entities. The Federal Home Loan Bank sells and purchases their stock at par. The Federal Home Loan Bank of Cincinnati stock is held as collateral security for all indebtedness of the Bank to the Federal Home Loan Bank. The Federal Home Loan Bank of Cincinnati is evaluated for impairment as conditions warrant.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amount of unpaid principal, reduced by unearned discounts and deferred loan fees and costs, as well as, by the allowance for loan losses. Interest income is accrued on a daily basis based on the principal outstanding.</w:t>
      </w:r>
    </w:p>
    <w:p>
      <w:pPr>
        <w:spacing w:after="0" w:line="73"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46"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Allowance for Loan Losses</w:t>
      </w:r>
    </w:p>
    <w:p>
      <w:pPr>
        <w:spacing w:after="0" w:line="121" w:lineRule="exact"/>
        <w:rPr>
          <w:sz w:val="20"/>
          <w:szCs w:val="20"/>
          <w:color w:val="auto"/>
        </w:rPr>
      </w:pPr>
    </w:p>
    <w:p>
      <w:pPr>
        <w:ind w:left="460" w:right="240"/>
        <w:spacing w:after="0" w:line="342" w:lineRule="auto"/>
        <w:rPr>
          <w:sz w:val="20"/>
          <w:szCs w:val="20"/>
          <w:color w:val="auto"/>
        </w:rPr>
      </w:pPr>
      <w:r>
        <w:rPr>
          <w:rFonts w:ascii="Arial" w:cs="Arial" w:eastAsia="Arial" w:hAnsi="Arial"/>
          <w:sz w:val="16"/>
          <w:szCs w:val="16"/>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79" w:lineRule="exact"/>
        <w:rPr>
          <w:sz w:val="20"/>
          <w:szCs w:val="20"/>
          <w:color w:val="auto"/>
        </w:rPr>
      </w:pPr>
    </w:p>
    <w:p>
      <w:pPr>
        <w:ind w:left="460" w:right="420"/>
        <w:spacing w:after="0" w:line="293" w:lineRule="auto"/>
        <w:rPr>
          <w:sz w:val="20"/>
          <w:szCs w:val="20"/>
          <w:color w:val="auto"/>
        </w:rPr>
      </w:pPr>
      <w:r>
        <w:rPr>
          <w:rFonts w:ascii="Arial" w:cs="Arial" w:eastAsia="Arial" w:hAnsi="Arial"/>
          <w:sz w:val="16"/>
          <w:szCs w:val="16"/>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or observable market price)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 The unallocated component of the allowance reflects the margin of imprecision inherent in the underlying assumptions used in the methodologies for estimating specific and general losses in the portfolio.</w:t>
      </w:r>
    </w:p>
    <w:p>
      <w:pPr>
        <w:spacing w:after="0" w:line="57" w:lineRule="exact"/>
        <w:rPr>
          <w:sz w:val="20"/>
          <w:szCs w:val="20"/>
          <w:color w:val="auto"/>
        </w:rPr>
      </w:pPr>
    </w:p>
    <w:p>
      <w:pPr>
        <w:ind w:left="460" w:right="20"/>
        <w:spacing w:after="0" w:line="253" w:lineRule="auto"/>
        <w:rPr>
          <w:sz w:val="20"/>
          <w:szCs w:val="20"/>
          <w:color w:val="auto"/>
        </w:rPr>
      </w:pPr>
      <w:r>
        <w:rPr>
          <w:rFonts w:ascii="Arial" w:cs="Arial" w:eastAsia="Arial" w:hAnsi="Arial"/>
          <w:sz w:val="18"/>
          <w:szCs w:val="18"/>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the loan’s obtainable market price, or the fair value of the collateral if the loan is collateral dependent.</w:t>
      </w:r>
    </w:p>
    <w:p>
      <w:pPr>
        <w:spacing w:after="0" w:line="89"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73" w:lineRule="exact"/>
        <w:rPr>
          <w:sz w:val="20"/>
          <w:szCs w:val="20"/>
          <w:color w:val="auto"/>
        </w:rPr>
      </w:pPr>
    </w:p>
    <w:p>
      <w:pPr>
        <w:ind w:left="460" w:right="18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80" w:lineRule="exact"/>
        <w:rPr>
          <w:sz w:val="20"/>
          <w:szCs w:val="20"/>
          <w:color w:val="auto"/>
        </w:rPr>
      </w:pPr>
    </w:p>
    <w:p>
      <w:pPr>
        <w:ind w:left="460" w:right="60"/>
        <w:spacing w:after="0" w:line="308" w:lineRule="auto"/>
        <w:rPr>
          <w:sz w:val="20"/>
          <w:szCs w:val="20"/>
          <w:color w:val="auto"/>
        </w:rPr>
      </w:pPr>
      <w:r>
        <w:rPr>
          <w:rFonts w:ascii="Arial" w:cs="Arial" w:eastAsia="Arial" w:hAnsi="Arial"/>
          <w:sz w:val="17"/>
          <w:szCs w:val="17"/>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38"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Servicing Assets</w:t>
      </w:r>
    </w:p>
    <w:p>
      <w:pPr>
        <w:spacing w:after="0" w:line="121" w:lineRule="exact"/>
        <w:rPr>
          <w:sz w:val="20"/>
          <w:szCs w:val="20"/>
          <w:color w:val="auto"/>
        </w:rPr>
      </w:pPr>
    </w:p>
    <w:p>
      <w:pPr>
        <w:jc w:val="both"/>
        <w:ind w:left="460" w:right="40"/>
        <w:spacing w:after="0" w:line="288"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reported in other assets and are amortized into noninterest expense in proportion to, and over the period of, the estimated future net servicing income of the underlying financial assets. Servicing assets are evaluated for impairment based upon the fair value of the rights as compared to amortized cost.</w:t>
      </w:r>
    </w:p>
    <w:p>
      <w:pPr>
        <w:ind w:left="460" w:right="60"/>
        <w:spacing w:after="0" w:line="271" w:lineRule="auto"/>
        <w:rPr>
          <w:sz w:val="20"/>
          <w:szCs w:val="20"/>
          <w:color w:val="auto"/>
        </w:rPr>
      </w:pPr>
      <w:r>
        <w:rPr>
          <w:rFonts w:ascii="Arial" w:cs="Arial" w:eastAsia="Arial" w:hAnsi="Arial"/>
          <w:sz w:val="17"/>
          <w:szCs w:val="17"/>
          <w:color w:val="auto"/>
        </w:rPr>
        <w:t>Impairment is determined by stratifying rights by predominant characteristics, such as interest rates and terms. Fair value is determined using prices for similar assets with similar characteristics, when available, or based upon discounted cash flows using market 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Goodwill results from business acquisitions and represents the excess of the purchase price over the fair value of acquired tangible assets and liabilities and identifiable intangible assets. Goodwill is assessed at least annually. If possible impairment is likely, the Bank will utilize the assistance of an independent third party for impairment and any such impairment is recognized in the period identified. The Bank considered the following qualitative factors to determine if impairment was likely: 1) the Bank continued to perform above peer and remains profitable with capital remaining strong, 2) the Bank had improved asset quality and does not see any change in the trend, 3) the Bank had strong liquidity and capital positions, 4) in quantitative testing done in 2016, the excess fair value of capital was $11.3 million or 10.4% over the carrying value and was over two and a half times the value of the goodwill being carried and 5) the Bank was unaware of any likely circumstances that would indicate the fair value of the entity would be greatly decreased in the near future. Therefore, the Bank concluded it is unlikely impairment of Goodwill has occurred from the goodwill established from the Bank’s acquisition which occurred on December 31, 2007.</w:t>
      </w:r>
    </w:p>
    <w:p>
      <w:pPr>
        <w:spacing w:after="0" w:line="74"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Other intangible assets consist of core deposit intangible assets arising from business acquisitions. They are initially measured at fair value and then are amortized on a straight line method over their estimated useful lives and evaluated for impairment.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 Balance Sheet Instruments</w:t>
      </w:r>
    </w:p>
    <w:p>
      <w:pPr>
        <w:spacing w:after="0" w:line="121" w:lineRule="exact"/>
        <w:rPr>
          <w:sz w:val="20"/>
          <w:szCs w:val="20"/>
          <w:color w:val="auto"/>
        </w:rPr>
      </w:pPr>
    </w:p>
    <w:p>
      <w:pPr>
        <w:ind w:left="460" w:right="300"/>
        <w:spacing w:after="0" w:line="308" w:lineRule="auto"/>
        <w:rPr>
          <w:sz w:val="20"/>
          <w:szCs w:val="20"/>
          <w:color w:val="auto"/>
        </w:rPr>
      </w:pPr>
      <w:r>
        <w:rPr>
          <w:rFonts w:ascii="Arial" w:cs="Arial" w:eastAsia="Arial" w:hAnsi="Arial"/>
          <w:sz w:val="17"/>
          <w:szCs w:val="17"/>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Foreclosed Real Estate</w:t>
      </w:r>
    </w:p>
    <w:p>
      <w:pPr>
        <w:spacing w:after="0" w:line="12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estimated costs to sell. Foreclosed real estate is classified as other real estate owned. The net income from operations of foreclosed real estate held for sale is reported in non-interest income. At December 31, the Bank’s holding of other real estate owned totaled $774 thousand and approximately $1.2 million for 2016 and 2015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Bank Premises and Equipment</w:t>
      </w:r>
    </w:p>
    <w:p>
      <w:pPr>
        <w:spacing w:after="0" w:line="121"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Federal Income Tax</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The Company’s income tax expense consists of the following components: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80"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58"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2016 and 2015. With a few exceptions, the Company is no longer subject to U.S. Federal, state or local examinations by tax authorities for years before 2013.</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Basic earnings per share represent income available to common stockholders divided by the weighted-average number of common shares outstanding during the period. See Note 12 for additional information.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personnel expense in the consolidated statement of income.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shares repurchased are recorded at market value on date of purchase.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5"/>
              </w:rPr>
              <w:t>(In Thousands)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8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 (loss) on available-for-sale securities</w:t>
            </w:r>
          </w:p>
        </w:tc>
        <w:tc>
          <w:tcPr>
            <w:tcW w:w="9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$(2,721)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Reclassification adjustment for gain on sale of available-for-sale securities</w:t>
            </w: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r>
      <w:tr>
        <w:trPr>
          <w:trHeight w:val="27"/>
        </w:trPr>
        <w:tc>
          <w:tcPr>
            <w:tcW w:w="6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(3,309)</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324"/>
        </w:trPr>
        <w:tc>
          <w:tcPr>
            <w:tcW w:w="6280" w:type="dxa"/>
            <w:vAlign w:val="bottom"/>
          </w:tcPr>
          <w:p>
            <w:pPr>
              <w:spacing w:after="0"/>
              <w:rPr>
                <w:sz w:val="20"/>
                <w:szCs w:val="20"/>
                <w:color w:val="auto"/>
              </w:rPr>
            </w:pPr>
            <w:r>
              <w:rPr>
                <w:rFonts w:ascii="Arial" w:cs="Arial" w:eastAsia="Arial" w:hAnsi="Arial"/>
                <w:sz w:val="18"/>
                <w:szCs w:val="18"/>
                <w:color w:val="auto"/>
              </w:rPr>
              <w:t>Tax expense (benefit)</w:t>
            </w:r>
          </w:p>
        </w:tc>
        <w:tc>
          <w:tcPr>
            <w:tcW w:w="92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7"/>
        </w:trPr>
        <w:tc>
          <w:tcPr>
            <w:tcW w:w="6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(2,184)</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r>
      <w:tr>
        <w:trPr>
          <w:trHeight w:val="20"/>
        </w:trPr>
        <w:tc>
          <w:tcPr>
            <w:tcW w:w="6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60" w:right="820"/>
        <w:spacing w:after="0" w:line="277" w:lineRule="auto"/>
        <w:rPr>
          <w:sz w:val="20"/>
          <w:szCs w:val="20"/>
          <w:color w:val="auto"/>
        </w:rPr>
      </w:pPr>
      <w:r>
        <w:rPr>
          <w:rFonts w:ascii="Arial" w:cs="Arial" w:eastAsia="Arial" w:hAnsi="Arial"/>
          <w:sz w:val="18"/>
          <w:szCs w:val="18"/>
          <w:color w:val="auto"/>
        </w:rPr>
        <w:t>Certain amounts in the 2015 and 2014 consolidated financial statements have been reclassified to conform with the 2016 presentation. These reclassifications had no effect on net income.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On January 20, 2017, the Company announced the authorization by its Board of Directors for the Company’s repurchase, either on the open market, or in privately negotiated transactions, of up to 200,000 shares of its outstanding common stock commencing January 20, 2017 and ending December 31, 2017.</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right="60"/>
        <w:spacing w:after="0" w:line="268" w:lineRule="auto"/>
        <w:rPr>
          <w:sz w:val="20"/>
          <w:szCs w:val="20"/>
          <w:color w:val="auto"/>
        </w:rPr>
      </w:pPr>
      <w:r>
        <w:rPr>
          <w:rFonts w:ascii="Arial" w:cs="Arial" w:eastAsia="Arial" w:hAnsi="Arial"/>
          <w:sz w:val="17"/>
          <w:szCs w:val="17"/>
          <w:color w:val="auto"/>
        </w:rPr>
        <w:t>In January 2016, the FASB issued ASU No. 2016-01 “</w:t>
      </w:r>
      <w:r>
        <w:rPr>
          <w:rFonts w:ascii="Arial" w:cs="Arial" w:eastAsia="Arial" w:hAnsi="Arial"/>
          <w:sz w:val="17"/>
          <w:szCs w:val="17"/>
          <w:i w:val="1"/>
          <w:iCs w:val="1"/>
          <w:color w:val="auto"/>
        </w:rPr>
        <w:t>Financial Instruments - Overall (Subtopic 825-10) -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Financial Liabilities.” </w:t>
      </w:r>
      <w:r>
        <w:rPr>
          <w:rFonts w:ascii="Arial" w:cs="Arial" w:eastAsia="Arial" w:hAnsi="Arial"/>
          <w:sz w:val="17"/>
          <w:szCs w:val="17"/>
          <w:color w:val="auto"/>
        </w:rPr>
        <w:t>ASU 2016-01 is intended to improve the recognition and measurement of financial instruments by requiring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 While it would be preferred to run fair value adjustment through other comprehensive income, the Company would choose to limit any further fair value presentation on the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70"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In March 2016, the FASB issued ASU No. 2016-09 “</w:t>
      </w:r>
      <w:r>
        <w:rPr>
          <w:rFonts w:ascii="Arial" w:cs="Arial" w:eastAsia="Arial" w:hAnsi="Arial"/>
          <w:sz w:val="17"/>
          <w:szCs w:val="17"/>
          <w:i w:val="1"/>
          <w:iCs w:val="1"/>
          <w:color w:val="auto"/>
        </w:rPr>
        <w:t>Compensation - Stock Compensation (Topic 718) -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2016-09 requires all income tax effects of awards to be recognized in the income statement when the awards vest or are</w:t>
      </w:r>
      <w:r>
        <w:rPr>
          <w:rFonts w:ascii="Arial" w:cs="Arial" w:eastAsia="Arial" w:hAnsi="Arial"/>
          <w:sz w:val="17"/>
          <w:szCs w:val="17"/>
          <w:i w:val="1"/>
          <w:iCs w:val="1"/>
          <w:color w:val="auto"/>
        </w:rPr>
        <w:t xml:space="preserve"> </w:t>
      </w:r>
      <w:r>
        <w:rPr>
          <w:rFonts w:ascii="Arial" w:cs="Arial" w:eastAsia="Arial" w:hAnsi="Arial"/>
          <w:sz w:val="17"/>
          <w:szCs w:val="17"/>
          <w:color w:val="auto"/>
        </w:rPr>
        <w:t>settled. It also allows an employer to repurchase more of an employee’s shares than it can today for tax withholding purposes without triggering liability accounting and to make a policy election for forfeitures as they occur. The guidance is effective for public business entities for fiscal years beginning after December 15, 2016, and interim periods within those years. Early adoption is permitted. The Company is assessing the impact of ASU 2016-09 on its accounting and disclosures and working to create procedures to effectively capture and present the information. The Company does utilize restricted stock awards with three year cliff vesting to its employees presently.</w:t>
      </w:r>
    </w:p>
    <w:p>
      <w:pPr>
        <w:spacing w:after="0" w:line="70"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In June 2016, FASB issued 2016-13, Financial Instruments - 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121"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The Company recognized core deposit intangible assets of $2.26 million with the purchase of offices. $1.17 million was recognized with the purchase of the Custar office on December 13, 2013 and $1.09 million with the Hicksville office on July 9, 2010. These are being amortized over an estimated remaining economic useful life of the deposits of 7 years on a straight line basis. In connection with a December 31, 2007 Knisely acquisition, the Company recognized a core deposit intangible asset of $1.1 million, which was fully amortized during 2014. The core deposit intangible is included in other assets on the consolidated balance sheets.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amortization expense for the years ended December 31, 2016, 2015 and 2014 was $323, $323, and $480 thousand,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of the core deposit intangible assets remaining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Hicksville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360"/>
              <w:spacing w:after="0"/>
              <w:rPr>
                <w:sz w:val="20"/>
                <w:szCs w:val="20"/>
                <w:color w:val="auto"/>
              </w:rPr>
            </w:pPr>
            <w:r>
              <w:rPr>
                <w:rFonts w:ascii="Arial" w:cs="Arial" w:eastAsia="Arial" w:hAnsi="Arial"/>
                <w:sz w:val="14"/>
                <w:szCs w:val="14"/>
                <w:color w:val="auto"/>
                <w:w w:val="77"/>
              </w:rPr>
              <w:t>Custar</w:t>
            </w:r>
          </w:p>
        </w:tc>
        <w:tc>
          <w:tcPr>
            <w:tcW w:w="140" w:type="dxa"/>
            <w:vAlign w:val="bottom"/>
          </w:tcPr>
          <w:p>
            <w:pPr>
              <w:spacing w:after="0"/>
              <w:rPr>
                <w:sz w:val="14"/>
                <w:szCs w:val="14"/>
                <w:color w:val="auto"/>
              </w:rPr>
            </w:pPr>
          </w:p>
        </w:tc>
        <w:tc>
          <w:tcPr>
            <w:tcW w:w="920" w:type="dxa"/>
            <w:vAlign w:val="bottom"/>
            <w:gridSpan w:val="6"/>
          </w:tcPr>
          <w:p>
            <w:pPr>
              <w:jc w:val="center"/>
              <w:ind w:right="54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jc w:val="right"/>
              <w:ind w:right="2510"/>
              <w:spacing w:after="0"/>
              <w:rPr>
                <w:sz w:val="20"/>
                <w:szCs w:val="20"/>
                <w:color w:val="auto"/>
              </w:rPr>
            </w:pPr>
            <w:r>
              <w:rPr>
                <w:rFonts w:ascii="Arial" w:cs="Arial" w:eastAsia="Arial" w:hAnsi="Arial"/>
                <w:sz w:val="18"/>
                <w:szCs w:val="18"/>
                <w:color w:val="auto"/>
              </w:rPr>
              <w:t>2017</w:t>
            </w:r>
          </w:p>
        </w:tc>
        <w:tc>
          <w:tcPr>
            <w:tcW w:w="2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0"/>
              </w:rPr>
              <w:t>$ 167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$245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tcPr>
          <w:p>
            <w:pPr>
              <w:jc w:val="right"/>
              <w:ind w:right="2510"/>
              <w:spacing w:after="0"/>
              <w:rPr>
                <w:sz w:val="20"/>
                <w:szCs w:val="20"/>
                <w:color w:val="auto"/>
              </w:rPr>
            </w:pPr>
            <w:r>
              <w:rPr>
                <w:rFonts w:ascii="Arial" w:cs="Arial" w:eastAsia="Arial" w:hAnsi="Arial"/>
                <w:sz w:val="18"/>
                <w:szCs w:val="18"/>
                <w:color w:val="auto"/>
              </w:rPr>
              <w:t>2018</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rPr>
              <w:t>2019</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tcPr>
          <w:p>
            <w:pPr>
              <w:jc w:val="right"/>
              <w:ind w:right="2510"/>
              <w:spacing w:after="0"/>
              <w:rPr>
                <w:sz w:val="20"/>
                <w:szCs w:val="20"/>
                <w:color w:val="auto"/>
              </w:rPr>
            </w:pPr>
            <w:r>
              <w:rPr>
                <w:rFonts w:ascii="Arial" w:cs="Arial" w:eastAsia="Arial" w:hAnsi="Arial"/>
                <w:sz w:val="18"/>
                <w:szCs w:val="18"/>
                <w:color w:val="auto"/>
              </w:rPr>
              <w:t>2020</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2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w w:val="89"/>
              </w:rPr>
              <w:t>Total</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 xml:space="preserve"> 662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jc w:val="right"/>
              <w:ind w:right="2750"/>
              <w:spacing w:after="0"/>
              <w:rPr>
                <w:sz w:val="20"/>
                <w:szCs w:val="20"/>
                <w:color w:val="auto"/>
              </w:rPr>
            </w:pPr>
            <w:r>
              <w:rPr>
                <w:rFonts w:ascii="Arial" w:cs="Arial" w:eastAsia="Arial" w:hAnsi="Arial"/>
                <w:sz w:val="18"/>
                <w:szCs w:val="18"/>
                <w:b w:val="1"/>
                <w:bCs w:val="1"/>
                <w:color w:val="auto"/>
                <w:w w:val="87"/>
              </w:rPr>
              <w:t>Note 3 - Securities</w:t>
            </w: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gridSpan w:val="3"/>
            <w:vMerge w:val="continue"/>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8"/>
          </w:tcPr>
          <w:p>
            <w:pPr>
              <w:ind w:left="460"/>
              <w:spacing w:after="0"/>
              <w:rPr>
                <w:sz w:val="20"/>
                <w:szCs w:val="20"/>
                <w:color w:val="auto"/>
              </w:rPr>
            </w:pPr>
            <w:r>
              <w:rPr>
                <w:rFonts w:ascii="Arial" w:cs="Arial" w:eastAsia="Arial" w:hAnsi="Arial"/>
                <w:sz w:val="18"/>
                <w:szCs w:val="18"/>
                <w:color w:val="auto"/>
                <w:w w:val="98"/>
              </w:rPr>
              <w:t>The amortized cost and fair value of securities, with gross unrealized gains and losses,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2016</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rPr>
              <w:t>Gross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jc w:val="center"/>
              <w:ind w:right="280"/>
              <w:spacing w:after="0" w:line="123"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ind w:right="20"/>
              <w:spacing w:after="0" w:line="123" w:lineRule="exact"/>
              <w:rPr>
                <w:sz w:val="20"/>
                <w:szCs w:val="20"/>
                <w:color w:val="auto"/>
              </w:rPr>
            </w:pPr>
            <w:r>
              <w:rPr>
                <w:rFonts w:ascii="Arial" w:cs="Arial" w:eastAsia="Arial" w:hAnsi="Arial"/>
                <w:sz w:val="14"/>
                <w:szCs w:val="14"/>
                <w:color w:val="auto"/>
                <w:w w:val="8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Amortized</w:t>
            </w:r>
          </w:p>
        </w:tc>
        <w:tc>
          <w:tcPr>
            <w:tcW w:w="700" w:type="dxa"/>
            <w:vAlign w:val="bottom"/>
            <w:gridSpan w:val="5"/>
          </w:tcPr>
          <w:p>
            <w:pPr>
              <w:ind w:left="20"/>
              <w:spacing w:after="0" w:line="149" w:lineRule="exact"/>
              <w:rPr>
                <w:sz w:val="20"/>
                <w:szCs w:val="20"/>
                <w:color w:val="auto"/>
              </w:rPr>
            </w:pPr>
            <w:r>
              <w:rPr>
                <w:rFonts w:ascii="Arial" w:cs="Arial" w:eastAsia="Arial" w:hAnsi="Arial"/>
                <w:sz w:val="14"/>
                <w:szCs w:val="14"/>
                <w:color w:val="auto"/>
                <w:w w:val="98"/>
              </w:rPr>
              <w:t>Unrealized</w:t>
            </w:r>
          </w:p>
        </w:tc>
        <w:tc>
          <w:tcPr>
            <w:tcW w:w="420" w:type="dxa"/>
            <w:vAlign w:val="bottom"/>
          </w:tcPr>
          <w:p>
            <w:pPr>
              <w:spacing w:after="0"/>
              <w:rPr>
                <w:sz w:val="12"/>
                <w:szCs w:val="12"/>
                <w:color w:val="auto"/>
              </w:rPr>
            </w:pPr>
          </w:p>
        </w:tc>
        <w:tc>
          <w:tcPr>
            <w:tcW w:w="840" w:type="dxa"/>
            <w:vAlign w:val="bottom"/>
            <w:gridSpan w:val="6"/>
          </w:tcPr>
          <w:p>
            <w:pPr>
              <w:jc w:val="center"/>
              <w:ind w:right="180"/>
              <w:spacing w:after="0" w:line="149" w:lineRule="exact"/>
              <w:rPr>
                <w:sz w:val="20"/>
                <w:szCs w:val="20"/>
                <w:color w:val="auto"/>
              </w:rPr>
            </w:pPr>
            <w:r>
              <w:rPr>
                <w:rFonts w:ascii="Arial" w:cs="Arial" w:eastAsia="Arial" w:hAnsi="Arial"/>
                <w:sz w:val="14"/>
                <w:szCs w:val="14"/>
                <w:color w:val="auto"/>
                <w:w w:val="92"/>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3"/>
              </w:rPr>
              <w:t>Market</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Cost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auto"/>
              </w:rPr>
              <w:t>Gains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28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rPr>
              <w:t>U.S. Treasury</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24,920</w:t>
            </w:r>
          </w:p>
        </w:tc>
        <w:tc>
          <w:tcPr>
            <w:tcW w:w="460" w:type="dxa"/>
            <w:vAlign w:val="bottom"/>
          </w:tcPr>
          <w:p>
            <w:pPr>
              <w:spacing w:after="0"/>
              <w:rPr>
                <w:sz w:val="18"/>
                <w:szCs w:val="18"/>
                <w:color w:val="auto"/>
              </w:rPr>
            </w:pPr>
          </w:p>
        </w:tc>
        <w:tc>
          <w:tcPr>
            <w:tcW w:w="160" w:type="dxa"/>
            <w:vAlign w:val="bottom"/>
            <w:gridSpan w:val="3"/>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(146)</w:t>
            </w:r>
          </w:p>
        </w:tc>
        <w:tc>
          <w:tcPr>
            <w:tcW w:w="1060" w:type="dxa"/>
            <w:vAlign w:val="bottom"/>
            <w:gridSpan w:val="7"/>
          </w:tcPr>
          <w:p>
            <w:pPr>
              <w:jc w:val="right"/>
              <w:ind w:right="100"/>
              <w:spacing w:after="0"/>
              <w:rPr>
                <w:sz w:val="20"/>
                <w:szCs w:val="20"/>
                <w:color w:val="auto"/>
              </w:rPr>
            </w:pPr>
            <w:r>
              <w:rPr>
                <w:rFonts w:ascii="Arial" w:cs="Arial" w:eastAsia="Arial" w:hAnsi="Arial"/>
                <w:sz w:val="18"/>
                <w:szCs w:val="18"/>
                <w:color w:val="auto"/>
              </w:rPr>
              <w:t>$ 24,775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84,266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10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82,474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rPr>
              <w:t>Mortgage-backed securities</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49,155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(879)</w:t>
            </w:r>
          </w:p>
        </w:tc>
        <w:tc>
          <w:tcPr>
            <w:tcW w:w="1060" w:type="dxa"/>
            <w:vAlign w:val="bottom"/>
            <w:gridSpan w:val="7"/>
          </w:tcPr>
          <w:p>
            <w:pPr>
              <w:jc w:val="right"/>
              <w:ind w:right="100"/>
              <w:spacing w:after="0"/>
              <w:rPr>
                <w:sz w:val="20"/>
                <w:szCs w:val="20"/>
                <w:color w:val="auto"/>
              </w:rPr>
            </w:pPr>
            <w:r>
              <w:rPr>
                <w:rFonts w:ascii="Arial" w:cs="Arial" w:eastAsia="Arial" w:hAnsi="Arial"/>
                <w:sz w:val="18"/>
                <w:szCs w:val="18"/>
                <w:color w:val="auto"/>
              </w:rPr>
              <w:t>48,461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63,173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10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62,817</w:t>
            </w:r>
          </w:p>
        </w:tc>
        <w:tc>
          <w:tcPr>
            <w:tcW w:w="0" w:type="dxa"/>
            <w:vAlign w:val="bottom"/>
          </w:tcPr>
          <w:p>
            <w:pPr>
              <w:spacing w:after="0"/>
              <w:rPr>
                <w:sz w:val="1"/>
                <w:szCs w:val="1"/>
                <w:color w:val="auto"/>
              </w:rPr>
            </w:pPr>
          </w:p>
        </w:tc>
      </w:tr>
      <w:tr>
        <w:trPr>
          <w:trHeight w:val="223"/>
        </w:trPr>
        <w:tc>
          <w:tcPr>
            <w:tcW w:w="4240" w:type="dxa"/>
            <w:vAlign w:val="bottom"/>
            <w:gridSpan w:val="3"/>
          </w:tcPr>
          <w:p>
            <w:pPr>
              <w:ind w:left="460"/>
              <w:spacing w:after="0"/>
              <w:rPr>
                <w:sz w:val="20"/>
                <w:szCs w:val="20"/>
                <w:color w:val="auto"/>
              </w:rPr>
            </w:pPr>
            <w:r>
              <w:rPr>
                <w:rFonts w:ascii="Arial" w:cs="Arial" w:eastAsia="Arial" w:hAnsi="Arial"/>
                <w:sz w:val="18"/>
                <w:szCs w:val="18"/>
                <w:color w:val="auto"/>
              </w:rPr>
              <w:t>Total available-for-sale securities</w:t>
            </w:r>
          </w:p>
        </w:tc>
        <w:tc>
          <w:tcPr>
            <w:tcW w:w="25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221,514</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 (3,810</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28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4"/>
                <w:szCs w:val="14"/>
                <w:color w:val="auto"/>
                <w:w w:val="93"/>
              </w:rPr>
              <w:t>(In Thousands)</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tcPr>
          <w:p>
            <w:pPr>
              <w:jc w:val="center"/>
              <w:ind w:right="240"/>
              <w:spacing w:after="0" w:line="123" w:lineRule="exact"/>
              <w:rPr>
                <w:sz w:val="20"/>
                <w:szCs w:val="20"/>
                <w:color w:val="auto"/>
              </w:rPr>
            </w:pPr>
            <w:r>
              <w:rPr>
                <w:rFonts w:ascii="Arial" w:cs="Arial" w:eastAsia="Arial" w:hAnsi="Arial"/>
                <w:sz w:val="14"/>
                <w:szCs w:val="14"/>
                <w:color w:val="auto"/>
                <w:w w:val="90"/>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Amortized</w:t>
            </w:r>
          </w:p>
        </w:tc>
        <w:tc>
          <w:tcPr>
            <w:tcW w:w="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color w:val="auto"/>
                <w:w w:val="98"/>
              </w:rPr>
              <w:t>Unrealized</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5"/>
          </w:tcPr>
          <w:p>
            <w:pPr>
              <w:jc w:val="center"/>
              <w:ind w:right="160"/>
              <w:spacing w:after="0" w:line="149" w:lineRule="exact"/>
              <w:rPr>
                <w:sz w:val="20"/>
                <w:szCs w:val="20"/>
                <w:color w:val="auto"/>
              </w:rPr>
            </w:pPr>
            <w:r>
              <w:rPr>
                <w:rFonts w:ascii="Arial" w:cs="Arial" w:eastAsia="Arial" w:hAnsi="Arial"/>
                <w:sz w:val="14"/>
                <w:szCs w:val="14"/>
                <w:color w:val="auto"/>
                <w:w w:val="92"/>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Cost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color w:val="auto"/>
                <w:w w:val="85"/>
              </w:rPr>
              <w:t>Losses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7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2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rPr>
              <w:t>U.S. Treasury</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38,778</w:t>
            </w: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(309)</w:t>
            </w:r>
          </w:p>
        </w:tc>
        <w:tc>
          <w:tcPr>
            <w:tcW w:w="1060" w:type="dxa"/>
            <w:vAlign w:val="bottom"/>
            <w:gridSpan w:val="7"/>
          </w:tcPr>
          <w:p>
            <w:pPr>
              <w:jc w:val="right"/>
              <w:ind w:right="100"/>
              <w:spacing w:after="0"/>
              <w:rPr>
                <w:sz w:val="20"/>
                <w:szCs w:val="20"/>
                <w:color w:val="auto"/>
              </w:rPr>
            </w:pPr>
            <w:r>
              <w:rPr>
                <w:rFonts w:ascii="Arial" w:cs="Arial" w:eastAsia="Arial" w:hAnsi="Arial"/>
                <w:sz w:val="18"/>
                <w:szCs w:val="18"/>
                <w:color w:val="auto"/>
              </w:rPr>
              <w:t>$ 38,505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99,000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10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98,220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tcPr>
          <w:p>
            <w:pPr>
              <w:ind w:left="360"/>
              <w:spacing w:after="0"/>
              <w:rPr>
                <w:sz w:val="20"/>
                <w:szCs w:val="20"/>
                <w:color w:val="auto"/>
              </w:rPr>
            </w:pPr>
            <w:r>
              <w:rPr>
                <w:rFonts w:ascii="Arial" w:cs="Arial" w:eastAsia="Arial" w:hAnsi="Arial"/>
                <w:sz w:val="18"/>
                <w:szCs w:val="18"/>
                <w:color w:val="auto"/>
              </w:rPr>
              <w:t>Mortgage-backed securities</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26,157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(116)</w:t>
            </w:r>
          </w:p>
        </w:tc>
        <w:tc>
          <w:tcPr>
            <w:tcW w:w="1060" w:type="dxa"/>
            <w:vAlign w:val="bottom"/>
            <w:gridSpan w:val="7"/>
          </w:tcPr>
          <w:p>
            <w:pPr>
              <w:jc w:val="right"/>
              <w:ind w:right="100"/>
              <w:spacing w:after="0"/>
              <w:rPr>
                <w:sz w:val="20"/>
                <w:szCs w:val="20"/>
                <w:color w:val="auto"/>
              </w:rPr>
            </w:pPr>
            <w:r>
              <w:rPr>
                <w:rFonts w:ascii="Arial" w:cs="Arial" w:eastAsia="Arial" w:hAnsi="Arial"/>
                <w:sz w:val="18"/>
                <w:szCs w:val="18"/>
                <w:color w:val="auto"/>
              </w:rPr>
              <w:t>26,324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70,858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106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72,066</w:t>
            </w:r>
          </w:p>
        </w:tc>
        <w:tc>
          <w:tcPr>
            <w:tcW w:w="0" w:type="dxa"/>
            <w:vAlign w:val="bottom"/>
          </w:tcPr>
          <w:p>
            <w:pPr>
              <w:spacing w:after="0"/>
              <w:rPr>
                <w:sz w:val="1"/>
                <w:szCs w:val="1"/>
                <w:color w:val="auto"/>
              </w:rPr>
            </w:pPr>
          </w:p>
        </w:tc>
      </w:tr>
      <w:tr>
        <w:trPr>
          <w:trHeight w:val="223"/>
        </w:trPr>
        <w:tc>
          <w:tcPr>
            <w:tcW w:w="4240" w:type="dxa"/>
            <w:vAlign w:val="bottom"/>
            <w:gridSpan w:val="3"/>
          </w:tcPr>
          <w:p>
            <w:pPr>
              <w:ind w:left="460"/>
              <w:spacing w:after="0"/>
              <w:rPr>
                <w:sz w:val="20"/>
                <w:szCs w:val="20"/>
                <w:color w:val="auto"/>
              </w:rPr>
            </w:pPr>
            <w:r>
              <w:rPr>
                <w:rFonts w:ascii="Arial" w:cs="Arial" w:eastAsia="Arial" w:hAnsi="Arial"/>
                <w:sz w:val="18"/>
                <w:szCs w:val="18"/>
                <w:color w:val="auto"/>
              </w:rPr>
              <w:t>Total available-for-sale securities</w:t>
            </w:r>
          </w:p>
        </w:tc>
        <w:tc>
          <w:tcPr>
            <w:tcW w:w="256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234,793</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 (1,342</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300" w:type="dxa"/>
            <w:vAlign w:val="bottom"/>
            <w:gridSpan w:val="3"/>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235,115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vMerge w:val="restart"/>
          </w:tcPr>
          <w:p>
            <w:pPr>
              <w:jc w:val="right"/>
              <w:ind w:right="89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162" w:lineRule="exact"/>
        <w:rPr>
          <w:sz w:val="20"/>
          <w:szCs w:val="20"/>
          <w:color w:val="auto"/>
        </w:rPr>
      </w:pPr>
    </w:p>
    <w:p>
      <w:pPr>
        <w:ind w:left="460" w:right="300"/>
        <w:spacing w:after="0" w:line="342"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an other than temporary impairment.</w:t>
      </w:r>
    </w:p>
    <w:p>
      <w:pPr>
        <w:spacing w:after="0" w:line="29"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23" w:lineRule="exact"/>
        <w:rPr>
          <w:rFonts w:ascii="Arial" w:cs="Arial" w:eastAsia="Arial" w:hAnsi="Arial"/>
          <w:sz w:val="18"/>
          <w:szCs w:val="18"/>
          <w:color w:val="auto"/>
        </w:rPr>
      </w:pPr>
    </w:p>
    <w:p>
      <w:pPr>
        <w:ind w:left="1480" w:right="120" w:hanging="567"/>
        <w:spacing w:after="0" w:line="250"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9" w:lineRule="exact"/>
        <w:rPr>
          <w:rFonts w:ascii="Arial" w:cs="Arial" w:eastAsia="Arial" w:hAnsi="Arial"/>
          <w:sz w:val="18"/>
          <w:szCs w:val="18"/>
          <w:color w:val="auto"/>
        </w:rPr>
      </w:pPr>
    </w:p>
    <w:p>
      <w:pPr>
        <w:ind w:left="1480" w:right="260" w:hanging="567"/>
        <w:spacing w:after="0" w:line="261"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76"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80"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Information pertaining to securities with gross unrealized losses at December 31, 2016 and 2015, aggregated by investment category and length of time that individual securities have been in a continuous loss position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6"/>
          </w:tcPr>
          <w:p>
            <w:pPr>
              <w:ind w:left="360"/>
              <w:spacing w:after="0" w:line="123"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5"/>
          </w:tcPr>
          <w:p>
            <w:pPr>
              <w:jc w:val="center"/>
              <w:ind w:right="15"/>
              <w:spacing w:after="0" w:line="123" w:lineRule="exact"/>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color w:val="auto"/>
              </w:rPr>
              <w:t>Less Than Twelve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color w:val="auto"/>
                <w:w w:val="97"/>
              </w:rPr>
              <w:t>Twelve Months &amp; Over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0"/>
              </w:rPr>
              <w:t>Gross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77,471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37,540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available-for-sales securities</w:t>
            </w:r>
          </w:p>
        </w:tc>
        <w:tc>
          <w:tcPr>
            <w:tcW w:w="19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(3,803)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167,230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6"/>
          </w:tcPr>
          <w:p>
            <w:pPr>
              <w:ind w:left="360"/>
              <w:spacing w:after="0" w:line="123"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5"/>
          </w:tcPr>
          <w:p>
            <w:pPr>
              <w:jc w:val="center"/>
              <w:ind w:right="15"/>
              <w:spacing w:after="0" w:line="123" w:lineRule="exact"/>
              <w:rPr>
                <w:sz w:val="20"/>
                <w:szCs w:val="20"/>
                <w:color w:val="auto"/>
              </w:rPr>
            </w:pPr>
            <w:r>
              <w:rPr>
                <w:rFonts w:ascii="Arial" w:cs="Arial" w:eastAsia="Arial" w:hAnsi="Arial"/>
                <w:sz w:val="14"/>
                <w:szCs w:val="14"/>
                <w:color w:val="auto"/>
                <w:w w:val="91"/>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color w:val="auto"/>
              </w:rPr>
              <w:t>Less Than Twelve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color w:val="auto"/>
                <w:w w:val="97"/>
              </w:rPr>
              <w:t>Twelve Months &amp; Over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0"/>
              </w:rPr>
              <w:t>Gross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Fair</w:t>
            </w:r>
          </w:p>
        </w:tc>
        <w:tc>
          <w:tcPr>
            <w:tcW w:w="4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Losses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68,957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available-for-sales securities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106,449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of $85.7, $47.0, and $57.9 million for 2016, 2015, and 2014 respectively, generated gross realized gains and losses for the years ended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as presented below:</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left="242"/>
              <w:spacing w:after="0" w:line="142" w:lineRule="exact"/>
              <w:rPr>
                <w:sz w:val="20"/>
                <w:szCs w:val="20"/>
                <w:color w:val="auto"/>
              </w:rPr>
            </w:pPr>
            <w:r>
              <w:rPr>
                <w:rFonts w:ascii="Arial" w:cs="Arial" w:eastAsia="Arial" w:hAnsi="Arial"/>
                <w:sz w:val="14"/>
                <w:szCs w:val="14"/>
                <w:color w:val="auto"/>
                <w:w w:val="89"/>
              </w:rPr>
              <w:t>2015</w:t>
            </w:r>
          </w:p>
        </w:tc>
        <w:tc>
          <w:tcPr>
            <w:tcW w:w="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$598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$451</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588</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451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$ 494</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153</w:t>
            </w:r>
          </w:p>
        </w:tc>
        <w:tc>
          <w:tcPr>
            <w:tcW w:w="46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net realized gain on sales and related tax expense is a reclassification out of accumulated other comprehensive income. The net realized gain is included in net gain on sale of securities available-for-sale and the related tax expense is included in income tax expense in the consolidated statements of income and comprehensive income.</w:t>
      </w:r>
    </w:p>
    <w:p>
      <w:pPr>
        <w:spacing w:after="0" w:line="73" w:lineRule="exact"/>
        <w:rPr>
          <w:sz w:val="20"/>
          <w:szCs w:val="20"/>
          <w:color w:val="auto"/>
        </w:rPr>
      </w:pPr>
    </w:p>
    <w:p>
      <w:pPr>
        <w:ind w:left="460" w:right="280"/>
        <w:spacing w:after="0" w:line="342" w:lineRule="auto"/>
        <w:rPr>
          <w:sz w:val="20"/>
          <w:szCs w:val="20"/>
          <w:color w:val="auto"/>
        </w:rPr>
      </w:pPr>
      <w:r>
        <w:rPr>
          <w:rFonts w:ascii="Arial" w:cs="Arial" w:eastAsia="Arial" w:hAnsi="Arial"/>
          <w:sz w:val="16"/>
          <w:szCs w:val="16"/>
          <w:color w:val="auto"/>
        </w:rPr>
        <w:t>The amortized cost and fair value of debt securities at December 31, 2016, by contractual maturity, are shown below. Expected maturities will differ from contractual maturities because borrowers may have the right to call or prepay obligations with or without call or prepayment penalties.</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380"/>
              <w:spacing w:after="0"/>
              <w:rPr>
                <w:sz w:val="20"/>
                <w:szCs w:val="20"/>
                <w:color w:val="auto"/>
              </w:rPr>
            </w:pPr>
            <w:r>
              <w:rPr>
                <w:rFonts w:ascii="Arial" w:cs="Arial" w:eastAsia="Arial" w:hAnsi="Arial"/>
                <w:sz w:val="14"/>
                <w:szCs w:val="14"/>
                <w:color w:val="auto"/>
              </w:rPr>
              <w:t>(In Thousands)</w:t>
            </w:r>
          </w:p>
        </w:tc>
      </w:tr>
      <w:tr>
        <w:trPr>
          <w:trHeight w:val="123"/>
        </w:trPr>
        <w:tc>
          <w:tcPr>
            <w:tcW w:w="46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81,888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81,590</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65,583</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After ten years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172,359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170,066</w:t>
            </w:r>
          </w:p>
        </w:tc>
        <w:tc>
          <w:tcPr>
            <w:tcW w:w="10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48,461</w:t>
            </w:r>
          </w:p>
        </w:tc>
        <w:tc>
          <w:tcPr>
            <w:tcW w:w="100" w:type="dxa"/>
            <w:vAlign w:val="bottom"/>
          </w:tcPr>
          <w:p>
            <w:pPr>
              <w:spacing w:after="0"/>
              <w:rPr>
                <w:sz w:val="19"/>
                <w:szCs w:val="19"/>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221,514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218,527</w:t>
            </w:r>
          </w:p>
        </w:tc>
        <w:tc>
          <w:tcPr>
            <w:tcW w:w="10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Investments with a carrying value and fair value of $129.4 million at December 31, 2016 and $189.3 million at December 31, 2015 were pledged to secure public deposits and securities sold under repurchase agreements.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securities include Federal Home Loan Bank of Cincinnati and Farmer Mac stock as of December 31, 2016 and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$2.1 million in loans held for sale at December 31, 2016 as compared to $1.2 million in loans held for sale at December 31, 2015.</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Due to materiality, these loans are included in the Consumer Real Estate and Agricultural Real Estate loan categories at the lower of cost or market.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Loans at December 31 are summarized below: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color w:val="auto"/>
              </w:rPr>
              <w:t>(In Thousands)</w:t>
            </w:r>
          </w:p>
        </w:tc>
      </w:tr>
      <w:tr>
        <w:trPr>
          <w:trHeight w:val="142"/>
        </w:trPr>
        <w:tc>
          <w:tcPr>
            <w:tcW w:w="48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r>
      <w:tr>
        <w:trPr>
          <w:trHeight w:val="156"/>
        </w:trPr>
        <w:tc>
          <w:tcPr>
            <w:tcW w:w="49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Loans:</w:t>
            </w: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Consumer Real Estate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87,273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88,189</w:t>
            </w:r>
          </w:p>
        </w:tc>
        <w:tc>
          <w:tcPr>
            <w:tcW w:w="12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58,525</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Agricultural</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82,654</w:t>
            </w:r>
          </w:p>
        </w:tc>
        <w:tc>
          <w:tcPr>
            <w:tcW w:w="12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377,481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322,762</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Commercial and Industrial</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100,125</w:t>
            </w:r>
          </w:p>
        </w:tc>
        <w:tc>
          <w:tcPr>
            <w:tcW w:w="12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120" w:type="dxa"/>
            <w:vAlign w:val="bottom"/>
            <w:shd w:val="clear" w:color="auto" w:fill="CCEEFF"/>
          </w:tcPr>
          <w:p>
            <w:pPr>
              <w:spacing w:after="0"/>
              <w:rPr>
                <w:sz w:val="18"/>
                <w:szCs w:val="18"/>
                <w:color w:val="auto"/>
              </w:rPr>
            </w:pPr>
          </w:p>
        </w:tc>
      </w:tr>
      <w:tr>
        <w:trPr>
          <w:trHeight w:val="22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Industrial Development Bonds</w:t>
            </w:r>
          </w:p>
        </w:tc>
        <w:tc>
          <w:tcPr>
            <w:tcW w:w="18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20" w:type="dxa"/>
            <w:vAlign w:val="bottom"/>
          </w:tcPr>
          <w:p>
            <w:pPr>
              <w:spacing w:after="0"/>
              <w:rPr>
                <w:sz w:val="19"/>
                <w:szCs w:val="19"/>
                <w:color w:val="auto"/>
              </w:rPr>
            </w:pPr>
          </w:p>
        </w:tc>
      </w:tr>
      <w:tr>
        <w:trPr>
          <w:trHeight w:val="216"/>
        </w:trPr>
        <w:tc>
          <w:tcPr>
            <w:tcW w:w="4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760,875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686,516</w:t>
            </w:r>
          </w:p>
        </w:tc>
        <w:tc>
          <w:tcPr>
            <w:tcW w:w="120" w:type="dxa"/>
            <w:vAlign w:val="bottom"/>
            <w:shd w:val="clear" w:color="auto" w:fill="CCEEFF"/>
          </w:tcPr>
          <w:p>
            <w:pPr>
              <w:spacing w:after="0"/>
              <w:rPr>
                <w:sz w:val="18"/>
                <w:szCs w:val="18"/>
                <w:color w:val="auto"/>
              </w:rPr>
            </w:pPr>
          </w:p>
        </w:tc>
      </w:tr>
      <w:tr>
        <w:trPr>
          <w:trHeight w:val="22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Less: Net deferred loan fees and costs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r>
      <w:tr>
        <w:trPr>
          <w:trHeight w:val="216"/>
        </w:trPr>
        <w:tc>
          <w:tcPr>
            <w:tcW w:w="48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760,149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685,878</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Less: Allowance for loan losses</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(6,784)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(6,057)</w:t>
            </w:r>
          </w:p>
        </w:tc>
      </w:tr>
      <w:tr>
        <w:trPr>
          <w:trHeight w:val="27"/>
        </w:trPr>
        <w:tc>
          <w:tcPr>
            <w:tcW w:w="4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0" w:type="dxa"/>
            <w:vAlign w:val="bottom"/>
            <w:shd w:val="clear" w:color="auto" w:fill="CCEEFF"/>
          </w:tcPr>
          <w:p>
            <w:pPr>
              <w:spacing w:after="0"/>
              <w:rPr>
                <w:sz w:val="18"/>
                <w:szCs w:val="18"/>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Loans - Net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753,365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679,821</w:t>
            </w:r>
          </w:p>
        </w:tc>
        <w:tc>
          <w:tcPr>
            <w:tcW w:w="120" w:type="dxa"/>
            <w:vAlign w:val="bottom"/>
            <w:shd w:val="clear" w:color="auto" w:fill="CCEEFF"/>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17"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7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62"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profit projections, financial leverage, economic trends, management ability, and others. The Bank does employ stress testing on higher balance loans to mitigate risk by ensuring the customer’s ability to repay in a changing rate environment before granting loan approval.</w:t>
      </w:r>
    </w:p>
    <w:p>
      <w:pPr>
        <w:spacing w:after="0" w:line="7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federal crop insurance.</w:t>
      </w:r>
    </w:p>
    <w:p>
      <w:pPr>
        <w:spacing w:after="0" w:line="79"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62"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maturity schedule by major category of loans at December 31, 2016:</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After One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Within</w:t>
            </w: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Year Within</w:t>
            </w:r>
          </w:p>
        </w:tc>
        <w:tc>
          <w:tcPr>
            <w:tcW w:w="10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After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420"/>
              <w:spacing w:after="0"/>
              <w:rPr>
                <w:sz w:val="20"/>
                <w:szCs w:val="20"/>
                <w:color w:val="auto"/>
              </w:rPr>
            </w:pPr>
            <w:r>
              <w:rPr>
                <w:rFonts w:ascii="Arial" w:cs="Arial" w:eastAsia="Arial" w:hAnsi="Arial"/>
                <w:sz w:val="14"/>
                <w:szCs w:val="14"/>
                <w:color w:val="auto"/>
                <w:w w:val="90"/>
              </w:rPr>
              <w:t>One Year</w:t>
            </w: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Five Years</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Five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72,115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59,324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63,391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22,771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105,377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264,468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377,481</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109,256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20,212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33,179</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5,732</w:t>
            </w:r>
          </w:p>
        </w:tc>
      </w:tr>
      <w:tr>
        <w:trPr>
          <w:trHeight w:val="223"/>
        </w:trPr>
        <w:tc>
          <w:tcPr>
            <w:tcW w:w="6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119,526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199,259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442,090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760,875</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2016:</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80" w:type="dxa"/>
            <w:vAlign w:val="bottom"/>
            <w:gridSpan w:val="4"/>
          </w:tcPr>
          <w:p>
            <w:pPr>
              <w:ind w:left="500"/>
              <w:spacing w:after="0"/>
              <w:rPr>
                <w:sz w:val="20"/>
                <w:szCs w:val="20"/>
                <w:color w:val="auto"/>
              </w:rPr>
            </w:pPr>
            <w:r>
              <w:rPr>
                <w:rFonts w:ascii="Arial" w:cs="Arial" w:eastAsia="Arial" w:hAnsi="Arial"/>
                <w:sz w:val="14"/>
                <w:szCs w:val="14"/>
                <w:color w:val="auto"/>
              </w:rPr>
              <w:t>(In Thousands)</w:t>
            </w:r>
          </w:p>
        </w:tc>
      </w:tr>
      <w:tr>
        <w:trPr>
          <w:trHeight w:val="123"/>
        </w:trPr>
        <w:tc>
          <w:tcPr>
            <w:tcW w:w="44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Borders>
              <w:top w:val="single" w:sz="8" w:color="auto"/>
            </w:tcBorders>
          </w:tcPr>
          <w:p>
            <w:pPr>
              <w:jc w:val="right"/>
              <w:ind w:right="124"/>
              <w:spacing w:after="0" w:line="123" w:lineRule="exact"/>
              <w:rPr>
                <w:sz w:val="20"/>
                <w:szCs w:val="20"/>
                <w:color w:val="auto"/>
              </w:rPr>
            </w:pPr>
            <w:r>
              <w:rPr>
                <w:rFonts w:ascii="Arial" w:cs="Arial" w:eastAsia="Arial" w:hAnsi="Arial"/>
                <w:sz w:val="14"/>
                <w:szCs w:val="14"/>
                <w:color w:val="auto"/>
              </w:rPr>
              <w:t>Fixed</w:t>
            </w: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100" w:type="dxa"/>
            <w:vAlign w:val="bottom"/>
          </w:tcPr>
          <w:p>
            <w:pPr>
              <w:spacing w:after="0"/>
              <w:rPr>
                <w:sz w:val="10"/>
                <w:szCs w:val="10"/>
                <w:color w:val="auto"/>
              </w:rPr>
            </w:pPr>
          </w:p>
        </w:tc>
      </w:tr>
      <w:tr>
        <w:trPr>
          <w:trHeight w:val="167"/>
        </w:trPr>
        <w:tc>
          <w:tcPr>
            <w:tcW w:w="4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Pr>
          <w:p>
            <w:pPr>
              <w:jc w:val="right"/>
              <w:ind w:right="144"/>
              <w:spacing w:after="0"/>
              <w:rPr>
                <w:sz w:val="20"/>
                <w:szCs w:val="20"/>
                <w:color w:val="auto"/>
              </w:rPr>
            </w:pPr>
            <w:r>
              <w:rPr>
                <w:rFonts w:ascii="Arial" w:cs="Arial" w:eastAsia="Arial" w:hAnsi="Arial"/>
                <w:sz w:val="14"/>
                <w:szCs w:val="14"/>
                <w:color w:val="auto"/>
              </w:rPr>
              <w:t>Rate</w:t>
            </w:r>
          </w:p>
        </w:tc>
        <w:tc>
          <w:tcPr>
            <w:tcW w:w="5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Rate</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$ 50,138</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$ 37,135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47,109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16,282</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41,821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42,742</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257,805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119,676</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56,640</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Consumer</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28,544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As of December 31, 2016 and 2015 one to four family residential mortgage loans amounting to $17.9 million and $20.0 million, respectively, have been pledged as security for loans the Bank has received from the Federal Home Loan Bank.</w:t>
      </w:r>
    </w:p>
    <w:p>
      <w:pPr>
        <w:spacing w:after="0" w:line="62"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Industrial Development Bonds are included in the commercial and industrial category for the remainder of the tables in this Note 4, unless specifically noted separately.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contractual aging of the recorded investment in past due loans by portfolio classification of loans as of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2016 and 2015,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30-59 Days</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60-89 Days</w:t>
            </w:r>
          </w:p>
        </w:tc>
        <w:tc>
          <w:tcPr>
            <w:tcW w:w="20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Greater Than</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Financing</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December 31, 2016</w:t>
            </w:r>
          </w:p>
        </w:tc>
        <w:tc>
          <w:tcPr>
            <w:tcW w:w="122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90 Days</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w w:val="86"/>
              </w:rPr>
              <w:t>Past Due</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Current</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Receivables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w w:val="71"/>
              </w:rPr>
              <w:t>507</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$ 1,404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132</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63,208</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63,352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84,591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376,827</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376,887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115,093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115,093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33,178</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639</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$ 1,744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758,405</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$ 760,149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Investment &gt;</w:t>
            </w: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79"/>
              </w:rPr>
              <w:t>Total Past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Financing</w:t>
            </w:r>
          </w:p>
        </w:tc>
        <w:tc>
          <w:tcPr>
            <w:tcW w:w="1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90 Days and</w:t>
            </w: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December 31, 2015</w:t>
            </w:r>
          </w:p>
        </w:tc>
        <w:tc>
          <w:tcPr>
            <w:tcW w:w="1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Past Due</w:t>
            </w:r>
          </w:p>
        </w:tc>
        <w:tc>
          <w:tcPr>
            <w:tcW w:w="840" w:type="dxa"/>
            <w:vAlign w:val="bottom"/>
            <w:gridSpan w:val="3"/>
          </w:tcPr>
          <w:p>
            <w:pPr>
              <w:ind w:left="40"/>
              <w:spacing w:after="0"/>
              <w:rPr>
                <w:sz w:val="20"/>
                <w:szCs w:val="20"/>
                <w:color w:val="auto"/>
              </w:rPr>
            </w:pPr>
            <w:r>
              <w:rPr>
                <w:rFonts w:ascii="Arial" w:cs="Arial" w:eastAsia="Arial" w:hAnsi="Arial"/>
                <w:sz w:val="14"/>
                <w:szCs w:val="14"/>
                <w:color w:val="auto"/>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color w:val="auto"/>
              </w:rPr>
              <w:t>90 Days</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Due</w:t>
            </w:r>
          </w:p>
        </w:tc>
        <w:tc>
          <w:tcPr>
            <w:tcW w:w="1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Current</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color w:val="auto"/>
                <w:w w:val="89"/>
              </w:rPr>
              <w:t>Receivables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4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3"/>
              </w:rPr>
              <w:t>357</w:t>
            </w:r>
          </w:p>
        </w:tc>
        <w:tc>
          <w:tcPr>
            <w:tcW w:w="4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707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3"/>
              </w:rPr>
              <w:t>162</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58,301</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58,463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145</w:t>
            </w:r>
          </w:p>
        </w:tc>
        <w:tc>
          <w:tcPr>
            <w:tcW w:w="20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3"/>
              </w:rPr>
              <w:t>841</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321,153</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322,230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106,618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106,689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Consumer</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27,759</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201</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$ 2,190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683,688</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$ 685,878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recorded investment in nonaccrual loans by portfolio class of loans as of December 31, 2016 and December 31, 2015:</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0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40" w:type="dxa"/>
            <w:vAlign w:val="bottom"/>
            <w:gridSpan w:val="4"/>
          </w:tcPr>
          <w:p>
            <w:pPr>
              <w:ind w:left="28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2016</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40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$1,091</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560" w:type="dxa"/>
            <w:vAlign w:val="bottom"/>
            <w:gridSpan w:val="2"/>
          </w:tcPr>
          <w:p>
            <w:pPr>
              <w:ind w:left="4300"/>
              <w:spacing w:after="0"/>
              <w:rPr>
                <w:sz w:val="20"/>
                <w:szCs w:val="20"/>
                <w:color w:val="auto"/>
              </w:rPr>
            </w:pPr>
            <w:r>
              <w:rPr>
                <w:rFonts w:ascii="Arial" w:cs="Arial" w:eastAsia="Arial" w:hAnsi="Arial"/>
                <w:sz w:val="18"/>
                <w:szCs w:val="18"/>
                <w:color w:val="auto"/>
                <w:w w:val="79"/>
              </w:rPr>
              <w:t>132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Agriculture</w:t>
            </w:r>
          </w:p>
        </w:tc>
        <w:tc>
          <w:tcPr>
            <w:tcW w:w="40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0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4560" w:type="dxa"/>
            <w:vAlign w:val="bottom"/>
            <w:gridSpan w:val="2"/>
            <w:shd w:val="clear" w:color="auto" w:fill="CCEEFF"/>
          </w:tcPr>
          <w:p>
            <w:pPr>
              <w:ind w:left="4300"/>
              <w:spacing w:after="0"/>
              <w:rPr>
                <w:sz w:val="20"/>
                <w:szCs w:val="20"/>
                <w:color w:val="auto"/>
              </w:rPr>
            </w:pPr>
            <w:r>
              <w:rPr>
                <w:rFonts w:ascii="Arial" w:cs="Arial" w:eastAsia="Arial" w:hAnsi="Arial"/>
                <w:sz w:val="18"/>
                <w:szCs w:val="18"/>
                <w:color w:val="auto"/>
                <w:w w:val="79"/>
              </w:rPr>
              <w:t>161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Consumer</w:t>
            </w:r>
          </w:p>
        </w:tc>
        <w:tc>
          <w:tcPr>
            <w:tcW w:w="406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center"/>
              <w:ind w:left="397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60" w:type="dxa"/>
            <w:vAlign w:val="bottom"/>
            <w:vMerge w:val="restart"/>
          </w:tcPr>
          <w:p>
            <w:pPr>
              <w:jc w:val="right"/>
              <w:ind w:right="2630"/>
              <w:spacing w:after="0"/>
              <w:rPr>
                <w:sz w:val="20"/>
                <w:szCs w:val="20"/>
                <w:color w:val="auto"/>
              </w:rPr>
            </w:pPr>
            <w:r>
              <w:rPr>
                <w:rFonts w:ascii="Arial" w:cs="Arial" w:eastAsia="Arial" w:hAnsi="Arial"/>
                <w:sz w:val="18"/>
                <w:szCs w:val="18"/>
                <w:color w:val="auto"/>
              </w:rPr>
              <w:t>64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 The risk ratings are described as follows.</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900" w:right="40" w:hanging="446"/>
        <w:spacing w:after="0" w:line="293"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The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8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22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480" w:right="80" w:hanging="567"/>
        <w:spacing w:after="0" w:line="286" w:lineRule="auto"/>
        <w:tabs>
          <w:tab w:leader="none" w:pos="14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jc w:val="both"/>
        <w:ind w:left="900" w:right="200" w:hanging="446"/>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w:t>
      </w:r>
    </w:p>
    <w:p>
      <w:pPr>
        <w:ind w:left="900"/>
        <w:spacing w:after="0"/>
        <w:rPr>
          <w:rFonts w:ascii="Arial" w:cs="Arial" w:eastAsia="Arial" w:hAnsi="Arial"/>
          <w:sz w:val="16"/>
          <w:szCs w:val="16"/>
          <w:color w:val="auto"/>
        </w:rPr>
      </w:pPr>
      <w:r>
        <w:rPr>
          <w:rFonts w:ascii="Arial" w:cs="Arial" w:eastAsia="Arial" w:hAnsi="Arial"/>
          <w:sz w:val="18"/>
          <w:szCs w:val="18"/>
          <w:color w:val="auto"/>
        </w:rPr>
        <w:t>(2) weaknesses are considered “potential”, versus “defined”, impairments to the primary source of loan repayment and collateral.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480" w:right="600" w:hanging="567"/>
        <w:spacing w:after="0" w:line="291"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16"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480" w:right="660" w:hanging="567"/>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2" w:lineRule="exact"/>
        <w:rPr>
          <w:rFonts w:ascii="Arial" w:cs="Arial" w:eastAsia="Arial" w:hAnsi="Arial"/>
          <w:sz w:val="17"/>
          <w:szCs w:val="17"/>
          <w:color w:val="auto"/>
        </w:rPr>
      </w:pPr>
    </w:p>
    <w:p>
      <w:pPr>
        <w:ind w:left="1480" w:right="420" w:hanging="567"/>
        <w:spacing w:after="0" w:line="34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900" w:right="160" w:hanging="446"/>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2016 and December 31,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center"/>
              <w:ind w:right="300"/>
              <w:spacing w:after="0" w:line="123" w:lineRule="exact"/>
              <w:rPr>
                <w:sz w:val="20"/>
                <w:szCs w:val="20"/>
                <w:color w:val="auto"/>
              </w:rPr>
            </w:pPr>
            <w:r>
              <w:rPr>
                <w:rFonts w:ascii="Arial" w:cs="Arial" w:eastAsia="Arial" w:hAnsi="Arial"/>
                <w:sz w:val="14"/>
                <w:szCs w:val="14"/>
                <w:color w:val="auto"/>
                <w:w w:val="92"/>
              </w:rPr>
              <w:t>Commercial and</w:t>
            </w:r>
          </w:p>
        </w:tc>
        <w:tc>
          <w:tcPr>
            <w:tcW w:w="1360" w:type="dxa"/>
            <w:vAlign w:val="bottom"/>
            <w:gridSpan w:val="5"/>
          </w:tcPr>
          <w:p>
            <w:pPr>
              <w:jc w:val="right"/>
              <w:spacing w:after="0" w:line="123" w:lineRule="exact"/>
              <w:rPr>
                <w:sz w:val="20"/>
                <w:szCs w:val="20"/>
                <w:color w:val="auto"/>
              </w:rPr>
            </w:pPr>
            <w:r>
              <w:rPr>
                <w:rFonts w:ascii="Arial" w:cs="Arial" w:eastAsia="Arial" w:hAnsi="Arial"/>
                <w:sz w:val="14"/>
                <w:szCs w:val="14"/>
                <w:color w:val="auto"/>
                <w:w w:val="93"/>
              </w:rPr>
              <w:t>Industrial Development</w:t>
            </w:r>
          </w:p>
        </w:tc>
        <w:tc>
          <w:tcPr>
            <w:tcW w:w="100" w:type="dxa"/>
            <w:vAlign w:val="bottom"/>
          </w:tcPr>
          <w:p>
            <w:pPr>
              <w:spacing w:after="0"/>
              <w:rPr>
                <w:sz w:val="10"/>
                <w:szCs w:val="10"/>
                <w:color w:val="auto"/>
              </w:rPr>
            </w:pPr>
          </w:p>
        </w:tc>
      </w:tr>
      <w:tr>
        <w:trPr>
          <w:trHeight w:val="167"/>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7"/>
          </w:tcPr>
          <w:p>
            <w:pPr>
              <w:spacing w:after="0"/>
              <w:rPr>
                <w:sz w:val="20"/>
                <w:szCs w:val="20"/>
                <w:color w:val="auto"/>
              </w:rPr>
            </w:pPr>
            <w:r>
              <w:rPr>
                <w:rFonts w:ascii="Arial" w:cs="Arial" w:eastAsia="Arial" w:hAnsi="Arial"/>
                <w:sz w:val="14"/>
                <w:szCs w:val="14"/>
                <w:color w:val="auto"/>
              </w:rPr>
              <w:t>Agricultural Real Estate</w:t>
            </w:r>
          </w:p>
        </w:tc>
        <w:tc>
          <w:tcPr>
            <w:tcW w:w="100" w:type="dxa"/>
            <w:vAlign w:val="bottom"/>
          </w:tcPr>
          <w:p>
            <w:pPr>
              <w:spacing w:after="0"/>
              <w:rPr>
                <w:sz w:val="14"/>
                <w:szCs w:val="14"/>
                <w:color w:val="auto"/>
              </w:rPr>
            </w:pPr>
          </w:p>
        </w:tc>
        <w:tc>
          <w:tcPr>
            <w:tcW w:w="1500" w:type="dxa"/>
            <w:vAlign w:val="bottom"/>
            <w:gridSpan w:val="5"/>
          </w:tcPr>
          <w:p>
            <w:pPr>
              <w:ind w:left="24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color w:val="auto"/>
                <w:w w:val="91"/>
              </w:rPr>
              <w:t>Commercial Real Estate</w:t>
            </w:r>
          </w:p>
        </w:tc>
        <w:tc>
          <w:tcPr>
            <w:tcW w:w="100" w:type="dxa"/>
            <w:vAlign w:val="bottom"/>
          </w:tcPr>
          <w:p>
            <w:pPr>
              <w:spacing w:after="0"/>
              <w:rPr>
                <w:sz w:val="14"/>
                <w:szCs w:val="14"/>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Industrial</w:t>
            </w:r>
          </w:p>
        </w:tc>
        <w:tc>
          <w:tcPr>
            <w:tcW w:w="120" w:type="dxa"/>
            <w:vAlign w:val="bottom"/>
          </w:tcPr>
          <w:p>
            <w:pPr>
              <w:spacing w:after="0"/>
              <w:rPr>
                <w:sz w:val="14"/>
                <w:szCs w:val="14"/>
                <w:color w:val="auto"/>
              </w:rPr>
            </w:pPr>
          </w:p>
        </w:tc>
        <w:tc>
          <w:tcPr>
            <w:tcW w:w="780" w:type="dxa"/>
            <w:vAlign w:val="bottom"/>
            <w:gridSpan w:val="3"/>
          </w:tcPr>
          <w:p>
            <w:pPr>
              <w:ind w:left="380"/>
              <w:spacing w:after="0"/>
              <w:rPr>
                <w:sz w:val="20"/>
                <w:szCs w:val="20"/>
                <w:color w:val="auto"/>
              </w:rPr>
            </w:pPr>
            <w:r>
              <w:rPr>
                <w:rFonts w:ascii="Arial" w:cs="Arial" w:eastAsia="Arial" w:hAnsi="Arial"/>
                <w:sz w:val="14"/>
                <w:szCs w:val="14"/>
                <w:color w:val="auto"/>
                <w:w w:val="95"/>
              </w:rPr>
              <w:t>Bonds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2016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2"/>
                <w:szCs w:val="12"/>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$12,025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16,660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16,593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31,397</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21,247</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27,858</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24,264</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14,064</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22,300</w:t>
            </w:r>
          </w:p>
        </w:tc>
        <w:tc>
          <w:tcPr>
            <w:tcW w:w="12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2,640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3,100</w:t>
            </w: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40,224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35,475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44,560</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49,220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333,523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293,381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83,100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3,092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3,391</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63,352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58,463</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84,692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82,762</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376,887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322,230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109,361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100,198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4"/>
              </w:rPr>
              <w:t>5,732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6,491</w:t>
            </w:r>
          </w:p>
        </w:tc>
        <w:tc>
          <w:tcPr>
            <w:tcW w:w="10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which was previously stated, and by payment activity. The following tables present the recorded investment in those classes based on payment activity and assigned risk grading as of December 31, 2016 and December 31, 2015.</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7"/>
          </w:tcPr>
          <w:p>
            <w:pPr>
              <w:ind w:left="28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6"/>
          </w:tcPr>
          <w:p>
            <w:pPr>
              <w:jc w:val="right"/>
              <w:ind w:right="180"/>
              <w:spacing w:after="0" w:line="142" w:lineRule="exact"/>
              <w:rPr>
                <w:sz w:val="20"/>
                <w:szCs w:val="20"/>
                <w:color w:val="auto"/>
              </w:rPr>
            </w:pPr>
            <w:r>
              <w:rPr>
                <w:rFonts w:ascii="Arial" w:cs="Arial" w:eastAsia="Arial" w:hAnsi="Arial"/>
                <w:sz w:val="14"/>
                <w:szCs w:val="14"/>
                <w:color w:val="auto"/>
                <w:w w:val="95"/>
              </w:rPr>
              <w:t>Consumer Real Estate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ind w:left="60"/>
              <w:spacing w:after="0" w:line="142" w:lineRule="exact"/>
              <w:rPr>
                <w:sz w:val="20"/>
                <w:szCs w:val="20"/>
                <w:color w:val="auto"/>
              </w:rPr>
            </w:pPr>
            <w:r>
              <w:rPr>
                <w:rFonts w:ascii="Arial" w:cs="Arial" w:eastAsia="Arial" w:hAnsi="Arial"/>
                <w:sz w:val="14"/>
                <w:szCs w:val="14"/>
                <w:color w:val="auto"/>
              </w:rPr>
              <w:t>2016</w:t>
            </w: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2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Pass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86,361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$87,292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ind w:left="90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86,912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87,947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6"/>
          </w:tcPr>
          <w:p>
            <w:pPr>
              <w:jc w:val="right"/>
              <w:ind w:right="140"/>
              <w:spacing w:after="0"/>
              <w:rPr>
                <w:sz w:val="20"/>
                <w:szCs w:val="20"/>
                <w:color w:val="auto"/>
              </w:rPr>
            </w:pPr>
            <w:r>
              <w:rPr>
                <w:rFonts w:ascii="Arial" w:cs="Arial" w:eastAsia="Arial" w:hAnsi="Arial"/>
                <w:sz w:val="14"/>
                <w:szCs w:val="14"/>
                <w:color w:val="auto"/>
                <w:w w:val="92"/>
              </w:rPr>
              <w:t>Consumer - Credit Card</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6"/>
          </w:tcPr>
          <w:p>
            <w:pPr>
              <w:jc w:val="right"/>
              <w:ind w:right="360"/>
              <w:spacing w:after="0"/>
              <w:rPr>
                <w:sz w:val="20"/>
                <w:szCs w:val="20"/>
                <w:color w:val="auto"/>
              </w:rPr>
            </w:pPr>
            <w:r>
              <w:rPr>
                <w:rFonts w:ascii="Arial" w:cs="Arial" w:eastAsia="Arial" w:hAnsi="Arial"/>
                <w:sz w:val="14"/>
                <w:szCs w:val="14"/>
                <w:color w:val="auto"/>
              </w:rPr>
              <w:t>Consumer - 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96"/>
              </w:rPr>
              <w:t>2015</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color w:val="auto"/>
              </w:rPr>
              <w:t>2016</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2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3,901</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$29,120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of deferred fees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3,901</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29,152</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20" w:type="dxa"/>
            <w:vAlign w:val="bottom"/>
            <w:vMerge w:val="restart"/>
          </w:tcPr>
          <w:p>
            <w:pPr>
              <w:jc w:val="right"/>
              <w:ind w:right="1430"/>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impaired loans as of and for the years ended December 31, 2016 and 2015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ind w:left="18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2016</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 still accruing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2016</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in impaired loans</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1,802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2,509</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1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recognized on a cash basis on impaired loans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17" w:lineRule="exact"/>
        <w:rPr>
          <w:sz w:val="20"/>
          <w:szCs w:val="20"/>
          <w:color w:val="auto"/>
        </w:rPr>
      </w:pPr>
    </w:p>
    <w:p>
      <w:pPr>
        <w:ind w:left="460" w:right="700"/>
        <w:spacing w:after="0" w:line="277" w:lineRule="auto"/>
        <w:rPr>
          <w:sz w:val="20"/>
          <w:szCs w:val="20"/>
          <w:color w:val="auto"/>
        </w:rPr>
      </w:pPr>
      <w:r>
        <w:rPr>
          <w:rFonts w:ascii="Arial" w:cs="Arial" w:eastAsia="Arial" w:hAnsi="Arial"/>
          <w:sz w:val="18"/>
          <w:szCs w:val="18"/>
          <w:color w:val="auto"/>
        </w:rPr>
        <w:t>The Bank had approximately $0.7 million of its impaired loans classified as trouble debt restructured as of December 31, 2016 as compared to $1.1 million of its impaired loans classified as trouble debt restructured as of December 31,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years ended December 31, 2016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Number of</w:t>
            </w:r>
          </w:p>
        </w:tc>
        <w:tc>
          <w:tcPr>
            <w:tcW w:w="8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Pre-</w:t>
            </w:r>
          </w:p>
        </w:tc>
        <w:tc>
          <w:tcPr>
            <w:tcW w:w="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Post-</w:t>
            </w:r>
          </w:p>
        </w:tc>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3"/>
          </w:tcPr>
          <w:p>
            <w:pPr>
              <w:jc w:val="center"/>
              <w:ind w:right="340"/>
              <w:spacing w:after="0" w:line="141" w:lineRule="exact"/>
              <w:rPr>
                <w:sz w:val="20"/>
                <w:szCs w:val="20"/>
                <w:color w:val="auto"/>
              </w:rPr>
            </w:pPr>
            <w:r>
              <w:rPr>
                <w:rFonts w:ascii="Arial" w:cs="Arial" w:eastAsia="Arial" w:hAnsi="Arial"/>
                <w:sz w:val="14"/>
                <w:szCs w:val="14"/>
                <w:color w:val="auto"/>
                <w:w w:val="99"/>
              </w:rPr>
              <w:t>Modification</w:t>
            </w:r>
          </w:p>
        </w:tc>
        <w:tc>
          <w:tcPr>
            <w:tcW w:w="1080" w:type="dxa"/>
            <w:vAlign w:val="bottom"/>
            <w:gridSpan w:val="3"/>
          </w:tcPr>
          <w:p>
            <w:pPr>
              <w:jc w:val="center"/>
              <w:ind w:right="340"/>
              <w:spacing w:after="0" w:line="141" w:lineRule="exact"/>
              <w:rPr>
                <w:sz w:val="20"/>
                <w:szCs w:val="20"/>
                <w:color w:val="auto"/>
              </w:rPr>
            </w:pPr>
            <w:r>
              <w:rPr>
                <w:rFonts w:ascii="Arial" w:cs="Arial" w:eastAsia="Arial" w:hAnsi="Arial"/>
                <w:sz w:val="14"/>
                <w:szCs w:val="14"/>
                <w:color w:val="auto"/>
                <w:w w:val="99"/>
              </w:rPr>
              <w:t>Modification</w:t>
            </w:r>
          </w:p>
        </w:tc>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4"/>
                <w:szCs w:val="14"/>
                <w:color w:val="auto"/>
                <w:w w:val="94"/>
              </w:rPr>
              <w:t>Number of</w:t>
            </w:r>
          </w:p>
        </w:tc>
        <w:tc>
          <w:tcPr>
            <w:tcW w:w="240" w:type="dxa"/>
            <w:vAlign w:val="bottom"/>
          </w:tcPr>
          <w:p>
            <w:pPr>
              <w:spacing w:after="0"/>
              <w:rPr>
                <w:sz w:val="12"/>
                <w:szCs w:val="12"/>
                <w:color w:val="auto"/>
              </w:rPr>
            </w:pPr>
          </w:p>
        </w:tc>
        <w:tc>
          <w:tcPr>
            <w:tcW w:w="1080" w:type="dxa"/>
            <w:vAlign w:val="bottom"/>
            <w:gridSpan w:val="3"/>
          </w:tcPr>
          <w:p>
            <w:pPr>
              <w:jc w:val="center"/>
              <w:ind w:right="340"/>
              <w:spacing w:after="0" w:line="141" w:lineRule="exact"/>
              <w:rPr>
                <w:sz w:val="20"/>
                <w:szCs w:val="20"/>
                <w:color w:val="auto"/>
              </w:rPr>
            </w:pPr>
            <w:r>
              <w:rPr>
                <w:rFonts w:ascii="Arial" w:cs="Arial" w:eastAsia="Arial" w:hAnsi="Arial"/>
                <w:sz w:val="14"/>
                <w:szCs w:val="14"/>
                <w:color w:val="auto"/>
                <w:w w:val="99"/>
              </w:rPr>
              <w:t>Modification</w:t>
            </w:r>
          </w:p>
        </w:tc>
        <w:tc>
          <w:tcPr>
            <w:tcW w:w="860" w:type="dxa"/>
            <w:vAlign w:val="bottom"/>
            <w:gridSpan w:val="3"/>
          </w:tcPr>
          <w:p>
            <w:pPr>
              <w:jc w:val="center"/>
              <w:ind w:right="80"/>
              <w:spacing w:after="0" w:line="141"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9"/>
        </w:trPr>
        <w:tc>
          <w:tcPr>
            <w:tcW w:w="2680" w:type="dxa"/>
            <w:vAlign w:val="bottom"/>
            <w:gridSpan w:val="2"/>
            <w:vMerge w:val="restart"/>
          </w:tcPr>
          <w:p>
            <w:pPr>
              <w:spacing w:after="0"/>
              <w:rPr>
                <w:sz w:val="20"/>
                <w:szCs w:val="20"/>
                <w:color w:val="auto"/>
              </w:rPr>
            </w:pPr>
            <w:r>
              <w:rPr>
                <w:rFonts w:ascii="Arial" w:cs="Arial" w:eastAsia="Arial" w:hAnsi="Arial"/>
                <w:sz w:val="14"/>
                <w:szCs w:val="14"/>
                <w:color w:val="auto"/>
              </w:rPr>
              <w:t>December 31, 2016</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Contracts</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1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Contracts</w:t>
            </w:r>
          </w:p>
        </w:tc>
        <w:tc>
          <w:tcPr>
            <w:tcW w:w="24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9"/>
        </w:trPr>
        <w:tc>
          <w:tcPr>
            <w:tcW w:w="2680" w:type="dxa"/>
            <w:vAlign w:val="bottom"/>
            <w:gridSpan w:val="2"/>
            <w:vMerge w:val="continue"/>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Modified in the</w:t>
            </w:r>
          </w:p>
        </w:tc>
        <w:tc>
          <w:tcPr>
            <w:tcW w:w="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Recorded</w:t>
            </w:r>
          </w:p>
        </w:tc>
        <w:tc>
          <w:tcPr>
            <w:tcW w:w="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Recorded</w:t>
            </w:r>
          </w:p>
        </w:tc>
        <w:tc>
          <w:tcPr>
            <w:tcW w:w="23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December 31, 2015</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Modified in the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8"/>
              </w:rPr>
              <w:t>Recorded</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49"/>
        </w:trPr>
        <w:tc>
          <w:tcPr>
            <w:tcW w:w="2680" w:type="dxa"/>
            <w:vAlign w:val="bottom"/>
            <w:gridSpan w:val="2"/>
          </w:tcPr>
          <w:p>
            <w:pPr>
              <w:spacing w:after="0" w:line="129" w:lineRule="exact"/>
              <w:rPr>
                <w:sz w:val="20"/>
                <w:szCs w:val="20"/>
                <w:color w:val="auto"/>
              </w:rPr>
            </w:pPr>
            <w:r>
              <w:rPr>
                <w:rFonts w:ascii="Arial" w:cs="Arial" w:eastAsia="Arial" w:hAnsi="Arial"/>
                <w:sz w:val="14"/>
                <w:szCs w:val="14"/>
                <w:color w:val="auto"/>
              </w:rPr>
              <w:t>Troubled Debt Restructurings</w:t>
            </w:r>
          </w:p>
        </w:tc>
        <w:tc>
          <w:tcPr>
            <w:tcW w:w="120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w w:val="96"/>
              </w:rPr>
              <w:t>Last 12 Months</w:t>
            </w:r>
          </w:p>
        </w:tc>
        <w:tc>
          <w:tcPr>
            <w:tcW w:w="1080" w:type="dxa"/>
            <w:vAlign w:val="bottom"/>
            <w:gridSpan w:val="3"/>
          </w:tcPr>
          <w:p>
            <w:pPr>
              <w:jc w:val="center"/>
              <w:ind w:right="360"/>
              <w:spacing w:after="0" w:line="129" w:lineRule="exact"/>
              <w:rPr>
                <w:sz w:val="20"/>
                <w:szCs w:val="20"/>
                <w:color w:val="auto"/>
              </w:rPr>
            </w:pPr>
            <w:r>
              <w:rPr>
                <w:rFonts w:ascii="Arial" w:cs="Arial" w:eastAsia="Arial" w:hAnsi="Arial"/>
                <w:sz w:val="14"/>
                <w:szCs w:val="14"/>
                <w:color w:val="auto"/>
                <w:w w:val="93"/>
              </w:rPr>
              <w:t>Investment</w:t>
            </w:r>
          </w:p>
        </w:tc>
        <w:tc>
          <w:tcPr>
            <w:tcW w:w="1080" w:type="dxa"/>
            <w:vAlign w:val="bottom"/>
            <w:gridSpan w:val="3"/>
          </w:tcPr>
          <w:p>
            <w:pPr>
              <w:jc w:val="center"/>
              <w:ind w:right="360"/>
              <w:spacing w:after="0" w:line="129" w:lineRule="exact"/>
              <w:rPr>
                <w:sz w:val="20"/>
                <w:szCs w:val="20"/>
                <w:color w:val="auto"/>
              </w:rPr>
            </w:pPr>
            <w:r>
              <w:rPr>
                <w:rFonts w:ascii="Arial" w:cs="Arial" w:eastAsia="Arial" w:hAnsi="Arial"/>
                <w:sz w:val="14"/>
                <w:szCs w:val="14"/>
                <w:color w:val="auto"/>
                <w:w w:val="93"/>
              </w:rPr>
              <w:t>Investment</w:t>
            </w:r>
          </w:p>
        </w:tc>
        <w:tc>
          <w:tcPr>
            <w:tcW w:w="2300" w:type="dxa"/>
            <w:vAlign w:val="bottom"/>
            <w:gridSpan w:val="2"/>
          </w:tcPr>
          <w:p>
            <w:pPr>
              <w:jc w:val="center"/>
              <w:ind w:right="340"/>
              <w:spacing w:after="0" w:line="129" w:lineRule="exact"/>
              <w:rPr>
                <w:sz w:val="20"/>
                <w:szCs w:val="20"/>
                <w:color w:val="auto"/>
              </w:rPr>
            </w:pPr>
            <w:r>
              <w:rPr>
                <w:rFonts w:ascii="Arial" w:cs="Arial" w:eastAsia="Arial" w:hAnsi="Arial"/>
                <w:sz w:val="14"/>
                <w:szCs w:val="14"/>
                <w:color w:val="auto"/>
                <w:w w:val="94"/>
              </w:rPr>
              <w:t>Troubled Debt Restructurings</w:t>
            </w:r>
          </w:p>
        </w:tc>
        <w:tc>
          <w:tcPr>
            <w:tcW w:w="900" w:type="dxa"/>
            <w:vAlign w:val="bottom"/>
          </w:tcPr>
          <w:p>
            <w:pPr>
              <w:jc w:val="center"/>
              <w:spacing w:after="0" w:line="129" w:lineRule="exact"/>
              <w:rPr>
                <w:sz w:val="20"/>
                <w:szCs w:val="20"/>
                <w:color w:val="auto"/>
              </w:rPr>
            </w:pPr>
            <w:r>
              <w:rPr>
                <w:rFonts w:ascii="Arial" w:cs="Arial" w:eastAsia="Arial" w:hAnsi="Arial"/>
                <w:sz w:val="14"/>
                <w:szCs w:val="14"/>
                <w:color w:val="auto"/>
                <w:w w:val="93"/>
              </w:rPr>
              <w:t>Last 12 Months</w:t>
            </w:r>
          </w:p>
        </w:tc>
        <w:tc>
          <w:tcPr>
            <w:tcW w:w="240" w:type="dxa"/>
            <w:vAlign w:val="bottom"/>
          </w:tcPr>
          <w:p>
            <w:pPr>
              <w:spacing w:after="0"/>
              <w:rPr>
                <w:sz w:val="12"/>
                <w:szCs w:val="12"/>
                <w:color w:val="auto"/>
              </w:rPr>
            </w:pPr>
          </w:p>
        </w:tc>
        <w:tc>
          <w:tcPr>
            <w:tcW w:w="1080" w:type="dxa"/>
            <w:vAlign w:val="bottom"/>
            <w:gridSpan w:val="3"/>
          </w:tcPr>
          <w:p>
            <w:pPr>
              <w:jc w:val="center"/>
              <w:ind w:right="320"/>
              <w:spacing w:after="0" w:line="129" w:lineRule="exact"/>
              <w:rPr>
                <w:sz w:val="20"/>
                <w:szCs w:val="20"/>
                <w:color w:val="auto"/>
              </w:rPr>
            </w:pPr>
            <w:r>
              <w:rPr>
                <w:rFonts w:ascii="Arial" w:cs="Arial" w:eastAsia="Arial" w:hAnsi="Arial"/>
                <w:sz w:val="14"/>
                <w:szCs w:val="14"/>
                <w:color w:val="auto"/>
                <w:w w:val="93"/>
              </w:rPr>
              <w:t>Investment</w:t>
            </w:r>
          </w:p>
        </w:tc>
        <w:tc>
          <w:tcPr>
            <w:tcW w:w="8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w w:val="79"/>
              </w:rPr>
              <w:t>138</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w w:val="79"/>
              </w:rPr>
              <w:t>138</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Commercial Real Estate</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Commercial and Industrial</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For the years ended December 31, 2016 and 2015, there was one TDR from 2015 that subsequently defaulted after modification during 2016 at a loss of $79.6 thousand.</w:t>
      </w:r>
    </w:p>
    <w:p>
      <w:pPr>
        <w:spacing w:after="0" w:line="62" w:lineRule="exact"/>
        <w:rPr>
          <w:sz w:val="20"/>
          <w:szCs w:val="20"/>
          <w:color w:val="auto"/>
        </w:rPr>
      </w:pPr>
    </w:p>
    <w:p>
      <w:pPr>
        <w:ind w:left="460" w:right="200"/>
        <w:spacing w:after="0" w:line="276" w:lineRule="auto"/>
        <w:rPr>
          <w:sz w:val="20"/>
          <w:szCs w:val="20"/>
          <w:color w:val="auto"/>
        </w:rPr>
      </w:pPr>
      <w:r>
        <w:rPr>
          <w:rFonts w:ascii="Arial" w:cs="Arial" w:eastAsia="Arial" w:hAnsi="Arial"/>
          <w:sz w:val="17"/>
          <w:szCs w:val="17"/>
          <w:color w:val="auto"/>
        </w:rPr>
        <w:t>For the majority of the Bank’s impaired loans, the Bank will apply the observable market price methodology. However, the Bank may also utilize a measurement incorporating the present value of expected future cash flows discounted at the loan’s effective rate of interest. To determine observable market price,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64"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loans individually evaluated for impairment by portfolio class of loans as of December 31, 2016 and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1"/>
              </w:rPr>
              <w:t>(In Thousands)</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23" w:lineRule="exact"/>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3"/>
              </w:rPr>
              <w:t>Allowance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With a specific allowance recorded:</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Consumer Real Estate</w:t>
            </w: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1,103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Agricultural Real Estate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132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156</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Commercial Real Estate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501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501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618</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360"/>
              <w:spacing w:after="0"/>
              <w:rPr>
                <w:sz w:val="20"/>
                <w:szCs w:val="20"/>
                <w:color w:val="auto"/>
              </w:rPr>
            </w:pPr>
            <w:r>
              <w:rPr>
                <w:rFonts w:ascii="Arial" w:cs="Arial" w:eastAsia="Arial" w:hAnsi="Arial"/>
                <w:sz w:val="18"/>
                <w:szCs w:val="18"/>
                <w:color w:val="auto"/>
              </w:rPr>
              <w:t>Consumer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70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23" w:lineRule="exact"/>
              <w:rPr>
                <w:sz w:val="20"/>
                <w:szCs w:val="20"/>
                <w:color w:val="auto"/>
              </w:rPr>
            </w:pPr>
            <w:r>
              <w:rPr>
                <w:rFonts w:ascii="Arial" w:cs="Arial" w:eastAsia="Arial" w:hAnsi="Arial"/>
                <w:sz w:val="14"/>
                <w:szCs w:val="14"/>
                <w:color w:val="auto"/>
                <w:w w:val="94"/>
              </w:rPr>
              <w:t>Interest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Average</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1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1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2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color w:val="auto"/>
                <w:w w:val="93"/>
              </w:rPr>
              <w:t>Allowance</w:t>
            </w:r>
          </w:p>
        </w:tc>
        <w:tc>
          <w:tcPr>
            <w:tcW w:w="10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Recognized</w:t>
            </w:r>
          </w:p>
        </w:tc>
        <w:tc>
          <w:tcPr>
            <w:tcW w:w="2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Cash Basis</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156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Agricultural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With a specific allowance recorded:</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Consumer Real Estate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Agricultural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Totals:</w:t>
            </w:r>
          </w:p>
        </w:tc>
        <w:tc>
          <w:tcPr>
            <w:tcW w:w="1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431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360"/>
              <w:spacing w:after="0"/>
              <w:rPr>
                <w:sz w:val="20"/>
                <w:szCs w:val="20"/>
                <w:color w:val="auto"/>
              </w:rPr>
            </w:pPr>
            <w:r>
              <w:rPr>
                <w:rFonts w:ascii="Arial" w:cs="Arial" w:eastAsia="Arial" w:hAnsi="Arial"/>
                <w:sz w:val="18"/>
                <w:szCs w:val="18"/>
                <w:color w:val="auto"/>
              </w:rPr>
              <w:t>Agricultural Real Estate</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120</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360"/>
              <w:spacing w:after="0"/>
              <w:rPr>
                <w:sz w:val="20"/>
                <w:szCs w:val="20"/>
                <w:color w:val="auto"/>
              </w:rPr>
            </w:pPr>
            <w:r>
              <w:rPr>
                <w:rFonts w:ascii="Arial" w:cs="Arial" w:eastAsia="Arial" w:hAnsi="Arial"/>
                <w:sz w:val="18"/>
                <w:szCs w:val="18"/>
                <w:color w:val="auto"/>
              </w:rPr>
              <w:t>Commercial Real Estate</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152</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7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360"/>
              <w:spacing w:after="0"/>
              <w:rPr>
                <w:sz w:val="20"/>
                <w:szCs w:val="20"/>
                <w:color w:val="auto"/>
              </w:rPr>
            </w:pPr>
            <w:r>
              <w:rPr>
                <w:rFonts w:ascii="Arial" w:cs="Arial" w:eastAsia="Arial" w:hAnsi="Arial"/>
                <w:sz w:val="18"/>
                <w:szCs w:val="18"/>
                <w:color w:val="auto"/>
              </w:rPr>
              <w:t>Consumer</w:t>
            </w: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1720" w:type="dxa"/>
            <w:vAlign w:val="bottom"/>
            <w:gridSpan w:val="2"/>
          </w:tcPr>
          <w:p>
            <w:pPr>
              <w:ind w:left="1520"/>
              <w:spacing w:after="0"/>
              <w:rPr>
                <w:sz w:val="20"/>
                <w:szCs w:val="20"/>
                <w:color w:val="auto"/>
              </w:rPr>
            </w:pPr>
            <w:r>
              <w:rPr>
                <w:rFonts w:ascii="Arial" w:cs="Arial" w:eastAsia="Arial" w:hAnsi="Arial"/>
                <w:sz w:val="18"/>
                <w:szCs w:val="18"/>
                <w:color w:val="auto"/>
                <w:w w:val="89"/>
              </w:rPr>
              <w:t>71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color w:val="auto"/>
        </w:rPr>
        <w:t>On January 1, 2015, the Company adopted Accounting Standards Update (ASU) 2014-04, Receivables, - “Troubled Debt Restructuring by Creditors. As of December 31, 2016 the Company had $169 thousand of foreclosed residential real estate property obtained by physical possession and</w:t>
      </w:r>
    </w:p>
    <w:p>
      <w:pPr>
        <w:jc w:val="both"/>
        <w:ind w:left="460" w:right="60"/>
        <w:spacing w:after="0" w:line="254" w:lineRule="auto"/>
        <w:rPr>
          <w:sz w:val="20"/>
          <w:szCs w:val="20"/>
          <w:color w:val="auto"/>
        </w:rPr>
      </w:pPr>
      <w:r>
        <w:rPr>
          <w:rFonts w:ascii="Arial" w:cs="Arial" w:eastAsia="Arial" w:hAnsi="Arial"/>
          <w:sz w:val="18"/>
          <w:szCs w:val="18"/>
          <w:color w:val="auto"/>
        </w:rPr>
        <w:t>$112 thousand of consumer mortgage loans secured by residential real estate properties for which foreclosure proceedings are in process according to local jurisdictions. This compares to the Company having $477 thousand of foreclosed residential real estate property obtained by physical possession and $425 thousand of consumer mortgage loans secured by residential real estate properties for which foreclosure proceedings are in process according to local jurisdictions as of December 31, 2015.</w:t>
      </w:r>
    </w:p>
    <w:p>
      <w:pPr>
        <w:spacing w:after="0" w:line="82"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9"/>
              </w:rPr>
              <w:t>(In Thousands)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2016</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96"/>
              </w:rPr>
              <w:t>2015</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6,057</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5,905</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5,194</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1,191</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Balance at ending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6,784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6,057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5,905</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Loan Commitments &amp; Letters of Credit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7,001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6,265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6,112</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520"/>
        <w:spacing w:after="0" w:line="308" w:lineRule="auto"/>
        <w:rPr>
          <w:sz w:val="20"/>
          <w:szCs w:val="20"/>
          <w:color w:val="auto"/>
        </w:rPr>
      </w:pPr>
      <w:r>
        <w:rPr>
          <w:rFonts w:ascii="Arial" w:cs="Arial" w:eastAsia="Arial" w:hAnsi="Arial"/>
          <w:sz w:val="17"/>
          <w:szCs w:val="17"/>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3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analysis related to the allowance for credit losses as of December 31, 2016 and 2015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3" w:lineRule="exact"/>
              <w:rPr>
                <w:sz w:val="20"/>
                <w:szCs w:val="20"/>
                <w:color w:val="auto"/>
              </w:rPr>
            </w:pPr>
            <w:r>
              <w:rPr>
                <w:rFonts w:ascii="Arial" w:cs="Arial" w:eastAsia="Arial" w:hAnsi="Arial"/>
                <w:sz w:val="14"/>
                <w:szCs w:val="14"/>
                <w:color w:val="auto"/>
                <w:w w:val="95"/>
              </w:rPr>
              <w:t>Unfunded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Loan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5"/>
              </w:rPr>
              <w:t>Consumer</w:t>
            </w:r>
          </w:p>
        </w:tc>
        <w:tc>
          <w:tcPr>
            <w:tcW w:w="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1"/>
              </w:rPr>
              <w:t>Commercial</w:t>
            </w:r>
          </w:p>
        </w:tc>
        <w:tc>
          <w:tcPr>
            <w:tcW w:w="100" w:type="dxa"/>
            <w:vAlign w:val="bottom"/>
          </w:tcPr>
          <w:p>
            <w:pPr>
              <w:spacing w:after="0"/>
              <w:rPr>
                <w:sz w:val="12"/>
                <w:szCs w:val="12"/>
                <w:color w:val="auto"/>
              </w:rPr>
            </w:pP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7"/>
              </w:rPr>
              <w:t>&amp; Letters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Credit</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208</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 expense related to</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316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241</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649</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 individually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collectively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3,184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394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217</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649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86,912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63,352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84,692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376,887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115,093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33,213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760,149</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individually evaluated for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1,103</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collectively evaluated for</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85,809</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63,220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84,692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376,386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114,977</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33,213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758,297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5"/>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5"/>
              </w:rPr>
              <w:t>Unfunded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Loan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2"/>
              </w:rPr>
              <w:t>Consumer</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6"/>
              </w:rPr>
              <w:t>Commercial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7"/>
              </w:rPr>
              <w:t>&amp; Letters of</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82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8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w w:val="90"/>
              </w:rPr>
              <w:t>and Industrial</w:t>
            </w:r>
          </w:p>
        </w:tc>
        <w:tc>
          <w:tcPr>
            <w:tcW w:w="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Credit</w:t>
            </w:r>
          </w:p>
        </w:tc>
        <w:tc>
          <w:tcPr>
            <w:tcW w:w="88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b w:val="1"/>
                <w:bCs w:val="1"/>
                <w:color w:val="auto"/>
              </w:rPr>
              <w:t>ALLOWANCE FOR CREDIT 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Other Non-interest expense related to</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unfunded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211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582</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337</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208</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844</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211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1,115</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 acquired with</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FINANCING RECEIVABLES:</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87,947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82,762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322,230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106,689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27,787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685,878</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w w:val="99"/>
              </w:rPr>
              <w:t>Ending balance: individually evaluated for</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1,460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Ending balance: collectively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87,516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82,762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320,770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106,507</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27,787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683,742</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Ending balance: loans acquired with</w:t>
            </w: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deteriorated credit quality</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Buildings (useful life 15-39 years)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23,526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Furnishings (useful life 3-15 years)</w:t>
            </w:r>
          </w:p>
        </w:tc>
        <w:tc>
          <w:tcPr>
            <w:tcW w:w="2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12,673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(20,389)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21,457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for the years ended December 31, 2016, 2015 and 2014 amounted to $1.5, $1.4, and $1.3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$280.4 and $275.6 million at December 31, 2016 and 2015, respectively.</w:t>
      </w:r>
    </w:p>
    <w:p>
      <w:pPr>
        <w:spacing w:after="0" w:line="62" w:lineRule="exact"/>
        <w:rPr>
          <w:sz w:val="20"/>
          <w:szCs w:val="20"/>
          <w:color w:val="auto"/>
        </w:rPr>
      </w:pPr>
    </w:p>
    <w:p>
      <w:pPr>
        <w:ind w:left="460" w:right="560"/>
        <w:spacing w:after="0" w:line="308" w:lineRule="auto"/>
        <w:rPr>
          <w:sz w:val="20"/>
          <w:szCs w:val="20"/>
          <w:color w:val="auto"/>
        </w:rPr>
      </w:pPr>
      <w:r>
        <w:rPr>
          <w:rFonts w:ascii="Arial" w:cs="Arial" w:eastAsia="Arial" w:hAnsi="Arial"/>
          <w:sz w:val="17"/>
          <w:szCs w:val="17"/>
          <w:color w:val="auto"/>
        </w:rPr>
        <w:t>The balance of capitalized servicing rights included in other assets at December 31, 2016 and 2015, was $2.2 and $2.1 million, respectively. The capitalized addition of servicing rights is included in net gain on sale of loans on the consolidated statement of income.</w:t>
      </w:r>
    </w:p>
    <w:p>
      <w:pPr>
        <w:spacing w:after="0" w:line="38"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The fair market value of the capitalized servicing rights as of December 31, 2016 and 2015 was $2.5 million and $2.7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14.3% and 11.0% were utilized for 2016 and 2015, respectively. All stratums showed positive values compared to carrying value using a discount yield of 5.38% for 2016 and 6.52% for 2015.</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Year</w:t>
            </w:r>
          </w:p>
        </w:tc>
        <w:tc>
          <w:tcPr>
            <w:tcW w:w="40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Capitalized Additions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4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(419)</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4040" w:type="dxa"/>
            <w:vAlign w:val="bottom"/>
          </w:tcPr>
          <w:p>
            <w:pPr>
              <w:spacing w:after="0"/>
              <w:rPr>
                <w:sz w:val="19"/>
                <w:szCs w:val="19"/>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2,192</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40" w:type="dxa"/>
            <w:vAlign w:val="bottom"/>
            <w:vMerge w:val="restart"/>
          </w:tcPr>
          <w:p>
            <w:pPr>
              <w:jc w:val="right"/>
              <w:ind w:right="2610"/>
              <w:spacing w:after="0"/>
              <w:rPr>
                <w:sz w:val="20"/>
                <w:szCs w:val="20"/>
                <w:color w:val="auto"/>
              </w:rPr>
            </w:pPr>
            <w:r>
              <w:rPr>
                <w:rFonts w:ascii="Arial" w:cs="Arial" w:eastAsia="Arial" w:hAnsi="Arial"/>
                <w:sz w:val="18"/>
                <w:szCs w:val="18"/>
                <w:color w:val="auto"/>
              </w:rPr>
              <w:t>75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deposits as of December 31 consist of the following:</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7"/>
          </w:tcPr>
          <w:p>
            <w:pPr>
              <w:ind w:left="4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112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under $100,000</w:t>
            </w:r>
          </w:p>
        </w:tc>
        <w:tc>
          <w:tcPr>
            <w:tcW w:w="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$ 98,890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$103,424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Time deposits of $100,000 or more</w:t>
            </w:r>
          </w:p>
        </w:tc>
        <w:tc>
          <w:tcPr>
            <w:tcW w:w="9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99,940</w:t>
            </w:r>
          </w:p>
        </w:tc>
        <w:tc>
          <w:tcPr>
            <w:tcW w:w="44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198,830</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w w:val="90"/>
              </w:rPr>
              <w:t>At December 31, 2016 the scheduled maturities for time deposits are as follows:</w:t>
            </w:r>
          </w:p>
        </w:tc>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gridSpan w:val="7"/>
          </w:tcPr>
          <w:p>
            <w:pPr>
              <w:ind w:left="4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jc w:val="right"/>
              <w:ind w:right="4550"/>
              <w:spacing w:after="0"/>
              <w:rPr>
                <w:sz w:val="20"/>
                <w:szCs w:val="20"/>
                <w:color w:val="auto"/>
              </w:rPr>
            </w:pPr>
            <w:r>
              <w:rPr>
                <w:rFonts w:ascii="Arial" w:cs="Arial" w:eastAsia="Arial" w:hAnsi="Arial"/>
                <w:sz w:val="18"/>
                <w:szCs w:val="18"/>
                <w:color w:val="auto"/>
              </w:rPr>
              <w:t>2017</w:t>
            </w:r>
          </w:p>
        </w:tc>
        <w:tc>
          <w:tcPr>
            <w:tcW w:w="142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79,407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360" w:type="dxa"/>
            <w:vAlign w:val="bottom"/>
          </w:tcPr>
          <w:p>
            <w:pPr>
              <w:jc w:val="right"/>
              <w:ind w:right="4550"/>
              <w:spacing w:after="0"/>
              <w:rPr>
                <w:sz w:val="20"/>
                <w:szCs w:val="20"/>
                <w:color w:val="auto"/>
              </w:rPr>
            </w:pPr>
            <w:r>
              <w:rPr>
                <w:rFonts w:ascii="Arial" w:cs="Arial" w:eastAsia="Arial" w:hAnsi="Arial"/>
                <w:sz w:val="18"/>
                <w:szCs w:val="18"/>
                <w:color w:val="auto"/>
              </w:rPr>
              <w:t>2018</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36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rPr>
              <w:t>2019</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360" w:type="dxa"/>
            <w:vAlign w:val="bottom"/>
          </w:tcPr>
          <w:p>
            <w:pPr>
              <w:jc w:val="right"/>
              <w:ind w:right="4550"/>
              <w:spacing w:after="0"/>
              <w:rPr>
                <w:sz w:val="20"/>
                <w:szCs w:val="20"/>
                <w:color w:val="auto"/>
              </w:rPr>
            </w:pPr>
            <w:r>
              <w:rPr>
                <w:rFonts w:ascii="Arial" w:cs="Arial" w:eastAsia="Arial" w:hAnsi="Arial"/>
                <w:sz w:val="18"/>
                <w:szCs w:val="18"/>
                <w:color w:val="auto"/>
              </w:rPr>
              <w:t>2020</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5360" w:type="dxa"/>
            <w:vAlign w:val="bottom"/>
            <w:shd w:val="clear" w:color="auto" w:fill="CCEEFF"/>
          </w:tcPr>
          <w:p>
            <w:pPr>
              <w:jc w:val="right"/>
              <w:ind w:right="4550"/>
              <w:spacing w:after="0"/>
              <w:rPr>
                <w:sz w:val="20"/>
                <w:szCs w:val="20"/>
                <w:color w:val="auto"/>
              </w:rPr>
            </w:pPr>
            <w:r>
              <w:rPr>
                <w:rFonts w:ascii="Arial" w:cs="Arial" w:eastAsia="Arial" w:hAnsi="Arial"/>
                <w:sz w:val="18"/>
                <w:szCs w:val="18"/>
                <w:color w:val="auto"/>
              </w:rPr>
              <w:t>2021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jc w:val="right"/>
              <w:ind w:right="4590"/>
              <w:spacing w:after="0"/>
              <w:rPr>
                <w:sz w:val="20"/>
                <w:szCs w:val="20"/>
                <w:color w:val="auto"/>
              </w:rPr>
            </w:pPr>
            <w:r>
              <w:rPr>
                <w:rFonts w:ascii="Arial" w:cs="Arial" w:eastAsia="Arial" w:hAnsi="Arial"/>
                <w:sz w:val="18"/>
                <w:szCs w:val="18"/>
                <w:color w:val="auto"/>
                <w:w w:val="85"/>
              </w:rPr>
              <w:t>thereafter</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198,830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2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2016 and 2015 securities with a book value of $56.0 million and $65.8 million, respectively, were pledged to secure the repurchase agreements. The table below presents the daily securities sold under agreement to repurchase and the term repurchase agreements. It does not include the Bank’s Federal Funds purchased.</w:t>
      </w: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Daily Securities Sold Under Agreement to Repurchase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Amount</w:t>
            </w:r>
          </w:p>
        </w:tc>
        <w:tc>
          <w:tcPr>
            <w:tcW w:w="740" w:type="dxa"/>
            <w:vAlign w:val="bottom"/>
          </w:tcPr>
          <w:p>
            <w:pPr>
              <w:spacing w:after="0"/>
              <w:rPr>
                <w:sz w:val="14"/>
                <w:szCs w:val="14"/>
                <w:color w:val="auto"/>
              </w:rPr>
            </w:pPr>
          </w:p>
        </w:tc>
        <w:tc>
          <w:tcPr>
            <w:tcW w:w="1260" w:type="dxa"/>
            <w:vAlign w:val="bottom"/>
            <w:gridSpan w:val="2"/>
          </w:tcPr>
          <w:p>
            <w:pPr>
              <w:jc w:val="center"/>
              <w:ind w:right="700"/>
              <w:spacing w:after="0"/>
              <w:rPr>
                <w:sz w:val="20"/>
                <w:szCs w:val="20"/>
                <w:color w:val="auto"/>
              </w:rPr>
            </w:pPr>
            <w:r>
              <w:rPr>
                <w:rFonts w:ascii="Arial" w:cs="Arial" w:eastAsia="Arial" w:hAnsi="Arial"/>
                <w:sz w:val="14"/>
                <w:szCs w:val="14"/>
                <w:color w:val="auto"/>
                <w:w w:val="94"/>
              </w:rPr>
              <w:t>Weighted</w:t>
            </w:r>
          </w:p>
        </w:tc>
        <w:tc>
          <w:tcPr>
            <w:tcW w:w="680" w:type="dxa"/>
            <w:vAlign w:val="bottom"/>
          </w:tcPr>
          <w:p>
            <w:pPr>
              <w:spacing w:after="0"/>
              <w:rPr>
                <w:sz w:val="14"/>
                <w:szCs w:val="14"/>
                <w:color w:val="auto"/>
              </w:rPr>
            </w:pPr>
          </w:p>
        </w:tc>
        <w:tc>
          <w:tcPr>
            <w:tcW w:w="2400" w:type="dxa"/>
            <w:vAlign w:val="bottom"/>
            <w:gridSpan w:val="3"/>
          </w:tcPr>
          <w:p>
            <w:pPr>
              <w:ind w:left="20"/>
              <w:spacing w:after="0"/>
              <w:rPr>
                <w:sz w:val="20"/>
                <w:szCs w:val="20"/>
                <w:color w:val="auto"/>
              </w:rPr>
            </w:pPr>
            <w:r>
              <w:rPr>
                <w:rFonts w:ascii="Arial" w:cs="Arial" w:eastAsia="Arial" w:hAnsi="Arial"/>
                <w:sz w:val="14"/>
                <w:szCs w:val="14"/>
                <w:color w:val="auto"/>
              </w:rPr>
              <w:t>Maximum Amount</w:t>
            </w:r>
          </w:p>
        </w:tc>
        <w:tc>
          <w:tcPr>
            <w:tcW w:w="1580" w:type="dxa"/>
            <w:vAlign w:val="bottom"/>
            <w:gridSpan w:val="3"/>
          </w:tcPr>
          <w:p>
            <w:pPr>
              <w:jc w:val="center"/>
              <w:ind w:right="700"/>
              <w:spacing w:after="0"/>
              <w:rPr>
                <w:sz w:val="20"/>
                <w:szCs w:val="20"/>
                <w:color w:val="auto"/>
              </w:rPr>
            </w:pPr>
            <w:r>
              <w:rPr>
                <w:rFonts w:ascii="Arial" w:cs="Arial" w:eastAsia="Arial" w:hAnsi="Arial"/>
                <w:sz w:val="14"/>
                <w:szCs w:val="14"/>
                <w:color w:val="auto"/>
                <w:w w:val="96"/>
              </w:rPr>
              <w:t>Approximate</w:t>
            </w:r>
          </w:p>
        </w:tc>
        <w:tc>
          <w:tcPr>
            <w:tcW w:w="1700" w:type="dxa"/>
            <w:vAlign w:val="bottom"/>
            <w:gridSpan w:val="2"/>
          </w:tcPr>
          <w:p>
            <w:pPr>
              <w:jc w:val="center"/>
              <w:ind w:right="660"/>
              <w:spacing w:after="0"/>
              <w:rPr>
                <w:sz w:val="20"/>
                <w:szCs w:val="20"/>
                <w:color w:val="auto"/>
              </w:rPr>
            </w:pPr>
            <w:r>
              <w:rPr>
                <w:rFonts w:ascii="Arial" w:cs="Arial" w:eastAsia="Arial" w:hAnsi="Arial"/>
                <w:sz w:val="14"/>
                <w:szCs w:val="14"/>
                <w:color w:val="auto"/>
                <w:w w:val="96"/>
              </w:rPr>
              <w:t>Approximate</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Outstanding</w:t>
            </w:r>
          </w:p>
        </w:tc>
        <w:tc>
          <w:tcPr>
            <w:tcW w:w="7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Average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88"/>
              </w:rPr>
              <w:t>Average</w:t>
            </w: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Weighted Average</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at End</w:t>
            </w:r>
          </w:p>
        </w:tc>
        <w:tc>
          <w:tcPr>
            <w:tcW w:w="7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Rate End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Outstanding</w:t>
            </w: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Outstanding in</w:t>
            </w: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Interest Rate</w:t>
            </w:r>
          </w:p>
        </w:tc>
      </w:tr>
      <w:tr>
        <w:trPr>
          <w:trHeight w:val="167"/>
        </w:trPr>
        <w:tc>
          <w:tcPr>
            <w:tcW w:w="9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of Period (000’s)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Month End (000’s)</w:t>
            </w:r>
          </w:p>
        </w:tc>
        <w:tc>
          <w:tcPr>
            <w:tcW w:w="1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Period (000’s)</w:t>
            </w:r>
          </w:p>
        </w:tc>
        <w:tc>
          <w:tcPr>
            <w:tcW w:w="7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For the Period</w:t>
            </w:r>
          </w:p>
        </w:tc>
        <w:tc>
          <w:tcPr>
            <w:tcW w:w="640" w:type="dxa"/>
            <w:vAlign w:val="bottom"/>
            <w:tcBorders>
              <w:bottom w:val="single" w:sz="8" w:color="CCEEFF"/>
            </w:tcBorders>
          </w:tcPr>
          <w:p>
            <w:pPr>
              <w:spacing w:after="0"/>
              <w:rPr>
                <w:sz w:val="14"/>
                <w:szCs w:val="14"/>
                <w:color w:val="auto"/>
              </w:rPr>
            </w:pPr>
          </w:p>
        </w:tc>
      </w:tr>
      <w:tr>
        <w:trPr>
          <w:trHeight w:val="210"/>
        </w:trPr>
        <w:tc>
          <w:tcPr>
            <w:tcW w:w="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4"/>
              </w:rPr>
              <w:t>2016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43,929</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39,928</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0.10%</w:t>
            </w:r>
          </w:p>
        </w:tc>
      </w:tr>
      <w:tr>
        <w:trPr>
          <w:trHeight w:val="230"/>
        </w:trPr>
        <w:tc>
          <w:tcPr>
            <w:tcW w:w="960" w:type="dxa"/>
            <w:vAlign w:val="bottom"/>
          </w:tcPr>
          <w:p>
            <w:pPr>
              <w:jc w:val="right"/>
              <w:ind w:right="510"/>
              <w:spacing w:after="0"/>
              <w:rPr>
                <w:sz w:val="20"/>
                <w:szCs w:val="20"/>
                <w:color w:val="auto"/>
              </w:rPr>
            </w:pPr>
            <w:r>
              <w:rPr>
                <w:rFonts w:ascii="Arial" w:cs="Arial" w:eastAsia="Arial" w:hAnsi="Arial"/>
                <w:sz w:val="18"/>
                <w:szCs w:val="18"/>
                <w:color w:val="auto"/>
                <w:w w:val="84"/>
              </w:rPr>
              <w:t>2015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39,691</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0.08%</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280"/>
              <w:spacing w:after="0"/>
              <w:rPr>
                <w:sz w:val="20"/>
                <w:szCs w:val="20"/>
                <w:color w:val="auto"/>
              </w:rPr>
            </w:pPr>
            <w:r>
              <w:rPr>
                <w:rFonts w:ascii="Arial" w:cs="Arial" w:eastAsia="Arial" w:hAnsi="Arial"/>
                <w:sz w:val="18"/>
                <w:szCs w:val="18"/>
                <w:color w:val="auto"/>
              </w:rPr>
              <w:t>46,564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39,371</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0.08%</w:t>
            </w:r>
          </w:p>
        </w:tc>
      </w:tr>
      <w:tr>
        <w:trPr>
          <w:trHeight w:val="634"/>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gridSpan w:val="7"/>
          </w:tcPr>
          <w:p>
            <w:pPr>
              <w:ind w:left="540"/>
              <w:spacing w:after="0"/>
              <w:rPr>
                <w:sz w:val="20"/>
                <w:szCs w:val="20"/>
                <w:color w:val="auto"/>
              </w:rPr>
            </w:pPr>
            <w:r>
              <w:rPr>
                <w:rFonts w:ascii="Arial" w:cs="Arial" w:eastAsia="Arial" w:hAnsi="Arial"/>
                <w:sz w:val="18"/>
                <w:szCs w:val="18"/>
                <w:color w:val="auto"/>
              </w:rPr>
              <w:t>Term CD’s Sold Under Agreement to Repurchase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86"/>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gridSpan w:val="2"/>
          </w:tcPr>
          <w:p>
            <w:pPr>
              <w:jc w:val="center"/>
              <w:ind w:right="660"/>
              <w:spacing w:after="0"/>
              <w:rPr>
                <w:sz w:val="20"/>
                <w:szCs w:val="20"/>
                <w:color w:val="auto"/>
              </w:rPr>
            </w:pPr>
            <w:r>
              <w:rPr>
                <w:rFonts w:ascii="Arial" w:cs="Arial" w:eastAsia="Arial" w:hAnsi="Arial"/>
                <w:sz w:val="14"/>
                <w:szCs w:val="14"/>
                <w:color w:val="auto"/>
                <w:w w:val="96"/>
              </w:rPr>
              <w:t>Approximate</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9"/>
              </w:rPr>
              <w:t>Amount</w:t>
            </w:r>
          </w:p>
        </w:tc>
        <w:tc>
          <w:tcPr>
            <w:tcW w:w="7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4"/>
              </w:rPr>
              <w:t>Weighted</w:t>
            </w:r>
          </w:p>
        </w:tc>
        <w:tc>
          <w:tcPr>
            <w:tcW w:w="680" w:type="dxa"/>
            <w:vAlign w:val="bottom"/>
          </w:tcPr>
          <w:p>
            <w:pPr>
              <w:spacing w:after="0"/>
              <w:rPr>
                <w:sz w:val="12"/>
                <w:szCs w:val="12"/>
                <w:color w:val="auto"/>
              </w:rPr>
            </w:pPr>
          </w:p>
        </w:tc>
        <w:tc>
          <w:tcPr>
            <w:tcW w:w="2400" w:type="dxa"/>
            <w:vAlign w:val="bottom"/>
            <w:gridSpan w:val="3"/>
          </w:tcPr>
          <w:p>
            <w:pPr>
              <w:spacing w:after="0" w:line="149" w:lineRule="exact"/>
              <w:rPr>
                <w:sz w:val="20"/>
                <w:szCs w:val="20"/>
                <w:color w:val="auto"/>
              </w:rPr>
            </w:pPr>
            <w:r>
              <w:rPr>
                <w:rFonts w:ascii="Arial" w:cs="Arial" w:eastAsia="Arial" w:hAnsi="Arial"/>
                <w:sz w:val="14"/>
                <w:szCs w:val="14"/>
                <w:color w:val="auto"/>
              </w:rPr>
              <w:t>Maximum Amount</w:t>
            </w: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6"/>
              </w:rPr>
              <w:t>Approximate</w:t>
            </w: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1"/>
              </w:rPr>
              <w:t>Weighted</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Outstanding</w:t>
            </w:r>
          </w:p>
        </w:tc>
        <w:tc>
          <w:tcPr>
            <w:tcW w:w="7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Average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w w:val="88"/>
              </w:rPr>
              <w:t>Average</w:t>
            </w: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r>
      <w:tr>
        <w:trPr>
          <w:trHeight w:val="149"/>
        </w:trPr>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8"/>
              </w:rPr>
              <w:t>at End</w:t>
            </w:r>
          </w:p>
        </w:tc>
        <w:tc>
          <w:tcPr>
            <w:tcW w:w="740" w:type="dxa"/>
            <w:vAlign w:val="bottom"/>
          </w:tcPr>
          <w:p>
            <w:pPr>
              <w:spacing w:after="0"/>
              <w:rPr>
                <w:sz w:val="12"/>
                <w:szCs w:val="12"/>
                <w:color w:val="auto"/>
              </w:rPr>
            </w:pPr>
          </w:p>
        </w:tc>
        <w:tc>
          <w:tcPr>
            <w:tcW w:w="12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Rate End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Outstanding</w:t>
            </w: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Outstanding in</w:t>
            </w:r>
          </w:p>
        </w:tc>
        <w:tc>
          <w:tcPr>
            <w:tcW w:w="17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Interest Rate</w:t>
            </w:r>
          </w:p>
        </w:tc>
      </w:tr>
      <w:tr>
        <w:trPr>
          <w:trHeight w:val="167"/>
        </w:trPr>
        <w:tc>
          <w:tcPr>
            <w:tcW w:w="9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of Period (000’s)</w:t>
            </w:r>
          </w:p>
        </w:tc>
        <w:tc>
          <w:tcPr>
            <w:tcW w:w="5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7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Month End (000’s)</w:t>
            </w:r>
          </w:p>
        </w:tc>
        <w:tc>
          <w:tcPr>
            <w:tcW w:w="12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4"/>
              </w:rPr>
              <w:t>Period (000’s)</w:t>
            </w:r>
          </w:p>
        </w:tc>
        <w:tc>
          <w:tcPr>
            <w:tcW w:w="7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For the Period</w:t>
            </w:r>
          </w:p>
        </w:tc>
        <w:tc>
          <w:tcPr>
            <w:tcW w:w="640" w:type="dxa"/>
            <w:vAlign w:val="bottom"/>
            <w:tcBorders>
              <w:bottom w:val="single" w:sz="8" w:color="CCEEFF"/>
            </w:tcBorders>
          </w:tcPr>
          <w:p>
            <w:pPr>
              <w:spacing w:after="0"/>
              <w:rPr>
                <w:sz w:val="14"/>
                <w:szCs w:val="14"/>
                <w:color w:val="auto"/>
              </w:rPr>
            </w:pPr>
          </w:p>
        </w:tc>
      </w:tr>
      <w:tr>
        <w:trPr>
          <w:trHeight w:val="210"/>
        </w:trPr>
        <w:tc>
          <w:tcPr>
            <w:tcW w:w="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4"/>
              </w:rPr>
              <w:t>2016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19,562</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w:t>
            </w:r>
          </w:p>
        </w:tc>
      </w:tr>
      <w:tr>
        <w:trPr>
          <w:trHeight w:val="230"/>
        </w:trPr>
        <w:tc>
          <w:tcPr>
            <w:tcW w:w="960" w:type="dxa"/>
            <w:vAlign w:val="bottom"/>
          </w:tcPr>
          <w:p>
            <w:pPr>
              <w:jc w:val="right"/>
              <w:ind w:right="510"/>
              <w:spacing w:after="0"/>
              <w:rPr>
                <w:sz w:val="20"/>
                <w:szCs w:val="20"/>
                <w:color w:val="auto"/>
              </w:rPr>
            </w:pPr>
            <w:r>
              <w:rPr>
                <w:rFonts w:ascii="Arial" w:cs="Arial" w:eastAsia="Arial" w:hAnsi="Arial"/>
                <w:sz w:val="18"/>
                <w:szCs w:val="18"/>
                <w:color w:val="auto"/>
                <w:w w:val="84"/>
              </w:rPr>
              <w:t>2015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17,124</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2.00%</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280"/>
              <w:spacing w:after="0"/>
              <w:rPr>
                <w:sz w:val="20"/>
                <w:szCs w:val="20"/>
                <w:color w:val="auto"/>
              </w:rPr>
            </w:pPr>
            <w:r>
              <w:rPr>
                <w:rFonts w:ascii="Arial" w:cs="Arial" w:eastAsia="Arial" w:hAnsi="Arial"/>
                <w:sz w:val="18"/>
                <w:szCs w:val="18"/>
                <w:color w:val="auto"/>
              </w:rPr>
              <w:t>17,961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17,294</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1.62%</w:t>
            </w:r>
          </w:p>
        </w:tc>
      </w:tr>
      <w:tr>
        <w:trPr>
          <w:trHeight w:val="350"/>
        </w:trPr>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gridSpan w:val="2"/>
          </w:tcPr>
          <w:p>
            <w:pPr>
              <w:jc w:val="right"/>
              <w:ind w:right="22"/>
              <w:spacing w:after="0"/>
              <w:rPr>
                <w:sz w:val="20"/>
                <w:szCs w:val="20"/>
                <w:color w:val="auto"/>
              </w:rPr>
            </w:pPr>
            <w:r>
              <w:rPr>
                <w:rFonts w:ascii="Arial" w:cs="Arial" w:eastAsia="Arial" w:hAnsi="Arial"/>
                <w:sz w:val="18"/>
                <w:szCs w:val="18"/>
                <w:color w:val="auto"/>
              </w:rPr>
              <w:t>76</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had $17.0 and $22.0 million of Federal Funds Purchased as of December 31, 2016 and December 31, 2015 respectively. The</w:t>
      </w:r>
    </w:p>
    <w:p>
      <w:pPr>
        <w:spacing w:after="0" w:line="35" w:lineRule="exact"/>
        <w:rPr>
          <w:sz w:val="20"/>
          <w:szCs w:val="20"/>
          <w:color w:val="auto"/>
        </w:rPr>
      </w:pPr>
    </w:p>
    <w:p>
      <w:pPr>
        <w:ind w:left="460" w:right="400"/>
        <w:spacing w:after="0" w:line="261" w:lineRule="auto"/>
        <w:rPr>
          <w:sz w:val="20"/>
          <w:szCs w:val="20"/>
          <w:color w:val="auto"/>
        </w:rPr>
      </w:pPr>
      <w:r>
        <w:rPr>
          <w:rFonts w:ascii="Arial" w:cs="Arial" w:eastAsia="Arial" w:hAnsi="Arial"/>
          <w:sz w:val="18"/>
          <w:szCs w:val="18"/>
          <w:color w:val="auto"/>
        </w:rPr>
        <w:t>$53.3 million in Securities Sold Under Agreements to Repurchase were comprised of U.S. Treasuries and government agency securities. The table below shows the remaining contractual maturity in the repurchase agreements December 31,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1"/>
              </w:rPr>
              <w:t>December 31, 2016</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gridSpan w:val="9"/>
          </w:tcPr>
          <w:p>
            <w:pPr>
              <w:jc w:val="center"/>
              <w:ind w:right="620"/>
              <w:spacing w:after="0" w:line="142" w:lineRule="exact"/>
              <w:rPr>
                <w:sz w:val="20"/>
                <w:szCs w:val="20"/>
                <w:color w:val="auto"/>
              </w:rPr>
            </w:pPr>
            <w:r>
              <w:rPr>
                <w:rFonts w:ascii="Arial" w:cs="Arial" w:eastAsia="Arial" w:hAnsi="Arial"/>
                <w:sz w:val="14"/>
                <w:szCs w:val="14"/>
                <w:color w:val="auto"/>
                <w:w w:val="94"/>
              </w:rPr>
              <w:t>Remaining Contratual Maturity of the Agreements</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920" w:type="dxa"/>
            <w:vAlign w:val="bottom"/>
          </w:tcPr>
          <w:p>
            <w:pPr>
              <w:spacing w:after="0"/>
              <w:rPr>
                <w:sz w:val="10"/>
                <w:szCs w:val="10"/>
                <w:color w:val="auto"/>
              </w:rPr>
            </w:pPr>
          </w:p>
        </w:tc>
        <w:tc>
          <w:tcPr>
            <w:tcW w:w="760" w:type="dxa"/>
            <w:vAlign w:val="bottom"/>
            <w:gridSpan w:val="3"/>
          </w:tcPr>
          <w:p>
            <w:pPr>
              <w:jc w:val="right"/>
              <w:ind w:right="20"/>
              <w:spacing w:after="0" w:line="123" w:lineRule="exact"/>
              <w:rPr>
                <w:sz w:val="20"/>
                <w:szCs w:val="20"/>
                <w:color w:val="auto"/>
              </w:rPr>
            </w:pPr>
            <w:r>
              <w:rPr>
                <w:rFonts w:ascii="Arial" w:cs="Arial" w:eastAsia="Arial" w:hAnsi="Arial"/>
                <w:sz w:val="14"/>
                <w:szCs w:val="14"/>
                <w:color w:val="auto"/>
                <w:w w:val="97"/>
              </w:rPr>
              <w:t>Overnight &amp;</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40" w:type="dxa"/>
            <w:vAlign w:val="bottom"/>
            <w:gridSpan w:val="3"/>
          </w:tcPr>
          <w:p>
            <w:pPr>
              <w:spacing w:after="0" w:line="123" w:lineRule="exact"/>
              <w:rPr>
                <w:sz w:val="20"/>
                <w:szCs w:val="20"/>
                <w:color w:val="auto"/>
              </w:rPr>
            </w:pPr>
            <w:r>
              <w:rPr>
                <w:rFonts w:ascii="Arial" w:cs="Arial" w:eastAsia="Arial" w:hAnsi="Arial"/>
                <w:sz w:val="14"/>
                <w:szCs w:val="14"/>
                <w:color w:val="auto"/>
              </w:rPr>
              <w:t>Greater Than</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92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w w:val="95"/>
              </w:rPr>
              <w:t>Continuous</w:t>
            </w:r>
          </w:p>
        </w:tc>
        <w:tc>
          <w:tcPr>
            <w:tcW w:w="4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w w:val="92"/>
              </w:rPr>
              <w:t>Up to 30 days</w:t>
            </w: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30-90 days</w:t>
            </w: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17,000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32,814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53,324</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49,814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70,324</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Federal Home Loan Bank Advances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Long term debit consists of various loans from the Federal Home Loan Bank. Repayment structures vary, ranging from monthly installments, annual payments or upon maturity. Interest payments are due monthly. As of December 31, 2016, the Bank had two loans which were structured as single maturities with interest rates of 1.61% and 1.34%. Total borrowings were $10.0 million and $10.0 million for December 31, 2016 and 2015, respectively. The advances were secured by $17.9 and $20.0 million of mortgage loans as of December 31, 2016 and 2015, respectively under a blanket collateral agreement.</w:t>
      </w:r>
    </w:p>
    <w:p>
      <w:pPr>
        <w:spacing w:after="0" w:line="80"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The advances are subject to pre-payment penalties and the provisions and conditions of the credit policy of the Federal Home Loan Bank. Future obligations of the advances are as follows at December 31, 2016:</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40" w:type="dxa"/>
            <w:vAlign w:val="bottom"/>
            <w:gridSpan w:val="4"/>
          </w:tcPr>
          <w:p>
            <w:pPr>
              <w:ind w:left="6760"/>
              <w:spacing w:after="0"/>
              <w:rPr>
                <w:sz w:val="20"/>
                <w:szCs w:val="20"/>
                <w:color w:val="auto"/>
              </w:rPr>
            </w:pPr>
            <w:r>
              <w:rPr>
                <w:rFonts w:ascii="Arial" w:cs="Arial" w:eastAsia="Arial" w:hAnsi="Arial"/>
                <w:sz w:val="14"/>
                <w:szCs w:val="14"/>
                <w:color w:val="auto"/>
              </w:rPr>
              <w:t>(In Thousands)</w:t>
            </w: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jc w:val="right"/>
              <w:ind w:right="6334"/>
              <w:spacing w:after="0"/>
              <w:rPr>
                <w:sz w:val="20"/>
                <w:szCs w:val="20"/>
                <w:color w:val="auto"/>
              </w:rPr>
            </w:pPr>
            <w:r>
              <w:rPr>
                <w:rFonts w:ascii="Arial" w:cs="Arial" w:eastAsia="Arial" w:hAnsi="Arial"/>
                <w:sz w:val="18"/>
                <w:szCs w:val="18"/>
                <w:color w:val="auto"/>
                <w:w w:val="79"/>
              </w:rPr>
              <w:t>2017</w:t>
            </w: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jc w:val="right"/>
              <w:ind w:right="6334"/>
              <w:spacing w:after="0"/>
              <w:rPr>
                <w:sz w:val="20"/>
                <w:szCs w:val="20"/>
                <w:color w:val="auto"/>
              </w:rPr>
            </w:pPr>
            <w:r>
              <w:rPr>
                <w:rFonts w:ascii="Arial" w:cs="Arial" w:eastAsia="Arial" w:hAnsi="Arial"/>
                <w:sz w:val="18"/>
                <w:szCs w:val="18"/>
                <w:color w:val="auto"/>
                <w:w w:val="79"/>
              </w:rPr>
              <w:t>2018</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6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The Bank had access to $58 million of unsecured borrowings through correspondent banks as of both December 31, 2016 and December 31, 2015. $71.8 million and $29.4 million at the end of the same time periods, respectively, were unpledged securities which could be sold or used as collateral. An additional $4.7 million at December 31, 2016, and $4.1 million at December 31, 2015, were available from the Federal Home Loan Bank based on current pledging, with up to $115.7 million and $118.5 million, respectively, available provided adequate collateral is pledged.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color w:val="auto"/>
                <w:w w:val="95"/>
              </w:rPr>
              <w:t>(In Thousands)</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ind w:right="16"/>
              <w:spacing w:after="0" w:line="142" w:lineRule="exact"/>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2015</w:t>
            </w: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color w:val="auto"/>
                <w:w w:val="7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tcBorders>
              <w:left w:val="single" w:sz="8" w:color="CCEEFF"/>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tcPr>
          <w:p>
            <w:pPr>
              <w:ind w:left="360"/>
              <w:spacing w:after="0"/>
              <w:rPr>
                <w:sz w:val="20"/>
                <w:szCs w:val="20"/>
                <w:color w:val="auto"/>
              </w:rPr>
            </w:pPr>
            <w:r>
              <w:rPr>
                <w:rFonts w:ascii="Arial" w:cs="Arial" w:eastAsia="Arial" w:hAnsi="Arial"/>
                <w:sz w:val="18"/>
                <w:szCs w:val="18"/>
                <w:color w:val="auto"/>
              </w:rPr>
              <w:t>Federal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$4,601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$3,941</w:t>
            </w:r>
          </w:p>
        </w:tc>
        <w:tc>
          <w:tcPr>
            <w:tcW w:w="1060" w:type="dxa"/>
            <w:vAlign w:val="bottom"/>
            <w:gridSpan w:val="3"/>
          </w:tcPr>
          <w:p>
            <w:pPr>
              <w:jc w:val="center"/>
              <w:ind w:left="271"/>
              <w:spacing w:after="0"/>
              <w:rPr>
                <w:sz w:val="20"/>
                <w:szCs w:val="20"/>
                <w:color w:val="auto"/>
              </w:rPr>
            </w:pPr>
            <w:r>
              <w:rPr>
                <w:rFonts w:ascii="Arial" w:cs="Arial" w:eastAsia="Arial" w:hAnsi="Arial"/>
                <w:sz w:val="18"/>
                <w:szCs w:val="18"/>
                <w:color w:val="auto"/>
                <w:w w:val="90"/>
              </w:rPr>
              <w:t>$3,837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tcPr>
          <w:p>
            <w:pPr>
              <w:ind w:left="360"/>
              <w:spacing w:after="0"/>
              <w:rPr>
                <w:sz w:val="20"/>
                <w:szCs w:val="20"/>
                <w:color w:val="auto"/>
              </w:rPr>
            </w:pPr>
            <w:r>
              <w:rPr>
                <w:rFonts w:ascii="Arial" w:cs="Arial" w:eastAsia="Arial" w:hAnsi="Arial"/>
                <w:sz w:val="18"/>
                <w:szCs w:val="18"/>
                <w:color w:val="auto"/>
              </w:rPr>
              <w:t>Federal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3,819</w:t>
            </w:r>
          </w:p>
        </w:tc>
        <w:tc>
          <w:tcPr>
            <w:tcW w:w="1060" w:type="dxa"/>
            <w:vAlign w:val="bottom"/>
            <w:tcBorders>
              <w:left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3,871</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jc w:val="right"/>
              <w:ind w:right="550"/>
              <w:spacing w:after="0"/>
              <w:rPr>
                <w:sz w:val="20"/>
                <w:szCs w:val="20"/>
                <w:color w:val="auto"/>
              </w:rPr>
            </w:pPr>
            <w:r>
              <w:rPr>
                <w:rFonts w:ascii="Arial" w:cs="Arial" w:eastAsia="Arial" w:hAnsi="Arial"/>
                <w:sz w:val="18"/>
                <w:szCs w:val="18"/>
                <w:color w:val="auto"/>
                <w:w w:val="97"/>
              </w:rPr>
              <w:t>The following is a reconciliation of the statutory federal income tax rate to the effective tax rate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6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w w:val="74"/>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at statutory rates</w:t>
            </w:r>
          </w:p>
        </w:tc>
        <w:tc>
          <w:tcPr>
            <w:tcW w:w="1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$5,521</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$4,792</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4"/>
              </w:rPr>
              <w:t>$4,596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Decrease resulting from:</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exempt interest</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320" w:type="dxa"/>
            <w:vAlign w:val="bottom"/>
            <w:tcBorders>
              <w:righ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11"/>
              <w:spacing w:after="0"/>
              <w:rPr>
                <w:sz w:val="20"/>
                <w:szCs w:val="20"/>
                <w:color w:val="auto"/>
              </w:rPr>
            </w:pPr>
            <w:r>
              <w:rPr>
                <w:rFonts w:ascii="Arial" w:cs="Arial" w:eastAsia="Arial" w:hAnsi="Arial"/>
                <w:sz w:val="18"/>
                <w:szCs w:val="18"/>
                <w:color w:val="auto"/>
              </w:rPr>
              <w:t>(554)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(634)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60" w:type="dxa"/>
            <w:vAlign w:val="bottom"/>
            <w:gridSpan w:val="2"/>
          </w:tcPr>
          <w:p>
            <w:pPr>
              <w:ind w:left="360"/>
              <w:spacing w:after="0"/>
              <w:rPr>
                <w:sz w:val="20"/>
                <w:szCs w:val="20"/>
                <w:color w:val="auto"/>
              </w:rPr>
            </w:pPr>
            <w:r>
              <w:rPr>
                <w:rFonts w:ascii="Arial" w:cs="Arial" w:eastAsia="Arial" w:hAnsi="Arial"/>
                <w:sz w:val="18"/>
                <w:szCs w:val="18"/>
                <w:color w:val="auto"/>
              </w:rPr>
              <w:t>Change in prior estimates and other</w:t>
            </w:r>
          </w:p>
        </w:tc>
        <w:tc>
          <w:tcPr>
            <w:tcW w:w="1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040" w:type="dxa"/>
            <w:vAlign w:val="bottom"/>
            <w:gridSpan w:val="2"/>
          </w:tcPr>
          <w:p>
            <w:pPr>
              <w:jc w:val="right"/>
              <w:ind w:right="411"/>
              <w:spacing w:after="0"/>
              <w:rPr>
                <w:sz w:val="20"/>
                <w:szCs w:val="20"/>
                <w:color w:val="auto"/>
              </w:rPr>
            </w:pPr>
            <w:r>
              <w:rPr>
                <w:rFonts w:ascii="Arial" w:cs="Arial" w:eastAsia="Arial" w:hAnsi="Arial"/>
                <w:sz w:val="18"/>
                <w:szCs w:val="18"/>
                <w:color w:val="auto"/>
              </w:rPr>
              <w:t>(419)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Borders>
              <w:left w:val="single" w:sz="8" w:color="auto"/>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jc w:val="right"/>
              <w:ind w:right="1990"/>
              <w:spacing w:after="0"/>
              <w:rPr>
                <w:sz w:val="20"/>
                <w:szCs w:val="20"/>
                <w:color w:val="auto"/>
              </w:rPr>
            </w:pPr>
            <w:r>
              <w:rPr>
                <w:rFonts w:ascii="Arial" w:cs="Arial" w:eastAsia="Arial" w:hAnsi="Arial"/>
                <w:sz w:val="18"/>
                <w:szCs w:val="18"/>
                <w:color w:val="auto"/>
                <w:w w:val="90"/>
              </w:rPr>
              <w:t>Deferred tax assets and liabilities at December 31 are comprised of the following:</w:t>
            </w: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40" w:type="dxa"/>
            <w:vAlign w:val="bottom"/>
            <w:gridSpan w:val="6"/>
          </w:tcPr>
          <w:p>
            <w:pPr>
              <w:jc w:val="right"/>
              <w:ind w:right="33"/>
              <w:spacing w:after="0"/>
              <w:rPr>
                <w:sz w:val="20"/>
                <w:szCs w:val="20"/>
                <w:color w:val="auto"/>
              </w:rPr>
            </w:pPr>
            <w:r>
              <w:rPr>
                <w:rFonts w:ascii="Arial" w:cs="Arial" w:eastAsia="Arial" w:hAnsi="Arial"/>
                <w:sz w:val="14"/>
                <w:szCs w:val="14"/>
                <w:color w:val="auto"/>
              </w:rPr>
              <w:t>2016</w:t>
            </w:r>
          </w:p>
        </w:tc>
        <w:tc>
          <w:tcPr>
            <w:tcW w:w="420" w:type="dxa"/>
            <w:vAlign w:val="bottom"/>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right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left w:val="single" w:sz="8" w:color="CCEEFF"/>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$2,326</w:t>
            </w:r>
          </w:p>
        </w:tc>
        <w:tc>
          <w:tcPr>
            <w:tcW w:w="1040" w:type="dxa"/>
            <w:vAlign w:val="bottom"/>
            <w:gridSpan w:val="2"/>
          </w:tcPr>
          <w:p>
            <w:pPr>
              <w:jc w:val="right"/>
              <w:ind w:right="31"/>
              <w:spacing w:after="0"/>
              <w:rPr>
                <w:sz w:val="20"/>
                <w:szCs w:val="20"/>
                <w:color w:val="auto"/>
              </w:rPr>
            </w:pPr>
            <w:r>
              <w:rPr>
                <w:rFonts w:ascii="Arial" w:cs="Arial" w:eastAsia="Arial" w:hAnsi="Arial"/>
                <w:sz w:val="18"/>
                <w:szCs w:val="18"/>
                <w:color w:val="auto"/>
              </w:rPr>
              <w:t>$2,080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553</w:t>
            </w: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Net unrealized gain on available-for-sale securities</w:t>
            </w:r>
          </w:p>
        </w:tc>
        <w:tc>
          <w:tcPr>
            <w:tcW w:w="540" w:type="dxa"/>
            <w:vAlign w:val="bottom"/>
            <w:gridSpan w:val="3"/>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9"/>
                <w:szCs w:val="19"/>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Accreted discounts on bonds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FHLB stock dividends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744</w:t>
            </w:r>
          </w:p>
        </w:tc>
        <w:tc>
          <w:tcPr>
            <w:tcW w:w="4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752</w:t>
            </w: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Other</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1,745</w:t>
            </w:r>
          </w:p>
        </w:tc>
        <w:tc>
          <w:tcPr>
            <w:tcW w:w="42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on available-for-sale securities</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540" w:type="dxa"/>
            <w:vAlign w:val="bottom"/>
            <w:gridSpan w:val="3"/>
          </w:tcPr>
          <w:p>
            <w:pPr>
              <w:spacing w:after="0"/>
              <w:rPr>
                <w:sz w:val="20"/>
                <w:szCs w:val="20"/>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3,324</w:t>
            </w:r>
          </w:p>
        </w:tc>
        <w:tc>
          <w:tcPr>
            <w:tcW w:w="420" w:type="dxa"/>
            <w:vAlign w:val="bottom"/>
          </w:tcPr>
          <w:p>
            <w:pPr>
              <w:spacing w:after="0"/>
              <w:rPr>
                <w:sz w:val="20"/>
                <w:szCs w:val="20"/>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 (Liability)</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571</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jc w:val="right"/>
              <w:ind w:right="209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2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 participant is 100% vested in the participant’s deferral contributions and employer matching contributions. A six-year vesting schedule applies to employer discretionary contributions. Contributions expensed for the 401(k) profit sharing plan for both the employer matching contribution and the discretionary contribution were $877, $835 and $779 thousand for 2016, 2015 and 2014, respectively.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The Company has a Long-Term Stock Incentive Plan under which 16,150 shares of restricted stock were issued to 74 employees during 2016, 16,000 shares of restricted stock were issued to 67 employees during 2015 and 13,250 shares of restricted stock were issued to 61 employees during 2014. Under the plan, the shares vest 100% in three years. During the 3 year vesting period, the employees receive dividends or dividend equivalent compensation on the shares. Due to employee termination, there were 773, 100, and 780 forfeited during 2016, 2015 and 2014, respectively. During 2016, 4 employees retired and received 1,197 shares from the shares awarded in 2013, 2014 and 2015. During 2015, due to retirement, one employee received 250 shares from awards granted in 2012, 2013 and 2014 and 325 shares were paid to the estate of a deceased employee awarded during the same time periods. Due to retirement in 2014, two employees received 965 shares. During 2016, 10,025 shares awarded in 2013, were vested 100% and 45 employees received the stock During 2015, 9,720 shares awarded in 2012, were vested 100% and 45 employees received the stock. During 2014, 10,005 shares awarded in 2011, were vested 100%, and 48 employees received the stock. Compensation expense applicable to the restricted stock totaled $379, $286 and $252 thousand for the years ending December 31, 2016, 2015 and 2014, respectively.</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restricted stock awards as of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w w:val="90"/>
              </w:rPr>
              <w:t>Year Ended December 31,</w:t>
            </w: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Number of</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fair value</w:t>
            </w: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1"/>
              </w:rPr>
              <w:t>Number of</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fair value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Number of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per award</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per award</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rPr>
              <w:t>Shares</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per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38,995</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31,890</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16,150</w:t>
            </w:r>
          </w:p>
        </w:tc>
        <w:tc>
          <w:tcPr>
            <w:tcW w:w="580" w:type="dxa"/>
            <w:vAlign w:val="bottom"/>
          </w:tcPr>
          <w:p>
            <w:pPr>
              <w:jc w:val="right"/>
              <w:spacing w:after="0"/>
              <w:rPr>
                <w:sz w:val="20"/>
                <w:szCs w:val="20"/>
                <w:color w:val="auto"/>
              </w:rPr>
            </w:pPr>
            <w:r>
              <w:rPr>
                <w:rFonts w:ascii="Arial" w:cs="Arial" w:eastAsia="Arial" w:hAnsi="Arial"/>
                <w:sz w:val="18"/>
                <w:szCs w:val="18"/>
                <w:color w:val="auto"/>
              </w:rPr>
              <w:t>32.02</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16,000</w:t>
            </w:r>
          </w:p>
        </w:tc>
        <w:tc>
          <w:tcPr>
            <w:tcW w:w="580" w:type="dxa"/>
            <w:vAlign w:val="bottom"/>
          </w:tcPr>
          <w:p>
            <w:pPr>
              <w:jc w:val="right"/>
              <w:spacing w:after="0"/>
              <w:rPr>
                <w:sz w:val="20"/>
                <w:szCs w:val="20"/>
                <w:color w:val="auto"/>
              </w:rPr>
            </w:pPr>
            <w:r>
              <w:rPr>
                <w:rFonts w:ascii="Arial" w:cs="Arial" w:eastAsia="Arial" w:hAnsi="Arial"/>
                <w:sz w:val="18"/>
                <w:szCs w:val="18"/>
                <w:color w:val="auto"/>
              </w:rPr>
              <w:t>26.35</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13,250</w:t>
            </w:r>
          </w:p>
        </w:tc>
        <w:tc>
          <w:tcPr>
            <w:tcW w:w="58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(773)</w:t>
            </w:r>
          </w:p>
        </w:tc>
        <w:tc>
          <w:tcPr>
            <w:tcW w:w="580" w:type="dxa"/>
            <w:vAlign w:val="bottom"/>
          </w:tcPr>
          <w:p>
            <w:pPr>
              <w:jc w:val="right"/>
              <w:spacing w:after="0"/>
              <w:rPr>
                <w:sz w:val="20"/>
                <w:szCs w:val="20"/>
                <w:color w:val="auto"/>
              </w:rPr>
            </w:pPr>
            <w:r>
              <w:rPr>
                <w:rFonts w:ascii="Arial" w:cs="Arial" w:eastAsia="Arial" w:hAnsi="Arial"/>
                <w:sz w:val="18"/>
                <w:szCs w:val="18"/>
                <w:color w:val="auto"/>
              </w:rPr>
              <w:t>31.54</w:t>
            </w: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580" w:type="dxa"/>
            <w:vAlign w:val="bottom"/>
          </w:tcPr>
          <w:p>
            <w:pPr>
              <w:jc w:val="right"/>
              <w:spacing w:after="0"/>
              <w:rPr>
                <w:sz w:val="20"/>
                <w:szCs w:val="20"/>
                <w:color w:val="auto"/>
              </w:rPr>
            </w:pPr>
            <w:r>
              <w:rPr>
                <w:rFonts w:ascii="Arial" w:cs="Arial" w:eastAsia="Arial" w:hAnsi="Arial"/>
                <w:sz w:val="18"/>
                <w:szCs w:val="18"/>
                <w:color w:val="auto"/>
              </w:rPr>
              <w:t>26.07</w:t>
            </w: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58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Nonvested, end of period</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20"/>
        <w:spacing w:after="0" w:line="264" w:lineRule="auto"/>
        <w:rPr>
          <w:sz w:val="20"/>
          <w:szCs w:val="20"/>
          <w:color w:val="auto"/>
        </w:rPr>
      </w:pPr>
      <w:r>
        <w:rPr>
          <w:rFonts w:ascii="Arial" w:cs="Arial" w:eastAsia="Arial" w:hAnsi="Arial"/>
          <w:sz w:val="18"/>
          <w:szCs w:val="18"/>
          <w:color w:val="auto"/>
        </w:rPr>
        <w:t>As of December 31, 2016, there was $730 thousand of unrecognized compensation cost related to the nonvested portion of restricted stock awards under the plan. Expense for restricted stock awards of $402 thousand, $314 thousand, and $232 thousand was recorded for the years ended December 31, 2016, 2015, and 2014,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21" w:lineRule="exact"/>
        <w:rPr>
          <w:sz w:val="20"/>
          <w:szCs w:val="20"/>
          <w:color w:val="auto"/>
        </w:rPr>
      </w:pPr>
    </w:p>
    <w:p>
      <w:pPr>
        <w:ind w:left="460" w:right="60"/>
        <w:spacing w:after="0" w:line="270" w:lineRule="auto"/>
        <w:rPr>
          <w:sz w:val="20"/>
          <w:szCs w:val="20"/>
          <w:color w:val="auto"/>
        </w:rPr>
      </w:pPr>
      <w:r>
        <w:rPr>
          <w:rFonts w:ascii="Arial" w:cs="Arial" w:eastAsia="Arial" w:hAnsi="Arial"/>
          <w:sz w:val="17"/>
          <w:szCs w:val="17"/>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2016, 2015, and 2014.</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color w:val="auto"/>
                <w:w w:val="97"/>
              </w:rPr>
              <w:t>Year Ended</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0"/>
                <w:szCs w:val="10"/>
                <w:color w:val="auto"/>
              </w:rPr>
            </w:pPr>
          </w:p>
        </w:tc>
        <w:tc>
          <w:tcPr>
            <w:tcW w:w="140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4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4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2015</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11,664</w:t>
            </w:r>
          </w:p>
        </w:tc>
        <w:tc>
          <w:tcPr>
            <w:tcW w:w="32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w w:val="97"/>
              </w:rPr>
              <w:t>Weighted average common shares outstanding including participating</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4,612,115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4,617,058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4,628,178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average unvested resticted shares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(32,278)</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4,572,133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4,582,058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4,595,900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21" w:lineRule="exact"/>
        <w:rPr>
          <w:sz w:val="20"/>
          <w:szCs w:val="20"/>
          <w:color w:val="auto"/>
        </w:rPr>
      </w:pPr>
    </w:p>
    <w:p>
      <w:pPr>
        <w:ind w:left="460" w:right="140"/>
        <w:spacing w:after="0" w:line="276" w:lineRule="auto"/>
        <w:rPr>
          <w:sz w:val="20"/>
          <w:szCs w:val="20"/>
          <w:color w:val="auto"/>
        </w:rPr>
      </w:pPr>
      <w:r>
        <w:rPr>
          <w:rFonts w:ascii="Arial" w:cs="Arial" w:eastAsia="Arial" w:hAnsi="Arial"/>
          <w:sz w:val="17"/>
          <w:szCs w:val="17"/>
          <w:color w:val="auto"/>
        </w:rPr>
        <w:t>In the ordinary course of business, the Bank has granted loans to senior officers and directors and their affiliated companies amounting to $1.5 million and $739 thousand at December 31, 2016 and 2015, respectively. One new loan was approved during 2016 of which no additional borrowings were utilized. During 2016, subsequent advances totaled $9.9 million and payments of $10.1 million were received. The difference in related borrowings amounted to $757 thousand, net increase. Deposits of directors, executive officers and companies in which they have a direct or indirect ownership as of December 31, 2016 and 2015, amounted to $21.7 million and $26.3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 (Continued)</w:t>
      </w:r>
    </w:p>
    <w:p>
      <w:pPr>
        <w:spacing w:after="0" w:line="162"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2016 and 2015 was $217 thousand and $208 thousand, respectively.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2016 and 2015, the following financial instruments were outstanding whose contract amounts represent credit risk:</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color w:val="auto"/>
              </w:rPr>
              <w:t>(In Thousands)</w:t>
            </w:r>
          </w:p>
        </w:tc>
      </w:tr>
      <w:tr>
        <w:trPr>
          <w:trHeight w:val="142"/>
        </w:trPr>
        <w:tc>
          <w:tcPr>
            <w:tcW w:w="4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2016</w:t>
            </w:r>
          </w:p>
        </w:tc>
        <w:tc>
          <w:tcPr>
            <w:tcW w:w="11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$223,534</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$246,321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Credit card arrangements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18,316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460" w:right="120"/>
        <w:spacing w:after="0" w:line="279" w:lineRule="auto"/>
        <w:rPr>
          <w:sz w:val="20"/>
          <w:szCs w:val="20"/>
          <w:color w:val="auto"/>
        </w:rPr>
      </w:pPr>
      <w:r>
        <w:rPr>
          <w:rFonts w:ascii="Arial" w:cs="Arial" w:eastAsia="Arial" w:hAnsi="Arial"/>
          <w:sz w:val="17"/>
          <w:szCs w:val="17"/>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Collateral Requirements</w:t>
      </w:r>
    </w:p>
    <w:p>
      <w:pPr>
        <w:spacing w:after="0" w:line="121"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Contingencies</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21" w:lineRule="exact"/>
        <w:rPr>
          <w:sz w:val="20"/>
          <w:szCs w:val="20"/>
          <w:color w:val="auto"/>
        </w:rPr>
      </w:pPr>
    </w:p>
    <w:p>
      <w:pPr>
        <w:ind w:left="460" w:right="40"/>
        <w:spacing w:after="0" w:line="276" w:lineRule="auto"/>
        <w:rPr>
          <w:sz w:val="20"/>
          <w:szCs w:val="20"/>
          <w:color w:val="auto"/>
        </w:rPr>
      </w:pPr>
      <w:r>
        <w:rPr>
          <w:rFonts w:ascii="Arial" w:cs="Arial" w:eastAsia="Arial" w:hAnsi="Arial"/>
          <w:sz w:val="17"/>
          <w:szCs w:val="17"/>
          <w:color w:val="auto"/>
        </w:rPr>
        <w:t>The Company (on a consolidated basis)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the Bank must meet specific capital guidelines that involve quantitative measures of their assets, liabilities and certain off balance-sheet items as calculated under regulatory accounting practices.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capital amounts and classification are also subject to qualitative judgments by the regulators about components, risk weightings, and other factors.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Prompt corrective action provisions are not applicable to bank holding companies.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162"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The Basel III Capital Rules, a new comprehensive capital framework for U.S. banking organizations, became effective for on January 1, 2015 (subject to a phase-in period for certain provisions). Quantitative measures established by the Basel III 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63" w:lineRule="exact"/>
        <w:rPr>
          <w:sz w:val="20"/>
          <w:szCs w:val="20"/>
          <w:color w:val="auto"/>
        </w:rPr>
      </w:pPr>
    </w:p>
    <w:p>
      <w:pPr>
        <w:jc w:val="both"/>
        <w:ind w:left="460" w:right="260"/>
        <w:spacing w:after="0" w:line="264"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 Common Equity Tier 1 is reduced by, goodwill and other intangible assets, net of associated deferred tax liabilities, and subject to transition provisions.</w:t>
      </w:r>
    </w:p>
    <w:p>
      <w:pPr>
        <w:spacing w:after="0" w:line="73"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color w:val="auto"/>
        </w:rPr>
        <w:t>The Common Equity Tier 1 (beginning in 2015),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63"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When fully phased in on January 1, 2019, the Basel III Capital Rules will require the Company and Bank to maintain (i) a minimum ratio of Common Equity Tier 1 capital to risk-weighted assets of at least 4.5%, plus a 2.5% “capital conservation buffer” (which is added to the 4.5% Common Equity Tier 1 capital ratio as that buffer is phased in, effectively resulting in a minimum ratio of Common Equity Tier 1 capital to risk-weighted assets of at least 7.0% upon full implementation), (ii) a minimum ratio of Tier 1 capital to risk-weighted assets of at least 6.0%, plus the capital conservation buffer (which is added to the 6.0% Tier 1 capital ratio as that buffer is phased in, effectively resulting in a minimum Tier 1 capital ratio of 8.5% upon full implementation), (iii) 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 (iv) a minimum leverage ratio of 4.0%, calculated as the ratio of Tier 1 capital to average quarterly assets.</w:t>
      </w:r>
    </w:p>
    <w:p>
      <w:pPr>
        <w:spacing w:after="0" w:line="58" w:lineRule="exact"/>
        <w:rPr>
          <w:sz w:val="20"/>
          <w:szCs w:val="20"/>
          <w:color w:val="auto"/>
        </w:rPr>
      </w:pPr>
    </w:p>
    <w:p>
      <w:pPr>
        <w:ind w:left="460" w:right="200"/>
        <w:spacing w:after="0" w:line="272" w:lineRule="auto"/>
        <w:rPr>
          <w:sz w:val="20"/>
          <w:szCs w:val="20"/>
          <w:color w:val="auto"/>
        </w:rPr>
      </w:pPr>
      <w:r>
        <w:rPr>
          <w:rFonts w:ascii="Arial" w:cs="Arial" w:eastAsia="Arial" w:hAnsi="Arial"/>
          <w:sz w:val="17"/>
          <w:szCs w:val="17"/>
          <w:color w:val="auto"/>
        </w:rPr>
        <w:t>The implementation of the capital conservation buffer began on January 1, 2016 at the 0.625% level and will be phased in over a four-year period (increasing by that amount on each subsequent January 1, until it reaches 2.5% on January 1, 2019). The Basel III Capital Rules also provide for a “countercyclical capital buffer” that is applicable to only certain covered institutions and does not have any current applicability to the Company or Bank.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believes, as of December 31, 2016, that the Bank meets all the capital adequacy requirements to which it is subject.</w:t>
      </w:r>
    </w:p>
    <w:p>
      <w:pPr>
        <w:spacing w:after="0" w:line="117"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As of December 31, 2016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Tier 1 and Tier I leverage ratios as disclosed in the table to follow. There are no conditions or events since the most recent notification that management believes have changed the Bank’s prompt corrective action category.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1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following tables present actual and required capital ratios as of December 31, 2016 and December 31, 2015 under the Basel III Capital Rules. The minimum required capital amounts presented include the minimum required capital levels as of December 31, 2016 and December 31, 2015. Capital levels required to be considered well capitalized are based upon prompt corrective action regulations, as amended to reflect the changes under the Basel III Capital Rules.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Bank’s actual and required capital amounts and ratios as of December 31,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Required to</w:t>
            </w:r>
          </w:p>
        </w:tc>
      </w:tr>
      <w:tr>
        <w:trPr>
          <w:trHeight w:val="149"/>
        </w:trPr>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9"/>
              </w:rPr>
              <w:t>Minimum Capital</w:t>
            </w:r>
          </w:p>
        </w:tc>
        <w:tc>
          <w:tcPr>
            <w:tcW w:w="12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2"/>
              </w:rPr>
              <w:t>be Considered</w:t>
            </w:r>
          </w:p>
        </w:tc>
      </w:tr>
      <w:tr>
        <w:trPr>
          <w:trHeight w:val="167"/>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color w:val="auto"/>
              </w:rPr>
              <w:t>Actual</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jc w:val="center"/>
              <w:ind w:left="276"/>
              <w:spacing w:after="0"/>
              <w:rPr>
                <w:sz w:val="20"/>
                <w:szCs w:val="20"/>
                <w:color w:val="auto"/>
              </w:rPr>
            </w:pPr>
            <w:r>
              <w:rPr>
                <w:rFonts w:ascii="Arial" w:cs="Arial" w:eastAsia="Arial" w:hAnsi="Arial"/>
                <w:sz w:val="14"/>
                <w:szCs w:val="14"/>
                <w:color w:val="auto"/>
                <w:w w:val="91"/>
              </w:rPr>
              <w:t>Required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Well-Captialized</w:t>
            </w:r>
          </w:p>
        </w:tc>
      </w:tr>
      <w:tr>
        <w:trPr>
          <w:trHeight w:val="123"/>
        </w:trPr>
        <w:tc>
          <w:tcPr>
            <w:tcW w:w="4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8"/>
              </w:rPr>
              <w:t>(000’s)</w:t>
            </w: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20"/>
              <w:spacing w:after="0" w:line="123" w:lineRule="exact"/>
              <w:rPr>
                <w:sz w:val="20"/>
                <w:szCs w:val="20"/>
                <w:color w:val="auto"/>
              </w:rPr>
            </w:pPr>
            <w:r>
              <w:rPr>
                <w:rFonts w:ascii="Arial" w:cs="Arial" w:eastAsia="Arial" w:hAnsi="Arial"/>
                <w:sz w:val="14"/>
                <w:szCs w:val="14"/>
                <w:color w:val="auto"/>
                <w:w w:val="93"/>
              </w:rPr>
              <w:t>(000’s)</w:t>
            </w: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(000’s)</w:t>
            </w: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Amount</w:t>
            </w: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Ratio</w:t>
            </w:r>
          </w:p>
        </w:tc>
        <w:tc>
          <w:tcPr>
            <w:tcW w:w="92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Amount</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Ratio</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Amount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Ratio</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2016</w:t>
            </w:r>
          </w:p>
        </w:tc>
        <w:tc>
          <w:tcPr>
            <w:tcW w:w="1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Common Equity Tier 1 Capital (to Risk Weighted Assets)</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$123,031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14.46%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$38,296</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2460" w:type="dxa"/>
            <w:vAlign w:val="bottom"/>
            <w:gridSpan w:val="3"/>
          </w:tcPr>
          <w:p>
            <w:pPr>
              <w:jc w:val="right"/>
              <w:ind w:right="300"/>
              <w:spacing w:after="0"/>
              <w:rPr>
                <w:sz w:val="20"/>
                <w:szCs w:val="20"/>
                <w:color w:val="auto"/>
              </w:rPr>
            </w:pPr>
            <w:r>
              <w:rPr>
                <w:rFonts w:ascii="Arial" w:cs="Arial" w:eastAsia="Arial" w:hAnsi="Arial"/>
                <w:sz w:val="18"/>
                <w:szCs w:val="18"/>
                <w:color w:val="auto"/>
              </w:rPr>
              <w:t>100,999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11.91%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38,156</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4.50%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$55,115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 Capital (to Risk Weighted Assets)</w:t>
            </w: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Consoildated</w:t>
            </w:r>
          </w:p>
        </w:tc>
        <w:tc>
          <w:tcPr>
            <w:tcW w:w="2460" w:type="dxa"/>
            <w:vAlign w:val="bottom"/>
            <w:gridSpan w:val="3"/>
          </w:tcPr>
          <w:p>
            <w:pPr>
              <w:jc w:val="right"/>
              <w:ind w:right="300"/>
              <w:spacing w:after="0"/>
              <w:rPr>
                <w:sz w:val="20"/>
                <w:szCs w:val="20"/>
                <w:color w:val="auto"/>
              </w:rPr>
            </w:pPr>
            <w:r>
              <w:rPr>
                <w:rFonts w:ascii="Arial" w:cs="Arial" w:eastAsia="Arial" w:hAnsi="Arial"/>
                <w:sz w:val="18"/>
                <w:szCs w:val="18"/>
                <w:color w:val="auto"/>
              </w:rPr>
              <w:t>130,032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15.28%</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68,081</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8.00%</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Farmers &amp; Merchants State Bank</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108,000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12.73%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67,833</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8.00%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84,792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123,031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14.46%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51,061</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2460" w:type="dxa"/>
            <w:vAlign w:val="bottom"/>
            <w:gridSpan w:val="3"/>
          </w:tcPr>
          <w:p>
            <w:pPr>
              <w:jc w:val="right"/>
              <w:ind w:right="300"/>
              <w:spacing w:after="0"/>
              <w:rPr>
                <w:sz w:val="20"/>
                <w:szCs w:val="20"/>
                <w:color w:val="auto"/>
              </w:rPr>
            </w:pPr>
            <w:r>
              <w:rPr>
                <w:rFonts w:ascii="Arial" w:cs="Arial" w:eastAsia="Arial" w:hAnsi="Arial"/>
                <w:sz w:val="18"/>
                <w:szCs w:val="18"/>
                <w:color w:val="auto"/>
              </w:rPr>
              <w:t>100,999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11.91%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50,875</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6.00%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67,833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 Capital (to Adjusted Total Assets)</w:t>
            </w: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Consolidated</w:t>
            </w:r>
          </w:p>
        </w:tc>
        <w:tc>
          <w:tcPr>
            <w:tcW w:w="2460" w:type="dxa"/>
            <w:vAlign w:val="bottom"/>
            <w:gridSpan w:val="3"/>
          </w:tcPr>
          <w:p>
            <w:pPr>
              <w:jc w:val="right"/>
              <w:ind w:right="300"/>
              <w:spacing w:after="0"/>
              <w:rPr>
                <w:sz w:val="20"/>
                <w:szCs w:val="20"/>
                <w:color w:val="auto"/>
              </w:rPr>
            </w:pPr>
            <w:r>
              <w:rPr>
                <w:rFonts w:ascii="Arial" w:cs="Arial" w:eastAsia="Arial" w:hAnsi="Arial"/>
                <w:sz w:val="18"/>
                <w:szCs w:val="18"/>
                <w:color w:val="auto"/>
              </w:rPr>
              <w:t>123,031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11.77%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41,826</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4.00%</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Farmers &amp; Merchants State Bank</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100,999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41,425</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4.00%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51,181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365"/>
        </w:trPr>
        <w:tc>
          <w:tcPr>
            <w:tcW w:w="4900" w:type="dxa"/>
            <w:vAlign w:val="bottom"/>
          </w:tcPr>
          <w:p>
            <w:pPr>
              <w:spacing w:after="0"/>
              <w:rPr>
                <w:sz w:val="24"/>
                <w:szCs w:val="24"/>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Company and the Bank’s actual and required capital amounts and ratios as of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Required to</w:t>
            </w:r>
          </w:p>
        </w:tc>
      </w:tr>
      <w:tr>
        <w:trPr>
          <w:trHeight w:val="149"/>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9"/>
              </w:rPr>
              <w:t>Minimum Capital</w:t>
            </w:r>
          </w:p>
        </w:tc>
        <w:tc>
          <w:tcPr>
            <w:tcW w:w="12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2"/>
              </w:rPr>
              <w:t>be Considered</w:t>
            </w:r>
          </w:p>
        </w:tc>
      </w:tr>
      <w:tr>
        <w:trPr>
          <w:trHeight w:val="167"/>
        </w:trPr>
        <w:tc>
          <w:tcPr>
            <w:tcW w:w="5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color w:val="auto"/>
              </w:rPr>
              <w:t>Actual</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jc w:val="center"/>
              <w:ind w:left="276"/>
              <w:spacing w:after="0"/>
              <w:rPr>
                <w:sz w:val="20"/>
                <w:szCs w:val="20"/>
                <w:color w:val="auto"/>
              </w:rPr>
            </w:pPr>
            <w:r>
              <w:rPr>
                <w:rFonts w:ascii="Arial" w:cs="Arial" w:eastAsia="Arial" w:hAnsi="Arial"/>
                <w:sz w:val="14"/>
                <w:szCs w:val="14"/>
                <w:color w:val="auto"/>
                <w:w w:val="91"/>
              </w:rPr>
              <w:t>Required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Well-Capitalized</w:t>
            </w:r>
          </w:p>
        </w:tc>
      </w:tr>
      <w:tr>
        <w:trPr>
          <w:trHeight w:val="123"/>
        </w:trPr>
        <w:tc>
          <w:tcPr>
            <w:tcW w:w="5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w w:val="98"/>
              </w:rPr>
              <w:t>(000’s)</w:t>
            </w:r>
          </w:p>
        </w:tc>
        <w:tc>
          <w:tcPr>
            <w:tcW w:w="4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20"/>
              <w:spacing w:after="0" w:line="123" w:lineRule="exact"/>
              <w:rPr>
                <w:sz w:val="20"/>
                <w:szCs w:val="20"/>
                <w:color w:val="auto"/>
              </w:rPr>
            </w:pPr>
            <w:r>
              <w:rPr>
                <w:rFonts w:ascii="Arial" w:cs="Arial" w:eastAsia="Arial" w:hAnsi="Arial"/>
                <w:sz w:val="14"/>
                <w:szCs w:val="14"/>
                <w:color w:val="auto"/>
                <w:w w:val="93"/>
              </w:rPr>
              <w:t>(000’s)</w:t>
            </w: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(000’s)</w:t>
            </w: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Amount</w:t>
            </w: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Ratio</w:t>
            </w:r>
          </w:p>
        </w:tc>
        <w:tc>
          <w:tcPr>
            <w:tcW w:w="920" w:type="dxa"/>
            <w:vAlign w:val="bottom"/>
            <w:gridSpan w:val="3"/>
          </w:tcPr>
          <w:p>
            <w:pPr>
              <w:jc w:val="center"/>
              <w:ind w:right="320"/>
              <w:spacing w:after="0"/>
              <w:rPr>
                <w:sz w:val="20"/>
                <w:szCs w:val="20"/>
                <w:color w:val="auto"/>
              </w:rPr>
            </w:pPr>
            <w:r>
              <w:rPr>
                <w:rFonts w:ascii="Arial" w:cs="Arial" w:eastAsia="Arial" w:hAnsi="Arial"/>
                <w:sz w:val="14"/>
                <w:szCs w:val="14"/>
                <w:color w:val="auto"/>
                <w:w w:val="99"/>
              </w:rPr>
              <w:t>Amount</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Ratio</w:t>
            </w: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Amount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Ratio</w:t>
            </w: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2015</w:t>
            </w:r>
          </w:p>
        </w:tc>
        <w:tc>
          <w:tcPr>
            <w:tcW w:w="1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Common Equity Tier 1 Capital (to Risk Weighted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$ 115,386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14.18%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$36,626</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96,231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11.87%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36,494</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4.50%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$52,714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 Capital (to Risk Weighted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Consolidated</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121,651</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rPr>
              <w:t>14.95%</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65,113</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8.00%</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Farmers &amp; Merchants State Bank</w:t>
            </w:r>
          </w:p>
        </w:tc>
        <w:tc>
          <w:tcPr>
            <w:tcW w:w="2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102,496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12.64%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64,879</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8.00%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81,099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115,386</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14.18%</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48,834</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6.00%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96,231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11.87%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48,659</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6.00%</w:t>
            </w: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64,879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 Capital (to Adjusted Total Assets)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Consolidated</w:t>
            </w:r>
          </w:p>
        </w:tc>
        <w:tc>
          <w:tcPr>
            <w:tcW w:w="2100" w:type="dxa"/>
            <w:vAlign w:val="bottom"/>
            <w:gridSpan w:val="3"/>
          </w:tcPr>
          <w:p>
            <w:pPr>
              <w:jc w:val="right"/>
              <w:ind w:right="300"/>
              <w:spacing w:after="0"/>
              <w:rPr>
                <w:sz w:val="20"/>
                <w:szCs w:val="20"/>
                <w:color w:val="auto"/>
              </w:rPr>
            </w:pPr>
            <w:r>
              <w:rPr>
                <w:rFonts w:ascii="Arial" w:cs="Arial" w:eastAsia="Arial" w:hAnsi="Arial"/>
                <w:sz w:val="18"/>
                <w:szCs w:val="18"/>
                <w:color w:val="auto"/>
              </w:rPr>
              <w:t>115,386</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11.91%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38,752</w:t>
            </w:r>
          </w:p>
        </w:tc>
        <w:tc>
          <w:tcPr>
            <w:tcW w:w="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4.00%</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Farmers &amp; Merchants State Bank</w:t>
            </w:r>
          </w:p>
        </w:tc>
        <w:tc>
          <w:tcPr>
            <w:tcW w:w="2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96,231</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38,019</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4.00%</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47,524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Restrictions of Dividends &amp; Inter-company Borrowings</w:t>
      </w:r>
    </w:p>
    <w:p>
      <w:pPr>
        <w:spacing w:after="0" w:line="121"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w:t>
      </w:r>
    </w:p>
    <w:p>
      <w:pPr>
        <w:ind w:left="460" w:right="40"/>
        <w:spacing w:after="0" w:line="254" w:lineRule="auto"/>
        <w:rPr>
          <w:sz w:val="20"/>
          <w:szCs w:val="20"/>
          <w:color w:val="auto"/>
        </w:rPr>
      </w:pPr>
      <w:r>
        <w:rPr>
          <w:rFonts w:ascii="Arial" w:cs="Arial" w:eastAsia="Arial" w:hAnsi="Arial"/>
          <w:sz w:val="18"/>
          <w:szCs w:val="18"/>
          <w:color w:val="auto"/>
        </w:rPr>
        <w:t>$12.1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21"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 bearing deposits are estimated using discounted cash flow analyses based on current rates for similar types of deposits.</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Bearing Time Deposits</w:t>
      </w:r>
    </w:p>
    <w:p>
      <w:pPr>
        <w:spacing w:after="0" w:line="121"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 Available-for-sale</w:t>
      </w:r>
    </w:p>
    <w:p>
      <w:pPr>
        <w:spacing w:after="0" w:line="121"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Loans, net</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For net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left="460" w:right="8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Federal Funds Purchased and Securities Sold Under Agreement to Repurchase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of Federal Funds purchased and securities sold under agreement to repurchase approximates fair values.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FHLB Advances</w:t>
      </w:r>
    </w:p>
    <w:p>
      <w:pPr>
        <w:spacing w:after="0" w:line="121"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Accrued Interest Receivable and Payable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accrued interest approximate fair values.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 Balance Sheet Financial Instruments</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Fair values for off-balance-sheet, credit related financial instruments are based on fees currently charged to enter into similar agreements, taking into account the remaining terms of the agreements and the counterparties’ credit 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December 31, 2016 and 2015,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ind w:left="20"/>
              <w:spacing w:after="0" w:line="142" w:lineRule="exact"/>
              <w:rPr>
                <w:sz w:val="20"/>
                <w:szCs w:val="20"/>
                <w:color w:val="auto"/>
              </w:rPr>
            </w:pPr>
            <w:r>
              <w:rPr>
                <w:rFonts w:ascii="Arial" w:cs="Arial" w:eastAsia="Arial" w:hAnsi="Arial"/>
                <w:sz w:val="14"/>
                <w:szCs w:val="14"/>
                <w:color w:val="auto"/>
                <w:w w:val="92"/>
              </w:rPr>
              <w:t>December 2016</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w w:val="92"/>
              </w:rPr>
              <w:t>December 2015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0"/>
                <w:szCs w:val="10"/>
                <w:color w:val="auto"/>
              </w:rPr>
            </w:pPr>
          </w:p>
        </w:tc>
        <w:tc>
          <w:tcPr>
            <w:tcW w:w="62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1"/>
              </w:rPr>
              <w:t>Fair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w w:val="97"/>
              </w:rPr>
              <w:t>Level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Value</w:t>
            </w:r>
          </w:p>
        </w:tc>
        <w:tc>
          <w:tcPr>
            <w:tcW w:w="1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Level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28,322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28,322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20"/>
                <w:szCs w:val="20"/>
                <w:color w:val="auto"/>
              </w:rPr>
            </w:pPr>
            <w:r>
              <w:rPr>
                <w:rFonts w:ascii="Arial" w:cs="Arial" w:eastAsia="Arial" w:hAnsi="Arial"/>
                <w:sz w:val="18"/>
                <w:szCs w:val="18"/>
                <w:color w:val="auto"/>
              </w:rPr>
              <w:t>22,018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Interest-bearing time deposits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w w:val="99"/>
              </w:rPr>
              <w:t>Securities - available for sale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218,527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218,527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24,775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192,334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235,115</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235,115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38,505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189,258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7,352</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3,717</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753,365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755,412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755,412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679,821</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683,332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683,332</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3,589</w:t>
            </w:r>
          </w:p>
        </w:tc>
        <w:tc>
          <w:tcPr>
            <w:tcW w:w="20" w:type="dxa"/>
            <w:vAlign w:val="bottom"/>
            <w:shd w:val="clear" w:color="auto" w:fill="000000"/>
          </w:tcPr>
          <w:p>
            <w:pPr>
              <w:spacing w:after="0"/>
              <w:rPr>
                <w:sz w:val="18"/>
                <w:szCs w:val="18"/>
                <w:color w:val="auto"/>
              </w:rPr>
            </w:pPr>
          </w:p>
        </w:tc>
      </w:tr>
      <w:tr>
        <w:trPr>
          <w:trHeight w:val="324"/>
        </w:trPr>
        <w:tc>
          <w:tcPr>
            <w:tcW w:w="26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bearing Deposits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456,983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456,983</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456,983</w:t>
            </w:r>
          </w:p>
        </w:tc>
        <w:tc>
          <w:tcPr>
            <w:tcW w:w="120" w:type="dxa"/>
            <w:vAlign w:val="bottom"/>
            <w:tcBorders>
              <w:right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415,942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415,942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415,942</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w w:val="95"/>
              </w:rPr>
              <w:t>Non-interest bearing Deposits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186,390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186,390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186,390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171,112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171,112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171,112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198,830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199,658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199,658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184,285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184,308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184,308</w:t>
            </w:r>
          </w:p>
        </w:tc>
        <w:tc>
          <w:tcPr>
            <w:tcW w:w="20" w:type="dxa"/>
            <w:vAlign w:val="bottom"/>
            <w:shd w:val="clear" w:color="auto" w:fill="000000"/>
          </w:tcPr>
          <w:p>
            <w:pPr>
              <w:spacing w:after="0"/>
              <w:rPr>
                <w:sz w:val="18"/>
                <w:szCs w:val="18"/>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842,203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843,031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186,390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656,641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771,339</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771,362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171,112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600,250</w:t>
            </w:r>
          </w:p>
        </w:tc>
        <w:tc>
          <w:tcPr>
            <w:tcW w:w="2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107"/>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r>
      <w:tr>
        <w:trPr>
          <w:trHeight w:val="202"/>
        </w:trPr>
        <w:tc>
          <w:tcPr>
            <w:tcW w:w="26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Federal Funds purchased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6"/>
        </w:trPr>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sold under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30"/>
        </w:trPr>
        <w:tc>
          <w:tcPr>
            <w:tcW w:w="2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agreement to repurchase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70,324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78,815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78,815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78,815</w:t>
            </w:r>
          </w:p>
        </w:tc>
        <w:tc>
          <w:tcPr>
            <w:tcW w:w="20" w:type="dxa"/>
            <w:vAlign w:val="bottom"/>
            <w:shd w:val="clear" w:color="auto" w:fill="000000"/>
          </w:tcPr>
          <w:p>
            <w:pPr>
              <w:spacing w:after="0"/>
              <w:rPr>
                <w:sz w:val="20"/>
                <w:szCs w:val="20"/>
                <w:color w:val="auto"/>
              </w:rPr>
            </w:pPr>
          </w:p>
        </w:tc>
      </w:tr>
      <w:tr>
        <w:trPr>
          <w:trHeight w:val="202"/>
        </w:trPr>
        <w:tc>
          <w:tcPr>
            <w:tcW w:w="2660" w:type="dxa"/>
            <w:vAlign w:val="bottom"/>
          </w:tcPr>
          <w:p>
            <w:pPr>
              <w:ind w:left="360"/>
              <w:spacing w:after="0" w:line="201" w:lineRule="exact"/>
              <w:rPr>
                <w:sz w:val="20"/>
                <w:szCs w:val="20"/>
                <w:color w:val="auto"/>
              </w:rPr>
            </w:pPr>
            <w:r>
              <w:rPr>
                <w:rFonts w:ascii="Arial" w:cs="Arial" w:eastAsia="Arial" w:hAnsi="Arial"/>
                <w:sz w:val="18"/>
                <w:szCs w:val="18"/>
                <w:color w:val="auto"/>
              </w:rPr>
              <w:t>Federal Home Loan Bank</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30"/>
        </w:trPr>
        <w:tc>
          <w:tcPr>
            <w:tcW w:w="2660" w:type="dxa"/>
            <w:vAlign w:val="bottom"/>
          </w:tcPr>
          <w:p>
            <w:pPr>
              <w:ind w:left="540"/>
              <w:spacing w:after="0"/>
              <w:rPr>
                <w:sz w:val="20"/>
                <w:szCs w:val="20"/>
                <w:color w:val="auto"/>
              </w:rPr>
            </w:pPr>
            <w:r>
              <w:rPr>
                <w:rFonts w:ascii="Arial" w:cs="Arial" w:eastAsia="Arial" w:hAnsi="Arial"/>
                <w:sz w:val="18"/>
                <w:szCs w:val="18"/>
                <w:color w:val="auto"/>
              </w:rPr>
              <w:t>advances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10,041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9,986</w:t>
            </w:r>
          </w:p>
        </w:tc>
        <w:tc>
          <w:tcPr>
            <w:tcW w:w="20" w:type="dxa"/>
            <w:vAlign w:val="bottom"/>
            <w:shd w:val="clear" w:color="auto" w:fill="000000"/>
          </w:tcPr>
          <w:p>
            <w:pPr>
              <w:spacing w:after="0"/>
              <w:rPr>
                <w:sz w:val="20"/>
                <w:szCs w:val="20"/>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000000"/>
          </w:tcPr>
          <w:p>
            <w:pPr>
              <w:spacing w:after="0"/>
              <w:rPr>
                <w:sz w:val="18"/>
                <w:szCs w:val="18"/>
                <w:color w:val="auto"/>
              </w:rPr>
            </w:pPr>
          </w:p>
        </w:tc>
      </w:tr>
      <w:tr>
        <w:trPr>
          <w:trHeight w:val="365"/>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2016 and 2015, and the valuation techniques used by the Company to determine those fair values.</w:t>
      </w:r>
    </w:p>
    <w:p>
      <w:pPr>
        <w:spacing w:after="0" w:line="62"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62"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color w:val="auto"/>
        </w:rPr>
        <w:t>Available-for-sale securities - When quoted prices are available in an active market, securities are valued using the quoted price and are classified as Level 1. The quoted prices are not adjusted.</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73"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46"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73"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73"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2016 and December 31, 2015 segregated by level or the valuation inputs within the fair value hierarchy utilized to measure fair value.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Assest and Liabilities Measured at Fair Value on a Recurring Basis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23495</wp:posOffset>
            </wp:positionV>
            <wp:extent cx="38074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Quoted Prices in</w:t>
            </w:r>
          </w:p>
        </w:tc>
        <w:tc>
          <w:tcPr>
            <w:tcW w:w="52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Significant</w:t>
            </w:r>
          </w:p>
        </w:tc>
        <w:tc>
          <w:tcPr>
            <w:tcW w:w="26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Significant</w:t>
            </w: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7"/>
              </w:rPr>
              <w:t>Active Markets</w:t>
            </w:r>
          </w:p>
        </w:tc>
        <w:tc>
          <w:tcPr>
            <w:tcW w:w="5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Observable</w:t>
            </w: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for Identical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December 31, 2016</w:t>
            </w:r>
          </w:p>
        </w:tc>
        <w:tc>
          <w:tcPr>
            <w:tcW w:w="2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w w:val="93"/>
              </w:rPr>
              <w:t>Assets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(Level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(Level 3)</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Assets-(Securities Available for Sale)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0"/>
              </w:rPr>
              <w:t>24,775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48,461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1,418</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7"/>
              </w:rPr>
              <w:t>24,775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$ 192,334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1,418</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Quoted Prices in</w:t>
            </w:r>
          </w:p>
        </w:tc>
        <w:tc>
          <w:tcPr>
            <w:tcW w:w="520" w:type="dxa"/>
            <w:vAlign w:val="bottom"/>
          </w:tcPr>
          <w:p>
            <w:pPr>
              <w:spacing w:after="0"/>
              <w:rPr>
                <w:sz w:val="24"/>
                <w:szCs w:val="2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Significant</w:t>
            </w:r>
          </w:p>
        </w:tc>
        <w:tc>
          <w:tcPr>
            <w:tcW w:w="260" w:type="dxa"/>
            <w:vAlign w:val="bottom"/>
          </w:tcPr>
          <w:p>
            <w:pPr>
              <w:spacing w:after="0"/>
              <w:rPr>
                <w:sz w:val="24"/>
                <w:szCs w:val="2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Significant</w:t>
            </w: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7"/>
              </w:rPr>
              <w:t>Active Markets</w:t>
            </w:r>
          </w:p>
        </w:tc>
        <w:tc>
          <w:tcPr>
            <w:tcW w:w="5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Observable</w:t>
            </w:r>
          </w:p>
        </w:tc>
      </w:tr>
      <w:tr>
        <w:trPr>
          <w:trHeight w:val="149"/>
        </w:trPr>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for Identical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Inputs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December 31, 2015</w:t>
            </w:r>
          </w:p>
        </w:tc>
        <w:tc>
          <w:tcPr>
            <w:tcW w:w="2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color w:val="auto"/>
                <w:w w:val="93"/>
              </w:rPr>
              <w:t>Assets (Level 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(Level 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(Level 3)</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Assets-(Securities Available for Sale)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U.S. Treasury</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0"/>
              </w:rPr>
              <w:t>38,505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98,220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7,352</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7"/>
              </w:rPr>
              <w:t>38,505</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$ 189,258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7,352</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ind w:left="5220"/>
        <w:spacing w:after="0"/>
        <w:rPr>
          <w:sz w:val="20"/>
          <w:szCs w:val="20"/>
          <w:color w:val="auto"/>
        </w:rPr>
      </w:pPr>
      <w:r>
        <w:rPr>
          <w:rFonts w:ascii="Arial" w:cs="Arial" w:eastAsia="Arial" w:hAnsi="Arial"/>
          <w:sz w:val="14"/>
          <w:szCs w:val="14"/>
          <w:color w:val="auto"/>
        </w:rPr>
        <w:t>(In Thousands)</w:t>
      </w:r>
    </w:p>
    <w:p>
      <w:pPr>
        <w:jc w:val="center"/>
        <w:ind w:left="5220"/>
        <w:spacing w:after="0"/>
        <w:rPr>
          <w:sz w:val="20"/>
          <w:szCs w:val="20"/>
          <w:color w:val="auto"/>
        </w:rPr>
      </w:pPr>
      <w:r>
        <w:rPr>
          <w:rFonts w:ascii="Arial" w:cs="Arial" w:eastAsia="Arial" w:hAnsi="Arial"/>
          <w:sz w:val="14"/>
          <w:szCs w:val="14"/>
          <w:color w:val="auto"/>
        </w:rPr>
        <w:t>Fair Value Measurements Using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wp:posOffset>
            </wp:positionV>
            <wp:extent cx="26327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color w:val="auto"/>
        </w:rPr>
        <w:t>Unobservable Inputs (Level 3)</w:t>
      </w:r>
    </w:p>
    <w:tbl>
      <w:tblPr>
        <w:tblLayout w:type="fixed"/>
        <w:tblInd w:w="920" w:type="dxa"/>
        <w:tblCellMar>
          <w:top w:w="0" w:type="dxa"/>
          <w:left w:w="0" w:type="dxa"/>
          <w:bottom w:w="0" w:type="dxa"/>
          <w:right w:w="0" w:type="dxa"/>
        </w:tblCellMar>
      </w:tblPr>
      <w:tr>
        <w:trPr>
          <w:trHeight w:val="123"/>
        </w:trPr>
        <w:tc>
          <w:tcPr>
            <w:tcW w:w="3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16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9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c>
          <w:tcPr>
            <w:tcW w:w="16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color w:val="auto"/>
                <w:w w:val="92"/>
              </w:rPr>
              <w:t>Tax-Exempt</w:t>
            </w:r>
          </w:p>
        </w:tc>
        <w:tc>
          <w:tcPr>
            <w:tcW w:w="160" w:type="dxa"/>
            <w:vAlign w:val="bottom"/>
          </w:tcPr>
          <w:p>
            <w:pPr>
              <w:spacing w:after="0"/>
              <w:rPr>
                <w:sz w:val="14"/>
                <w:szCs w:val="14"/>
                <w:color w:val="auto"/>
              </w:rPr>
            </w:pPr>
          </w:p>
        </w:tc>
        <w:tc>
          <w:tcPr>
            <w:tcW w:w="1460" w:type="dxa"/>
            <w:vAlign w:val="bottom"/>
            <w:gridSpan w:val="2"/>
          </w:tcPr>
          <w:p>
            <w:pPr>
              <w:jc w:val="right"/>
              <w:ind w:right="940"/>
              <w:spacing w:after="0"/>
              <w:rPr>
                <w:sz w:val="20"/>
                <w:szCs w:val="20"/>
                <w:color w:val="auto"/>
              </w:rPr>
            </w:pPr>
            <w:r>
              <w:rPr>
                <w:rFonts w:ascii="Arial" w:cs="Arial" w:eastAsia="Arial" w:hAnsi="Arial"/>
                <w:sz w:val="14"/>
                <w:szCs w:val="14"/>
                <w:color w:val="auto"/>
              </w:rPr>
              <w:t>Taxable</w:t>
            </w: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Sales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860" w:type="dxa"/>
            <w:vAlign w:val="bottom"/>
            <w:vMerge w:val="restart"/>
          </w:tcPr>
          <w:p>
            <w:pPr>
              <w:jc w:val="right"/>
              <w:ind w:right="35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400" w:lineRule="exact"/>
        <w:rPr>
          <w:sz w:val="20"/>
          <w:szCs w:val="20"/>
          <w:color w:val="auto"/>
        </w:rPr>
      </w:pPr>
    </w:p>
    <w:p>
      <w:pPr>
        <w:jc w:val="center"/>
        <w:ind w:left="5260"/>
        <w:spacing w:after="0"/>
        <w:rPr>
          <w:sz w:val="20"/>
          <w:szCs w:val="20"/>
          <w:color w:val="auto"/>
        </w:rPr>
      </w:pPr>
      <w:r>
        <w:rPr>
          <w:rFonts w:ascii="Arial" w:cs="Arial" w:eastAsia="Arial" w:hAnsi="Arial"/>
          <w:sz w:val="14"/>
          <w:szCs w:val="14"/>
          <w:color w:val="auto"/>
        </w:rPr>
        <w:t>(In Thousands)</w:t>
      </w:r>
    </w:p>
    <w:p>
      <w:pPr>
        <w:jc w:val="center"/>
        <w:ind w:left="5260"/>
        <w:spacing w:after="0" w:line="231" w:lineRule="auto"/>
        <w:rPr>
          <w:sz w:val="20"/>
          <w:szCs w:val="20"/>
          <w:color w:val="auto"/>
        </w:rPr>
      </w:pPr>
      <w:r>
        <w:rPr>
          <w:rFonts w:ascii="Arial" w:cs="Arial" w:eastAsia="Arial" w:hAnsi="Arial"/>
          <w:sz w:val="14"/>
          <w:szCs w:val="14"/>
          <w:color w:val="auto"/>
        </w:rPr>
        <w:t>Fair Value Measurements Using Significant</w:t>
      </w:r>
    </w:p>
    <w:tbl>
      <w:tblPr>
        <w:tblLayout w:type="fixed"/>
        <w:tblInd w:w="92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color w:val="auto"/>
                <w:w w:val="94"/>
              </w:rPr>
              <w:t>Unobservable Inputs (Level 3)</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60" w:type="dxa"/>
            <w:vAlign w:val="bottom"/>
          </w:tcPr>
          <w:p>
            <w:pPr>
              <w:spacing w:after="0"/>
              <w:rPr>
                <w:sz w:val="10"/>
                <w:szCs w:val="10"/>
                <w:color w:val="auto"/>
              </w:rPr>
            </w:pPr>
          </w:p>
        </w:tc>
        <w:tc>
          <w:tcPr>
            <w:tcW w:w="10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580" w:type="dxa"/>
            <w:vAlign w:val="bottom"/>
            <w:gridSpan w:val="3"/>
          </w:tcPr>
          <w:p>
            <w:pPr>
              <w:jc w:val="center"/>
              <w:ind w:right="680"/>
              <w:spacing w:after="0" w:line="123" w:lineRule="exact"/>
              <w:rPr>
                <w:sz w:val="20"/>
                <w:szCs w:val="20"/>
                <w:color w:val="auto"/>
              </w:rPr>
            </w:pPr>
            <w:r>
              <w:rPr>
                <w:rFonts w:ascii="Arial" w:cs="Arial" w:eastAsia="Arial" w:hAnsi="Arial"/>
                <w:sz w:val="14"/>
                <w:szCs w:val="14"/>
                <w:color w:val="auto"/>
                <w:w w:val="92"/>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6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c>
          <w:tcPr>
            <w:tcW w:w="54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r>
      <w:tr>
        <w:trPr>
          <w:trHeight w:val="167"/>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92"/>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840"/>
              <w:spacing w:after="0"/>
              <w:rPr>
                <w:sz w:val="20"/>
                <w:szCs w:val="20"/>
                <w:color w:val="auto"/>
              </w:rPr>
            </w:pPr>
            <w:r>
              <w:rPr>
                <w:rFonts w:ascii="Arial" w:cs="Arial" w:eastAsia="Arial" w:hAnsi="Arial"/>
                <w:sz w:val="14"/>
                <w:szCs w:val="14"/>
                <w:color w:val="auto"/>
                <w:w w:val="92"/>
              </w:rPr>
              <w:t>Taxable</w:t>
            </w: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2015</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1,293</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Change in Market Value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4"/>
              </w:rPr>
              <w:t>1,448</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transfers between Levels 1, 2, and 3 during 2016 and 2015.</w:t>
      </w:r>
    </w:p>
    <w:p>
      <w:pPr>
        <w:spacing w:after="0" w:line="117" w:lineRule="exact"/>
        <w:rPr>
          <w:sz w:val="20"/>
          <w:szCs w:val="20"/>
          <w:color w:val="auto"/>
        </w:rPr>
      </w:pPr>
    </w:p>
    <w:p>
      <w:pPr>
        <w:ind w:left="460" w:right="20"/>
        <w:spacing w:after="0" w:line="276"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December 31, 2016 and 2015,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64" w:lineRule="exact"/>
        <w:rPr>
          <w:sz w:val="20"/>
          <w:szCs w:val="20"/>
          <w:color w:val="auto"/>
        </w:rPr>
      </w:pPr>
    </w:p>
    <w:p>
      <w:pPr>
        <w:ind w:left="460" w:right="380"/>
        <w:spacing w:after="0" w:line="264" w:lineRule="auto"/>
        <w:rPr>
          <w:sz w:val="20"/>
          <w:szCs w:val="20"/>
          <w:color w:val="auto"/>
        </w:rPr>
      </w:pPr>
      <w:r>
        <w:rPr>
          <w:rFonts w:ascii="Arial" w:cs="Arial" w:eastAsia="Arial" w:hAnsi="Arial"/>
          <w:sz w:val="18"/>
          <w:szCs w:val="18"/>
          <w:color w:val="auto"/>
        </w:rPr>
        <w:t>At December 31, 2016 and 2015, collateral dependent impaired loans categorized as Level 3 were $1.7 and $1.8 million, respectively. The specific allocation for collateral dependent impaired loans was $134.5 thousand as of December 31, 2016 and $329.3 thousand as of December 31, 2015, respectively, which are accounted for in the allowance for loan losses (see Note 4).</w:t>
      </w:r>
    </w:p>
    <w:p>
      <w:pPr>
        <w:spacing w:after="0" w:line="73" w:lineRule="exact"/>
        <w:rPr>
          <w:sz w:val="20"/>
          <w:szCs w:val="20"/>
          <w:color w:val="auto"/>
        </w:rPr>
      </w:pPr>
    </w:p>
    <w:p>
      <w:pPr>
        <w:ind w:left="460" w:right="60"/>
        <w:spacing w:after="0" w:line="257"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Assets Measured at Fair Value on a Nonrecurring Basis at December 31, 2016</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Quoted Prices in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Markets for</w:t>
            </w: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9"/>
              </w:rPr>
              <w:t>Significant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Balance at</w:t>
            </w:r>
          </w:p>
        </w:tc>
        <w:tc>
          <w:tcPr>
            <w:tcW w:w="12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Identical</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Observable Inputs</w:t>
            </w:r>
          </w:p>
        </w:tc>
        <w:tc>
          <w:tcPr>
            <w:tcW w:w="620" w:type="dxa"/>
            <w:vAlign w:val="bottom"/>
          </w:tcPr>
          <w:p>
            <w:pPr>
              <w:spacing w:after="0"/>
              <w:rPr>
                <w:sz w:val="12"/>
                <w:szCs w:val="12"/>
                <w:color w:val="auto"/>
              </w:rPr>
            </w:pPr>
          </w:p>
        </w:tc>
        <w:tc>
          <w:tcPr>
            <w:tcW w:w="12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1"/>
              </w:rPr>
              <w:t>Unobservable Inputs</w:t>
            </w:r>
          </w:p>
        </w:tc>
      </w:tr>
      <w:tr>
        <w:trPr>
          <w:trHeight w:val="167"/>
        </w:trPr>
        <w:tc>
          <w:tcPr>
            <w:tcW w:w="2780" w:type="dxa"/>
            <w:vAlign w:val="bottom"/>
          </w:tcPr>
          <w:p>
            <w:pPr>
              <w:spacing w:after="0"/>
              <w:rPr>
                <w:sz w:val="20"/>
                <w:szCs w:val="20"/>
                <w:color w:val="auto"/>
              </w:rPr>
            </w:pPr>
            <w:r>
              <w:rPr>
                <w:rFonts w:ascii="Arial" w:cs="Arial" w:eastAsia="Arial" w:hAnsi="Arial"/>
                <w:sz w:val="14"/>
                <w:szCs w:val="14"/>
                <w:color w:val="auto"/>
              </w:rPr>
              <w:t>($ in Thousands)</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4"/>
                <w:szCs w:val="14"/>
                <w:color w:val="auto"/>
                <w:w w:val="91"/>
              </w:rPr>
              <w:t>December 31, 2016</w:t>
            </w: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Assets (Level 1)</w:t>
            </w:r>
          </w:p>
        </w:tc>
        <w:tc>
          <w:tcPr>
            <w:tcW w:w="14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color w:val="auto"/>
                <w:w w:val="99"/>
              </w:rPr>
              <w:t>(Level 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195"/>
        </w:trPr>
        <w:tc>
          <w:tcPr>
            <w:tcW w:w="2780" w:type="dxa"/>
            <w:vAlign w:val="bottom"/>
          </w:tcPr>
          <w:p>
            <w:pPr>
              <w:spacing w:after="0" w:line="195" w:lineRule="exact"/>
              <w:rPr>
                <w:sz w:val="20"/>
                <w:szCs w:val="20"/>
                <w:color w:val="auto"/>
              </w:rPr>
            </w:pPr>
            <w:r>
              <w:rPr>
                <w:rFonts w:ascii="Arial" w:cs="Arial" w:eastAsia="Arial" w:hAnsi="Arial"/>
                <w:sz w:val="18"/>
                <w:szCs w:val="18"/>
                <w:color w:val="auto"/>
                <w:w w:val="95"/>
              </w:rPr>
              <w:t>Collateral dependent impaired loans</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576</w:t>
            </w:r>
          </w:p>
        </w:tc>
        <w:tc>
          <w:tcPr>
            <w:tcW w:w="6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576</w:t>
            </w:r>
          </w:p>
        </w:tc>
        <w:tc>
          <w:tcPr>
            <w:tcW w:w="20" w:type="dxa"/>
            <w:vAlign w:val="bottom"/>
          </w:tcPr>
          <w:p>
            <w:pPr>
              <w:spacing w:after="0"/>
              <w:rPr>
                <w:sz w:val="16"/>
                <w:szCs w:val="16"/>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w w:val="95"/>
              </w:rPr>
              <w:t>Other real estate owned - residential</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Total change in fair value</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662"/>
        </w:trPr>
        <w:tc>
          <w:tcPr>
            <w:tcW w:w="2780" w:type="dxa"/>
            <w:vAlign w:val="bottom"/>
          </w:tcPr>
          <w:p>
            <w:pPr>
              <w:spacing w:after="0"/>
              <w:rPr>
                <w:sz w:val="24"/>
                <w:szCs w:val="24"/>
                <w:color w:val="auto"/>
              </w:rPr>
            </w:pPr>
          </w:p>
        </w:tc>
        <w:tc>
          <w:tcPr>
            <w:tcW w:w="5740" w:type="dxa"/>
            <w:vAlign w:val="bottom"/>
            <w:gridSpan w:val="13"/>
          </w:tcPr>
          <w:p>
            <w:pPr>
              <w:ind w:left="60"/>
              <w:spacing w:after="0"/>
              <w:rPr>
                <w:sz w:val="20"/>
                <w:szCs w:val="20"/>
                <w:color w:val="auto"/>
              </w:rPr>
            </w:pPr>
            <w:r>
              <w:rPr>
                <w:rFonts w:ascii="Arial" w:cs="Arial" w:eastAsia="Arial" w:hAnsi="Arial"/>
                <w:sz w:val="18"/>
                <w:szCs w:val="18"/>
                <w:color w:val="auto"/>
                <w:w w:val="90"/>
              </w:rPr>
              <w:t>Assets Measured at Fair Value on a Nonrecurring Basis at December 31, 2015</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4"/>
                <w:szCs w:val="14"/>
                <w:color w:val="auto"/>
                <w:w w:val="92"/>
              </w:rPr>
              <w:t>Quoted Prices in</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4"/>
              </w:rPr>
              <w:t>Markets for</w:t>
            </w: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9"/>
              </w:rPr>
              <w:t>Significant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Balance at</w:t>
            </w:r>
          </w:p>
        </w:tc>
        <w:tc>
          <w:tcPr>
            <w:tcW w:w="120" w:type="dxa"/>
            <w:vAlign w:val="bottom"/>
          </w:tcPr>
          <w:p>
            <w:pPr>
              <w:spacing w:after="0"/>
              <w:rPr>
                <w:sz w:val="12"/>
                <w:szCs w:val="12"/>
                <w:color w:val="auto"/>
              </w:rPr>
            </w:pPr>
          </w:p>
        </w:tc>
        <w:tc>
          <w:tcPr>
            <w:tcW w:w="14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Identical</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Observable Inputs</w:t>
            </w:r>
          </w:p>
        </w:tc>
        <w:tc>
          <w:tcPr>
            <w:tcW w:w="620" w:type="dxa"/>
            <w:vAlign w:val="bottom"/>
          </w:tcPr>
          <w:p>
            <w:pPr>
              <w:spacing w:after="0"/>
              <w:rPr>
                <w:sz w:val="12"/>
                <w:szCs w:val="12"/>
                <w:color w:val="auto"/>
              </w:rPr>
            </w:pPr>
          </w:p>
        </w:tc>
        <w:tc>
          <w:tcPr>
            <w:tcW w:w="12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1"/>
              </w:rPr>
              <w:t>Unobservable Inputs</w:t>
            </w:r>
          </w:p>
        </w:tc>
      </w:tr>
      <w:tr>
        <w:trPr>
          <w:trHeight w:val="167"/>
        </w:trPr>
        <w:tc>
          <w:tcPr>
            <w:tcW w:w="2780" w:type="dxa"/>
            <w:vAlign w:val="bottom"/>
          </w:tcPr>
          <w:p>
            <w:pPr>
              <w:spacing w:after="0"/>
              <w:rPr>
                <w:sz w:val="20"/>
                <w:szCs w:val="20"/>
                <w:color w:val="auto"/>
              </w:rPr>
            </w:pPr>
            <w:r>
              <w:rPr>
                <w:rFonts w:ascii="Arial" w:cs="Arial" w:eastAsia="Arial" w:hAnsi="Arial"/>
                <w:sz w:val="14"/>
                <w:szCs w:val="14"/>
                <w:color w:val="auto"/>
              </w:rPr>
              <w:t>($ in Thousands)</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3"/>
          </w:tcPr>
          <w:p>
            <w:pPr>
              <w:jc w:val="right"/>
              <w:ind w:right="620"/>
              <w:spacing w:after="0"/>
              <w:rPr>
                <w:sz w:val="20"/>
                <w:szCs w:val="20"/>
                <w:color w:val="auto"/>
              </w:rPr>
            </w:pPr>
            <w:r>
              <w:rPr>
                <w:rFonts w:ascii="Arial" w:cs="Arial" w:eastAsia="Arial" w:hAnsi="Arial"/>
                <w:sz w:val="14"/>
                <w:szCs w:val="14"/>
                <w:color w:val="auto"/>
                <w:w w:val="91"/>
              </w:rPr>
              <w:t>December 31, 2015</w:t>
            </w: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Assets (Level 1)</w:t>
            </w:r>
          </w:p>
        </w:tc>
        <w:tc>
          <w:tcPr>
            <w:tcW w:w="14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color w:val="auto"/>
                <w:w w:val="99"/>
              </w:rPr>
              <w:t>(Level 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(Level 3)</w:t>
            </w:r>
          </w:p>
        </w:tc>
      </w:tr>
      <w:tr>
        <w:trPr>
          <w:trHeight w:val="195"/>
        </w:trPr>
        <w:tc>
          <w:tcPr>
            <w:tcW w:w="2780" w:type="dxa"/>
            <w:vAlign w:val="bottom"/>
          </w:tcPr>
          <w:p>
            <w:pPr>
              <w:spacing w:after="0" w:line="195" w:lineRule="exact"/>
              <w:rPr>
                <w:sz w:val="20"/>
                <w:szCs w:val="20"/>
                <w:color w:val="auto"/>
              </w:rPr>
            </w:pPr>
            <w:r>
              <w:rPr>
                <w:rFonts w:ascii="Arial" w:cs="Arial" w:eastAsia="Arial" w:hAnsi="Arial"/>
                <w:sz w:val="18"/>
                <w:szCs w:val="18"/>
                <w:color w:val="auto"/>
                <w:w w:val="95"/>
              </w:rPr>
              <w:t>Collateral dependent impaired loans</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549</w:t>
            </w:r>
          </w:p>
        </w:tc>
        <w:tc>
          <w:tcPr>
            <w:tcW w:w="6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549</w:t>
            </w:r>
          </w:p>
        </w:tc>
        <w:tc>
          <w:tcPr>
            <w:tcW w:w="20" w:type="dxa"/>
            <w:vAlign w:val="bottom"/>
          </w:tcPr>
          <w:p>
            <w:pPr>
              <w:spacing w:after="0"/>
              <w:rPr>
                <w:sz w:val="16"/>
                <w:szCs w:val="16"/>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w w:val="91"/>
              </w:rPr>
              <w:t>Other real estate owned - commercial</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Total change in fair value</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19"/>
        </w:trPr>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500"/>
              <w:spacing w:after="0"/>
              <w:rPr>
                <w:sz w:val="20"/>
                <w:szCs w:val="20"/>
                <w:color w:val="auto"/>
              </w:rPr>
            </w:pPr>
            <w:r>
              <w:rPr>
                <w:rFonts w:ascii="Arial" w:cs="Arial" w:eastAsia="Arial" w:hAnsi="Arial"/>
                <w:sz w:val="18"/>
                <w:szCs w:val="18"/>
                <w:color w:val="auto"/>
              </w:rPr>
              <w:t>91</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-2100580</wp:posOffset>
            </wp:positionV>
            <wp:extent cx="72466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right="96"/>
        <w:spacing w:after="0"/>
        <w:rPr>
          <w:sz w:val="20"/>
          <w:szCs w:val="20"/>
          <w:color w:val="auto"/>
        </w:rPr>
      </w:pPr>
      <w:r>
        <w:rPr>
          <w:rFonts w:ascii="Arial" w:cs="Arial" w:eastAsia="Arial" w:hAnsi="Arial"/>
          <w:sz w:val="14"/>
          <w:szCs w:val="14"/>
          <w:color w:val="auto"/>
        </w:rPr>
        <w:t>Change in</w:t>
      </w:r>
    </w:p>
    <w:p>
      <w:pPr>
        <w:jc w:val="center"/>
        <w:ind w:right="96"/>
        <w:spacing w:after="0" w:line="221" w:lineRule="auto"/>
        <w:rPr>
          <w:sz w:val="20"/>
          <w:szCs w:val="20"/>
          <w:color w:val="auto"/>
        </w:rPr>
      </w:pPr>
      <w:r>
        <w:rPr>
          <w:rFonts w:ascii="Arial" w:cs="Arial" w:eastAsia="Arial" w:hAnsi="Arial"/>
          <w:sz w:val="14"/>
          <w:szCs w:val="14"/>
          <w:color w:val="auto"/>
        </w:rPr>
        <w:t>fair value for</w:t>
      </w:r>
    </w:p>
    <w:p>
      <w:pPr>
        <w:ind w:left="24" w:right="120" w:hanging="7"/>
        <w:spacing w:after="0" w:line="277" w:lineRule="auto"/>
        <w:rPr>
          <w:sz w:val="20"/>
          <w:szCs w:val="20"/>
          <w:color w:val="auto"/>
        </w:rPr>
      </w:pPr>
      <w:r>
        <w:rPr>
          <w:rFonts w:ascii="Arial" w:cs="Arial" w:eastAsia="Arial" w:hAnsi="Arial"/>
          <w:sz w:val="12"/>
          <w:szCs w:val="12"/>
          <w:color w:val="auto"/>
        </w:rPr>
        <w:t xml:space="preserve">twelve-month period </w:t>
      </w:r>
      <w:r>
        <w:rPr>
          <w:rFonts w:ascii="Arial" w:cs="Arial" w:eastAsia="Arial" w:hAnsi="Arial"/>
          <w:sz w:val="12"/>
          <w:szCs w:val="12"/>
          <w:u w:val="single" w:color="auto"/>
          <w:color w:val="auto"/>
        </w:rPr>
        <w:t>ended Dec. 31, 2016</w:t>
      </w:r>
    </w:p>
    <w:p>
      <w:pPr>
        <w:ind w:left="744" w:hanging="744"/>
        <w:spacing w:after="0"/>
        <w:tabs>
          <w:tab w:leader="none" w:pos="744" w:val="left"/>
        </w:tabs>
        <w:numPr>
          <w:ilvl w:val="0"/>
          <w:numId w:val="13"/>
        </w:numPr>
        <w:rPr>
          <w:rFonts w:ascii="Arial" w:cs="Arial" w:eastAsia="Arial" w:hAnsi="Arial"/>
          <w:sz w:val="17"/>
          <w:szCs w:val="17"/>
          <w:color w:val="auto"/>
        </w:rPr>
      </w:pPr>
      <w:r>
        <w:rPr>
          <w:rFonts w:ascii="Arial" w:cs="Arial" w:eastAsia="Arial" w:hAnsi="Arial"/>
          <w:sz w:val="17"/>
          <w:szCs w:val="17"/>
          <w:color w:val="auto"/>
        </w:rPr>
        <w:t>(1,564)</w:t>
      </w:r>
    </w:p>
    <w:p>
      <w:pPr>
        <w:spacing w:after="0" w:line="19" w:lineRule="exact"/>
        <w:rPr>
          <w:rFonts w:ascii="Arial" w:cs="Arial" w:eastAsia="Arial" w:hAnsi="Arial"/>
          <w:sz w:val="17"/>
          <w:szCs w:val="17"/>
          <w:color w:val="auto"/>
        </w:rPr>
      </w:pPr>
    </w:p>
    <w:p>
      <w:pPr>
        <w:ind w:left="1064"/>
        <w:spacing w:after="0"/>
        <w:rPr>
          <w:rFonts w:ascii="Arial" w:cs="Arial" w:eastAsia="Arial" w:hAnsi="Arial"/>
          <w:sz w:val="17"/>
          <w:szCs w:val="17"/>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71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 w:lineRule="exact"/>
        <w:rPr>
          <w:sz w:val="20"/>
          <w:szCs w:val="20"/>
          <w:color w:val="auto"/>
        </w:rPr>
      </w:pPr>
    </w:p>
    <w:p>
      <w:pPr>
        <w:ind w:left="744" w:hanging="744"/>
        <w:spacing w:after="0"/>
        <w:tabs>
          <w:tab w:leader="none" w:pos="7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(1,565)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715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7715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6"/>
        <w:spacing w:after="0"/>
        <w:rPr>
          <w:sz w:val="20"/>
          <w:szCs w:val="20"/>
          <w:color w:val="auto"/>
        </w:rPr>
      </w:pPr>
      <w:r>
        <w:rPr>
          <w:rFonts w:ascii="Arial" w:cs="Arial" w:eastAsia="Arial" w:hAnsi="Arial"/>
          <w:sz w:val="14"/>
          <w:szCs w:val="14"/>
          <w:color w:val="auto"/>
        </w:rPr>
        <w:t>Change in</w:t>
      </w:r>
    </w:p>
    <w:p>
      <w:pPr>
        <w:jc w:val="center"/>
        <w:ind w:right="96"/>
        <w:spacing w:after="0" w:line="221" w:lineRule="auto"/>
        <w:rPr>
          <w:sz w:val="20"/>
          <w:szCs w:val="20"/>
          <w:color w:val="auto"/>
        </w:rPr>
      </w:pPr>
      <w:r>
        <w:rPr>
          <w:rFonts w:ascii="Arial" w:cs="Arial" w:eastAsia="Arial" w:hAnsi="Arial"/>
          <w:sz w:val="14"/>
          <w:szCs w:val="14"/>
          <w:color w:val="auto"/>
        </w:rPr>
        <w:t>fair value for</w:t>
      </w:r>
    </w:p>
    <w:p>
      <w:pPr>
        <w:ind w:left="24" w:right="120" w:hanging="7"/>
        <w:spacing w:after="0" w:line="277" w:lineRule="auto"/>
        <w:rPr>
          <w:sz w:val="20"/>
          <w:szCs w:val="20"/>
          <w:color w:val="auto"/>
        </w:rPr>
      </w:pPr>
      <w:r>
        <w:rPr>
          <w:rFonts w:ascii="Arial" w:cs="Arial" w:eastAsia="Arial" w:hAnsi="Arial"/>
          <w:sz w:val="12"/>
          <w:szCs w:val="12"/>
          <w:color w:val="auto"/>
        </w:rPr>
        <w:t xml:space="preserve">twelve-month period </w:t>
      </w:r>
      <w:r>
        <w:rPr>
          <w:rFonts w:ascii="Arial" w:cs="Arial" w:eastAsia="Arial" w:hAnsi="Arial"/>
          <w:sz w:val="12"/>
          <w:szCs w:val="12"/>
          <w:u w:val="single" w:color="auto"/>
          <w:color w:val="auto"/>
        </w:rPr>
        <w:t>ended Dec. 31, 2015</w:t>
      </w:r>
    </w:p>
    <w:p>
      <w:pPr>
        <w:ind w:left="984" w:hanging="984"/>
        <w:spacing w:after="0"/>
        <w:tabs>
          <w:tab w:leader="none" w:pos="9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(17)</w:t>
      </w:r>
    </w:p>
    <w:p>
      <w:pPr>
        <w:spacing w:after="0" w:line="30"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715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984" w:hanging="984"/>
        <w:spacing w:after="0"/>
        <w:tabs>
          <w:tab w:leader="none" w:pos="9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715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715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2">
            <w:col w:w="9480" w:space="616"/>
            <w:col w:w="1324"/>
          </w:cols>
          <w:pgMar w:left="240" w:top="459"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quantitative information about unobservable inputs used in recurring and nonrecurring Level 3 fair value measurements:</w:t>
      </w: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w w:val="95"/>
              </w:rPr>
              <w:t>Fair Value at</w:t>
            </w:r>
          </w:p>
        </w:tc>
        <w:tc>
          <w:tcPr>
            <w:tcW w:w="260" w:type="dxa"/>
            <w:vAlign w:val="bottom"/>
          </w:tcPr>
          <w:p>
            <w:pPr>
              <w:spacing w:after="0"/>
              <w:rPr>
                <w:sz w:val="14"/>
                <w:szCs w:val="14"/>
                <w:color w:val="auto"/>
              </w:rPr>
            </w:pPr>
          </w:p>
        </w:tc>
        <w:tc>
          <w:tcPr>
            <w:tcW w:w="2580" w:type="dxa"/>
            <w:vAlign w:val="bottom"/>
            <w:gridSpan w:val="2"/>
            <w:vMerge w:val="restart"/>
          </w:tcPr>
          <w:p>
            <w:pPr>
              <w:ind w:left="480"/>
              <w:spacing w:after="0"/>
              <w:rPr>
                <w:sz w:val="20"/>
                <w:szCs w:val="20"/>
                <w:color w:val="auto"/>
              </w:rPr>
            </w:pPr>
            <w:r>
              <w:rPr>
                <w:rFonts w:ascii="Arial" w:cs="Arial" w:eastAsia="Arial" w:hAnsi="Arial"/>
                <w:sz w:val="14"/>
                <w:szCs w:val="14"/>
                <w:color w:val="auto"/>
              </w:rPr>
              <w:t>Valuation Technique</w:t>
            </w:r>
          </w:p>
        </w:tc>
        <w:tc>
          <w:tcPr>
            <w:tcW w:w="2580" w:type="dxa"/>
            <w:vAlign w:val="bottom"/>
            <w:gridSpan w:val="2"/>
            <w:vMerge w:val="restart"/>
          </w:tcPr>
          <w:p>
            <w:pPr>
              <w:ind w:left="480"/>
              <w:spacing w:after="0"/>
              <w:rPr>
                <w:sz w:val="20"/>
                <w:szCs w:val="20"/>
                <w:color w:val="auto"/>
              </w:rPr>
            </w:pPr>
            <w:r>
              <w:rPr>
                <w:rFonts w:ascii="Arial" w:cs="Arial" w:eastAsia="Arial" w:hAnsi="Arial"/>
                <w:sz w:val="14"/>
                <w:szCs w:val="14"/>
                <w:color w:val="auto"/>
              </w:rPr>
              <w:t>Unobservable Inputs</w:t>
            </w:r>
          </w:p>
        </w:tc>
        <w:tc>
          <w:tcPr>
            <w:tcW w:w="860" w:type="dxa"/>
            <w:vAlign w:val="bottom"/>
            <w:gridSpan w:val="2"/>
          </w:tcPr>
          <w:p>
            <w:pPr>
              <w:jc w:val="center"/>
              <w:ind w:right="17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December 31, 2016</w:t>
            </w:r>
          </w:p>
        </w:tc>
        <w:tc>
          <w:tcPr>
            <w:tcW w:w="26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82"/>
        </w:trPr>
        <w:tc>
          <w:tcPr>
            <w:tcW w:w="2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State and local government</w:t>
            </w: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1,418</w:t>
            </w: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Discounted Cash Flow</w:t>
            </w:r>
          </w:p>
        </w:tc>
        <w:tc>
          <w:tcPr>
            <w:tcW w:w="4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Credit strength of underlying</w:t>
            </w:r>
          </w:p>
        </w:tc>
        <w:tc>
          <w:tcPr>
            <w:tcW w:w="4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0-5</w:t>
            </w:r>
          </w:p>
        </w:tc>
        <w:tc>
          <w:tcPr>
            <w:tcW w:w="260" w:type="dxa"/>
            <w:vAlign w:val="bottom"/>
            <w:tcBorders>
              <w:top w:val="single" w:sz="8" w:color="CCEEFF"/>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or entity / Discount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w:t>
            </w: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Collateral dependent Impaired</w:t>
            </w:r>
          </w:p>
        </w:tc>
        <w:tc>
          <w:tcPr>
            <w:tcW w:w="160" w:type="dxa"/>
            <w:vAlign w:val="bottom"/>
          </w:tcPr>
          <w:p>
            <w:pPr>
              <w:spacing w:after="0"/>
              <w:rPr>
                <w:sz w:val="17"/>
                <w:szCs w:val="17"/>
                <w:color w:val="auto"/>
              </w:rPr>
            </w:pPr>
          </w:p>
        </w:tc>
        <w:tc>
          <w:tcPr>
            <w:tcW w:w="12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576</w:t>
            </w:r>
          </w:p>
        </w:tc>
        <w:tc>
          <w:tcPr>
            <w:tcW w:w="28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Collateral based</w:t>
            </w: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Discount to reflect current</w:t>
            </w:r>
          </w:p>
        </w:tc>
        <w:tc>
          <w:tcPr>
            <w:tcW w:w="8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measurements</w:t>
            </w:r>
          </w:p>
        </w:tc>
        <w:tc>
          <w:tcPr>
            <w:tcW w:w="2580" w:type="dxa"/>
            <w:vAlign w:val="bottom"/>
            <w:gridSpan w:val="2"/>
          </w:tcPr>
          <w:p>
            <w:pPr>
              <w:spacing w:after="0"/>
              <w:rPr>
                <w:sz w:val="20"/>
                <w:szCs w:val="20"/>
                <w:color w:val="auto"/>
              </w:rPr>
            </w:pPr>
            <w:r>
              <w:rPr>
                <w:rFonts w:ascii="Arial" w:cs="Arial" w:eastAsia="Arial" w:hAnsi="Arial"/>
                <w:sz w:val="18"/>
                <w:szCs w:val="18"/>
                <w:color w:val="auto"/>
              </w:rPr>
              <w:t>market conditions and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ultimate collectability</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144</w:t>
            </w:r>
          </w:p>
        </w:tc>
        <w:tc>
          <w:tcPr>
            <w:tcW w:w="28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Appraisals</w:t>
            </w: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86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346"/>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2"/>
          </w:tcPr>
          <w:p>
            <w:pPr>
              <w:jc w:val="center"/>
              <w:ind w:right="17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5"/>
              </w:rPr>
              <w:t>Fair Value at</w:t>
            </w: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17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242"/>
        </w:trPr>
        <w:tc>
          <w:tcPr>
            <w:tcW w:w="282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color w:val="auto"/>
              </w:rPr>
              <w:t>December 31, 2015</w:t>
            </w:r>
          </w:p>
        </w:tc>
        <w:tc>
          <w:tcPr>
            <w:tcW w:w="260" w:type="dxa"/>
            <w:vAlign w:val="bottom"/>
          </w:tcPr>
          <w:p>
            <w:pPr>
              <w:spacing w:after="0"/>
              <w:rPr>
                <w:sz w:val="21"/>
                <w:szCs w:val="21"/>
                <w:color w:val="auto"/>
              </w:rPr>
            </w:pPr>
          </w:p>
        </w:tc>
        <w:tc>
          <w:tcPr>
            <w:tcW w:w="2580" w:type="dxa"/>
            <w:vAlign w:val="bottom"/>
            <w:gridSpan w:val="2"/>
          </w:tcPr>
          <w:p>
            <w:pPr>
              <w:ind w:left="480"/>
              <w:spacing w:after="0"/>
              <w:rPr>
                <w:sz w:val="20"/>
                <w:szCs w:val="20"/>
                <w:color w:val="auto"/>
              </w:rPr>
            </w:pPr>
            <w:r>
              <w:rPr>
                <w:rFonts w:ascii="Arial" w:cs="Arial" w:eastAsia="Arial" w:hAnsi="Arial"/>
                <w:sz w:val="14"/>
                <w:szCs w:val="14"/>
                <w:color w:val="auto"/>
              </w:rPr>
              <w:t>Valuation Technique</w:t>
            </w:r>
          </w:p>
        </w:tc>
        <w:tc>
          <w:tcPr>
            <w:tcW w:w="2580" w:type="dxa"/>
            <w:vAlign w:val="bottom"/>
            <w:gridSpan w:val="2"/>
          </w:tcPr>
          <w:p>
            <w:pPr>
              <w:spacing w:after="0"/>
              <w:rPr>
                <w:sz w:val="20"/>
                <w:szCs w:val="20"/>
                <w:color w:val="auto"/>
              </w:rPr>
            </w:pPr>
            <w:r>
              <w:rPr>
                <w:rFonts w:ascii="Arial" w:cs="Arial" w:eastAsia="Arial" w:hAnsi="Arial"/>
                <w:sz w:val="18"/>
                <w:szCs w:val="18"/>
                <w:color w:val="auto"/>
              </w:rPr>
              <w:t>Unobservable Inputs</w:t>
            </w:r>
          </w:p>
        </w:tc>
        <w:tc>
          <w:tcPr>
            <w:tcW w:w="860" w:type="dxa"/>
            <w:vAlign w:val="bottom"/>
            <w:gridSpan w:val="2"/>
          </w:tcPr>
          <w:p>
            <w:pPr>
              <w:jc w:val="center"/>
              <w:ind w:right="17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88"/>
        </w:trPr>
        <w:tc>
          <w:tcPr>
            <w:tcW w:w="28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State and local government</w:t>
            </w: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7,352</w:t>
            </w: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Discounted Cash Flow</w:t>
            </w:r>
          </w:p>
        </w:tc>
        <w:tc>
          <w:tcPr>
            <w:tcW w:w="44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Credit strength of underlying</w:t>
            </w:r>
          </w:p>
        </w:tc>
        <w:tc>
          <w:tcPr>
            <w:tcW w:w="4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260" w:type="dxa"/>
            <w:vAlign w:val="bottom"/>
            <w:tcBorders>
              <w:top w:val="single" w:sz="8" w:color="CCEEFF"/>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or entity / Discount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w:t>
            </w: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Collateral dependent Impaired</w:t>
            </w:r>
          </w:p>
        </w:tc>
        <w:tc>
          <w:tcPr>
            <w:tcW w:w="160" w:type="dxa"/>
            <w:vAlign w:val="bottom"/>
          </w:tcPr>
          <w:p>
            <w:pPr>
              <w:spacing w:after="0"/>
              <w:rPr>
                <w:sz w:val="17"/>
                <w:szCs w:val="17"/>
                <w:color w:val="auto"/>
              </w:rPr>
            </w:pPr>
          </w:p>
        </w:tc>
        <w:tc>
          <w:tcPr>
            <w:tcW w:w="12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549</w:t>
            </w:r>
          </w:p>
        </w:tc>
        <w:tc>
          <w:tcPr>
            <w:tcW w:w="284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Collateral based</w:t>
            </w: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Discount to reflect current</w:t>
            </w:r>
          </w:p>
        </w:tc>
        <w:tc>
          <w:tcPr>
            <w:tcW w:w="8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8"/>
                <w:szCs w:val="18"/>
                <w:color w:val="auto"/>
              </w:rPr>
              <w:t>measurements</w:t>
            </w:r>
          </w:p>
        </w:tc>
        <w:tc>
          <w:tcPr>
            <w:tcW w:w="2580" w:type="dxa"/>
            <w:vAlign w:val="bottom"/>
            <w:gridSpan w:val="2"/>
          </w:tcPr>
          <w:p>
            <w:pPr>
              <w:spacing w:after="0"/>
              <w:rPr>
                <w:sz w:val="20"/>
                <w:szCs w:val="20"/>
                <w:color w:val="auto"/>
              </w:rPr>
            </w:pPr>
            <w:r>
              <w:rPr>
                <w:rFonts w:ascii="Arial" w:cs="Arial" w:eastAsia="Arial" w:hAnsi="Arial"/>
                <w:sz w:val="18"/>
                <w:szCs w:val="18"/>
                <w:color w:val="auto"/>
              </w:rPr>
              <w:t>market conditions and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ultimate collectability</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216</w:t>
            </w:r>
          </w:p>
        </w:tc>
        <w:tc>
          <w:tcPr>
            <w:tcW w:w="284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Appraisals</w:t>
            </w: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860" w:type="dxa"/>
            <w:vAlign w:val="bottom"/>
            <w:gridSpan w:val="2"/>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44"/>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bank owned life insurance, and mortgage servicing rights. The Company estimated the fair values of these assets utilizing Level 3 inputs, including, the discounted present value of expected future cash flows. At December 31, 2016, the Company estimates that there is no impairment of these assets and therefore, no impairment charge to other expense was required to adjust these assets to their estimated fair values.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Condensed Financial Statements of Parent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9"/>
          </w:tcPr>
          <w:p>
            <w:pPr>
              <w:jc w:val="right"/>
              <w:ind w:right="5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9"/>
              </w:rPr>
              <w:t>2015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Related party receivables: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Dividends &amp; Accounts receivable from subsidiaries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Municipals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Securities - Municipals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Arial" w:cs="Arial" w:eastAsia="Arial" w:hAnsi="Arial"/>
                <w:sz w:val="18"/>
                <w:szCs w:val="18"/>
                <w:color w:val="auto"/>
              </w:rPr>
              <w:t>17,290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106,044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3760"/>
              <w:spacing w:after="0"/>
              <w:rPr>
                <w:sz w:val="20"/>
                <w:szCs w:val="20"/>
                <w:color w:val="auto"/>
              </w:rPr>
            </w:pPr>
            <w:r>
              <w:rPr>
                <w:rFonts w:ascii="Arial" w:cs="Arial" w:eastAsia="Arial" w:hAnsi="Arial"/>
                <w:sz w:val="18"/>
                <w:szCs w:val="18"/>
                <w:b w:val="1"/>
                <w:bCs w:val="1"/>
                <w:color w:val="auto"/>
              </w:rPr>
              <w:t>Statements of Income and Comprehensive Income</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95"/>
              </w:rPr>
              <w:t>(In Thousands)</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Dividends from subsidiaries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6,220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Interest Municipals</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sales of available-for-sale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6,563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 and Equity in Undistributed Earnings of Subsidiaries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5,886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(Benefit)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6,074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undistributed earnings of Subsidiaries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11,664</w:t>
            </w:r>
          </w:p>
        </w:tc>
        <w:tc>
          <w:tcPr>
            <w:tcW w:w="1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10,340</w:t>
            </w:r>
          </w:p>
        </w:tc>
        <w:tc>
          <w:tcPr>
            <w:tcW w:w="18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Unrealized gains (losses) on securities</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(2,184)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10,108</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ind w:left="5620"/>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w w:val="95"/>
              </w:rPr>
              <w:t>(In Thousands)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2015</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11,664</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10,340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1080"/>
              <w:spacing w:after="0"/>
              <w:rPr>
                <w:sz w:val="20"/>
                <w:szCs w:val="20"/>
                <w:color w:val="auto"/>
              </w:rPr>
            </w:pPr>
            <w:r>
              <w:rPr>
                <w:rFonts w:ascii="Arial" w:cs="Arial" w:eastAsia="Arial" w:hAnsi="Arial"/>
                <w:sz w:val="18"/>
                <w:szCs w:val="18"/>
                <w:color w:val="auto"/>
              </w:rPr>
              <w:t>Equity in undistributed net income (Distributions in excess earnings) of subsidiaries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(5,835)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(4,087)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&amp; Amortization of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Gain on Sale of Available for Sale Securities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Dividends receivable</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(1,025)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900" w:type="dxa"/>
            <w:vAlign w:val="bottom"/>
          </w:tcPr>
          <w:p>
            <w:pPr>
              <w:ind w:left="1440"/>
              <w:spacing w:after="0"/>
              <w:rPr>
                <w:sz w:val="20"/>
                <w:szCs w:val="20"/>
                <w:color w:val="auto"/>
              </w:rPr>
            </w:pPr>
            <w:r>
              <w:rPr>
                <w:rFonts w:ascii="Arial" w:cs="Arial" w:eastAsia="Arial" w:hAnsi="Arial"/>
                <w:sz w:val="18"/>
                <w:szCs w:val="18"/>
                <w:color w:val="auto"/>
              </w:rPr>
              <w:t>Net Cash Provided by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in Subsidiaries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Activitiy in available for sale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prepayments and calls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(2,891)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Arial" w:cs="Arial" w:eastAsia="Arial" w:hAnsi="Arial"/>
                <w:sz w:val="18"/>
                <w:szCs w:val="18"/>
                <w:color w:val="auto"/>
              </w:rPr>
              <w:t>Repayment of Subsidiary Subordinated Debt</w:t>
            </w:r>
          </w:p>
        </w:tc>
        <w:tc>
          <w:tcPr>
            <w:tcW w:w="1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1440"/>
              <w:spacing w:after="0" w:line="201" w:lineRule="exact"/>
              <w:rPr>
                <w:sz w:val="20"/>
                <w:szCs w:val="20"/>
                <w:color w:val="auto"/>
              </w:rPr>
            </w:pPr>
            <w:r>
              <w:rPr>
                <w:rFonts w:ascii="Arial" w:cs="Arial" w:eastAsia="Arial" w:hAnsi="Arial"/>
                <w:sz w:val="18"/>
                <w:szCs w:val="18"/>
                <w:color w:val="auto"/>
              </w:rPr>
              <w:t>Net Cash used in Investing</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(1,406)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(1,502)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(3,862)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(4,309)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(4,438)</w:t>
            </w:r>
          </w:p>
        </w:tc>
        <w:tc>
          <w:tcPr>
            <w:tcW w:w="0" w:type="dxa"/>
            <w:vAlign w:val="bottom"/>
          </w:tcPr>
          <w:p>
            <w:pPr>
              <w:spacing w:after="0"/>
              <w:rPr>
                <w:sz w:val="1"/>
                <w:szCs w:val="1"/>
                <w:color w:val="auto"/>
              </w:rPr>
            </w:pPr>
          </w:p>
        </w:tc>
      </w:tr>
      <w:tr>
        <w:trPr>
          <w:trHeight w:val="223"/>
        </w:trPr>
        <w:tc>
          <w:tcPr>
            <w:tcW w:w="8900" w:type="dxa"/>
            <w:vAlign w:val="bottom"/>
          </w:tcPr>
          <w:p>
            <w:pPr>
              <w:ind w:left="1440"/>
              <w:spacing w:after="0"/>
              <w:rPr>
                <w:sz w:val="20"/>
                <w:szCs w:val="20"/>
                <w:color w:val="auto"/>
              </w:rPr>
            </w:pPr>
            <w:r>
              <w:rPr>
                <w:rFonts w:ascii="Arial" w:cs="Arial" w:eastAsia="Arial" w:hAnsi="Arial"/>
                <w:sz w:val="18"/>
                <w:szCs w:val="18"/>
                <w:color w:val="auto"/>
              </w:rPr>
              <w:t>Net Change in Cash and</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620"/>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2016, 2015, 2014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p>
      <w:pPr>
        <w:spacing w:after="0" w:line="162"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color w:val="auto"/>
        </w:rPr>
        <w:t>During the fourth quarter of 2014, the Company established a new subsidiary, Farmers &amp; Merchants Risk Management, Inc. which is a Captive insurance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Financial Data</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Quarterly Financial Data - UNAUDITED</w:t>
      </w:r>
    </w:p>
    <w:p>
      <w:pPr>
        <w:spacing w:after="0" w:line="247" w:lineRule="exact"/>
        <w:rPr>
          <w:sz w:val="20"/>
          <w:szCs w:val="20"/>
          <w:color w:val="auto"/>
        </w:rPr>
      </w:pPr>
    </w:p>
    <w:p>
      <w:pPr>
        <w:jc w:val="center"/>
        <w:ind w:left="5000"/>
        <w:spacing w:after="0"/>
        <w:rPr>
          <w:sz w:val="20"/>
          <w:szCs w:val="20"/>
          <w:color w:val="auto"/>
        </w:rPr>
      </w:pPr>
      <w:r>
        <w:rPr>
          <w:rFonts w:ascii="Arial" w:cs="Arial" w:eastAsia="Arial" w:hAnsi="Arial"/>
          <w:sz w:val="14"/>
          <w:szCs w:val="14"/>
          <w:color w:val="auto"/>
        </w:rPr>
        <w:t>(000’s omitted except per share data)</w:t>
      </w:r>
    </w:p>
    <w:p>
      <w:pPr>
        <w:jc w:val="center"/>
        <w:ind w:left="5000"/>
        <w:spacing w:after="0" w:line="231" w:lineRule="auto"/>
        <w:rPr>
          <w:sz w:val="20"/>
          <w:szCs w:val="20"/>
          <w:color w:val="auto"/>
        </w:rPr>
      </w:pPr>
      <w:r>
        <w:rPr>
          <w:rFonts w:ascii="Arial" w:cs="Arial" w:eastAsia="Arial" w:hAnsi="Arial"/>
          <w:sz w:val="14"/>
          <w:szCs w:val="14"/>
          <w:color w:val="auto"/>
        </w:rPr>
        <w:t>Quarter Ended in 2016</w:t>
      </w:r>
    </w:p>
    <w:tbl>
      <w:tblPr>
        <w:tblLayout w:type="fixed"/>
        <w:tblInd w:w="460" w:type="dxa"/>
        <w:tblCellMar>
          <w:top w:w="0" w:type="dxa"/>
          <w:left w:w="0" w:type="dxa"/>
          <w:bottom w:w="0" w:type="dxa"/>
          <w:right w:w="0" w:type="dxa"/>
        </w:tblCellMar>
      </w:tblPr>
      <w:tr>
        <w:trPr>
          <w:trHeight w:val="142"/>
        </w:trPr>
        <w:tc>
          <w:tcPr>
            <w:tcW w:w="5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860"/>
              <w:spacing w:after="0" w:line="142" w:lineRule="exact"/>
              <w:rPr>
                <w:sz w:val="20"/>
                <w:szCs w:val="20"/>
                <w:color w:val="auto"/>
              </w:rPr>
            </w:pPr>
            <w:r>
              <w:rPr>
                <w:rFonts w:ascii="Arial" w:cs="Arial" w:eastAsia="Arial" w:hAnsi="Arial"/>
                <w:sz w:val="14"/>
                <w:szCs w:val="14"/>
                <w:color w:val="auto"/>
              </w:rPr>
              <w:t>Mar 31</w:t>
            </w: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840"/>
              <w:spacing w:after="0" w:line="142" w:lineRule="exact"/>
              <w:rPr>
                <w:sz w:val="20"/>
                <w:szCs w:val="20"/>
                <w:color w:val="auto"/>
              </w:rPr>
            </w:pPr>
            <w:r>
              <w:rPr>
                <w:rFonts w:ascii="Arial" w:cs="Arial" w:eastAsia="Arial" w:hAnsi="Arial"/>
                <w:sz w:val="14"/>
                <w:szCs w:val="14"/>
                <w:color w:val="auto"/>
              </w:rPr>
              <w:t>June 30</w:t>
            </w: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860"/>
              <w:spacing w:after="0" w:line="142" w:lineRule="exact"/>
              <w:rPr>
                <w:sz w:val="20"/>
                <w:szCs w:val="20"/>
                <w:color w:val="auto"/>
              </w:rPr>
            </w:pPr>
            <w:r>
              <w:rPr>
                <w:rFonts w:ascii="Arial" w:cs="Arial" w:eastAsia="Arial" w:hAnsi="Arial"/>
                <w:sz w:val="14"/>
                <w:szCs w:val="14"/>
                <w:color w:val="auto"/>
              </w:rPr>
              <w:t>Sep 30</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9,004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9,387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interest income after provision of loan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4,609,226</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4,605,534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4,612,766</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4,620,831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color w:val="auto"/>
              </w:rPr>
              <w:t>Quarter Ended in 2015</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Mar 31</w:t>
            </w:r>
          </w:p>
        </w:tc>
        <w:tc>
          <w:tcPr>
            <w:tcW w:w="100" w:type="dxa"/>
            <w:vAlign w:val="bottom"/>
          </w:tcPr>
          <w:p>
            <w:pPr>
              <w:spacing w:after="0"/>
              <w:rPr>
                <w:sz w:val="12"/>
                <w:szCs w:val="12"/>
                <w:color w:val="auto"/>
              </w:rPr>
            </w:pPr>
          </w:p>
        </w:tc>
        <w:tc>
          <w:tcPr>
            <w:tcW w:w="1380" w:type="dxa"/>
            <w:vAlign w:val="bottom"/>
            <w:gridSpan w:val="2"/>
          </w:tcPr>
          <w:p>
            <w:pPr>
              <w:jc w:val="right"/>
              <w:ind w:right="840"/>
              <w:spacing w:after="0" w:line="142" w:lineRule="exact"/>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2"/>
                <w:szCs w:val="12"/>
                <w:color w:val="auto"/>
              </w:rPr>
            </w:pPr>
          </w:p>
        </w:tc>
        <w:tc>
          <w:tcPr>
            <w:tcW w:w="1380" w:type="dxa"/>
            <w:vAlign w:val="bottom"/>
            <w:gridSpan w:val="2"/>
          </w:tcPr>
          <w:p>
            <w:pPr>
              <w:jc w:val="right"/>
              <w:ind w:right="860"/>
              <w:spacing w:after="0" w:line="142" w:lineRule="exact"/>
              <w:rPr>
                <w:sz w:val="20"/>
                <w:szCs w:val="20"/>
                <w:color w:val="auto"/>
              </w:rPr>
            </w:pPr>
            <w:r>
              <w:rPr>
                <w:rFonts w:ascii="Arial" w:cs="Arial" w:eastAsia="Arial" w:hAnsi="Arial"/>
                <w:sz w:val="14"/>
                <w:szCs w:val="14"/>
                <w:color w:val="auto"/>
              </w:rPr>
              <w:t>Sep 30</w:t>
            </w:r>
          </w:p>
        </w:tc>
        <w:tc>
          <w:tcPr>
            <w:tcW w:w="10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8,184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8,289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8,444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3"/>
        </w:trPr>
        <w:tc>
          <w:tcPr>
            <w:tcW w:w="512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interest income after provision for loan loss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Average common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4,623,322</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4,608,453</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4,615,379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4,621,122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820" w:type="dxa"/>
            <w:vAlign w:val="bottom"/>
            <w:gridSpan w:val="2"/>
          </w:tcPr>
          <w:p>
            <w:pPr>
              <w:jc w:val="right"/>
              <w:ind w:right="511"/>
              <w:spacing w:after="0"/>
              <w:rPr>
                <w:sz w:val="20"/>
                <w:szCs w:val="20"/>
                <w:color w:val="auto"/>
              </w:rPr>
            </w:pPr>
            <w:r>
              <w:rPr>
                <w:rFonts w:ascii="Arial" w:cs="Arial" w:eastAsia="Arial" w:hAnsi="Arial"/>
                <w:sz w:val="18"/>
                <w:szCs w:val="18"/>
                <w:color w:val="auto"/>
                <w:w w:val="99"/>
              </w:rPr>
              <w:t>95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8"/>
          <w:szCs w:val="18"/>
          <w:b w:val="1"/>
          <w:bCs w:val="1"/>
          <w:u w:val="single" w:color="auto"/>
          <w:color w:val="auto"/>
        </w:rPr>
        <w:t>CHANGE IN AND DISAGREEMENTS WITH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 REPORT REGARDING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DISCLOSURE CONTROLS AND PROCEDURES</w:t>
      </w:r>
    </w:p>
    <w:p>
      <w:pPr>
        <w:spacing w:after="0" w:line="211" w:lineRule="exact"/>
        <w:rPr>
          <w:sz w:val="20"/>
          <w:szCs w:val="20"/>
          <w:color w:val="auto"/>
        </w:rPr>
      </w:pPr>
    </w:p>
    <w:p>
      <w:pPr>
        <w:ind w:left="460" w:right="200"/>
        <w:spacing w:after="0" w:line="297"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2016, pursuant to Exchange Act 13a-15. Based upon that evaluation, the Chief Executive Officer and Chief Financial Officer concluded that the Company’s disclosure controls and procedures were effective as of December 31, 2016, in timely alerting them to material information relating to the Company (including its consolidated subsidiaries) required to be included in the Company’s periodic SEC filings.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 REPORT REGARDING INTERNAL CONTROL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COMPLIANCE WITH DESIGNATED LAWS AND REGULATIONS</w:t>
      </w:r>
    </w:p>
    <w:p>
      <w:pPr>
        <w:spacing w:after="0" w:line="21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80"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73" w:lineRule="exact"/>
        <w:rPr>
          <w:sz w:val="20"/>
          <w:szCs w:val="20"/>
          <w:color w:val="auto"/>
        </w:rPr>
      </w:pPr>
    </w:p>
    <w:p>
      <w:pPr>
        <w:ind w:left="460" w:right="500"/>
        <w:spacing w:after="0" w:line="264"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73"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2016. The registered public accounting firm that audited the financial statements included in this annual report has issued an attestation report on the Company’s internal control over financial reporting which can be found under Item 8 of this form 10-K.</w:t>
      </w:r>
    </w:p>
    <w:p>
      <w:pPr>
        <w:spacing w:after="0" w:line="59"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2016 that has materially affected, or is reasonably likely to materially affect, the Company’s internal control over financial reporting.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8"/>
          <w:szCs w:val="18"/>
          <w:b w:val="1"/>
          <w:bCs w:val="1"/>
          <w:u w:val="single" w:color="auto"/>
          <w:color w:val="auto"/>
        </w:rPr>
        <w:t>DIRECTORS AND EXECUTIVE OFFICERS OF THE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herein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4"/>
              </w:rPr>
              <w:t>Principal Occupation or</w:t>
            </w:r>
          </w:p>
        </w:tc>
        <w:tc>
          <w:tcPr>
            <w:tcW w:w="40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Year First</w:t>
            </w:r>
          </w:p>
        </w:tc>
      </w:tr>
      <w:tr>
        <w:trPr>
          <w:trHeight w:val="185"/>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0"/>
              </w:rPr>
              <w:t>Age</w:t>
            </w:r>
          </w:p>
        </w:tc>
        <w:tc>
          <w:tcPr>
            <w:tcW w:w="2180" w:type="dxa"/>
            <w:vAlign w:val="bottom"/>
          </w:tcPr>
          <w:p>
            <w:pPr>
              <w:spacing w:after="0"/>
              <w:rPr>
                <w:sz w:val="16"/>
                <w:szCs w:val="16"/>
                <w:color w:val="auto"/>
              </w:rPr>
            </w:pPr>
          </w:p>
        </w:tc>
        <w:tc>
          <w:tcPr>
            <w:tcW w:w="398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2"/>
              </w:rPr>
              <w:t>Employment for Past Five Years</w:t>
            </w:r>
          </w:p>
        </w:tc>
        <w:tc>
          <w:tcPr>
            <w:tcW w:w="40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4"/>
                <w:szCs w:val="14"/>
                <w:b w:val="1"/>
                <w:bCs w:val="1"/>
                <w:color w:val="auto"/>
                <w:w w:val="91"/>
              </w:rPr>
              <w:t>Became Director</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r>
      <w:tr>
        <w:trPr>
          <w:trHeight w:val="183"/>
        </w:trPr>
        <w:tc>
          <w:tcPr>
            <w:tcW w:w="25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Eugene N. Burkholder</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jc w:val="center"/>
              <w:spacing w:after="0" w:line="183" w:lineRule="exact"/>
              <w:rPr>
                <w:sz w:val="20"/>
                <w:szCs w:val="20"/>
                <w:color w:val="auto"/>
              </w:rPr>
            </w:pPr>
            <w:r>
              <w:rPr>
                <w:rFonts w:ascii="Arial" w:cs="Arial" w:eastAsia="Arial" w:hAnsi="Arial"/>
                <w:sz w:val="18"/>
                <w:szCs w:val="18"/>
                <w:color w:val="auto"/>
                <w:w w:val="89"/>
              </w:rPr>
              <w:t>63</w:t>
            </w:r>
          </w:p>
        </w:tc>
        <w:tc>
          <w:tcPr>
            <w:tcW w:w="24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240"/>
              <w:spacing w:after="0" w:line="183" w:lineRule="exact"/>
              <w:rPr>
                <w:sz w:val="20"/>
                <w:szCs w:val="20"/>
                <w:color w:val="auto"/>
              </w:rPr>
            </w:pPr>
            <w:r>
              <w:rPr>
                <w:rFonts w:ascii="Arial" w:cs="Arial" w:eastAsia="Arial" w:hAnsi="Arial"/>
                <w:sz w:val="18"/>
                <w:szCs w:val="18"/>
                <w:color w:val="auto"/>
              </w:rPr>
              <w:t>President, Falor Farm Center, Inc.</w:t>
            </w:r>
          </w:p>
        </w:tc>
        <w:tc>
          <w:tcPr>
            <w:tcW w:w="1440" w:type="dxa"/>
            <w:vAlign w:val="bottom"/>
            <w:gridSpan w:val="2"/>
            <w:shd w:val="clear" w:color="auto" w:fill="CCEEFF"/>
          </w:tcPr>
          <w:p>
            <w:pPr>
              <w:ind w:left="400"/>
              <w:spacing w:after="0" w:line="183" w:lineRule="exact"/>
              <w:rPr>
                <w:sz w:val="20"/>
                <w:szCs w:val="20"/>
                <w:color w:val="auto"/>
              </w:rPr>
            </w:pPr>
            <w:r>
              <w:rPr>
                <w:rFonts w:ascii="Arial" w:cs="Arial" w:eastAsia="Arial" w:hAnsi="Arial"/>
                <w:sz w:val="18"/>
                <w:szCs w:val="18"/>
                <w:color w:val="auto"/>
              </w:rPr>
              <w:t>2012</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Steven A. Everhart</w:t>
            </w:r>
          </w:p>
        </w:tc>
        <w:tc>
          <w:tcPr>
            <w:tcW w:w="108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8"/>
                <w:szCs w:val="18"/>
                <w:color w:val="auto"/>
              </w:rPr>
              <w:t>Self Employed</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2003</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Darryl L. Faye</w:t>
            </w:r>
          </w:p>
        </w:tc>
        <w:tc>
          <w:tcPr>
            <w:tcW w:w="108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9"/>
              </w:rPr>
              <w:t>71</w:t>
            </w:r>
          </w:p>
        </w:tc>
        <w:tc>
          <w:tcPr>
            <w:tcW w:w="24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Retired CFO in Healthcare Industry</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2012</w:t>
            </w: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Jo Ellen Hornish</w:t>
            </w:r>
          </w:p>
        </w:tc>
        <w:tc>
          <w:tcPr>
            <w:tcW w:w="1080" w:type="dxa"/>
            <w:vAlign w:val="bottom"/>
            <w:gridSpan w:val="2"/>
          </w:tcPr>
          <w:p>
            <w:pPr>
              <w:jc w:val="center"/>
              <w:ind w:left="772"/>
              <w:spacing w:after="0" w:line="201" w:lineRule="exact"/>
              <w:rPr>
                <w:sz w:val="20"/>
                <w:szCs w:val="20"/>
                <w:color w:val="auto"/>
              </w:rPr>
            </w:pPr>
            <w:r>
              <w:rPr>
                <w:rFonts w:ascii="Arial" w:cs="Arial" w:eastAsia="Arial" w:hAnsi="Arial"/>
                <w:sz w:val="18"/>
                <w:szCs w:val="18"/>
                <w:color w:val="auto"/>
                <w:w w:val="89"/>
              </w:rPr>
              <w:t>62</w:t>
            </w:r>
          </w:p>
        </w:tc>
        <w:tc>
          <w:tcPr>
            <w:tcW w:w="240" w:type="dxa"/>
            <w:vAlign w:val="bottom"/>
          </w:tcPr>
          <w:p>
            <w:pPr>
              <w:spacing w:after="0"/>
              <w:rPr>
                <w:sz w:val="17"/>
                <w:szCs w:val="17"/>
                <w:color w:val="auto"/>
              </w:rPr>
            </w:pPr>
          </w:p>
        </w:tc>
        <w:tc>
          <w:tcPr>
            <w:tcW w:w="616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CEO, Hornish Bros, Inc./Fountain City Leasing, Inc./ Advantage Powder</w:t>
            </w:r>
          </w:p>
        </w:tc>
        <w:tc>
          <w:tcPr>
            <w:tcW w:w="14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2013</w:t>
            </w:r>
          </w:p>
        </w:tc>
      </w:t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60" w:type="dxa"/>
            <w:vAlign w:val="bottom"/>
            <w:gridSpan w:val="3"/>
          </w:tcPr>
          <w:p>
            <w:pPr>
              <w:ind w:left="240"/>
              <w:spacing w:after="0"/>
              <w:rPr>
                <w:sz w:val="20"/>
                <w:szCs w:val="20"/>
                <w:color w:val="auto"/>
              </w:rPr>
            </w:pPr>
            <w:r>
              <w:rPr>
                <w:rFonts w:ascii="Arial" w:cs="Arial" w:eastAsia="Arial" w:hAnsi="Arial"/>
                <w:sz w:val="18"/>
                <w:szCs w:val="18"/>
                <w:color w:val="auto"/>
              </w:rPr>
              <w:t>Coating, Inc.</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C. Johnson</w:t>
            </w:r>
          </w:p>
        </w:tc>
        <w:tc>
          <w:tcPr>
            <w:tcW w:w="108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President, Hawk’s Clothing, Inc.</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1991</w:t>
            </w: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Marcia S. Latta</w:t>
            </w:r>
          </w:p>
        </w:tc>
        <w:tc>
          <w:tcPr>
            <w:tcW w:w="1080" w:type="dxa"/>
            <w:vAlign w:val="bottom"/>
            <w:gridSpan w:val="2"/>
          </w:tcPr>
          <w:p>
            <w:pPr>
              <w:jc w:val="center"/>
              <w:ind w:left="772"/>
              <w:spacing w:after="0" w:line="201" w:lineRule="exact"/>
              <w:rPr>
                <w:sz w:val="20"/>
                <w:szCs w:val="20"/>
                <w:color w:val="auto"/>
              </w:rPr>
            </w:pPr>
            <w:r>
              <w:rPr>
                <w:rFonts w:ascii="Arial" w:cs="Arial" w:eastAsia="Arial" w:hAnsi="Arial"/>
                <w:sz w:val="18"/>
                <w:szCs w:val="18"/>
                <w:color w:val="auto"/>
                <w:w w:val="89"/>
              </w:rPr>
              <w:t>55</w:t>
            </w:r>
          </w:p>
        </w:tc>
        <w:tc>
          <w:tcPr>
            <w:tcW w:w="240" w:type="dxa"/>
            <w:vAlign w:val="bottom"/>
          </w:tcPr>
          <w:p>
            <w:pPr>
              <w:spacing w:after="0"/>
              <w:rPr>
                <w:sz w:val="17"/>
                <w:szCs w:val="17"/>
                <w:color w:val="auto"/>
              </w:rPr>
            </w:pPr>
          </w:p>
        </w:tc>
        <w:tc>
          <w:tcPr>
            <w:tcW w:w="616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Vice President / Division of University</w:t>
            </w:r>
          </w:p>
        </w:tc>
        <w:tc>
          <w:tcPr>
            <w:tcW w:w="14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2009</w:t>
            </w:r>
          </w:p>
        </w:tc>
      </w:tr>
      <w:tr>
        <w:trPr>
          <w:trHeight w:val="230"/>
        </w:trPr>
        <w:tc>
          <w:tcPr>
            <w:tcW w:w="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60" w:type="dxa"/>
            <w:vAlign w:val="bottom"/>
            <w:gridSpan w:val="3"/>
          </w:tcPr>
          <w:p>
            <w:pPr>
              <w:ind w:left="240"/>
              <w:spacing w:after="0"/>
              <w:rPr>
                <w:sz w:val="20"/>
                <w:szCs w:val="20"/>
                <w:color w:val="auto"/>
              </w:rPr>
            </w:pPr>
            <w:r>
              <w:rPr>
                <w:rFonts w:ascii="Arial" w:cs="Arial" w:eastAsia="Arial" w:hAnsi="Arial"/>
                <w:sz w:val="18"/>
                <w:szCs w:val="18"/>
                <w:color w:val="auto"/>
              </w:rPr>
              <w:t>Advancement / University of Findlay</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 Planson</w:t>
            </w:r>
          </w:p>
        </w:tc>
        <w:tc>
          <w:tcPr>
            <w:tcW w:w="108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9"/>
              </w:rPr>
              <w:t>57</w:t>
            </w:r>
          </w:p>
        </w:tc>
        <w:tc>
          <w:tcPr>
            <w:tcW w:w="240" w:type="dxa"/>
            <w:vAlign w:val="bottom"/>
            <w:shd w:val="clear" w:color="auto" w:fill="CCEEFF"/>
          </w:tcPr>
          <w:p>
            <w:pPr>
              <w:spacing w:after="0"/>
              <w:rPr>
                <w:sz w:val="19"/>
                <w:szCs w:val="19"/>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President, Planson Farms, Inc.</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2008</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Anthony J. Rupp</w:t>
            </w:r>
          </w:p>
        </w:tc>
        <w:tc>
          <w:tcPr>
            <w:tcW w:w="108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67</w:t>
            </w:r>
          </w:p>
        </w:tc>
        <w:tc>
          <w:tcPr>
            <w:tcW w:w="24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8"/>
                <w:szCs w:val="18"/>
                <w:color w:val="auto"/>
              </w:rPr>
              <w:t>President, Rupp Furniture Co.</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2000</w:t>
            </w: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Sauder</w:t>
            </w:r>
          </w:p>
        </w:tc>
        <w:tc>
          <w:tcPr>
            <w:tcW w:w="1080" w:type="dxa"/>
            <w:vAlign w:val="bottom"/>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9"/>
              </w:rPr>
              <w:t>56</w:t>
            </w:r>
          </w:p>
        </w:tc>
        <w:tc>
          <w:tcPr>
            <w:tcW w:w="24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President/CEO, Sauder Woodworking Co.</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2004</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108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67</w:t>
            </w:r>
          </w:p>
        </w:tc>
        <w:tc>
          <w:tcPr>
            <w:tcW w:w="24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8"/>
                <w:szCs w:val="18"/>
                <w:color w:val="auto"/>
                <w:w w:val="96"/>
              </w:rPr>
              <w:t>President/CEO of the Corporation and The Farmers &amp; Merchants State Bank</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2005</w:t>
            </w: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 Brad Stamm</w:t>
            </w:r>
          </w:p>
        </w:tc>
        <w:tc>
          <w:tcPr>
            <w:tcW w:w="1080" w:type="dxa"/>
            <w:vAlign w:val="bottom"/>
            <w:gridSpan w:val="2"/>
            <w:shd w:val="clear" w:color="auto" w:fill="CCEEFF"/>
          </w:tcPr>
          <w:p>
            <w:pPr>
              <w:jc w:val="center"/>
              <w:ind w:left="772"/>
              <w:spacing w:after="0" w:line="201" w:lineRule="exact"/>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7"/>
                <w:szCs w:val="17"/>
                <w:color w:val="auto"/>
              </w:rPr>
            </w:pPr>
          </w:p>
        </w:tc>
        <w:tc>
          <w:tcPr>
            <w:tcW w:w="61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Professor of Economics, Chairman of Division of Business at Cornerstone</w:t>
            </w:r>
          </w:p>
        </w:tc>
        <w:tc>
          <w:tcPr>
            <w:tcW w:w="144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2016</w:t>
            </w:r>
          </w:p>
        </w:tc>
      </w:tr>
      <w:tr>
        <w:trPr>
          <w:trHeight w:val="230"/>
        </w:trPr>
        <w:tc>
          <w:tcPr>
            <w:tcW w:w="3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University</w:t>
            </w: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r>
      <w:tr>
        <w:trPr>
          <w:trHeight w:val="20"/>
        </w:trPr>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93"/>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2"/>
          </w:tcPr>
          <w:p>
            <w:pPr>
              <w:jc w:val="center"/>
              <w:ind w:right="800"/>
              <w:spacing w:after="0"/>
              <w:rPr>
                <w:sz w:val="20"/>
                <w:szCs w:val="20"/>
                <w:color w:val="auto"/>
              </w:rPr>
            </w:pPr>
            <w:r>
              <w:rPr>
                <w:rFonts w:ascii="Arial" w:cs="Arial" w:eastAsia="Arial" w:hAnsi="Arial"/>
                <w:sz w:val="14"/>
                <w:szCs w:val="14"/>
                <w:color w:val="auto"/>
                <w:w w:val="97"/>
              </w:rPr>
              <w:t>Principal Occupation &amp; Offices Held with</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Name</w:t>
            </w:r>
          </w:p>
        </w:tc>
        <w:tc>
          <w:tcPr>
            <w:tcW w:w="5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Age</w:t>
            </w:r>
          </w:p>
        </w:tc>
        <w:tc>
          <w:tcPr>
            <w:tcW w:w="800" w:type="dxa"/>
            <w:vAlign w:val="bottom"/>
          </w:tcPr>
          <w:p>
            <w:pPr>
              <w:spacing w:after="0"/>
              <w:rPr>
                <w:sz w:val="15"/>
                <w:szCs w:val="15"/>
                <w:color w:val="auto"/>
              </w:rPr>
            </w:pPr>
          </w:p>
        </w:tc>
        <w:tc>
          <w:tcPr>
            <w:tcW w:w="6720" w:type="dxa"/>
            <w:vAlign w:val="bottom"/>
            <w:gridSpan w:val="2"/>
          </w:tcPr>
          <w:p>
            <w:pPr>
              <w:jc w:val="center"/>
              <w:ind w:right="800"/>
              <w:spacing w:after="0"/>
              <w:rPr>
                <w:sz w:val="20"/>
                <w:szCs w:val="20"/>
                <w:color w:val="auto"/>
              </w:rPr>
            </w:pPr>
            <w:r>
              <w:rPr>
                <w:rFonts w:ascii="Arial" w:cs="Arial" w:eastAsia="Arial" w:hAnsi="Arial"/>
                <w:sz w:val="14"/>
                <w:szCs w:val="14"/>
                <w:color w:val="auto"/>
                <w:w w:val="94"/>
              </w:rPr>
              <w:t>Corporation &amp; Bank for Past Five Years</w:t>
            </w: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Jack</w:t>
            </w:r>
          </w:p>
        </w:tc>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 Johnson</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Borders>
              <w:top w:val="single" w:sz="8" w:color="CCEEFF"/>
            </w:tcBorders>
            <w:shd w:val="clear" w:color="auto" w:fill="CCEEFF"/>
          </w:tcPr>
          <w:p>
            <w:pPr>
              <w:spacing w:after="0"/>
              <w:rPr>
                <w:sz w:val="18"/>
                <w:szCs w:val="18"/>
                <w:color w:val="auto"/>
              </w:rPr>
            </w:pPr>
          </w:p>
        </w:tc>
        <w:tc>
          <w:tcPr>
            <w:tcW w:w="7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President &amp; Chief Executive Officer</w:t>
            </w: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Barbara J. Britenriker</w:t>
            </w:r>
          </w:p>
        </w:tc>
        <w:tc>
          <w:tcPr>
            <w:tcW w:w="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7"/>
                <w:szCs w:val="17"/>
                <w:color w:val="auto"/>
              </w:rPr>
            </w:pPr>
          </w:p>
        </w:tc>
        <w:tc>
          <w:tcPr>
            <w:tcW w:w="7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Executive Vice President</w:t>
            </w:r>
          </w:p>
        </w:tc>
      </w:tr>
      <w:tr>
        <w:trPr>
          <w:trHeight w:val="244"/>
        </w:trPr>
        <w:tc>
          <w:tcPr>
            <w:tcW w:w="34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Todd A. Graham</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89"/>
              </w:rPr>
              <w:t>66</w:t>
            </w:r>
          </w:p>
        </w:tc>
        <w:tc>
          <w:tcPr>
            <w:tcW w:w="220" w:type="dxa"/>
            <w:vAlign w:val="bottom"/>
          </w:tcPr>
          <w:p>
            <w:pPr>
              <w:spacing w:after="0"/>
              <w:rPr>
                <w:sz w:val="17"/>
                <w:szCs w:val="17"/>
                <w:color w:val="auto"/>
              </w:rPr>
            </w:pPr>
          </w:p>
        </w:tc>
        <w:tc>
          <w:tcPr>
            <w:tcW w:w="7520" w:type="dxa"/>
            <w:vAlign w:val="bottom"/>
            <w:gridSpan w:val="3"/>
          </w:tcPr>
          <w:p>
            <w:pPr>
              <w:spacing w:after="0" w:line="201" w:lineRule="exact"/>
              <w:rPr>
                <w:sz w:val="20"/>
                <w:szCs w:val="20"/>
                <w:color w:val="auto"/>
              </w:rPr>
            </w:pPr>
            <w:r>
              <w:rPr>
                <w:rFonts w:ascii="Arial" w:cs="Arial" w:eastAsia="Arial" w:hAnsi="Arial"/>
                <w:sz w:val="18"/>
                <w:szCs w:val="18"/>
                <w:color w:val="auto"/>
              </w:rPr>
              <w:t>Executive Vice President</w:t>
            </w:r>
          </w:p>
        </w:tc>
      </w:tr>
      <w:tr>
        <w:trPr>
          <w:trHeight w:val="230"/>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Chief Lending Officer</w:t>
            </w:r>
          </w:p>
        </w:tc>
      </w:tr>
      <w:tr>
        <w:trPr>
          <w:trHeight w:val="215"/>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Leininger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20" w:type="dxa"/>
            <w:vAlign w:val="bottom"/>
            <w:shd w:val="clear" w:color="auto" w:fill="CCEEFF"/>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 President</w:t>
            </w:r>
          </w:p>
        </w:tc>
      </w:tr>
      <w:tr>
        <w:trPr>
          <w:trHeight w:val="244"/>
        </w:trPr>
        <w:tc>
          <w:tcPr>
            <w:tcW w:w="34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Rex D. Rice</w:t>
            </w:r>
          </w:p>
        </w:tc>
        <w:tc>
          <w:tcPr>
            <w:tcW w:w="340" w:type="dxa"/>
            <w:vAlign w:val="bottom"/>
          </w:tcPr>
          <w:p>
            <w:pPr>
              <w:jc w:val="center"/>
              <w:spacing w:after="0" w:line="201" w:lineRule="exact"/>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17"/>
                <w:szCs w:val="17"/>
                <w:color w:val="auto"/>
              </w:rPr>
            </w:pPr>
          </w:p>
        </w:tc>
        <w:tc>
          <w:tcPr>
            <w:tcW w:w="7520" w:type="dxa"/>
            <w:vAlign w:val="bottom"/>
            <w:gridSpan w:val="3"/>
          </w:tcPr>
          <w:p>
            <w:pPr>
              <w:spacing w:after="0" w:line="201" w:lineRule="exact"/>
              <w:rPr>
                <w:sz w:val="20"/>
                <w:szCs w:val="20"/>
                <w:color w:val="auto"/>
              </w:rPr>
            </w:pPr>
            <w:r>
              <w:rPr>
                <w:rFonts w:ascii="Arial" w:cs="Arial" w:eastAsia="Arial" w:hAnsi="Arial"/>
                <w:sz w:val="18"/>
                <w:szCs w:val="18"/>
                <w:color w:val="auto"/>
              </w:rPr>
              <w:t>Executive Vice President</w:t>
            </w:r>
          </w:p>
        </w:tc>
      </w:tr>
      <w:tr>
        <w:trPr>
          <w:trHeight w:val="230"/>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Senior Commercial Banking Director</w:t>
            </w: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G. Lantz</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Retail Banking</w:t>
            </w:r>
          </w:p>
        </w:tc>
      </w:tr>
    </w:tbl>
    <w:p>
      <w:pPr>
        <w:spacing w:after="0" w:line="187"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20, 2017, and is incorporated herein by reference to the sections of the proxy statement captioned ‘Nominations for Members of the Board of Director” and “PROPOSAL ONE – Election of Directors and Information Concerning Directors and Officers.” The information called for under Item 405 of Regulation S-K and called for under Item 407(d)(5) is presented in the proxy statement to be furnished in connection with the solicitation of proxies on behalf of the Board of Directors of the Registrant for use at its Annual Meeting to be held on April 20, 2017, and is incorporated herein by reference to the sections of the proxy statement captioned “Section 16(a) Beneficial Ownership Reporting Compliance” and “Audit Committee Report.”</w:t>
      </w:r>
    </w:p>
    <w:p>
      <w:pPr>
        <w:spacing w:after="0" w:line="59"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61"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color w:val="auto"/>
        </w:rPr>
        <w:t>A copy of the Corporation’s Code is available on the website of the Bank (</w:t>
      </w:r>
      <w:r>
        <w:rPr>
          <w:rFonts w:ascii="Arial" w:cs="Arial" w:eastAsia="Arial" w:hAnsi="Arial"/>
          <w:sz w:val="17"/>
          <w:szCs w:val="17"/>
          <w:u w:val="single" w:color="auto"/>
          <w:color w:val="auto"/>
        </w:rPr>
        <w:t>www.fm-bank.com</w:t>
      </w:r>
      <w:r>
        <w:rPr>
          <w:rFonts w:ascii="Arial" w:cs="Arial" w:eastAsia="Arial" w:hAnsi="Arial"/>
          <w:sz w:val="17"/>
          <w:szCs w:val="17"/>
          <w:color w:val="auto"/>
        </w:rPr>
        <w:t>). In addition, a copy of the Code is available to any shareholder free of charge upon request. Shareholders desiring a copy of the Code should address written requests to Mr. Paul S. Siebenmorgen,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8"/>
          <w:szCs w:val="18"/>
          <w:b w:val="1"/>
          <w:bCs w:val="1"/>
          <w:u w:val="single" w:color="auto"/>
          <w:color w:val="auto"/>
        </w:rPr>
        <w:t>EXECUTIVE COMPENSATION</w:t>
      </w:r>
    </w:p>
    <w:p>
      <w:pPr>
        <w:spacing w:after="0" w:line="12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20, 2017, and is incorporated herein by reference to the sections of the proxy statement captioned “Compensation Discussion and Analysis,” “Compensation Committee Report,” and “Related Party Transactions.”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w:t>
      </w:r>
    </w:p>
    <w:p>
      <w:pPr>
        <w:spacing w:after="0" w:line="121" w:lineRule="exact"/>
        <w:rPr>
          <w:sz w:val="20"/>
          <w:szCs w:val="20"/>
          <w:color w:val="auto"/>
        </w:rPr>
      </w:pPr>
    </w:p>
    <w:p>
      <w:pPr>
        <w:jc w:val="both"/>
        <w:ind w:left="460" w:right="380"/>
        <w:spacing w:after="0" w:line="312" w:lineRule="auto"/>
        <w:rPr>
          <w:sz w:val="20"/>
          <w:szCs w:val="20"/>
          <w:color w:val="auto"/>
        </w:rPr>
      </w:pPr>
      <w:r>
        <w:rPr>
          <w:rFonts w:ascii="Arial" w:cs="Arial" w:eastAsia="Arial" w:hAnsi="Arial"/>
          <w:sz w:val="16"/>
          <w:szCs w:val="16"/>
          <w:color w:val="auto"/>
        </w:rPr>
        <w:t>The information called for by Item 403 of Regulation S-K is presented in the proxy statement to be furnished in connection with the solicitation of proxies on behalf of the Board of Directors of the Registrant for use at its Annual Meeting to be held Thursday, April 20, 2017 and is incorporated herein by reference to the section of the proxy statement captioned “Security Ownership of Certain Beneficial Owners and Management.”</w:t>
      </w:r>
    </w:p>
    <w:p>
      <w:pPr>
        <w:spacing w:after="0" w:line="39"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On April 16, 2015 the Company’s shareholders approved the Farmers &amp; Merchants Bancorp, Inc. 2015 Long-Term Stock Incentive Plan (which replaced the expired 2005 Long-Term Stock Incentive Plan). The plan authorizes the issuance of up to 800,000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2016, 16,150 shares were awarded to 74 employees and 773 were forfeited under its long term incentive plan. At year end, 2016, the Company held 579,125 shares in Treasury stock and 43,150 in unearned stock awards.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7"/>
              </w:rPr>
              <w:t>Number of</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securities to be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Number of securities</w:t>
            </w:r>
          </w:p>
        </w:tc>
      </w:tr>
      <w:tr>
        <w:trPr>
          <w:trHeight w:val="149"/>
        </w:trPr>
        <w:tc>
          <w:tcPr>
            <w:tcW w:w="4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issued upon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remaining available for</w:t>
            </w:r>
          </w:p>
        </w:tc>
      </w:tr>
      <w:tr>
        <w:trPr>
          <w:trHeight w:val="149"/>
        </w:trPr>
        <w:tc>
          <w:tcPr>
            <w:tcW w:w="4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exercise of</w:t>
            </w:r>
          </w:p>
        </w:tc>
        <w:tc>
          <w:tcPr>
            <w:tcW w:w="880" w:type="dxa"/>
            <w:vAlign w:val="bottom"/>
          </w:tcPr>
          <w:p>
            <w:pPr>
              <w:spacing w:after="0"/>
              <w:rPr>
                <w:sz w:val="12"/>
                <w:szCs w:val="12"/>
                <w:color w:val="auto"/>
              </w:rPr>
            </w:pPr>
          </w:p>
        </w:tc>
        <w:tc>
          <w:tcPr>
            <w:tcW w:w="20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0"/>
              </w:rPr>
              <w:t>Weighted-average</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future issuance under</w:t>
            </w:r>
          </w:p>
        </w:tc>
      </w:tr>
      <w:tr>
        <w:trPr>
          <w:trHeight w:val="149"/>
        </w:trPr>
        <w:tc>
          <w:tcPr>
            <w:tcW w:w="4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outstanding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center"/>
              <w:ind w:right="980"/>
              <w:spacing w:after="0" w:line="149" w:lineRule="exact"/>
              <w:rPr>
                <w:sz w:val="20"/>
                <w:szCs w:val="20"/>
                <w:color w:val="auto"/>
              </w:rPr>
            </w:pPr>
            <w:r>
              <w:rPr>
                <w:rFonts w:ascii="Arial" w:cs="Arial" w:eastAsia="Arial" w:hAnsi="Arial"/>
                <w:sz w:val="14"/>
                <w:szCs w:val="14"/>
                <w:color w:val="auto"/>
                <w:w w:val="94"/>
              </w:rPr>
              <w:t>exercise price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equity compensation plans</w:t>
            </w:r>
          </w:p>
        </w:tc>
      </w:tr>
      <w:tr>
        <w:trPr>
          <w:trHeight w:val="149"/>
        </w:trPr>
        <w:tc>
          <w:tcPr>
            <w:tcW w:w="40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options, warrants</w:t>
            </w:r>
          </w:p>
        </w:tc>
        <w:tc>
          <w:tcPr>
            <w:tcW w:w="880" w:type="dxa"/>
            <w:vAlign w:val="bottom"/>
          </w:tcPr>
          <w:p>
            <w:pPr>
              <w:spacing w:after="0"/>
              <w:rPr>
                <w:sz w:val="12"/>
                <w:szCs w:val="12"/>
                <w:color w:val="auto"/>
              </w:rPr>
            </w:pPr>
          </w:p>
        </w:tc>
        <w:tc>
          <w:tcPr>
            <w:tcW w:w="204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2"/>
              </w:rPr>
              <w:t>outstanding options,</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67"/>
        </w:trPr>
        <w:tc>
          <w:tcPr>
            <w:tcW w:w="40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and rights</w:t>
            </w:r>
          </w:p>
        </w:tc>
        <w:tc>
          <w:tcPr>
            <w:tcW w:w="880" w:type="dxa"/>
            <w:vAlign w:val="bottom"/>
          </w:tcPr>
          <w:p>
            <w:pPr>
              <w:spacing w:after="0"/>
              <w:rPr>
                <w:sz w:val="14"/>
                <w:szCs w:val="14"/>
                <w:color w:val="auto"/>
              </w:rPr>
            </w:pPr>
          </w:p>
        </w:tc>
        <w:tc>
          <w:tcPr>
            <w:tcW w:w="2040" w:type="dxa"/>
            <w:vAlign w:val="bottom"/>
            <w:gridSpan w:val="3"/>
          </w:tcPr>
          <w:p>
            <w:pPr>
              <w:jc w:val="center"/>
              <w:ind w:right="860"/>
              <w:spacing w:after="0"/>
              <w:rPr>
                <w:sz w:val="20"/>
                <w:szCs w:val="20"/>
                <w:color w:val="auto"/>
              </w:rPr>
            </w:pPr>
            <w:r>
              <w:rPr>
                <w:rFonts w:ascii="Arial" w:cs="Arial" w:eastAsia="Arial" w:hAnsi="Arial"/>
                <w:sz w:val="14"/>
                <w:szCs w:val="14"/>
                <w:color w:val="auto"/>
                <w:w w:val="92"/>
              </w:rPr>
              <w:t>warrants and rights</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reflected in column (a))</w:t>
            </w:r>
          </w:p>
        </w:tc>
      </w:tr>
      <w:tr>
        <w:trPr>
          <w:trHeight w:val="142"/>
        </w:trPr>
        <w:tc>
          <w:tcPr>
            <w:tcW w:w="40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 a )</w:t>
            </w:r>
          </w:p>
        </w:tc>
        <w:tc>
          <w:tcPr>
            <w:tcW w:w="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7"/>
              <w:spacing w:after="0" w:line="142" w:lineRule="exact"/>
              <w:rPr>
                <w:sz w:val="20"/>
                <w:szCs w:val="20"/>
                <w:color w:val="auto"/>
              </w:rPr>
            </w:pPr>
            <w:r>
              <w:rPr>
                <w:rFonts w:ascii="Arial" w:cs="Arial" w:eastAsia="Arial" w:hAnsi="Arial"/>
                <w:sz w:val="14"/>
                <w:szCs w:val="14"/>
                <w:color w:val="auto"/>
                <w:w w:val="96"/>
              </w:rPr>
              <w:t>( b )</w:t>
            </w:r>
          </w:p>
        </w:tc>
        <w:tc>
          <w:tcPr>
            <w:tcW w:w="88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 c )</w:t>
            </w:r>
          </w:p>
        </w:tc>
        <w:tc>
          <w:tcPr>
            <w:tcW w:w="100" w:type="dxa"/>
            <w:vAlign w:val="bottom"/>
            <w:tcBorders>
              <w:bottom w:val="single" w:sz="8" w:color="CCEEFF"/>
            </w:tcBorders>
          </w:tcPr>
          <w:p>
            <w:pPr>
              <w:spacing w:after="0"/>
              <w:rPr>
                <w:sz w:val="12"/>
                <w:szCs w:val="12"/>
                <w:color w:val="auto"/>
              </w:rPr>
            </w:pPr>
          </w:p>
        </w:tc>
      </w:tr>
      <w:tr>
        <w:trPr>
          <w:trHeight w:val="182"/>
        </w:trPr>
        <w:tc>
          <w:tcPr>
            <w:tcW w:w="4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768,470</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security holders</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768,470</w:t>
            </w: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8"/>
          <w:szCs w:val="18"/>
          <w:b w:val="1"/>
          <w:bCs w:val="1"/>
          <w:u w:val="single" w:color="auto"/>
          <w:color w:val="auto"/>
        </w:rPr>
        <w:t>CERTAIN RELATIONSHIPS AND RELATED TRANSACTIONS</w:t>
      </w:r>
    </w:p>
    <w:p>
      <w:pPr>
        <w:spacing w:after="0" w:line="121"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20, 2017, and is incorporated herein by reference to the sections of the proxy statement captioned “Related Party Transactions” and “Director Independence.”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20, 2017, and is incorporated herein by reference to the section of the proxy statement captioned “Selection of Auditors/Principal Accounting Firm Fees.”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8"/>
          <w:szCs w:val="18"/>
          <w:b w:val="1"/>
          <w:bCs w:val="1"/>
          <w:u w:val="single" w:color="auto"/>
          <w:color w:val="auto"/>
        </w:rPr>
        <w:t>EXHIBITS AND FINANCIAL STATEMENTS SCHEDULES</w:t>
      </w:r>
    </w:p>
    <w:p>
      <w:pPr>
        <w:spacing w:after="0" w:line="256"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30" w:lineRule="exact"/>
        <w:rPr>
          <w:rFonts w:ascii="Arial" w:cs="Arial" w:eastAsia="Arial" w:hAnsi="Arial"/>
          <w:sz w:val="18"/>
          <w:szCs w:val="18"/>
          <w:color w:val="auto"/>
        </w:rPr>
      </w:pPr>
    </w:p>
    <w:p>
      <w:pPr>
        <w:ind w:left="1940" w:right="5320" w:hanging="460"/>
        <w:spacing w:after="0" w:line="258" w:lineRule="auto"/>
        <w:tabs>
          <w:tab w:leader="none" w:pos="19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spacing w:after="0" w:line="1" w:lineRule="exact"/>
        <w:rPr>
          <w:rFonts w:ascii="Arial" w:cs="Arial" w:eastAsia="Arial" w:hAnsi="Arial"/>
          <w:sz w:val="18"/>
          <w:szCs w:val="18"/>
          <w:color w:val="auto"/>
        </w:rPr>
      </w:pPr>
    </w:p>
    <w:p>
      <w:pPr>
        <w:ind w:left="1940" w:right="6880"/>
        <w:spacing w:after="0" w:line="281" w:lineRule="auto"/>
        <w:rPr>
          <w:rFonts w:ascii="Arial" w:cs="Arial" w:eastAsia="Arial" w:hAnsi="Arial"/>
          <w:sz w:val="18"/>
          <w:szCs w:val="18"/>
          <w:color w:val="auto"/>
        </w:rPr>
      </w:pPr>
      <w:r>
        <w:rPr>
          <w:rFonts w:ascii="Arial" w:cs="Arial" w:eastAsia="Arial" w:hAnsi="Arial"/>
          <w:sz w:val="16"/>
          <w:szCs w:val="16"/>
          <w:color w:val="auto"/>
        </w:rPr>
        <w:t>Consolidated Balance Sheets Consolidated Statements of Income</w:t>
      </w:r>
    </w:p>
    <w:p>
      <w:pPr>
        <w:spacing w:after="0" w:line="1" w:lineRule="exact"/>
        <w:rPr>
          <w:rFonts w:ascii="Arial" w:cs="Arial" w:eastAsia="Arial" w:hAnsi="Arial"/>
          <w:sz w:val="18"/>
          <w:szCs w:val="18"/>
          <w:color w:val="auto"/>
        </w:rPr>
      </w:pPr>
    </w:p>
    <w:p>
      <w:pPr>
        <w:ind w:left="1940" w:right="5060"/>
        <w:spacing w:after="0" w:line="250" w:lineRule="auto"/>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Consolidated Statements of Cash Flows</w:t>
      </w:r>
    </w:p>
    <w:p>
      <w:pPr>
        <w:ind w:left="194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116" w:lineRule="exact"/>
        <w:rPr>
          <w:rFonts w:ascii="Arial" w:cs="Arial" w:eastAsia="Arial" w:hAnsi="Arial"/>
          <w:sz w:val="18"/>
          <w:szCs w:val="18"/>
          <w:color w:val="auto"/>
        </w:rPr>
      </w:pPr>
    </w:p>
    <w:p>
      <w:pPr>
        <w:ind w:left="1920" w:hanging="440"/>
        <w:spacing w:after="0"/>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Five Year Summary of Operations</w:t>
      </w:r>
    </w:p>
    <w:p>
      <w:pPr>
        <w:spacing w:after="0" w:line="359"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52" w:lineRule="exact"/>
        <w:rPr>
          <w:sz w:val="20"/>
          <w:szCs w:val="20"/>
          <w:color w:val="auto"/>
        </w:rPr>
      </w:pPr>
    </w:p>
    <w:p>
      <w:pPr>
        <w:ind w:left="2260" w:right="1600" w:hanging="665"/>
        <w:spacing w:after="0" w:line="277" w:lineRule="auto"/>
        <w:tabs>
          <w:tab w:leader="none" w:pos="2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Articles of Incorporation of the Registrant (incorporated by reference to Registrant’s Quarterly Report on Form 10-Q filed with the Commission on July 27, 2016).</w:t>
      </w:r>
    </w:p>
    <w:p>
      <w:pPr>
        <w:spacing w:after="0" w:line="62" w:lineRule="exact"/>
        <w:rPr>
          <w:sz w:val="20"/>
          <w:szCs w:val="20"/>
          <w:color w:val="auto"/>
        </w:rPr>
      </w:pPr>
    </w:p>
    <w:p>
      <w:pPr>
        <w:ind w:left="2260" w:right="1660" w:hanging="665"/>
        <w:spacing w:after="0" w:line="277" w:lineRule="auto"/>
        <w:tabs>
          <w:tab w:leader="none" w:pos="2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Code of Regulations of the Registrant (incorporated by reference to the Company’s Quarterly Report on Form 10-Q that was filed with the Commission on May 10, 2004).</w:t>
      </w:r>
    </w:p>
    <w:p>
      <w:pPr>
        <w:spacing w:after="0" w:line="62" w:lineRule="exact"/>
        <w:rPr>
          <w:sz w:val="20"/>
          <w:szCs w:val="20"/>
          <w:color w:val="auto"/>
        </w:rPr>
      </w:pPr>
    </w:p>
    <w:p>
      <w:pPr>
        <w:ind w:left="2260" w:right="1580" w:hanging="755"/>
        <w:spacing w:after="0" w:line="286" w:lineRule="auto"/>
        <w:tabs>
          <w:tab w:leader="none" w:pos="2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Form of Change in Control Agreement executed by and between the Company and each of Paul S. Siebenmorgen and Barbara J. Britenriker, respectively, on December 26, 2012 (incorporated by reference to the Annual Report on Form 10-K filed with the Commission on February 25, 2013).</w:t>
      </w:r>
    </w:p>
    <w:p>
      <w:pPr>
        <w:spacing w:after="0" w:line="57" w:lineRule="exact"/>
        <w:rPr>
          <w:sz w:val="20"/>
          <w:szCs w:val="20"/>
          <w:color w:val="auto"/>
        </w:rPr>
      </w:pPr>
    </w:p>
    <w:p>
      <w:pPr>
        <w:ind w:left="2260" w:right="1560" w:hanging="755"/>
        <w:spacing w:after="0" w:line="286" w:lineRule="auto"/>
        <w:tabs>
          <w:tab w:leader="none" w:pos="2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Form of Change in Control Agreement executed by and between the Company and each of Edward A. Leininger and Rex D. Rice, respectively, on December 26, 2012 (incorporated by reference to the Annual Report on Form 10-K filed with the Commission on February 25, 2013).</w:t>
      </w:r>
    </w:p>
    <w:p>
      <w:pPr>
        <w:spacing w:after="0" w:line="57" w:lineRule="exact"/>
        <w:rPr>
          <w:sz w:val="20"/>
          <w:szCs w:val="20"/>
          <w:color w:val="auto"/>
        </w:rPr>
      </w:pPr>
    </w:p>
    <w:p>
      <w:pPr>
        <w:ind w:left="2260" w:right="1620" w:hanging="755"/>
        <w:spacing w:after="0" w:line="264" w:lineRule="auto"/>
        <w:tabs>
          <w:tab w:leader="none" w:pos="2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Farmers &amp; Merchants Bancorp, Inc. 2015 Long-Term Stock Incentive Plan (incorporated by reference to Appendix A to Registrant’s Definitive 14A Proxy Statement, File No. 000-14492, filed with the Commission on March 16, 2015)</w:t>
      </w:r>
    </w:p>
    <w:p>
      <w:pPr>
        <w:spacing w:after="0" w:line="73" w:lineRule="exact"/>
        <w:rPr>
          <w:sz w:val="20"/>
          <w:szCs w:val="20"/>
          <w:color w:val="auto"/>
        </w:rPr>
      </w:pPr>
    </w:p>
    <w:p>
      <w:pPr>
        <w:ind w:left="2260" w:right="1720" w:hanging="755"/>
        <w:spacing w:after="0" w:line="277" w:lineRule="auto"/>
        <w:tabs>
          <w:tab w:leader="none" w:pos="2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on Restricted Stock Agreement (incorporated by reference to the Quarterly Report on Form 10-Q filed with the Commission on October 27, 2005).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 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EXHIBITS AND FINANCIAL STATEMENTS SCHEDULES (Continued)</w:t>
            </w:r>
          </w:p>
        </w:tc>
        <w:tc>
          <w:tcPr>
            <w:tcW w:w="3020" w:type="dxa"/>
            <w:vAlign w:val="bottom"/>
          </w:tcPr>
          <w:p>
            <w:pPr>
              <w:spacing w:after="0"/>
              <w:rPr>
                <w:sz w:val="17"/>
                <w:szCs w:val="17"/>
                <w:color w:val="auto"/>
              </w:rPr>
            </w:pPr>
          </w:p>
        </w:tc>
      </w:tr>
      <w:tr>
        <w:trPr>
          <w:trHeight w:val="385"/>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(21)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Subsidiaries of Farmers &amp; Merchants Bancorp, Inc.</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(31.1)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Certification of the Chief Executive Officer Required under Rule 13(a)-14(a)/15d-14(a)</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(31.2)</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Certification of the Chief Financial Officer Required under Rule 13(a)-14(a)/15d-14(a)</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(32.1)</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91"/>
              </w:rPr>
              <w:t>Certification of the Chief Executive Officer Pursuant to Section 906 of the Sarbanes-Oxley Act of 2002.</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(32.2)</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w w:val="92"/>
              </w:rPr>
              <w:t>Certification of the Chief Financial Officer Pursuant to Section 906 of the Sarbanes-Oxley Act of 2002.</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101.INS</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Instance Document (1)</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101.SCH</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 (1)</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101.CAL</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101.DEF</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 (1)</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101.LAB</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 (1)</w:t>
            </w:r>
          </w:p>
        </w:tc>
      </w:tr>
      <w:tr>
        <w:trPr>
          <w:trHeight w:val="324"/>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101.PRE</w:t>
            </w:r>
          </w:p>
        </w:tc>
        <w:tc>
          <w:tcPr>
            <w:tcW w:w="762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 (1)</w:t>
            </w: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ITEM 16.</w:t>
      </w:r>
      <w:r>
        <w:rPr>
          <w:sz w:val="20"/>
          <w:szCs w:val="20"/>
          <w:color w:val="auto"/>
        </w:rPr>
        <w:tab/>
      </w:r>
      <w:r>
        <w:rPr>
          <w:rFonts w:ascii="Arial" w:cs="Arial" w:eastAsia="Arial" w:hAnsi="Arial"/>
          <w:sz w:val="18"/>
          <w:szCs w:val="18"/>
          <w:b w:val="1"/>
          <w:bCs w:val="1"/>
          <w:u w:val="single" w:color="auto"/>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219"/>
          </w:cols>
          <w:pgMar w:left="240" w:top="45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20"/>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both"/>
        <w:ind w:left="5900"/>
        <w:spacing w:after="0"/>
        <w:tabs>
          <w:tab w:leader="none" w:pos="6300" w:val="left"/>
          <w:tab w:leader="none" w:pos="9020" w:val="left"/>
          <w:tab w:leader="none" w:pos="9580" w:val="left"/>
        </w:tabs>
        <w:rPr>
          <w:sz w:val="20"/>
          <w:szCs w:val="20"/>
          <w:color w:val="auto"/>
        </w:rPr>
      </w:pPr>
      <w:r>
        <w:rPr>
          <w:rFonts w:ascii="Arial" w:cs="Arial" w:eastAsia="Arial" w:hAnsi="Arial"/>
          <w:sz w:val="18"/>
          <w:szCs w:val="18"/>
          <w:color w:val="auto"/>
        </w:rPr>
        <w:t>By</w:t>
        <w:tab/>
        <w:t>/s/ Paul S. Siebenmorgen</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1663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Paul S. Siebenmorgen</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right="2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20"/>
          </w:cols>
          <w:pgMar w:left="240" w:top="459" w:right="73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 Siebenmorgen</w:t>
            </w:r>
          </w:p>
        </w:tc>
        <w:tc>
          <w:tcPr>
            <w:tcW w:w="2000" w:type="dxa"/>
            <w:vAlign w:val="bottom"/>
          </w:tcPr>
          <w:p>
            <w:pPr>
              <w:ind w:left="100"/>
              <w:spacing w:after="0"/>
              <w:rPr>
                <w:sz w:val="20"/>
                <w:szCs w:val="20"/>
                <w:color w:val="auto"/>
              </w:rPr>
            </w:pPr>
            <w:r>
              <w:rPr>
                <w:rFonts w:ascii="Arial" w:cs="Arial" w:eastAsia="Arial" w:hAnsi="Arial"/>
                <w:sz w:val="18"/>
                <w:szCs w:val="18"/>
                <w:color w:val="auto"/>
                <w:w w:val="93"/>
              </w:rPr>
              <w:t>Date:  February 22, 2017</w:t>
            </w:r>
          </w:p>
        </w:tc>
      </w:tr>
      <w:tr>
        <w:trPr>
          <w:trHeight w:val="209"/>
        </w:trPr>
        <w:tc>
          <w:tcPr>
            <w:tcW w:w="3320" w:type="dxa"/>
            <w:vAlign w:val="bottom"/>
          </w:tcPr>
          <w:p>
            <w:pPr>
              <w:spacing w:after="0"/>
              <w:rPr>
                <w:sz w:val="20"/>
                <w:szCs w:val="20"/>
                <w:color w:val="auto"/>
              </w:rPr>
            </w:pPr>
            <w:r>
              <w:rPr>
                <w:rFonts w:ascii="Arial" w:cs="Arial" w:eastAsia="Arial" w:hAnsi="Arial"/>
                <w:sz w:val="18"/>
                <w:szCs w:val="18"/>
                <w:color w:val="auto"/>
              </w:rPr>
              <w:t>Paul S. Siebenmorgen</w:t>
            </w:r>
          </w:p>
        </w:tc>
        <w:tc>
          <w:tcPr>
            <w:tcW w:w="2000" w:type="dxa"/>
            <w:vAlign w:val="bottom"/>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3040" w:val="left"/>
          <w:tab w:leader="none" w:pos="3660" w:val="left"/>
        </w:tabs>
        <w:rPr>
          <w:sz w:val="20"/>
          <w:szCs w:val="20"/>
          <w:color w:val="auto"/>
        </w:rPr>
      </w:pPr>
      <w:r>
        <w:rPr>
          <w:rFonts w:ascii="Arial" w:cs="Arial" w:eastAsia="Arial" w:hAnsi="Arial"/>
          <w:sz w:val="18"/>
          <w:szCs w:val="18"/>
          <w:color w:val="auto"/>
        </w:rPr>
        <w:t>/s/ Barbara J. Britenriker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783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Barbara J. Britenriker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Officer/Principal Accounting Officer)</w:t>
      </w:r>
    </w:p>
    <w:p>
      <w:pPr>
        <w:spacing w:after="0" w:line="200" w:lineRule="exact"/>
        <w:rPr>
          <w:sz w:val="20"/>
          <w:szCs w:val="20"/>
          <w:color w:val="auto"/>
        </w:rPr>
      </w:pPr>
    </w:p>
    <w:p>
      <w:pPr>
        <w:sectPr>
          <w:pgSz w:w="11900" w:h="16838" w:orient="portrait"/>
          <w:cols w:equalWidth="0" w:num="2">
            <w:col w:w="5320" w:space="600"/>
            <w:col w:w="5000"/>
          </w:cols>
          <w:pgMar w:left="240" w:top="459" w:right="739" w:bottom="1440" w:gutter="0" w:footer="0" w:header="0"/>
          <w:type w:val="continuous"/>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Eugene N. Burkholder</w:t>
            </w: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22, 2017</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Eugene N. Burkholder, Director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Darryl L. Faye</w:t>
            </w: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22, 2017</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Darryl L. Faye, Director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C. Johnson</w:t>
            </w: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22, 2017</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Jack C. Johnson, Director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J. Planson</w:t>
            </w: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22, 2017</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Steven J. Planson, Director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J. Sauder</w:t>
            </w:r>
          </w:p>
        </w:tc>
        <w:tc>
          <w:tcPr>
            <w:tcW w:w="580" w:type="dxa"/>
            <w:vAlign w:val="bottom"/>
          </w:tcPr>
          <w:p>
            <w:pPr>
              <w:ind w:left="100"/>
              <w:spacing w:after="0"/>
              <w:rPr>
                <w:sz w:val="20"/>
                <w:szCs w:val="20"/>
                <w:color w:val="auto"/>
              </w:rPr>
            </w:pPr>
            <w:r>
              <w:rPr>
                <w:rFonts w:ascii="Arial" w:cs="Arial" w:eastAsia="Arial" w:hAnsi="Arial"/>
                <w:sz w:val="18"/>
                <w:szCs w:val="18"/>
                <w:color w:val="auto"/>
              </w:rPr>
              <w:t>Date:</w:t>
            </w: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22, 2017</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Kevin J. Sauder, Director</w:t>
            </w: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80"/>
        <w:spacing w:after="0" w:line="377" w:lineRule="auto"/>
        <w:rPr>
          <w:sz w:val="20"/>
          <w:szCs w:val="20"/>
          <w:color w:val="auto"/>
        </w:rPr>
      </w:pPr>
      <w:r>
        <w:rPr>
          <w:rFonts w:ascii="Arial" w:cs="Arial" w:eastAsia="Arial" w:hAnsi="Arial"/>
          <w:sz w:val="16"/>
          <w:szCs w:val="16"/>
          <w:color w:val="auto"/>
        </w:rPr>
        <w:t>/s/ Steven A. Everhart Steven A. Everhart,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18783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Jo Ellen Hornish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783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 Ellen Hornish,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Marcia S. Latta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783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Marcia S. Latta, Director</w:t>
      </w:r>
    </w:p>
    <w:p>
      <w:pPr>
        <w:spacing w:after="0" w:line="225" w:lineRule="exact"/>
        <w:rPr>
          <w:sz w:val="20"/>
          <w:szCs w:val="20"/>
          <w:color w:val="auto"/>
        </w:rPr>
      </w:pPr>
    </w:p>
    <w:p>
      <w:pPr>
        <w:ind w:right="420"/>
        <w:spacing w:after="0" w:line="377" w:lineRule="auto"/>
        <w:rPr>
          <w:sz w:val="20"/>
          <w:szCs w:val="20"/>
          <w:color w:val="auto"/>
        </w:rPr>
      </w:pPr>
      <w:r>
        <w:rPr>
          <w:rFonts w:ascii="Arial" w:cs="Arial" w:eastAsia="Arial" w:hAnsi="Arial"/>
          <w:sz w:val="16"/>
          <w:szCs w:val="16"/>
          <w:color w:val="auto"/>
        </w:rPr>
        <w:t>/s/ Anthony J. Rupp Anthony J. Rupp,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18783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K. Brad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783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 Brad Stamm, Director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tab/>
        <w:t>February 22, 2017</w:t>
      </w:r>
    </w:p>
    <w:p>
      <w:pPr>
        <w:spacing w:after="0" w:line="200" w:lineRule="exact"/>
        <w:rPr>
          <w:sz w:val="20"/>
          <w:szCs w:val="20"/>
          <w:color w:val="auto"/>
        </w:rPr>
      </w:pPr>
    </w:p>
    <w:p>
      <w:pPr>
        <w:spacing w:after="0" w:line="2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tab/>
        <w:t>February 22, 2017</w:t>
      </w:r>
    </w:p>
    <w:p>
      <w:pPr>
        <w:spacing w:after="0" w:line="200" w:lineRule="exact"/>
        <w:rPr>
          <w:sz w:val="20"/>
          <w:szCs w:val="20"/>
          <w:color w:val="auto"/>
        </w:rPr>
      </w:pPr>
    </w:p>
    <w:p>
      <w:pPr>
        <w:spacing w:after="0" w:line="2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tab/>
        <w:t>February 22, 2017</w:t>
      </w:r>
    </w:p>
    <w:p>
      <w:pPr>
        <w:spacing w:after="0" w:line="200" w:lineRule="exact"/>
        <w:rPr>
          <w:sz w:val="20"/>
          <w:szCs w:val="20"/>
          <w:color w:val="auto"/>
        </w:rPr>
      </w:pPr>
    </w:p>
    <w:p>
      <w:pPr>
        <w:spacing w:after="0" w:line="2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tab/>
        <w:t>February 22, 2017</w:t>
      </w:r>
    </w:p>
    <w:p>
      <w:pPr>
        <w:spacing w:after="0" w:line="200" w:lineRule="exact"/>
        <w:rPr>
          <w:sz w:val="20"/>
          <w:szCs w:val="20"/>
          <w:color w:val="auto"/>
        </w:rPr>
      </w:pPr>
    </w:p>
    <w:p>
      <w:pPr>
        <w:spacing w:after="0" w:line="29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tab/>
        <w:t>February 22, 2017</w:t>
      </w:r>
    </w:p>
    <w:p>
      <w:pPr>
        <w:spacing w:after="0" w:line="396" w:lineRule="exact"/>
        <w:rPr>
          <w:sz w:val="20"/>
          <w:szCs w:val="20"/>
          <w:color w:val="auto"/>
        </w:rPr>
      </w:pPr>
    </w:p>
    <w:p>
      <w:pPr>
        <w:sectPr>
          <w:pgSz w:w="11900" w:h="16838" w:orient="portrait"/>
          <w:cols w:equalWidth="0" w:num="3">
            <w:col w:w="5320" w:space="600"/>
            <w:col w:w="2340" w:space="720"/>
            <w:col w:w="1940"/>
          </w:cols>
          <w:pgMar w:left="240" w:top="459" w:right="739" w:bottom="1440" w:gutter="0" w:footer="0" w:header="0"/>
          <w:type w:val="continuous"/>
        </w:sectPr>
      </w:pPr>
    </w:p>
    <w:p>
      <w:pPr>
        <w:jc w:val="center"/>
        <w:ind w:right="-49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920"/>
          </w:cols>
          <w:pgMar w:left="240" w:top="459" w:right="7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Exhibit 21</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FARMERS &amp; MERCHANTS STATE BANK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FARMERS &amp; MERCHANTS RISK MANAGEMENT, INC.</w:t>
      </w:r>
    </w:p>
    <w:p>
      <w:pPr>
        <w:spacing w:after="0" w:line="211"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219"/>
          </w:cols>
          <w:pgMar w:left="240" w:top="121"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Chief Executive Officer of Farmers &amp; Merchants Bancorp, Inc.,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130" w:lineRule="exact"/>
        <w:rPr>
          <w:rFonts w:ascii="Arial" w:cs="Arial" w:eastAsia="Arial" w:hAnsi="Arial"/>
          <w:sz w:val="18"/>
          <w:szCs w:val="18"/>
          <w:color w:val="auto"/>
        </w:rPr>
      </w:pPr>
    </w:p>
    <w:p>
      <w:pPr>
        <w:jc w:val="both"/>
        <w:ind w:left="460" w:right="40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6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firstLine="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200" w:firstLine="1"/>
        <w:spacing w:after="0" w:line="264" w:lineRule="auto"/>
        <w:tabs>
          <w:tab w:leader="none" w:pos="1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320" w:firstLine="1"/>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80" w:firstLine="1"/>
        <w:spacing w:after="0" w:line="264" w:lineRule="auto"/>
        <w:tabs>
          <w:tab w:leader="none" w:pos="1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0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500" w:firstLine="1"/>
        <w:spacing w:after="0" w:line="308" w:lineRule="auto"/>
        <w:tabs>
          <w:tab w:leader="none" w:pos="133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220" w:firstLine="1"/>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320"/>
          </w:cols>
          <w:pgMar w:left="24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130" w:lineRule="exact"/>
        <w:rPr>
          <w:rFonts w:ascii="Arial" w:cs="Arial" w:eastAsia="Arial" w:hAnsi="Arial"/>
          <w:sz w:val="18"/>
          <w:szCs w:val="18"/>
          <w:color w:val="auto"/>
        </w:rPr>
      </w:pPr>
    </w:p>
    <w:p>
      <w:pPr>
        <w:jc w:val="both"/>
        <w:ind w:left="460" w:right="40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3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firstLine="1"/>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200" w:firstLine="1"/>
        <w:spacing w:after="0" w:line="264" w:lineRule="auto"/>
        <w:tabs>
          <w:tab w:leader="none" w:pos="13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320" w:firstLine="1"/>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80" w:firstLine="1"/>
        <w:spacing w:after="0" w:line="264" w:lineRule="auto"/>
        <w:tabs>
          <w:tab w:leader="none" w:pos="13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0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500" w:firstLine="1"/>
        <w:spacing w:after="0" w:line="308" w:lineRule="auto"/>
        <w:tabs>
          <w:tab w:leader="none" w:pos="1335"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220" w:firstLine="1"/>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ENACTED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2016, as filed with the Securities and Exchange Commission (the “Report”), I, Paul S. Siebenmorgen, Chief Executive Officer, of the Company, certify, pursuant to 18 U.S.C. 1350, as added by 906 of the Sarbanes-Oxley Act of 2002, that:</w:t>
      </w:r>
    </w:p>
    <w:p>
      <w:pPr>
        <w:spacing w:after="0" w:line="87" w:lineRule="exact"/>
        <w:rPr>
          <w:sz w:val="20"/>
          <w:szCs w:val="20"/>
          <w:color w:val="auto"/>
        </w:rPr>
      </w:pPr>
    </w:p>
    <w:p>
      <w:pPr>
        <w:ind w:left="2380" w:hanging="441"/>
        <w:spacing w:after="0"/>
        <w:tabs>
          <w:tab w:leader="none" w:pos="2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 of Section 13(a) or 15(d) of the Securities Exchange Act of 1934; and;</w:t>
      </w:r>
    </w:p>
    <w:p>
      <w:pPr>
        <w:spacing w:after="0" w:line="142" w:lineRule="exact"/>
        <w:rPr>
          <w:rFonts w:ascii="Arial" w:cs="Arial" w:eastAsia="Arial" w:hAnsi="Arial"/>
          <w:sz w:val="17"/>
          <w:szCs w:val="17"/>
          <w:color w:val="auto"/>
        </w:rPr>
      </w:pPr>
    </w:p>
    <w:p>
      <w:pPr>
        <w:ind w:left="2380" w:right="540" w:hanging="441"/>
        <w:spacing w:after="0" w:line="277" w:lineRule="auto"/>
        <w:tabs>
          <w:tab w:leader="none" w:pos="2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440"/>
        <w:spacing w:after="0"/>
        <w:tabs>
          <w:tab w:leader="none" w:pos="604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5"/>
          <w:szCs w:val="15"/>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340"/>
          </w:cols>
          <w:pgMar w:left="240" w:top="121"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ENACTED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2016, as filed with the Securities and Exchange Commission (the “Report”), I, Barbara J. Britenriker, Chief Financial Officer, of the Company, certify, pursuant to 18 U.S.C. 1350, as added by 906 of the Sarbanes-Oxley Act of 2002, that:</w:t>
      </w:r>
    </w:p>
    <w:p>
      <w:pPr>
        <w:spacing w:after="0" w:line="87" w:lineRule="exact"/>
        <w:rPr>
          <w:sz w:val="20"/>
          <w:szCs w:val="20"/>
          <w:color w:val="auto"/>
        </w:rPr>
      </w:pPr>
    </w:p>
    <w:p>
      <w:pPr>
        <w:ind w:left="2380" w:hanging="441"/>
        <w:spacing w:after="0"/>
        <w:tabs>
          <w:tab w:leader="none" w:pos="2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 of Section 13(a) or 15(d) of the Securities Exchange Act of 1934; and;</w:t>
      </w:r>
    </w:p>
    <w:p>
      <w:pPr>
        <w:spacing w:after="0" w:line="142" w:lineRule="exact"/>
        <w:rPr>
          <w:rFonts w:ascii="Arial" w:cs="Arial" w:eastAsia="Arial" w:hAnsi="Arial"/>
          <w:sz w:val="17"/>
          <w:szCs w:val="17"/>
          <w:color w:val="auto"/>
        </w:rPr>
      </w:pPr>
    </w:p>
    <w:p>
      <w:pPr>
        <w:ind w:left="2380" w:right="460" w:hanging="441"/>
        <w:spacing w:after="0" w:line="277" w:lineRule="auto"/>
        <w:tabs>
          <w:tab w:leader="none" w:pos="2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440"/>
        <w:spacing w:after="0"/>
        <w:tabs>
          <w:tab w:leader="none" w:pos="6040" w:val="left"/>
        </w:tabs>
        <w:rPr>
          <w:sz w:val="20"/>
          <w:szCs w:val="20"/>
          <w:color w:val="auto"/>
        </w:rPr>
      </w:pPr>
      <w:r>
        <w:rPr>
          <w:rFonts w:ascii="Arial" w:cs="Arial" w:eastAsia="Arial" w:hAnsi="Arial"/>
          <w:sz w:val="18"/>
          <w:szCs w:val="18"/>
          <w:color w:val="auto"/>
        </w:rPr>
        <w:t>Date: February 22, 2017</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abstractNum>
  <w:abstractNum w:abstractNumId="10">
    <w:nsid w:val="4E6AFB66"/>
    <w:multiLevelType w:val="hybridMultilevel"/>
    <w:lvl w:ilvl="0">
      <w:lvlJc w:val="left"/>
      <w:lvlText w:val="%1."/>
      <w:numFmt w:val="decimal"/>
      <w:start w:val="5"/>
    </w:lvl>
    <w:lvl w:ilvl="1">
      <w:lvlJc w:val="left"/>
      <w:lvlText w:val="%2"/>
      <w:numFmt w:val="lowerLetter"/>
      <w:start w:val="1"/>
    </w:lvl>
  </w:abstractNum>
  <w:abstractNum w:abstractNumId="11">
    <w:nsid w:val="25E45D32"/>
    <w:multiLevelType w:val="hybridMultilevel"/>
    <w:lvl w:ilvl="0">
      <w:lvlJc w:val="left"/>
      <w:lvlText w:val="%1."/>
      <w:numFmt w:val="decimal"/>
      <w:start w:val="7"/>
    </w:lvl>
    <w:lvl w:ilvl="1">
      <w:lvlJc w:val="left"/>
      <w:lvlText w:val="%2."/>
      <w:numFmt w:val="lowerLetter"/>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lvl w:ilvl="1">
      <w:lvlJc w:val="left"/>
      <w:lvlText w:val="(%2)"/>
      <w:numFmt w:val="decimal"/>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2020-01-16T10:30:38Z</dcterms:created>
  <dcterms:modified xsi:type="dcterms:W3CDTF">2020-01-16T10:30:38Z</dcterms:modified>
</cp:coreProperties>
</file>