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June 30, 2016</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0-14492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FARMERS &amp; MERCHANTS BANCORP,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5040" w:type="dxa"/>
            <w:vAlign w:val="bottom"/>
          </w:tcPr>
          <w:p>
            <w:pPr>
              <w:jc w:val="center"/>
              <w:ind w:right="1701"/>
              <w:spacing w:after="0"/>
              <w:rPr>
                <w:sz w:val="20"/>
                <w:szCs w:val="20"/>
                <w:color w:val="auto"/>
              </w:rPr>
            </w:pPr>
            <w:r>
              <w:rPr>
                <w:rFonts w:ascii="Arial" w:cs="Arial" w:eastAsia="Arial" w:hAnsi="Arial"/>
                <w:sz w:val="18"/>
                <w:szCs w:val="18"/>
                <w:b w:val="1"/>
                <w:bCs w:val="1"/>
                <w:color w:val="auto"/>
              </w:rPr>
              <w:t>OHIO</w:t>
            </w:r>
          </w:p>
        </w:tc>
        <w:tc>
          <w:tcPr>
            <w:tcW w:w="2920" w:type="dxa"/>
            <w:vAlign w:val="bottom"/>
          </w:tcPr>
          <w:p>
            <w:pPr>
              <w:jc w:val="right"/>
              <w:ind w:right="61"/>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5040" w:type="dxa"/>
            <w:vAlign w:val="bottom"/>
          </w:tcPr>
          <w:p>
            <w:pPr>
              <w:jc w:val="center"/>
              <w:ind w:right="168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040" w:type="dxa"/>
            <w:vAlign w:val="bottom"/>
          </w:tcPr>
          <w:p>
            <w:pPr>
              <w:jc w:val="center"/>
              <w:ind w:right="1681"/>
              <w:spacing w:after="0"/>
              <w:rPr>
                <w:sz w:val="20"/>
                <w:szCs w:val="20"/>
                <w:color w:val="auto"/>
              </w:rPr>
            </w:pPr>
            <w:r>
              <w:rPr>
                <w:rFonts w:ascii="Arial" w:cs="Arial" w:eastAsia="Arial" w:hAnsi="Arial"/>
                <w:sz w:val="14"/>
                <w:szCs w:val="14"/>
                <w:b w:val="1"/>
                <w:bCs w:val="1"/>
                <w:color w:val="auto"/>
                <w:w w:val="94"/>
              </w:rPr>
              <w:t>incorporation or organization)</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040" w:type="dxa"/>
            <w:vAlign w:val="bottom"/>
          </w:tcPr>
          <w:p>
            <w:pPr>
              <w:jc w:val="center"/>
              <w:ind w:right="1681"/>
              <w:spacing w:after="0"/>
              <w:rPr>
                <w:sz w:val="20"/>
                <w:szCs w:val="20"/>
                <w:color w:val="auto"/>
              </w:rPr>
            </w:pPr>
            <w:r>
              <w:rPr>
                <w:rFonts w:ascii="Arial" w:cs="Arial" w:eastAsia="Arial" w:hAnsi="Arial"/>
                <w:sz w:val="18"/>
                <w:szCs w:val="18"/>
                <w:b w:val="1"/>
                <w:bCs w:val="1"/>
                <w:color w:val="auto"/>
                <w:w w:val="91"/>
              </w:rPr>
              <w:t>307 North Defiance Street, Archbold, Ohio</w:t>
            </w:r>
          </w:p>
        </w:tc>
        <w:tc>
          <w:tcPr>
            <w:tcW w:w="292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86"/>
        </w:trPr>
        <w:tc>
          <w:tcPr>
            <w:tcW w:w="5040" w:type="dxa"/>
            <w:vAlign w:val="bottom"/>
          </w:tcPr>
          <w:p>
            <w:pPr>
              <w:jc w:val="center"/>
              <w:ind w:right="17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(419) 446-2501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both"/>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32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4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4320" w:type="dxa"/>
            <w:vAlign w:val="bottom"/>
            <w:gridSpan w:val="3"/>
          </w:tcPr>
          <w:p>
            <w:pPr>
              <w:jc w:val="center"/>
              <w:ind w:right="3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(Do not check if a smaller reporting company)</w:t>
            </w: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4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11040" w:type="dxa"/>
            <w:vAlign w:val="bottom"/>
            <w:gridSpan w:val="7"/>
          </w:tcPr>
          <w:p>
            <w:pPr>
              <w:spacing w:after="0" w:line="207" w:lineRule="exact"/>
              <w:rPr>
                <w:sz w:val="20"/>
                <w:szCs w:val="20"/>
                <w:color w:val="auto"/>
              </w:rPr>
            </w:pPr>
            <w:r>
              <w:rPr>
                <w:rFonts w:ascii="Arial" w:cs="Arial" w:eastAsia="Arial" w:hAnsi="Arial"/>
                <w:sz w:val="18"/>
                <w:szCs w:val="18"/>
                <w:color w:val="auto"/>
              </w:rPr>
              <w:t xml:space="preserve">Indicated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40" w:type="dxa"/>
            <w:vAlign w:val="bottom"/>
            <w:gridSpan w:val="7"/>
          </w:tcPr>
          <w:p>
            <w:pPr>
              <w:spacing w:after="0"/>
              <w:rPr>
                <w:sz w:val="20"/>
                <w:szCs w:val="20"/>
                <w:color w:val="auto"/>
              </w:rPr>
            </w:pPr>
            <w:r>
              <w:rPr>
                <w:rFonts w:ascii="Arial" w:cs="Arial" w:eastAsia="Arial" w:hAnsi="Arial"/>
                <w:sz w:val="18"/>
                <w:szCs w:val="18"/>
                <w:color w:val="auto"/>
              </w:rPr>
              <w:t>Indicate the number of shares of each of the issuers’ classes of common stock, as of the latest practicable date: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3"/>
              </w:rPr>
              <w:t>Common Stock, No Par Value</w:t>
            </w:r>
          </w:p>
        </w:tc>
        <w:tc>
          <w:tcPr>
            <w:tcW w:w="144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4,605,534</w:t>
            </w:r>
          </w:p>
        </w:tc>
        <w:tc>
          <w:tcPr>
            <w:tcW w:w="2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1380" w:type="dxa"/>
            <w:vAlign w:val="bottom"/>
            <w:vMerge w:val="restart"/>
          </w:tcPr>
          <w:p>
            <w:pPr>
              <w:ind w:left="520"/>
              <w:spacing w:after="0"/>
              <w:rPr>
                <w:sz w:val="20"/>
                <w:szCs w:val="20"/>
                <w:color w:val="auto"/>
              </w:rPr>
            </w:pPr>
            <w:r>
              <w:rPr>
                <w:rFonts w:ascii="Arial" w:cs="Arial" w:eastAsia="Arial" w:hAnsi="Arial"/>
                <w:sz w:val="18"/>
                <w:szCs w:val="18"/>
                <w:color w:val="auto"/>
                <w:w w:val="86"/>
              </w:rPr>
              <w:t>Outstanding</w:t>
            </w:r>
          </w:p>
        </w:tc>
        <w:tc>
          <w:tcPr>
            <w:tcW w:w="5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Class</w:t>
            </w:r>
          </w:p>
        </w:tc>
        <w:tc>
          <w:tcPr>
            <w:tcW w:w="144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as of July 25, 2016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8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6"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Form 10-Q Items</w:t>
            </w:r>
          </w:p>
        </w:tc>
        <w:tc>
          <w:tcPr>
            <w:tcW w:w="340" w:type="dxa"/>
            <w:vAlign w:val="bottom"/>
          </w:tcPr>
          <w:p>
            <w:pPr>
              <w:spacing w:after="0"/>
              <w:rPr>
                <w:sz w:val="15"/>
                <w:szCs w:val="15"/>
                <w:color w:val="auto"/>
              </w:rPr>
            </w:pPr>
          </w:p>
        </w:tc>
        <w:tc>
          <w:tcPr>
            <w:tcW w:w="8020" w:type="dxa"/>
            <w:vAlign w:val="bottom"/>
            <w:gridSpan w:val="23"/>
            <w:vMerge w:val="restart"/>
          </w:tcPr>
          <w:p>
            <w:pPr>
              <w:spacing w:after="0"/>
              <w:rPr>
                <w:sz w:val="20"/>
                <w:szCs w:val="20"/>
                <w:color w:val="auto"/>
              </w:rPr>
            </w:pPr>
            <w:r>
              <w:rPr>
                <w:rFonts w:ascii="Arial" w:cs="Arial" w:eastAsia="Arial" w:hAnsi="Arial"/>
                <w:sz w:val="18"/>
                <w:szCs w:val="18"/>
                <w:color w:val="auto"/>
              </w:rPr>
              <w:t>FINANCIAL INFORMATION</w:t>
            </w:r>
          </w:p>
        </w:tc>
        <w:tc>
          <w:tcPr>
            <w:tcW w:w="1960" w:type="dxa"/>
            <w:vAlign w:val="bottom"/>
          </w:tcPr>
          <w:p>
            <w:pPr>
              <w:jc w:val="right"/>
              <w:ind w:right="1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10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340" w:type="dxa"/>
            <w:vAlign w:val="bottom"/>
          </w:tcPr>
          <w:p>
            <w:pPr>
              <w:spacing w:after="0"/>
              <w:rPr>
                <w:sz w:val="19"/>
                <w:szCs w:val="19"/>
                <w:color w:val="auto"/>
              </w:rPr>
            </w:pPr>
          </w:p>
        </w:tc>
        <w:tc>
          <w:tcPr>
            <w:tcW w:w="8020" w:type="dxa"/>
            <w:vAlign w:val="bottom"/>
            <w:gridSpan w:val="23"/>
            <w:vMerge w:val="continue"/>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0" w:type="dxa"/>
            <w:vAlign w:val="bottom"/>
          </w:tcPr>
          <w:p>
            <w:pPr>
              <w:spacing w:after="0"/>
              <w:rPr>
                <w:sz w:val="22"/>
                <w:szCs w:val="22"/>
                <w:color w:val="auto"/>
              </w:rPr>
            </w:pPr>
          </w:p>
        </w:tc>
        <w:tc>
          <w:tcPr>
            <w:tcW w:w="802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020" w:type="dxa"/>
            <w:vAlign w:val="bottom"/>
            <w:gridSpan w:val="10"/>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June 30, 2016 and December 31, 2015</w:t>
              </w:r>
            </w:hyperlink>
          </w:p>
        </w:tc>
        <w:tc>
          <w:tcPr>
            <w:tcW w:w="5060" w:type="dxa"/>
            <w:vAlign w:val="bottom"/>
            <w:gridSpan w:val="1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2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&amp; Comprehensive Income -</w:t>
              </w:r>
            </w:hyperlink>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5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Three and Six Months Ended June 30, 2016 and June 30, 2015</w:t>
              </w:r>
            </w:hyperlink>
          </w:p>
        </w:tc>
        <w:tc>
          <w:tcPr>
            <w:tcW w:w="760" w:type="dxa"/>
            <w:vAlign w:val="bottom"/>
            <w:tcBorders>
              <w:top w:val="single" w:sz="8" w:color="0000EE"/>
            </w:tcBorders>
            <w:gridSpan w:val="2"/>
          </w:tcPr>
          <w:p>
            <w:pPr>
              <w:spacing w:after="0"/>
              <w:rPr>
                <w:sz w:val="17"/>
                <w:szCs w:val="17"/>
                <w:color w:val="auto"/>
              </w:rPr>
            </w:pPr>
          </w:p>
        </w:tc>
        <w:tc>
          <w:tcPr>
            <w:tcW w:w="2560" w:type="dxa"/>
            <w:vAlign w:val="bottom"/>
            <w:gridSpan w:val="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240" w:type="dxa"/>
            <w:vAlign w:val="bottom"/>
            <w:gridSpan w:val="9"/>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Six Months Ended June 30, 2016 and June 30, 2015</w:t>
              </w:r>
            </w:hyperlink>
          </w:p>
        </w:tc>
        <w:tc>
          <w:tcPr>
            <w:tcW w:w="4080" w:type="dxa"/>
            <w:vAlign w:val="bottom"/>
            <w:gridSpan w:val="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0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40" w:type="dxa"/>
            <w:vAlign w:val="bottom"/>
          </w:tcPr>
          <w:p>
            <w:pPr>
              <w:spacing w:after="0"/>
              <w:rPr>
                <w:sz w:val="24"/>
                <w:szCs w:val="24"/>
                <w:color w:val="auto"/>
              </w:rPr>
            </w:pPr>
          </w:p>
        </w:tc>
        <w:tc>
          <w:tcPr>
            <w:tcW w:w="802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4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Qualitative and Quantitative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15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40" w:type="dxa"/>
            <w:vAlign w:val="bottom"/>
          </w:tcPr>
          <w:p>
            <w:pPr>
              <w:spacing w:after="0"/>
              <w:rPr>
                <w:sz w:val="24"/>
                <w:szCs w:val="24"/>
                <w:color w:val="auto"/>
              </w:rPr>
            </w:pP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Controls and Procedures</w:t>
              </w:r>
            </w:hyperlink>
          </w:p>
        </w:tc>
        <w:tc>
          <w:tcPr>
            <w:tcW w:w="6220" w:type="dxa"/>
            <w:vAlign w:val="bottom"/>
            <w:gridSpan w:val="1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340" w:type="dxa"/>
            <w:vAlign w:val="bottom"/>
          </w:tcPr>
          <w:p>
            <w:pPr>
              <w:spacing w:after="0"/>
              <w:rPr>
                <w:sz w:val="24"/>
                <w:szCs w:val="24"/>
                <w:color w:val="auto"/>
              </w:rPr>
            </w:pPr>
          </w:p>
        </w:tc>
        <w:tc>
          <w:tcPr>
            <w:tcW w:w="802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6140" w:type="dxa"/>
            <w:vAlign w:val="bottom"/>
            <w:gridSpan w:val="1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Risk Factors</w:t>
              </w:r>
            </w:hyperlink>
          </w:p>
        </w:tc>
        <w:tc>
          <w:tcPr>
            <w:tcW w:w="7100" w:type="dxa"/>
            <w:vAlign w:val="bottom"/>
            <w:gridSpan w:val="2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4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Unregistered Sales of Equity Securities and Use of Proceeds</w:t>
              </w:r>
            </w:hyperlink>
          </w:p>
        </w:tc>
        <w:tc>
          <w:tcPr>
            <w:tcW w:w="366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40" w:type="dxa"/>
            <w:vAlign w:val="bottom"/>
          </w:tcPr>
          <w:p>
            <w:pPr>
              <w:spacing w:after="0"/>
              <w:rPr>
                <w:sz w:val="24"/>
                <w:szCs w:val="24"/>
                <w:color w:val="auto"/>
              </w:rPr>
            </w:pPr>
          </w:p>
        </w:tc>
        <w:tc>
          <w:tcPr>
            <w:tcW w:w="802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4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24"/>
                <w:szCs w:val="24"/>
                <w:color w:val="auto"/>
              </w:rPr>
            </w:pPr>
          </w:p>
        </w:tc>
        <w:tc>
          <w:tcPr>
            <w:tcW w:w="5700" w:type="dxa"/>
            <w:vAlign w:val="bottom"/>
            <w:gridSpan w:val="1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4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Other Information</w:t>
              </w:r>
            </w:hyperlink>
          </w:p>
        </w:tc>
        <w:tc>
          <w:tcPr>
            <w:tcW w:w="6700" w:type="dxa"/>
            <w:vAlign w:val="bottom"/>
            <w:gridSpan w:val="1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40" w:type="dxa"/>
            <w:vAlign w:val="bottom"/>
          </w:tcPr>
          <w:p>
            <w:pPr>
              <w:spacing w:after="0"/>
              <w:rPr>
                <w:sz w:val="24"/>
                <w:szCs w:val="24"/>
                <w:color w:val="auto"/>
              </w:rPr>
            </w:pPr>
          </w:p>
        </w:tc>
        <w:tc>
          <w:tcPr>
            <w:tcW w:w="802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3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340" w:type="dxa"/>
            <w:vAlign w:val="bottom"/>
          </w:tcPr>
          <w:p>
            <w:pPr>
              <w:spacing w:after="0"/>
              <w:rPr>
                <w:sz w:val="24"/>
                <w:szCs w:val="24"/>
                <w:color w:val="auto"/>
              </w:rPr>
            </w:pPr>
          </w:p>
        </w:tc>
        <w:tc>
          <w:tcPr>
            <w:tcW w:w="53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Amended Articles of Incoporation of Farmers &amp; Merchanst Bancorp, Inc.</w:t>
              </w:r>
            </w:hyperlink>
          </w:p>
        </w:tc>
        <w:tc>
          <w:tcPr>
            <w:tcW w:w="270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340" w:type="dxa"/>
            <w:vAlign w:val="bottom"/>
          </w:tcPr>
          <w:p>
            <w:pPr>
              <w:spacing w:after="0"/>
              <w:rPr>
                <w:sz w:val="24"/>
                <w:szCs w:val="24"/>
                <w:color w:val="auto"/>
              </w:rPr>
            </w:pPr>
          </w:p>
        </w:tc>
        <w:tc>
          <w:tcPr>
            <w:tcW w:w="24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Certifications Under Section 302</w:t>
              </w:r>
            </w:hyperlink>
          </w:p>
        </w:tc>
        <w:tc>
          <w:tcPr>
            <w:tcW w:w="5600" w:type="dxa"/>
            <w:vAlign w:val="bottom"/>
            <w:gridSpan w:val="1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340" w:type="dxa"/>
            <w:vAlign w:val="bottom"/>
          </w:tcPr>
          <w:p>
            <w:pPr>
              <w:spacing w:after="0"/>
              <w:rPr>
                <w:sz w:val="24"/>
                <w:szCs w:val="24"/>
                <w:color w:val="auto"/>
              </w:rPr>
            </w:pPr>
          </w:p>
        </w:tc>
        <w:tc>
          <w:tcPr>
            <w:tcW w:w="23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Certifications Under Section 906</w:t>
              </w:r>
            </w:hyperlink>
          </w:p>
        </w:tc>
        <w:tc>
          <w:tcPr>
            <w:tcW w:w="5640" w:type="dxa"/>
            <w:vAlign w:val="bottom"/>
            <w:gridSpan w:val="1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330"/>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8020" w:type="dxa"/>
            <w:vAlign w:val="bottom"/>
            <w:gridSpan w:val="23"/>
          </w:tcPr>
          <w:p>
            <w:pPr>
              <w:spacing w:after="0"/>
              <w:rPr>
                <w:sz w:val="20"/>
                <w:szCs w:val="20"/>
                <w:color w:val="auto"/>
              </w:rPr>
            </w:pPr>
            <w:r>
              <w:rPr>
                <w:rFonts w:ascii="Arial" w:cs="Arial" w:eastAsia="Arial" w:hAnsi="Arial"/>
                <w:sz w:val="18"/>
                <w:szCs w:val="18"/>
                <w:color w:val="auto"/>
              </w:rPr>
              <w:t>XBRL Instance Document (1)</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 (1)</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0"/>
                <w:szCs w:val="20"/>
                <w:color w:val="auto"/>
              </w:rPr>
            </w:pPr>
          </w:p>
        </w:tc>
        <w:tc>
          <w:tcPr>
            <w:tcW w:w="802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 (1)</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60" w:type="dxa"/>
            <w:vAlign w:val="bottom"/>
          </w:tcPr>
          <w:p>
            <w:pPr>
              <w:ind w:left="380"/>
              <w:spacing w:after="0"/>
              <w:rPr>
                <w:sz w:val="20"/>
                <w:szCs w:val="20"/>
                <w:color w:val="auto"/>
              </w:rPr>
            </w:pPr>
            <w:r>
              <w:rPr>
                <w:rFonts w:ascii="Arial" w:cs="Arial" w:eastAsia="Arial" w:hAnsi="Arial"/>
                <w:sz w:val="18"/>
                <w:szCs w:val="18"/>
                <w:color w:val="auto"/>
              </w:rPr>
              <w:t>FINANCIAL STATEMENTS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8820" w:type="dxa"/>
            <w:vAlign w:val="bottom"/>
            <w:gridSpan w:val="3"/>
          </w:tcPr>
          <w:p>
            <w:pPr>
              <w:spacing w:after="0"/>
              <w:rPr>
                <w:sz w:val="20"/>
                <w:szCs w:val="20"/>
                <w:color w:val="auto"/>
              </w:rPr>
            </w:pPr>
            <w:r>
              <w:rPr>
                <w:rFonts w:ascii="Arial" w:cs="Arial" w:eastAsia="Arial" w:hAnsi="Arial"/>
                <w:sz w:val="18"/>
                <w:szCs w:val="18"/>
                <w:color w:val="auto"/>
              </w:rPr>
              <w:t>FARMERS &amp; MERCHANTS BANCORP, INC. AND SUBSIDIARIES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CONDENSED CONSOLIDATED BALANCE SHEETS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640"/>
              <w:spacing w:after="0"/>
              <w:rPr>
                <w:sz w:val="20"/>
                <w:szCs w:val="20"/>
                <w:color w:val="auto"/>
              </w:rPr>
            </w:pPr>
            <w:r>
              <w:rPr>
                <w:rFonts w:ascii="Arial" w:cs="Arial" w:eastAsia="Arial" w:hAnsi="Arial"/>
                <w:sz w:val="14"/>
                <w:szCs w:val="14"/>
                <w:color w:val="auto"/>
              </w:rPr>
              <w:t>(in thousands of dollars)</w:t>
            </w: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color w:val="auto"/>
              </w:rPr>
              <w:t>June 30, 2016</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2015</w:t>
            </w: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22,895</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21,333</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19"/>
                <w:szCs w:val="19"/>
                <w:color w:val="auto"/>
              </w:rPr>
            </w:pPr>
          </w:p>
        </w:tc>
      </w:tr>
      <w:tr>
        <w:trPr>
          <w:trHeight w:val="107"/>
        </w:trPr>
        <w:tc>
          <w:tcPr>
            <w:tcW w:w="20" w:type="dxa"/>
            <w:vAlign w:val="bottom"/>
          </w:tcPr>
          <w:p>
            <w:pPr>
              <w:spacing w:after="0"/>
              <w:rPr>
                <w:sz w:val="9"/>
                <w:szCs w:val="9"/>
                <w:color w:val="auto"/>
              </w:rPr>
            </w:pPr>
          </w:p>
        </w:tc>
        <w:tc>
          <w:tcPr>
            <w:tcW w:w="88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Interest-bearing time deposits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Securities - available-for-sale</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217,063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235,115</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securities, at cost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725,198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679,821</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Premises and equipment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21,295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20,587</w:t>
            </w: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4,074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 servicing rights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Other real estate owned</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1,252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21,194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20,505</w:t>
            </w: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1,021,275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989,068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170,126</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171,112</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Interest-bearing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204,924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190,890</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Savings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236,546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225,052</w:t>
            </w: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Time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802,846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771,339</w:t>
            </w:r>
          </w:p>
        </w:tc>
      </w:tr>
      <w:tr>
        <w:trPr>
          <w:trHeight w:val="324"/>
        </w:trPr>
        <w:tc>
          <w:tcPr>
            <w:tcW w:w="20" w:type="dxa"/>
            <w:vAlign w:val="bottom"/>
          </w:tcPr>
          <w:p>
            <w:pPr>
              <w:spacing w:after="0"/>
              <w:rPr>
                <w:sz w:val="24"/>
                <w:szCs w:val="24"/>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0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75,942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78,815</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Home Loan Bank (FHLB) advances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60" w:type="dxa"/>
            <w:vAlign w:val="bottom"/>
          </w:tcPr>
          <w:p>
            <w:pPr>
              <w:ind w:left="7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896,387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868,971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shares - no par value - 6,500,000 shares 12/31/15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Common shares - no par value - 10,000,000 shares 6/30/16 authorized, 5,200,000 shares issued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52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12,260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12,086</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- 594,466 shares 2016, 587,466 shares 2015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(12,389)</w:t>
            </w: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123,587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120,188</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60" w:type="dxa"/>
            <w:vAlign w:val="bottom"/>
          </w:tcPr>
          <w:p>
            <w:pPr>
              <w:ind w:left="7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124,888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1,021,275</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989,068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2015, Condensed Consolidated Balance Sheet has been derived from the audited Consolidated Balance Sheet as of that date.</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4200"/>
        <w:spacing w:after="0" w:line="261" w:lineRule="auto"/>
        <w:rPr>
          <w:sz w:val="20"/>
          <w:szCs w:val="20"/>
          <w:color w:val="auto"/>
        </w:rPr>
      </w:pPr>
      <w:r>
        <w:rPr>
          <w:rFonts w:ascii="Arial" w:cs="Arial" w:eastAsia="Arial" w:hAnsi="Arial"/>
          <w:sz w:val="18"/>
          <w:szCs w:val="18"/>
          <w:color w:val="auto"/>
        </w:rPr>
        <w:t>CONDENSED CONSOLIDATED STATEMENTS OF INCOME &amp; COMPREHENSIVE INCOME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ind w:left="300"/>
              <w:spacing w:after="0"/>
              <w:rPr>
                <w:sz w:val="20"/>
                <w:szCs w:val="20"/>
                <w:color w:val="auto"/>
              </w:rPr>
            </w:pPr>
            <w:r>
              <w:rPr>
                <w:rFonts w:ascii="Arial" w:cs="Arial" w:eastAsia="Arial" w:hAnsi="Arial"/>
                <w:sz w:val="14"/>
                <w:szCs w:val="14"/>
                <w:color w:val="auto"/>
                <w:w w:val="93"/>
              </w:rPr>
              <w:t>Six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color w:val="auto"/>
                <w:w w:val="87"/>
              </w:rPr>
              <w:t>June 30, 2016</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7"/>
              </w:rPr>
              <w:t>June 30, 2015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June 30, 2016</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June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Loans, including fees</w:t>
            </w:r>
          </w:p>
        </w:tc>
        <w:tc>
          <w:tcPr>
            <w:tcW w:w="6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8,362</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7,163</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16,368</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U.S. Treasury and government agencies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Municipalities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interest income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w w:val="94"/>
              </w:rPr>
              <w:t>Federal funds purchased and securities sold under agreements to repurchase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Borrowed funds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Total interest expense</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service fees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 service charges and fees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loans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gain on sale of available for sale securities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income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and Wages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Employee benefits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occupancy expense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Furniture and equipment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processing</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Franchise taxes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sale of other assets owned</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FDIC Assessment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servicing rights amortization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 general and administrative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expenses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12,946</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unrealized gain (loss) on available for sale securities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Reclassification adjustment for gain on sale of available for sale securities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unrealized gain (loss) on available for sale securities</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(1,961)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(1,294)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3,176</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6,866</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 Basic and Diluted</w:t>
            </w: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w:t>
            </w:r>
          </w:p>
        </w:tc>
        <w:tc>
          <w:tcPr>
            <w:tcW w:w="6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center"/>
              <w:ind w:right="300"/>
              <w:spacing w:after="0"/>
              <w:rPr>
                <w:sz w:val="20"/>
                <w:szCs w:val="20"/>
                <w:color w:val="auto"/>
              </w:rPr>
            </w:pPr>
            <w:r>
              <w:rPr>
                <w:rFonts w:ascii="Arial" w:cs="Arial" w:eastAsia="Arial" w:hAnsi="Arial"/>
                <w:sz w:val="14"/>
                <w:szCs w:val="14"/>
                <w:color w:val="auto"/>
                <w:w w:val="91"/>
              </w:rPr>
              <w:t>Condensed Consolidated Statements of Cash Flows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3"/>
          </w:tcPr>
          <w:p>
            <w:pPr>
              <w:jc w:val="center"/>
              <w:ind w:left="891"/>
              <w:spacing w:after="0" w:line="149" w:lineRule="exact"/>
              <w:rPr>
                <w:sz w:val="20"/>
                <w:szCs w:val="20"/>
                <w:color w:val="auto"/>
              </w:rPr>
            </w:pPr>
            <w:r>
              <w:rPr>
                <w:rFonts w:ascii="Arial" w:cs="Arial" w:eastAsia="Arial" w:hAnsi="Arial"/>
                <w:sz w:val="14"/>
                <w:szCs w:val="14"/>
                <w:color w:val="auto"/>
                <w:w w:val="93"/>
              </w:rPr>
              <w:t>(in thousands of dollars)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gridSpan w:val="2"/>
          </w:tcPr>
          <w:p>
            <w:pPr>
              <w:jc w:val="center"/>
              <w:ind w:right="105"/>
              <w:spacing w:after="0" w:line="149" w:lineRule="exact"/>
              <w:rPr>
                <w:sz w:val="20"/>
                <w:szCs w:val="20"/>
                <w:color w:val="auto"/>
              </w:rPr>
            </w:pPr>
            <w:r>
              <w:rPr>
                <w:rFonts w:ascii="Arial" w:cs="Arial" w:eastAsia="Arial" w:hAnsi="Arial"/>
                <w:sz w:val="14"/>
                <w:szCs w:val="14"/>
                <w:color w:val="auto"/>
                <w:w w:val="95"/>
              </w:rPr>
              <w:t>Six Months Ended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tcPr>
          <w:p>
            <w:pPr>
              <w:jc w:val="right"/>
              <w:ind w:right="1288"/>
              <w:spacing w:after="0"/>
              <w:rPr>
                <w:sz w:val="20"/>
                <w:szCs w:val="20"/>
                <w:color w:val="auto"/>
              </w:rPr>
            </w:pPr>
            <w:r>
              <w:rPr>
                <w:rFonts w:ascii="Arial" w:cs="Arial" w:eastAsia="Arial" w:hAnsi="Arial"/>
                <w:sz w:val="14"/>
                <w:szCs w:val="14"/>
                <w:color w:val="auto"/>
                <w:w w:val="96"/>
              </w:rPr>
              <w:t>June 30, 2016</w:t>
            </w:r>
          </w:p>
        </w:tc>
        <w:tc>
          <w:tcPr>
            <w:tcW w:w="2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w w:val="94"/>
              </w:rPr>
              <w:t>June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40" w:type="dxa"/>
            <w:vAlign w:val="bottom"/>
            <w:gridSpan w:val="2"/>
          </w:tcPr>
          <w:p>
            <w:pPr>
              <w:jc w:val="right"/>
              <w:ind w:right="1008"/>
              <w:spacing w:after="0"/>
              <w:rPr>
                <w:sz w:val="20"/>
                <w:szCs w:val="20"/>
                <w:color w:val="auto"/>
              </w:rPr>
            </w:pPr>
            <w:r>
              <w:rPr>
                <w:rFonts w:ascii="Arial" w:cs="Arial" w:eastAsia="Arial" w:hAnsi="Arial"/>
                <w:sz w:val="18"/>
                <w:szCs w:val="18"/>
                <w:color w:val="auto"/>
              </w:rPr>
              <w:t>5,455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2240" w:type="dxa"/>
            <w:vAlign w:val="bottom"/>
            <w:gridSpan w:val="2"/>
          </w:tcPr>
          <w:p>
            <w:pPr>
              <w:jc w:val="right"/>
              <w:ind w:right="1008"/>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Accretion and amortization of available for sale securities, net</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180" w:type="dxa"/>
            <w:vAlign w:val="bottom"/>
          </w:tcPr>
          <w:p>
            <w:pPr>
              <w:spacing w:after="0"/>
              <w:rPr>
                <w:sz w:val="18"/>
                <w:szCs w:val="18"/>
                <w:color w:val="auto"/>
              </w:rPr>
            </w:pPr>
          </w:p>
        </w:tc>
        <w:tc>
          <w:tcPr>
            <w:tcW w:w="2240" w:type="dxa"/>
            <w:vAlign w:val="bottom"/>
            <w:gridSpan w:val="2"/>
          </w:tcPr>
          <w:p>
            <w:pPr>
              <w:jc w:val="right"/>
              <w:ind w:right="1008"/>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180" w:type="dxa"/>
            <w:vAlign w:val="bottom"/>
          </w:tcPr>
          <w:p>
            <w:pPr>
              <w:spacing w:after="0"/>
              <w:rPr>
                <w:sz w:val="18"/>
                <w:szCs w:val="18"/>
                <w:color w:val="auto"/>
              </w:rPr>
            </w:pPr>
          </w:p>
        </w:tc>
        <w:tc>
          <w:tcPr>
            <w:tcW w:w="2240" w:type="dxa"/>
            <w:vAlign w:val="bottom"/>
            <w:gridSpan w:val="2"/>
          </w:tcPr>
          <w:p>
            <w:pPr>
              <w:jc w:val="right"/>
              <w:ind w:right="1008"/>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180" w:type="dxa"/>
            <w:vAlign w:val="bottom"/>
          </w:tcPr>
          <w:p>
            <w:pPr>
              <w:spacing w:after="0"/>
              <w:rPr>
                <w:sz w:val="18"/>
                <w:szCs w:val="18"/>
                <w:color w:val="auto"/>
              </w:rPr>
            </w:pPr>
          </w:p>
        </w:tc>
        <w:tc>
          <w:tcPr>
            <w:tcW w:w="2240" w:type="dxa"/>
            <w:vAlign w:val="bottom"/>
            <w:gridSpan w:val="2"/>
          </w:tcPr>
          <w:p>
            <w:pPr>
              <w:jc w:val="right"/>
              <w:ind w:right="948"/>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Originations of loans held for sale</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(27,493)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180" w:type="dxa"/>
            <w:vAlign w:val="bottom"/>
          </w:tcPr>
          <w:p>
            <w:pPr>
              <w:spacing w:after="0"/>
              <w:rPr>
                <w:sz w:val="18"/>
                <w:szCs w:val="18"/>
                <w:color w:val="auto"/>
              </w:rPr>
            </w:pPr>
          </w:p>
        </w:tc>
        <w:tc>
          <w:tcPr>
            <w:tcW w:w="2240" w:type="dxa"/>
            <w:vAlign w:val="bottom"/>
            <w:gridSpan w:val="2"/>
          </w:tcPr>
          <w:p>
            <w:pPr>
              <w:jc w:val="right"/>
              <w:ind w:right="1008"/>
              <w:spacing w:after="0"/>
              <w:rPr>
                <w:sz w:val="20"/>
                <w:szCs w:val="20"/>
                <w:color w:val="auto"/>
              </w:rPr>
            </w:pPr>
            <w:r>
              <w:rPr>
                <w:rFonts w:ascii="Arial" w:cs="Arial" w:eastAsia="Arial" w:hAnsi="Arial"/>
                <w:sz w:val="18"/>
                <w:szCs w:val="18"/>
                <w:color w:val="auto"/>
              </w:rPr>
              <w:t>27,221</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other assets</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Gain on sales of securities available for sale</w:t>
            </w:r>
          </w:p>
        </w:tc>
        <w:tc>
          <w:tcPr>
            <w:tcW w:w="180" w:type="dxa"/>
            <w:vAlign w:val="bottom"/>
          </w:tcPr>
          <w:p>
            <w:pPr>
              <w:spacing w:after="0"/>
              <w:rPr>
                <w:sz w:val="18"/>
                <w:szCs w:val="18"/>
                <w:color w:val="auto"/>
              </w:rPr>
            </w:pPr>
          </w:p>
        </w:tc>
        <w:tc>
          <w:tcPr>
            <w:tcW w:w="2240" w:type="dxa"/>
            <w:vAlign w:val="bottom"/>
            <w:gridSpan w:val="2"/>
          </w:tcPr>
          <w:p>
            <w:pPr>
              <w:jc w:val="right"/>
              <w:ind w:right="948"/>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 and other liabilities, net</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(2,878)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10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Activity in securities: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19,734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18"/>
                <w:szCs w:val="18"/>
                <w:color w:val="auto"/>
              </w:rPr>
            </w:pPr>
          </w:p>
        </w:tc>
        <w:tc>
          <w:tcPr>
            <w:tcW w:w="2240" w:type="dxa"/>
            <w:vAlign w:val="bottom"/>
            <w:gridSpan w:val="2"/>
          </w:tcPr>
          <w:p>
            <w:pPr>
              <w:jc w:val="right"/>
              <w:ind w:right="1008"/>
              <w:spacing w:after="0"/>
              <w:rPr>
                <w:sz w:val="20"/>
                <w:szCs w:val="20"/>
                <w:color w:val="auto"/>
              </w:rPr>
            </w:pPr>
            <w:r>
              <w:rPr>
                <w:rFonts w:ascii="Arial" w:cs="Arial" w:eastAsia="Arial" w:hAnsi="Arial"/>
                <w:sz w:val="18"/>
                <w:szCs w:val="18"/>
                <w:color w:val="auto"/>
              </w:rPr>
              <w:t>42,744</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(42,375)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change in interest-bearing time deposits</w:t>
            </w:r>
          </w:p>
        </w:tc>
        <w:tc>
          <w:tcPr>
            <w:tcW w:w="180" w:type="dxa"/>
            <w:vAlign w:val="bottom"/>
          </w:tcPr>
          <w:p>
            <w:pPr>
              <w:spacing w:after="0"/>
              <w:rPr>
                <w:sz w:val="18"/>
                <w:szCs w:val="18"/>
                <w:color w:val="auto"/>
              </w:rPr>
            </w:pPr>
          </w:p>
        </w:tc>
        <w:tc>
          <w:tcPr>
            <w:tcW w:w="2240" w:type="dxa"/>
            <w:vAlign w:val="bottom"/>
            <w:gridSpan w:val="2"/>
          </w:tcPr>
          <w:p>
            <w:pPr>
              <w:jc w:val="right"/>
              <w:ind w:right="948"/>
              <w:spacing w:after="0"/>
              <w:rPr>
                <w:sz w:val="20"/>
                <w:szCs w:val="20"/>
                <w:color w:val="auto"/>
              </w:rPr>
            </w:pPr>
            <w:r>
              <w:rPr>
                <w:rFonts w:ascii="Arial" w:cs="Arial" w:eastAsia="Arial" w:hAnsi="Arial"/>
                <w:sz w:val="18"/>
                <w:szCs w:val="18"/>
                <w:color w:val="auto"/>
              </w:rPr>
              <w:t>(1,960)</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180" w:type="dxa"/>
            <w:vAlign w:val="bottom"/>
          </w:tcPr>
          <w:p>
            <w:pPr>
              <w:spacing w:after="0"/>
              <w:rPr>
                <w:sz w:val="18"/>
                <w:szCs w:val="18"/>
                <w:color w:val="auto"/>
              </w:rPr>
            </w:pPr>
          </w:p>
        </w:tc>
        <w:tc>
          <w:tcPr>
            <w:tcW w:w="2240" w:type="dxa"/>
            <w:vAlign w:val="bottom"/>
            <w:gridSpan w:val="2"/>
          </w:tcPr>
          <w:p>
            <w:pPr>
              <w:jc w:val="right"/>
              <w:ind w:right="948"/>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originations and principal collections, net</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(45,721)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(29,021)</w:t>
            </w:r>
          </w:p>
        </w:tc>
        <w:tc>
          <w:tcPr>
            <w:tcW w:w="10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change in deposits</w:t>
            </w:r>
          </w:p>
        </w:tc>
        <w:tc>
          <w:tcPr>
            <w:tcW w:w="180" w:type="dxa"/>
            <w:vAlign w:val="bottom"/>
          </w:tcPr>
          <w:p>
            <w:pPr>
              <w:spacing w:after="0"/>
              <w:rPr>
                <w:sz w:val="18"/>
                <w:szCs w:val="18"/>
                <w:color w:val="auto"/>
              </w:rPr>
            </w:pPr>
          </w:p>
        </w:tc>
        <w:tc>
          <w:tcPr>
            <w:tcW w:w="2240" w:type="dxa"/>
            <w:vAlign w:val="bottom"/>
            <w:gridSpan w:val="2"/>
          </w:tcPr>
          <w:p>
            <w:pPr>
              <w:jc w:val="right"/>
              <w:ind w:right="1008"/>
              <w:spacing w:after="0"/>
              <w:rPr>
                <w:sz w:val="20"/>
                <w:szCs w:val="20"/>
                <w:color w:val="auto"/>
              </w:rPr>
            </w:pPr>
            <w:r>
              <w:rPr>
                <w:rFonts w:ascii="Arial" w:cs="Arial" w:eastAsia="Arial" w:hAnsi="Arial"/>
                <w:sz w:val="18"/>
                <w:szCs w:val="18"/>
                <w:color w:val="auto"/>
              </w:rPr>
              <w:t>31,507</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federal funds purchased and securities sold under agreements to repurchase</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(2,873)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2240" w:type="dxa"/>
            <w:vAlign w:val="bottom"/>
            <w:gridSpan w:val="2"/>
          </w:tcPr>
          <w:p>
            <w:pPr>
              <w:jc w:val="right"/>
              <w:ind w:right="948"/>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on common stock</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26,428</w:t>
            </w:r>
          </w:p>
        </w:tc>
        <w:tc>
          <w:tcPr>
            <w:tcW w:w="10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22,018</w:t>
            </w:r>
          </w:p>
        </w:tc>
        <w:tc>
          <w:tcPr>
            <w:tcW w:w="10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23,379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22,087</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40" w:type="dxa"/>
            <w:vAlign w:val="bottom"/>
            <w:gridSpan w:val="2"/>
          </w:tcPr>
          <w:p>
            <w:pPr>
              <w:jc w:val="right"/>
              <w:ind w:right="1008"/>
              <w:spacing w:after="0"/>
              <w:rPr>
                <w:sz w:val="20"/>
                <w:szCs w:val="20"/>
                <w:color w:val="auto"/>
              </w:rPr>
            </w:pPr>
            <w:r>
              <w:rPr>
                <w:rFonts w:ascii="Arial" w:cs="Arial" w:eastAsia="Arial" w:hAnsi="Arial"/>
                <w:sz w:val="18"/>
                <w:szCs w:val="18"/>
                <w:color w:val="auto"/>
              </w:rPr>
              <w:t>1,998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3,208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Transfer of loans to other real estate owned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1</w:t>
      </w:r>
      <w:r>
        <w:rPr>
          <w:sz w:val="20"/>
          <w:szCs w:val="20"/>
          <w:color w:val="auto"/>
        </w:rPr>
        <w:tab/>
      </w:r>
      <w:r>
        <w:rPr>
          <w:rFonts w:ascii="Arial" w:cs="Arial" w:eastAsia="Arial" w:hAnsi="Arial"/>
          <w:sz w:val="16"/>
          <w:szCs w:val="16"/>
          <w:color w:val="auto"/>
        </w:rPr>
        <w:t>BASIS OF PRESENTATION</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months ended June 30, 2016 are not necessarily indicative of the results that are expected for the year ended December 31, 2016. These condensed consolidated financial statements should be read in conjunction with the consolidated financial statements and footnotes thereto included in the Company’s annual report on Form 10-K for the year ended December 31, 2015.</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6"/>
          <w:szCs w:val="16"/>
          <w:color w:val="auto"/>
        </w:rPr>
        <w:t>ASSET PURCHASES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recognized core deposit intangible assets of $1.09 million with the purchase of the Hicksville office on July 9, 2010. These are being amortized over an estimated remaining economic useful life of the deposits of 7 years on a straight line basis.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 office was purchased on December 13, 2013 in Custar, Ohio. Core deposit intangible assets of $1.17 million were recognized and are being amortized over its remaining economic useful life of the deposits of 7 years on a straight line basis.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amortization expense for the year ended December 31, 2015 was $323 thousand. Of the $322 thousand to be expensed in 2016, $161 thousand has been expensed for the six months ended June 30, 2016. $161 thousand was also expensed for the six months ended June 30, 2015.</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Hicksville</w:t>
            </w:r>
          </w:p>
        </w:tc>
        <w:tc>
          <w:tcPr>
            <w:tcW w:w="26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color w:val="auto"/>
                <w:w w:val="87"/>
              </w:rPr>
              <w:t>Custar</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4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155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$ 167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322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2017</w:t>
            </w: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78</w:t>
            </w:r>
          </w:p>
        </w:tc>
        <w:tc>
          <w:tcPr>
            <w:tcW w:w="28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2019</w:t>
            </w: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8"/>
                <w:szCs w:val="18"/>
                <w:color w:val="auto"/>
              </w:rPr>
              <w:t>Thereafter</w:t>
            </w:r>
          </w:p>
        </w:tc>
        <w:tc>
          <w:tcPr>
            <w:tcW w:w="4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233</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180" w:type="dxa"/>
            <w:vAlign w:val="bottom"/>
            <w:vMerge w:val="restart"/>
          </w:tcPr>
          <w:p>
            <w:pPr>
              <w:jc w:val="right"/>
              <w:ind w:right="2010"/>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6"/>
          <w:szCs w:val="16"/>
          <w:color w:val="auto"/>
        </w:rPr>
        <w:t>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color w:val="auto"/>
                <w:w w:val="93"/>
              </w:rPr>
              <w:t>(In Thousands)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center"/>
              <w:ind w:right="300"/>
              <w:spacing w:after="0" w:line="142" w:lineRule="exact"/>
              <w:rPr>
                <w:sz w:val="20"/>
                <w:szCs w:val="20"/>
                <w:color w:val="auto"/>
              </w:rPr>
            </w:pPr>
            <w:r>
              <w:rPr>
                <w:rFonts w:ascii="Arial" w:cs="Arial" w:eastAsia="Arial" w:hAnsi="Arial"/>
                <w:sz w:val="14"/>
                <w:szCs w:val="14"/>
                <w:color w:val="auto"/>
                <w:w w:val="90"/>
              </w:rPr>
              <w:t>June 30, 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w w:val="96"/>
              </w:rPr>
              <w:t>Gross</w:t>
            </w:r>
          </w:p>
        </w:tc>
        <w:tc>
          <w:tcPr>
            <w:tcW w:w="100" w:type="dxa"/>
            <w:vAlign w:val="bottom"/>
          </w:tcPr>
          <w:p>
            <w:pPr>
              <w:spacing w:after="0"/>
              <w:rPr>
                <w:sz w:val="10"/>
                <w:szCs w:val="10"/>
                <w:color w:val="auto"/>
              </w:rPr>
            </w:pPr>
          </w:p>
        </w:tc>
        <w:tc>
          <w:tcPr>
            <w:tcW w:w="80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8"/>
              </w:rPr>
              <w:t>Amortized</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Fair</w:t>
            </w:r>
          </w:p>
        </w:tc>
      </w:tr>
      <w:tr>
        <w:trPr>
          <w:trHeight w:val="167"/>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color w:val="auto"/>
                <w:w w:val="98"/>
              </w:rPr>
              <w:t>Gains</w:t>
            </w: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Losses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26,031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26,124</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93,043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93,493</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32,382</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32,711</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63,147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64,735</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214,603</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217,063</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color w:val="auto"/>
                <w:w w:val="93"/>
              </w:rPr>
              <w:t>(In Thousands)</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color w:val="auto"/>
                <w:w w:val="92"/>
              </w:rPr>
              <w:t>December 31, 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w w:val="96"/>
              </w:rPr>
              <w:t>Gross</w:t>
            </w:r>
          </w:p>
        </w:tc>
        <w:tc>
          <w:tcPr>
            <w:tcW w:w="100" w:type="dxa"/>
            <w:vAlign w:val="bottom"/>
          </w:tcPr>
          <w:p>
            <w:pPr>
              <w:spacing w:after="0"/>
              <w:rPr>
                <w:sz w:val="10"/>
                <w:szCs w:val="10"/>
                <w:color w:val="auto"/>
              </w:rPr>
            </w:pPr>
          </w:p>
        </w:tc>
        <w:tc>
          <w:tcPr>
            <w:tcW w:w="80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8"/>
              </w:rPr>
              <w:t>Amortized</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Fair</w:t>
            </w:r>
          </w:p>
        </w:tc>
      </w:tr>
      <w:tr>
        <w:trPr>
          <w:trHeight w:val="167"/>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color w:val="auto"/>
                <w:w w:val="98"/>
              </w:rPr>
              <w:t>Gains</w:t>
            </w: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Losses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38,778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38,505</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99,000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98,220</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26,157</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26,324</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70,858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72,066</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234,793</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(1,342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235,115</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5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downgrade has occurred that lowered the credit rating to below investment grade (below Baa3 by Moody and BBB – by Standard and Poors.)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6"/>
          <w:szCs w:val="16"/>
          <w:color w:val="auto"/>
        </w:rPr>
        <w:t>SECURITIES (Continued)</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2016 and December 31, 2015, aggregated by investment category and length of time that individual securities have been in a continuous loss position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4"/>
                <w:szCs w:val="14"/>
                <w:color w:val="auto"/>
              </w:rPr>
              <w:t>(In Thousands)</w:t>
            </w: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146"/>
              <w:spacing w:after="0" w:line="142" w:lineRule="exact"/>
              <w:rPr>
                <w:sz w:val="20"/>
                <w:szCs w:val="20"/>
                <w:color w:val="auto"/>
              </w:rPr>
            </w:pPr>
            <w:r>
              <w:rPr>
                <w:rFonts w:ascii="Arial" w:cs="Arial" w:eastAsia="Arial" w:hAnsi="Arial"/>
                <w:sz w:val="14"/>
                <w:szCs w:val="14"/>
                <w:color w:val="auto"/>
              </w:rPr>
              <w:t>June 30, 2016</w:t>
            </w: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Less Than Twelve Months</w:t>
            </w:r>
          </w:p>
        </w:tc>
        <w:tc>
          <w:tcPr>
            <w:tcW w:w="260" w:type="dxa"/>
            <w:vAlign w:val="bottom"/>
          </w:tcPr>
          <w:p>
            <w:pPr>
              <w:spacing w:after="0"/>
              <w:rPr>
                <w:sz w:val="12"/>
                <w:szCs w:val="12"/>
                <w:color w:val="auto"/>
              </w:rPr>
            </w:pPr>
          </w:p>
        </w:tc>
        <w:tc>
          <w:tcPr>
            <w:tcW w:w="1940" w:type="dxa"/>
            <w:vAlign w:val="bottom"/>
            <w:gridSpan w:val="5"/>
          </w:tcPr>
          <w:p>
            <w:pPr>
              <w:jc w:val="right"/>
              <w:ind w:right="335"/>
              <w:spacing w:after="0" w:line="142" w:lineRule="exact"/>
              <w:rPr>
                <w:sz w:val="20"/>
                <w:szCs w:val="20"/>
                <w:color w:val="auto"/>
              </w:rPr>
            </w:pPr>
            <w:r>
              <w:rPr>
                <w:rFonts w:ascii="Arial" w:cs="Arial" w:eastAsia="Arial" w:hAnsi="Arial"/>
                <w:sz w:val="14"/>
                <w:szCs w:val="14"/>
                <w:color w:val="auto"/>
              </w:rPr>
              <w:t>Twelve Months &amp; Over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62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Gross Unrealized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59"/>
              <w:spacing w:after="0" w:line="123" w:lineRule="exact"/>
              <w:rPr>
                <w:sz w:val="20"/>
                <w:szCs w:val="20"/>
                <w:color w:val="auto"/>
              </w:rPr>
            </w:pPr>
            <w:r>
              <w:rPr>
                <w:rFonts w:ascii="Arial" w:cs="Arial" w:eastAsia="Arial" w:hAnsi="Arial"/>
                <w:sz w:val="14"/>
                <w:szCs w:val="14"/>
                <w:color w:val="auto"/>
                <w:w w:val="91"/>
              </w:rPr>
              <w:t>Fair</w:t>
            </w:r>
          </w:p>
        </w:tc>
        <w:tc>
          <w:tcPr>
            <w:tcW w:w="60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340"/>
              <w:spacing w:after="0" w:line="123" w:lineRule="exact"/>
              <w:rPr>
                <w:sz w:val="20"/>
                <w:szCs w:val="20"/>
                <w:color w:val="auto"/>
              </w:rPr>
            </w:pPr>
            <w:r>
              <w:rPr>
                <w:rFonts w:ascii="Arial" w:cs="Arial" w:eastAsia="Arial" w:hAnsi="Arial"/>
                <w:sz w:val="14"/>
                <w:szCs w:val="14"/>
                <w:color w:val="auto"/>
                <w:w w:val="92"/>
              </w:rPr>
              <w:t>Gross Unrealized</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color w:val="auto"/>
                <w:w w:val="94"/>
              </w:rPr>
              <w:t>Value</w:t>
            </w:r>
          </w:p>
        </w:tc>
        <w:tc>
          <w:tcPr>
            <w:tcW w:w="260" w:type="dxa"/>
            <w:vAlign w:val="bottom"/>
          </w:tcPr>
          <w:p>
            <w:pPr>
              <w:spacing w:after="0"/>
              <w:rPr>
                <w:sz w:val="14"/>
                <w:szCs w:val="14"/>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Losses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13,995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3,089</w:t>
            </w:r>
          </w:p>
        </w:tc>
        <w:tc>
          <w:tcPr>
            <w:tcW w:w="2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90"/>
              </w:rPr>
              <w:t>$17,084</w:t>
            </w:r>
            <w:r>
              <w:rPr>
                <w:rFonts w:ascii="Arial" w:cs="Arial" w:eastAsia="Arial" w:hAnsi="Arial"/>
                <w:sz w:val="18"/>
                <w:szCs w:val="18"/>
                <w:color w:val="auto"/>
                <w:w w:val="90"/>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4"/>
                <w:szCs w:val="14"/>
                <w:color w:val="auto"/>
              </w:rPr>
              <w:t>(In Thousands)</w:t>
            </w: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December 31, 2015</w:t>
            </w: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Less Than Twelve Months</w:t>
            </w:r>
          </w:p>
        </w:tc>
        <w:tc>
          <w:tcPr>
            <w:tcW w:w="260" w:type="dxa"/>
            <w:vAlign w:val="bottom"/>
          </w:tcPr>
          <w:p>
            <w:pPr>
              <w:spacing w:after="0"/>
              <w:rPr>
                <w:sz w:val="12"/>
                <w:szCs w:val="12"/>
                <w:color w:val="auto"/>
              </w:rPr>
            </w:pPr>
          </w:p>
        </w:tc>
        <w:tc>
          <w:tcPr>
            <w:tcW w:w="1940" w:type="dxa"/>
            <w:vAlign w:val="bottom"/>
            <w:gridSpan w:val="5"/>
          </w:tcPr>
          <w:p>
            <w:pPr>
              <w:jc w:val="right"/>
              <w:ind w:right="335"/>
              <w:spacing w:after="0" w:line="142" w:lineRule="exact"/>
              <w:rPr>
                <w:sz w:val="20"/>
                <w:szCs w:val="20"/>
                <w:color w:val="auto"/>
              </w:rPr>
            </w:pPr>
            <w:r>
              <w:rPr>
                <w:rFonts w:ascii="Arial" w:cs="Arial" w:eastAsia="Arial" w:hAnsi="Arial"/>
                <w:sz w:val="14"/>
                <w:szCs w:val="14"/>
                <w:color w:val="auto"/>
              </w:rPr>
              <w:t>Twelve Months &amp; Over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62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Gross Unrealized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59"/>
              <w:spacing w:after="0" w:line="123" w:lineRule="exact"/>
              <w:rPr>
                <w:sz w:val="20"/>
                <w:szCs w:val="20"/>
                <w:color w:val="auto"/>
              </w:rPr>
            </w:pPr>
            <w:r>
              <w:rPr>
                <w:rFonts w:ascii="Arial" w:cs="Arial" w:eastAsia="Arial" w:hAnsi="Arial"/>
                <w:sz w:val="14"/>
                <w:szCs w:val="14"/>
                <w:color w:val="auto"/>
                <w:w w:val="91"/>
              </w:rPr>
              <w:t>Fair</w:t>
            </w:r>
          </w:p>
        </w:tc>
        <w:tc>
          <w:tcPr>
            <w:tcW w:w="60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340"/>
              <w:spacing w:after="0" w:line="123" w:lineRule="exact"/>
              <w:rPr>
                <w:sz w:val="20"/>
                <w:szCs w:val="20"/>
                <w:color w:val="auto"/>
              </w:rPr>
            </w:pPr>
            <w:r>
              <w:rPr>
                <w:rFonts w:ascii="Arial" w:cs="Arial" w:eastAsia="Arial" w:hAnsi="Arial"/>
                <w:sz w:val="14"/>
                <w:szCs w:val="14"/>
                <w:color w:val="auto"/>
                <w:w w:val="92"/>
              </w:rPr>
              <w:t>Gross Unrealized</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color w:val="auto"/>
                <w:w w:val="94"/>
              </w:rPr>
              <w:t>Value</w:t>
            </w:r>
          </w:p>
        </w:tc>
        <w:tc>
          <w:tcPr>
            <w:tcW w:w="260" w:type="dxa"/>
            <w:vAlign w:val="bottom"/>
          </w:tcPr>
          <w:p>
            <w:pPr>
              <w:spacing w:after="0"/>
              <w:rPr>
                <w:sz w:val="14"/>
                <w:szCs w:val="14"/>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Losses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23,241</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68,957</w:t>
            </w:r>
          </w:p>
        </w:tc>
        <w:tc>
          <w:tcPr>
            <w:tcW w:w="2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6,331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7,920</w:t>
            </w:r>
          </w:p>
        </w:tc>
        <w:tc>
          <w:tcPr>
            <w:tcW w:w="2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(891)</w:t>
            </w: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106,449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Below are the gross realized gains and losses as of June 30 for each of the years presented.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6"/>
          </w:tcPr>
          <w:p>
            <w:pPr>
              <w:ind w:left="12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2016</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$467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w:t>
            </w: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net realized gain on sales and related tax expense is a reclassification out of accumulated other comprehensive income. The net realized gain is included in net gain on sale of securities available-for-sale and the related tax expense is included in income tax expense in the condensed consolidated statements of income and comprehensive income.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6"/>
          <w:szCs w:val="16"/>
          <w:color w:val="auto"/>
        </w:rPr>
        <w:t>SECURITIES (Continued)</w:t>
      </w:r>
    </w:p>
    <w:p>
      <w:pPr>
        <w:spacing w:after="0" w:line="158"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amortized cost and fair value of debt securities at June 30, 2016, by contractual maturity, are shown below. Expected maturities will differ from contractual maturities because borrowers may have the right to call or prepay obligations with or without call or prepayment penalties.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380"/>
              <w:spacing w:after="0"/>
              <w:rPr>
                <w:sz w:val="20"/>
                <w:szCs w:val="20"/>
                <w:color w:val="auto"/>
              </w:rPr>
            </w:pPr>
            <w:r>
              <w:rPr>
                <w:rFonts w:ascii="Arial" w:cs="Arial" w:eastAsia="Arial" w:hAnsi="Arial"/>
                <w:sz w:val="14"/>
                <w:szCs w:val="14"/>
                <w:color w:val="auto"/>
              </w:rPr>
              <w:t>(In Thousands)</w:t>
            </w:r>
          </w:p>
        </w:tc>
      </w:tr>
      <w:tr>
        <w:trPr>
          <w:trHeight w:val="123"/>
        </w:trPr>
        <w:tc>
          <w:tcPr>
            <w:tcW w:w="46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Amortized</w:t>
            </w: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Cost</w:t>
            </w:r>
          </w:p>
        </w:tc>
        <w:tc>
          <w:tcPr>
            <w:tcW w:w="4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121,400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122,422</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After ten years</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182,221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184,352</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32,711</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214,603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217,063</w:t>
            </w:r>
          </w:p>
        </w:tc>
        <w:tc>
          <w:tcPr>
            <w:tcW w:w="1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Investments with a carrying value of $191.3 million and $189.3 million at June 30, 2016 and December 31, 2015, respectively, were pledged to secure public deposits and securities sold under repurchase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 include Federal Home Loan Bank of Cincinnati and Farmer Mac stock as of June 30, 2016 and December 31, 2015.</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LOANS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had $1.8 million in loans held for sale at June 30, 2016 as compared to $1.2 million in loans held for sale at December 31, 2015. Due to materiality, these loans are included in the Consumer Real Estate and Agricultural Real Estate loan numbers.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Loan balances as of June 30, 2016 and December 31, 2015:</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color w:val="auto"/>
                <w:w w:val="96"/>
              </w:rPr>
              <w:t>June 30, 2016</w:t>
            </w:r>
          </w:p>
        </w:tc>
        <w:tc>
          <w:tcPr>
            <w:tcW w:w="176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1"/>
              </w:rPr>
              <w:t>December 31, 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Loans:</w:t>
            </w:r>
          </w:p>
        </w:tc>
        <w:tc>
          <w:tcPr>
            <w:tcW w:w="2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Consumer Real Estate</w:t>
            </w:r>
          </w:p>
        </w:tc>
        <w:tc>
          <w:tcPr>
            <w:tcW w:w="240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89,090</w:t>
            </w:r>
          </w:p>
        </w:tc>
        <w:tc>
          <w:tcPr>
            <w:tcW w:w="6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Agricultural Real Estate</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61,403</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Agricultural</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83,287</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357,838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Commercial and Industrial</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104,336</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Consumer</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Industrial Development Bonds</w:t>
            </w:r>
          </w:p>
        </w:tc>
        <w:tc>
          <w:tcPr>
            <w:tcW w:w="2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732,364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Less: Net deferred loan fees and costs</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731,691</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Less: Allowance for loan losses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(6,493)</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 Net</w:t>
            </w:r>
          </w:p>
        </w:tc>
        <w:tc>
          <w:tcPr>
            <w:tcW w:w="24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725,198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vMerge w:val="restart"/>
          </w:tcPr>
          <w:p>
            <w:pPr>
              <w:jc w:val="right"/>
              <w:ind w:right="145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NOTE 4</w:t>
            </w:r>
          </w:p>
        </w:tc>
        <w:tc>
          <w:tcPr>
            <w:tcW w:w="6440" w:type="dxa"/>
            <w:vAlign w:val="bottom"/>
          </w:tcPr>
          <w:p>
            <w:pPr>
              <w:ind w:left="120"/>
              <w:spacing w:after="0"/>
              <w:rPr>
                <w:sz w:val="20"/>
                <w:szCs w:val="20"/>
                <w:color w:val="auto"/>
              </w:rPr>
            </w:pPr>
            <w:r>
              <w:rPr>
                <w:rFonts w:ascii="Arial" w:cs="Arial" w:eastAsia="Arial" w:hAnsi="Arial"/>
                <w:sz w:val="18"/>
                <w:szCs w:val="18"/>
                <w:color w:val="auto"/>
              </w:rPr>
              <w:t>LOANS (Continued)</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7360" w:type="dxa"/>
            <w:vAlign w:val="bottom"/>
            <w:gridSpan w:val="2"/>
          </w:tcPr>
          <w:p>
            <w:pPr>
              <w:spacing w:after="0"/>
              <w:rPr>
                <w:sz w:val="20"/>
                <w:szCs w:val="20"/>
                <w:color w:val="auto"/>
              </w:rPr>
            </w:pPr>
            <w:r>
              <w:rPr>
                <w:rFonts w:ascii="Arial" w:cs="Arial" w:eastAsia="Arial" w:hAnsi="Arial"/>
                <w:sz w:val="18"/>
                <w:szCs w:val="18"/>
                <w:color w:val="auto"/>
              </w:rPr>
              <w:t>The following is a maturity schedule by major category of loans as of June 30, 2016:</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9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6"/>
              </w:rPr>
              <w:t>After One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9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Within</w:t>
            </w:r>
          </w:p>
        </w:tc>
        <w:tc>
          <w:tcPr>
            <w:tcW w:w="2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Year Within</w:t>
            </w:r>
          </w:p>
        </w:tc>
        <w:tc>
          <w:tcPr>
            <w:tcW w:w="2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After</w:t>
            </w:r>
          </w:p>
        </w:tc>
      </w:tr>
      <w:tr>
        <w:trPr>
          <w:trHeight w:val="167"/>
        </w:trPr>
        <w:tc>
          <w:tcPr>
            <w:tcW w:w="9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One Year</w:t>
            </w:r>
          </w:p>
        </w:tc>
        <w:tc>
          <w:tcPr>
            <w:tcW w:w="2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Five Years</w:t>
            </w:r>
          </w:p>
        </w:tc>
        <w:tc>
          <w:tcPr>
            <w:tcW w:w="2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Five Years</w:t>
            </w:r>
          </w:p>
        </w:tc>
      </w:tr>
      <w:tr>
        <w:trPr>
          <w:trHeight w:val="210"/>
        </w:trPr>
        <w:tc>
          <w:tcPr>
            <w:tcW w:w="9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$ 1,428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12,371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$ 75,291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3,305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57,814</w:t>
            </w: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53,956</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23,328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6,003</w:t>
            </w:r>
          </w:p>
        </w:tc>
      </w:tr>
      <w:tr>
        <w:trPr>
          <w:trHeight w:val="216"/>
        </w:trPr>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0" w:type="dxa"/>
            <w:vAlign w:val="bottom"/>
          </w:tcPr>
          <w:p>
            <w:pPr>
              <w:jc w:val="right"/>
              <w:spacing w:after="0"/>
              <w:rPr>
                <w:sz w:val="20"/>
                <w:szCs w:val="20"/>
                <w:color w:val="auto"/>
              </w:rPr>
            </w:pPr>
            <w:r>
              <w:rPr>
                <w:rFonts w:ascii="Arial" w:cs="Arial" w:eastAsia="Arial" w:hAnsi="Arial"/>
                <w:sz w:val="18"/>
                <w:szCs w:val="18"/>
                <w:color w:val="auto"/>
              </w:rPr>
              <w:t>15,117</w:t>
            </w:r>
          </w:p>
        </w:tc>
        <w:tc>
          <w:tcPr>
            <w:tcW w:w="2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78,393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264,328</w:t>
            </w: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45,681</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37,640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21,015</w:t>
            </w:r>
          </w:p>
        </w:tc>
      </w:tr>
      <w:tr>
        <w:trPr>
          <w:trHeight w:val="216"/>
        </w:trPr>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Consumer</w:t>
            </w:r>
          </w:p>
        </w:tc>
        <w:tc>
          <w:tcPr>
            <w:tcW w:w="600" w:type="dxa"/>
            <w:vAlign w:val="bottom"/>
          </w:tcPr>
          <w:p>
            <w:pPr>
              <w:jc w:val="right"/>
              <w:spacing w:after="0"/>
              <w:rPr>
                <w:sz w:val="20"/>
                <w:szCs w:val="20"/>
                <w:color w:val="auto"/>
              </w:rPr>
            </w:pPr>
            <w:r>
              <w:rPr>
                <w:rFonts w:ascii="Arial" w:cs="Arial" w:eastAsia="Arial" w:hAnsi="Arial"/>
                <w:sz w:val="18"/>
                <w:szCs w:val="18"/>
                <w:color w:val="auto"/>
              </w:rPr>
              <w:t>5,808</w:t>
            </w:r>
          </w:p>
        </w:tc>
        <w:tc>
          <w:tcPr>
            <w:tcW w:w="2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18,331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6,319</w:t>
            </w: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4,767</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distribution of fixed rate loans and variable rate loans by major loan category is as follows as of June 30, 2016. Variable rate loans whose current rates are equal to their floor or ceiling are classified as fixed in this table.</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4"/>
          </w:tcPr>
          <w:p>
            <w:pPr>
              <w:ind w:left="500"/>
              <w:spacing w:after="0"/>
              <w:rPr>
                <w:sz w:val="20"/>
                <w:szCs w:val="20"/>
                <w:color w:val="auto"/>
              </w:rPr>
            </w:pPr>
            <w:r>
              <w:rPr>
                <w:rFonts w:ascii="Arial" w:cs="Arial" w:eastAsia="Arial" w:hAnsi="Arial"/>
                <w:sz w:val="14"/>
                <w:szCs w:val="14"/>
                <w:color w:val="auto"/>
              </w:rPr>
              <w:t>(In Thousands)</w:t>
            </w:r>
          </w:p>
        </w:tc>
      </w:tr>
      <w:tr>
        <w:trPr>
          <w:trHeight w:val="123"/>
        </w:trPr>
        <w:tc>
          <w:tcPr>
            <w:tcW w:w="44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00" w:type="dxa"/>
            <w:vAlign w:val="bottom"/>
            <w:tcBorders>
              <w:top w:val="single" w:sz="8" w:color="auto"/>
            </w:tcBorders>
          </w:tcPr>
          <w:p>
            <w:pPr>
              <w:jc w:val="right"/>
              <w:ind w:right="124"/>
              <w:spacing w:after="0" w:line="123" w:lineRule="exact"/>
              <w:rPr>
                <w:sz w:val="20"/>
                <w:szCs w:val="20"/>
                <w:color w:val="auto"/>
              </w:rPr>
            </w:pPr>
            <w:r>
              <w:rPr>
                <w:rFonts w:ascii="Arial" w:cs="Arial" w:eastAsia="Arial" w:hAnsi="Arial"/>
                <w:sz w:val="14"/>
                <w:szCs w:val="14"/>
                <w:color w:val="auto"/>
              </w:rPr>
              <w:t>Fixed</w:t>
            </w: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Variable</w:t>
            </w:r>
          </w:p>
        </w:tc>
        <w:tc>
          <w:tcPr>
            <w:tcW w:w="100" w:type="dxa"/>
            <w:vAlign w:val="bottom"/>
          </w:tcPr>
          <w:p>
            <w:pPr>
              <w:spacing w:after="0"/>
              <w:rPr>
                <w:sz w:val="10"/>
                <w:szCs w:val="10"/>
                <w:color w:val="auto"/>
              </w:rPr>
            </w:pPr>
          </w:p>
        </w:tc>
      </w:tr>
      <w:tr>
        <w:trPr>
          <w:trHeight w:val="167"/>
        </w:trPr>
        <w:tc>
          <w:tcPr>
            <w:tcW w:w="4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jc w:val="right"/>
              <w:ind w:right="144"/>
              <w:spacing w:after="0"/>
              <w:rPr>
                <w:sz w:val="20"/>
                <w:szCs w:val="20"/>
                <w:color w:val="auto"/>
              </w:rPr>
            </w:pPr>
            <w:r>
              <w:rPr>
                <w:rFonts w:ascii="Arial" w:cs="Arial" w:eastAsia="Arial" w:hAnsi="Arial"/>
                <w:sz w:val="14"/>
                <w:szCs w:val="14"/>
                <w:color w:val="auto"/>
              </w:rPr>
              <w:t>Rate</w:t>
            </w:r>
          </w:p>
        </w:tc>
        <w:tc>
          <w:tcPr>
            <w:tcW w:w="5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Rate</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$ 55,672</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$ 33,418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44,680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32,123</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225,756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132,082</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66,330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38,006</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Consumer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26,215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June 30, 2016 and December 31, 2015 one to four family residential mortgage loans amounting to $19.1 and $20.0 million, respectively, have been pledged as security for future loans the Bank has received from the Federal Home Loan Bank.</w:t>
      </w:r>
    </w:p>
    <w:p>
      <w:pPr>
        <w:spacing w:after="0" w:line="170"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Unless listed separately, Industrial Development Bonds are included in the commercial and industrial category for the remainder of the tables in this Note 4. 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the contractual aging of the recorded investment (in thousands) in past due loans by portfolio classification of loans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December 31, 2015, net of deferred loan fees and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 &gt;</w:t>
            </w:r>
          </w:p>
        </w:tc>
      </w:tr>
      <w:tr>
        <w:trPr>
          <w:trHeight w:val="149"/>
        </w:trPr>
        <w:tc>
          <w:tcPr>
            <w:tcW w:w="49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30-59 Days</w:t>
            </w:r>
          </w:p>
        </w:tc>
        <w:tc>
          <w:tcPr>
            <w:tcW w:w="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60-89 Days</w:t>
            </w:r>
          </w:p>
        </w:tc>
        <w:tc>
          <w:tcPr>
            <w:tcW w:w="1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Financing</w:t>
            </w:r>
          </w:p>
        </w:tc>
        <w:tc>
          <w:tcPr>
            <w:tcW w:w="1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90 Days and</w:t>
            </w:r>
          </w:p>
        </w:tc>
      </w:tr>
      <w:tr>
        <w:trPr>
          <w:trHeight w:val="167"/>
        </w:trPr>
        <w:tc>
          <w:tcPr>
            <w:tcW w:w="4980" w:type="dxa"/>
            <w:vAlign w:val="bottom"/>
          </w:tcPr>
          <w:p>
            <w:pPr>
              <w:spacing w:after="0"/>
              <w:rPr>
                <w:sz w:val="20"/>
                <w:szCs w:val="20"/>
                <w:color w:val="auto"/>
              </w:rPr>
            </w:pPr>
            <w:r>
              <w:rPr>
                <w:rFonts w:ascii="Arial" w:cs="Arial" w:eastAsia="Arial" w:hAnsi="Arial"/>
                <w:sz w:val="14"/>
                <w:szCs w:val="14"/>
                <w:color w:val="auto"/>
              </w:rPr>
              <w:t>June 30, 2016</w:t>
            </w: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Past Due</w:t>
            </w: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98"/>
              </w:rPr>
              <w:t>Current</w:t>
            </w:r>
          </w:p>
        </w:tc>
        <w:tc>
          <w:tcPr>
            <w:tcW w:w="82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Receivables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414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176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336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5"/>
                <w:szCs w:val="15"/>
                <w:color w:val="auto"/>
                <w:w w:val="71"/>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4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61,190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83,430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357,012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357,243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110,337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110,386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79"/>
              </w:rPr>
              <w:t>10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30,450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473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733</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$ 1,407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730,284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$ 731,691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 &gt;</w:t>
            </w:r>
          </w:p>
        </w:tc>
      </w:tr>
      <w:tr>
        <w:trPr>
          <w:trHeight w:val="149"/>
        </w:trPr>
        <w:tc>
          <w:tcPr>
            <w:tcW w:w="49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30-59 Days</w:t>
            </w:r>
          </w:p>
        </w:tc>
        <w:tc>
          <w:tcPr>
            <w:tcW w:w="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60-89 Days</w:t>
            </w:r>
          </w:p>
        </w:tc>
        <w:tc>
          <w:tcPr>
            <w:tcW w:w="1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Financing</w:t>
            </w:r>
          </w:p>
        </w:tc>
        <w:tc>
          <w:tcPr>
            <w:tcW w:w="1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90 Days and</w:t>
            </w:r>
          </w:p>
        </w:tc>
      </w:tr>
      <w:tr>
        <w:trPr>
          <w:trHeight w:val="167"/>
        </w:trPr>
        <w:tc>
          <w:tcPr>
            <w:tcW w:w="4980" w:type="dxa"/>
            <w:vAlign w:val="bottom"/>
          </w:tcPr>
          <w:p>
            <w:pPr>
              <w:spacing w:after="0"/>
              <w:rPr>
                <w:sz w:val="20"/>
                <w:szCs w:val="20"/>
                <w:color w:val="auto"/>
              </w:rPr>
            </w:pPr>
            <w:r>
              <w:rPr>
                <w:rFonts w:ascii="Arial" w:cs="Arial" w:eastAsia="Arial" w:hAnsi="Arial"/>
                <w:sz w:val="14"/>
                <w:szCs w:val="14"/>
                <w:color w:val="auto"/>
              </w:rPr>
              <w:t>December 31, 2015</w:t>
            </w: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Past Due</w:t>
            </w: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98"/>
              </w:rPr>
              <w:t>Current</w:t>
            </w:r>
          </w:p>
        </w:tc>
        <w:tc>
          <w:tcPr>
            <w:tcW w:w="82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Receivables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303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357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5"/>
                <w:szCs w:val="15"/>
                <w:color w:val="auto"/>
                <w:w w:val="71"/>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4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58,301</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1,077</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321,153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322,230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106,618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106,689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79"/>
              </w:rPr>
              <w:t>19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27,759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609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w:t>
            </w: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$ 2,190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683,688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$ 685,878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recorded investment in nonaccrual loans by class of loans as of June 30, 2016 and December 31, 2015:</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color w:val="auto"/>
              </w:rPr>
              <w:t>(In Thousands)</w:t>
            </w:r>
          </w:p>
        </w:tc>
      </w:tr>
      <w:tr>
        <w:trPr>
          <w:trHeight w:val="123"/>
        </w:trPr>
        <w:tc>
          <w:tcPr>
            <w:tcW w:w="4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5"/>
              </w:rPr>
              <w:t>June 30,</w:t>
            </w:r>
          </w:p>
        </w:tc>
        <w:tc>
          <w:tcPr>
            <w:tcW w:w="1380" w:type="dxa"/>
            <w:vAlign w:val="bottom"/>
            <w:tcBorders>
              <w:top w:val="single" w:sz="8" w:color="auto"/>
            </w:tcBorders>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0"/>
                <w:szCs w:val="10"/>
                <w:color w:val="auto"/>
              </w:rPr>
            </w:pPr>
          </w:p>
        </w:tc>
      </w:tr>
      <w:tr>
        <w:trPr>
          <w:trHeight w:val="167"/>
        </w:trPr>
        <w:tc>
          <w:tcPr>
            <w:tcW w:w="4220" w:type="dxa"/>
            <w:vAlign w:val="bottom"/>
          </w:tcPr>
          <w:p>
            <w:pPr>
              <w:spacing w:after="0"/>
              <w:rPr>
                <w:sz w:val="14"/>
                <w:szCs w:val="14"/>
                <w:color w:val="auto"/>
              </w:rPr>
            </w:pPr>
          </w:p>
        </w:tc>
        <w:tc>
          <w:tcPr>
            <w:tcW w:w="2980" w:type="dxa"/>
            <w:vAlign w:val="bottom"/>
            <w:gridSpan w:val="2"/>
          </w:tcPr>
          <w:p>
            <w:pPr>
              <w:jc w:val="right"/>
              <w:ind w:right="34"/>
              <w:spacing w:after="0"/>
              <w:rPr>
                <w:sz w:val="20"/>
                <w:szCs w:val="20"/>
                <w:color w:val="auto"/>
              </w:rPr>
            </w:pPr>
            <w:r>
              <w:rPr>
                <w:rFonts w:ascii="Arial" w:cs="Arial" w:eastAsia="Arial" w:hAnsi="Arial"/>
                <w:sz w:val="14"/>
                <w:szCs w:val="14"/>
                <w:color w:val="auto"/>
              </w:rPr>
              <w:t>2016</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$1,013</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4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Consumer</w:t>
            </w:r>
          </w:p>
        </w:tc>
        <w:tc>
          <w:tcPr>
            <w:tcW w:w="2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1,528</w:t>
            </w:r>
          </w:p>
        </w:tc>
        <w:tc>
          <w:tcPr>
            <w:tcW w:w="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 Real Estate – Construction, purchase, and refinance of business purpose real estate. Risks discussed during the approval process include construction delays and overruns, vacancies, collateral value subject to market value fluctuations, interest rate, market demands, borrower’s ability to repay in a timely fashion, and others. The Bank does employ stress testing on higher balance loans to mitigate risk by ensuring the customer’s ability to repay in a changing rate environment.</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Agricultural Real Estate – Purchase of farm real estate or for permanent improvements to the farm real estate. Cash flow from the farm operation is the repayment source and is therefore subject to the financial success of the farm operation.</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Consumer Real Estate – Purchase, refinance, or equity financing of one to four family owner occupied dwelling. Success in repayment is subject to borrower’s income, debt level, character in fulfilling payment obligations, employment, and others.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and Industrial –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Agricultural –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federal crop insurance.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Consumer – Funding for individual and family purposes. Success in repayment is subject to borrower’s income, debt level, character in fulfilling payment obligations, employment, and others.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Industrial Development Bonds – Funds for public improvements in the Bank’s service area. Repayment ability is based on the continuance of the taxation revenue as the source of repayment.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risk ratings are described as follows.</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30"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70" w:lineRule="exact"/>
        <w:rPr>
          <w:rFonts w:ascii="Arial" w:cs="Arial" w:eastAsia="Arial" w:hAnsi="Arial"/>
          <w:sz w:val="16"/>
          <w:szCs w:val="16"/>
          <w:color w:val="auto"/>
        </w:rPr>
      </w:pPr>
    </w:p>
    <w:p>
      <w:pPr>
        <w:ind w:left="900" w:right="40" w:hanging="446"/>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6" w:lineRule="exact"/>
        <w:rPr>
          <w:rFonts w:ascii="Arial" w:cs="Arial" w:eastAsia="Arial" w:hAnsi="Arial"/>
          <w:sz w:val="17"/>
          <w:szCs w:val="17"/>
          <w:color w:val="auto"/>
        </w:rPr>
      </w:pPr>
    </w:p>
    <w:p>
      <w:pPr>
        <w:ind w:left="900" w:right="12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Loans may be graded 3 when there is no recent information on which to base a current risk evaluation and the following conditions apply:</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31" w:lineRule="exact"/>
        <w:rPr>
          <w:sz w:val="20"/>
          <w:szCs w:val="20"/>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At inception, the loan was secured with collateral possessing a loan value adequate to protect the Bank from loss;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130" w:lineRule="exact"/>
        <w:rPr>
          <w:rFonts w:ascii="Arial" w:cs="Arial" w:eastAsia="Arial" w:hAnsi="Arial"/>
          <w:sz w:val="18"/>
          <w:szCs w:val="18"/>
          <w:color w:val="auto"/>
        </w:rPr>
      </w:pPr>
    </w:p>
    <w:p>
      <w:pPr>
        <w:ind w:left="1480" w:right="40" w:hanging="567"/>
        <w:spacing w:after="0" w:line="286" w:lineRule="auto"/>
        <w:tabs>
          <w:tab w:leader="none" w:pos="1480" w:val="left"/>
        </w:tabs>
        <w:numPr>
          <w:ilvl w:val="1"/>
          <w:numId w:val="6"/>
        </w:numPr>
        <w:rPr>
          <w:rFonts w:ascii="Arial" w:cs="Arial" w:eastAsia="Arial" w:hAnsi="Arial"/>
          <w:sz w:val="17"/>
          <w:szCs w:val="17"/>
          <w:color w:val="auto"/>
        </w:rPr>
      </w:pPr>
      <w:r>
        <w:rPr>
          <w:rFonts w:ascii="Arial" w:cs="Arial" w:eastAsia="Arial" w:hAnsi="Arial"/>
          <w:sz w:val="17"/>
          <w:szCs w:val="17"/>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70" w:lineRule="exact"/>
        <w:rPr>
          <w:rFonts w:ascii="Arial" w:cs="Arial" w:eastAsia="Arial" w:hAnsi="Arial"/>
          <w:sz w:val="17"/>
          <w:szCs w:val="17"/>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92" w:lineRule="exact"/>
        <w:rPr>
          <w:rFonts w:ascii="Arial" w:cs="Arial" w:eastAsia="Arial" w:hAnsi="Arial"/>
          <w:sz w:val="18"/>
          <w:szCs w:val="18"/>
          <w:color w:val="auto"/>
        </w:rPr>
      </w:pPr>
    </w:p>
    <w:p>
      <w:pPr>
        <w:jc w:val="both"/>
        <w:ind w:left="900" w:right="160" w:hanging="446"/>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w:t>
      </w:r>
    </w:p>
    <w:p>
      <w:pPr>
        <w:ind w:left="900"/>
        <w:spacing w:after="0"/>
        <w:rPr>
          <w:rFonts w:ascii="Arial" w:cs="Arial" w:eastAsia="Arial" w:hAnsi="Arial"/>
          <w:sz w:val="16"/>
          <w:szCs w:val="16"/>
          <w:color w:val="auto"/>
        </w:rPr>
      </w:pPr>
      <w:r>
        <w:rPr>
          <w:rFonts w:ascii="Arial" w:cs="Arial" w:eastAsia="Arial" w:hAnsi="Arial"/>
          <w:sz w:val="18"/>
          <w:szCs w:val="18"/>
          <w:color w:val="auto"/>
        </w:rPr>
        <w:t>(2) weaknesses are considered “potential”, versus “defined”, impairments to the primary source of loan repayment and collateral.</w:t>
      </w:r>
    </w:p>
    <w:p>
      <w:pPr>
        <w:spacing w:after="0" w:line="116"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30" w:lineRule="exact"/>
        <w:rPr>
          <w:rFonts w:ascii="Arial" w:cs="Arial" w:eastAsia="Arial" w:hAnsi="Arial"/>
          <w:sz w:val="18"/>
          <w:szCs w:val="18"/>
          <w:color w:val="auto"/>
        </w:rPr>
      </w:pPr>
    </w:p>
    <w:p>
      <w:pPr>
        <w:ind w:left="1480" w:right="560" w:hanging="567"/>
        <w:spacing w:after="0" w:line="34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ind w:left="1480" w:right="30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Loans are characterized by the distinct possibility that the Bank will sustain some loss if deficiencies are not corrected.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primary source of repayment is gone, and there is considerable doubt as to the quality of the secondary source of repayment.</w:t>
      </w:r>
    </w:p>
    <w:p>
      <w:pPr>
        <w:spacing w:after="0" w:line="142" w:lineRule="exact"/>
        <w:rPr>
          <w:rFonts w:ascii="Arial" w:cs="Arial" w:eastAsia="Arial" w:hAnsi="Arial"/>
          <w:sz w:val="17"/>
          <w:szCs w:val="17"/>
          <w:color w:val="auto"/>
        </w:rPr>
      </w:pPr>
    </w:p>
    <w:p>
      <w:pPr>
        <w:ind w:left="1480" w:right="260" w:hanging="567"/>
        <w:spacing w:after="0" w:line="34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29"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risk category of loans by portfolio class, net of deferred fees and costs, based on the most recent analysis performed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December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4"/>
              </w:rPr>
              <w:t>Industrial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Real Estate</w:t>
            </w:r>
          </w:p>
        </w:tc>
        <w:tc>
          <w:tcPr>
            <w:tcW w:w="2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w w:val="93"/>
              </w:rPr>
              <w:t>Real Estate</w:t>
            </w: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Bonds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2016</w:t>
            </w:r>
          </w:p>
        </w:tc>
        <w:tc>
          <w:tcPr>
            <w:tcW w:w="2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1-2</w:t>
            </w:r>
          </w:p>
        </w:tc>
        <w:tc>
          <w:tcPr>
            <w:tcW w:w="266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4,826</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6,846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1,424</w:t>
            </w:r>
          </w:p>
        </w:tc>
        <w:tc>
          <w:tcPr>
            <w:tcW w:w="28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19,001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28,329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17,836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2,770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4</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36,432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47,737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326,125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85,015</w:t>
            </w:r>
          </w:p>
        </w:tc>
        <w:tc>
          <w:tcPr>
            <w:tcW w:w="10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w w:val="84"/>
              </w:rPr>
              <w:t>3,182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61,353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$ 357,243</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104,434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5,952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Industrial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Real Estate</w:t>
            </w:r>
          </w:p>
        </w:tc>
        <w:tc>
          <w:tcPr>
            <w:tcW w:w="2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w w:val="93"/>
              </w:rPr>
              <w:t>Real Estate</w:t>
            </w: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Bonds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2015</w:t>
            </w:r>
          </w:p>
        </w:tc>
        <w:tc>
          <w:tcPr>
            <w:tcW w:w="2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1-2</w:t>
            </w:r>
          </w:p>
        </w:tc>
        <w:tc>
          <w:tcPr>
            <w:tcW w:w="266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5,841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12,025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597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16,593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21,247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4</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35,475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49,220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293,381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76,855</w:t>
            </w:r>
          </w:p>
        </w:tc>
        <w:tc>
          <w:tcPr>
            <w:tcW w:w="10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w w:val="84"/>
              </w:rPr>
              <w:t>3,391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58,463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82,762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$ 322,230</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100,198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6,491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vMerge w:val="restart"/>
          </w:tcPr>
          <w:p>
            <w:pPr>
              <w:ind w:left="2100"/>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which was previously stated, and by payment activity. The following tables present the recorded investment in those classes based on payment activity and assigned risk grading as of June 30, 2016 and December 31, 2015.</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5"/>
          </w:tcPr>
          <w:p>
            <w:pPr>
              <w:ind w:left="560"/>
              <w:spacing w:after="0"/>
              <w:rPr>
                <w:sz w:val="20"/>
                <w:szCs w:val="20"/>
                <w:color w:val="auto"/>
              </w:rPr>
            </w:pPr>
            <w:r>
              <w:rPr>
                <w:rFonts w:ascii="Arial" w:cs="Arial" w:eastAsia="Arial" w:hAnsi="Arial"/>
                <w:sz w:val="14"/>
                <w:szCs w:val="14"/>
                <w:color w:val="auto"/>
              </w:rPr>
              <w:t>(In Thousands)</w:t>
            </w: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9"/>
              </w:rPr>
              <w:t>Consumer</w:t>
            </w: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89"/>
              </w:rPr>
              <w:t>Consumer</w:t>
            </w: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1"/>
              </w:rPr>
              <w:t>Real Estate</w:t>
            </w:r>
          </w:p>
        </w:tc>
        <w:tc>
          <w:tcPr>
            <w:tcW w:w="58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Real Estate</w:t>
            </w: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6"/>
              </w:rPr>
              <w:t>2016</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4"/>
                <w:szCs w:val="14"/>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Grade</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Pass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$ 87,977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87,292</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Mention (5)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Substandard (6)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$ 88,791</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87,947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120" w:type="dxa"/>
            <w:vAlign w:val="bottom"/>
            <w:gridSpan w:val="5"/>
          </w:tcPr>
          <w:p>
            <w:pPr>
              <w:jc w:val="right"/>
              <w:ind w:right="660"/>
              <w:spacing w:after="0" w:line="142" w:lineRule="exact"/>
              <w:rPr>
                <w:sz w:val="20"/>
                <w:szCs w:val="20"/>
                <w:color w:val="auto"/>
              </w:rPr>
            </w:pPr>
            <w:r>
              <w:rPr>
                <w:rFonts w:ascii="Arial" w:cs="Arial" w:eastAsia="Arial" w:hAnsi="Arial"/>
                <w:sz w:val="14"/>
                <w:szCs w:val="14"/>
                <w:color w:val="auto"/>
              </w:rPr>
              <w:t>Consumer - Credit</w:t>
            </w:r>
          </w:p>
        </w:tc>
        <w:tc>
          <w:tcPr>
            <w:tcW w:w="260" w:type="dxa"/>
            <w:vAlign w:val="bottom"/>
          </w:tcPr>
          <w:p>
            <w:pPr>
              <w:spacing w:after="0"/>
              <w:rPr>
                <w:sz w:val="12"/>
                <w:szCs w:val="12"/>
                <w:color w:val="auto"/>
              </w:rPr>
            </w:pPr>
          </w:p>
        </w:tc>
        <w:tc>
          <w:tcPr>
            <w:tcW w:w="1940" w:type="dxa"/>
            <w:vAlign w:val="bottom"/>
            <w:gridSpan w:val="4"/>
          </w:tcPr>
          <w:p>
            <w:pPr>
              <w:jc w:val="right"/>
              <w:ind w:right="354"/>
              <w:spacing w:after="0" w:line="142" w:lineRule="exact"/>
              <w:rPr>
                <w:sz w:val="20"/>
                <w:szCs w:val="20"/>
                <w:color w:val="auto"/>
              </w:rPr>
            </w:pPr>
            <w:r>
              <w:rPr>
                <w:rFonts w:ascii="Arial" w:cs="Arial" w:eastAsia="Arial" w:hAnsi="Arial"/>
                <w:sz w:val="14"/>
                <w:szCs w:val="14"/>
                <w:color w:val="auto"/>
              </w:rPr>
              <w:t>Consumer - Other</w:t>
            </w:r>
          </w:p>
        </w:tc>
        <w:tc>
          <w:tcPr>
            <w:tcW w:w="100" w:type="dxa"/>
            <w:vAlign w:val="bottom"/>
          </w:tcPr>
          <w:p>
            <w:pPr>
              <w:spacing w:after="0"/>
              <w:rPr>
                <w:sz w:val="12"/>
                <w:szCs w:val="12"/>
                <w:color w:val="auto"/>
              </w:rPr>
            </w:pPr>
          </w:p>
        </w:tc>
      </w:tr>
      <w:tr>
        <w:trPr>
          <w:trHeight w:val="123"/>
        </w:trPr>
        <w:tc>
          <w:tcPr>
            <w:tcW w:w="36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June 30,</w:t>
            </w:r>
          </w:p>
        </w:tc>
        <w:tc>
          <w:tcPr>
            <w:tcW w:w="8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Borders>
              <w:top w:val="single" w:sz="8" w:color="auto"/>
            </w:tcBorders>
            <w:gridSpan w:val="2"/>
          </w:tcPr>
          <w:p>
            <w:pPr>
              <w:ind w:left="60"/>
              <w:spacing w:after="0" w:line="123" w:lineRule="exact"/>
              <w:rPr>
                <w:sz w:val="20"/>
                <w:szCs w:val="20"/>
                <w:color w:val="auto"/>
              </w:rPr>
            </w:pPr>
            <w:r>
              <w:rPr>
                <w:rFonts w:ascii="Arial" w:cs="Arial" w:eastAsia="Arial" w:hAnsi="Arial"/>
                <w:sz w:val="14"/>
                <w:szCs w:val="14"/>
                <w:color w:val="auto"/>
              </w:rPr>
              <w:t>June 30,</w:t>
            </w:r>
          </w:p>
        </w:tc>
        <w:tc>
          <w:tcPr>
            <w:tcW w:w="8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67"/>
        </w:trPr>
        <w:tc>
          <w:tcPr>
            <w:tcW w:w="3600" w:type="dxa"/>
            <w:vAlign w:val="bottom"/>
          </w:tcPr>
          <w:p>
            <w:pPr>
              <w:spacing w:after="0"/>
              <w:rPr>
                <w:sz w:val="14"/>
                <w:szCs w:val="14"/>
                <w:color w:val="auto"/>
              </w:rPr>
            </w:pPr>
          </w:p>
        </w:tc>
        <w:tc>
          <w:tcPr>
            <w:tcW w:w="2980" w:type="dxa"/>
            <w:vAlign w:val="bottom"/>
            <w:gridSpan w:val="2"/>
          </w:tcPr>
          <w:p>
            <w:pPr>
              <w:jc w:val="right"/>
              <w:ind w:right="39"/>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color w:val="auto"/>
              </w:rPr>
              <w:t>2015</w:t>
            </w:r>
          </w:p>
        </w:tc>
        <w:tc>
          <w:tcPr>
            <w:tcW w:w="28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Performing</w:t>
            </w:r>
          </w:p>
        </w:tc>
        <w:tc>
          <w:tcPr>
            <w:tcW w:w="2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$3,626</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$26,831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Nonperforming</w:t>
            </w:r>
          </w:p>
        </w:tc>
        <w:tc>
          <w:tcPr>
            <w:tcW w:w="2480" w:type="dxa"/>
            <w:vAlign w:val="bottom"/>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3,901</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23,886</w:t>
            </w:r>
          </w:p>
        </w:tc>
      </w:tr>
      <w:tr>
        <w:trPr>
          <w:trHeight w:val="20"/>
        </w:trPr>
        <w:tc>
          <w:tcPr>
            <w:tcW w:w="3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impaired loans as of June 30, 2016, December 31, 2015 and June 30, 2015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4"/>
                <w:szCs w:val="14"/>
                <w:color w:val="auto"/>
                <w:w w:val="93"/>
              </w:rPr>
              <w:t>(In Thousands)</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color w:val="auto"/>
              </w:rPr>
              <w:t>June 30, 2016</w:t>
            </w:r>
          </w:p>
        </w:tc>
        <w:tc>
          <w:tcPr>
            <w:tcW w:w="380" w:type="dxa"/>
            <w:vAlign w:val="bottom"/>
          </w:tcPr>
          <w:p>
            <w:pPr>
              <w:spacing w:after="0"/>
              <w:rPr>
                <w:sz w:val="12"/>
                <w:szCs w:val="12"/>
                <w:color w:val="auto"/>
              </w:rPr>
            </w:pPr>
          </w:p>
        </w:tc>
        <w:tc>
          <w:tcPr>
            <w:tcW w:w="190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2015</w:t>
            </w: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w w:val="87"/>
              </w:rPr>
              <w:t>June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997</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3,239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622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24"/>
                <w:szCs w:val="24"/>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2,136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217</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7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non-accrual loans</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1,528</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2,041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Total loans past-due ninety days or more and still accruing</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4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average investment in impaired loans</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8"/>
                <w:szCs w:val="18"/>
                <w:color w:val="auto"/>
              </w:rPr>
              <w:t>Year to date average investment in impaired loans</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1,995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2,509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Bank had approximately $656 thousand of its impaired loans classified as troubled debt restructured (TDR) as of June 30, 2016, $1.1 million as of December 31, 2015 and $1.3 million as of June 30, 2015. During the year-to-date 2016, one new loan was considered TDR. This loan is making interest-only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three and six months ended June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Arial" w:cs="Arial" w:eastAsia="Arial" w:hAnsi="Arial"/>
                <w:sz w:val="14"/>
                <w:szCs w:val="14"/>
                <w:color w:val="auto"/>
              </w:rPr>
              <w:t>Three Months</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Pre-</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Post-</w:t>
            </w:r>
          </w:p>
        </w:tc>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Post-</w:t>
            </w:r>
          </w:p>
        </w:tc>
        <w:tc>
          <w:tcPr>
            <w:tcW w:w="0" w:type="dxa"/>
            <w:vAlign w:val="bottom"/>
          </w:tcPr>
          <w:p>
            <w:pPr>
              <w:spacing w:after="0"/>
              <w:rPr>
                <w:sz w:val="1"/>
                <w:szCs w:val="1"/>
                <w:color w:val="auto"/>
              </w:rPr>
            </w:pPr>
          </w:p>
        </w:tc>
      </w:tr>
      <w:tr>
        <w:trPr>
          <w:trHeight w:val="140"/>
        </w:trPr>
        <w:tc>
          <w:tcPr>
            <w:tcW w:w="17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7"/>
              </w:rPr>
              <w:t>Number of</w:t>
            </w:r>
          </w:p>
        </w:tc>
        <w:tc>
          <w:tcPr>
            <w:tcW w:w="1140" w:type="dxa"/>
            <w:vAlign w:val="bottom"/>
            <w:gridSpan w:val="2"/>
          </w:tcPr>
          <w:p>
            <w:pPr>
              <w:jc w:val="center"/>
              <w:ind w:right="380"/>
              <w:spacing w:after="0" w:line="141" w:lineRule="exact"/>
              <w:rPr>
                <w:sz w:val="20"/>
                <w:szCs w:val="20"/>
                <w:color w:val="auto"/>
              </w:rPr>
            </w:pPr>
            <w:r>
              <w:rPr>
                <w:rFonts w:ascii="Arial" w:cs="Arial" w:eastAsia="Arial" w:hAnsi="Arial"/>
                <w:sz w:val="14"/>
                <w:szCs w:val="14"/>
                <w:color w:val="auto"/>
              </w:rPr>
              <w:t>Modification</w:t>
            </w:r>
          </w:p>
        </w:tc>
        <w:tc>
          <w:tcPr>
            <w:tcW w:w="740" w:type="dxa"/>
            <w:vAlign w:val="bottom"/>
          </w:tcPr>
          <w:p>
            <w:pPr>
              <w:jc w:val="center"/>
              <w:spacing w:after="0" w:line="141" w:lineRule="exact"/>
              <w:rPr>
                <w:sz w:val="20"/>
                <w:szCs w:val="20"/>
                <w:color w:val="auto"/>
              </w:rPr>
            </w:pPr>
            <w:r>
              <w:rPr>
                <w:rFonts w:ascii="Arial" w:cs="Arial" w:eastAsia="Arial" w:hAnsi="Arial"/>
                <w:sz w:val="14"/>
                <w:szCs w:val="14"/>
                <w:color w:val="auto"/>
                <w:w w:val="99"/>
              </w:rPr>
              <w:t>Modification</w:t>
            </w:r>
          </w:p>
        </w:tc>
        <w:tc>
          <w:tcPr>
            <w:tcW w:w="380" w:type="dxa"/>
            <w:vAlign w:val="bottom"/>
          </w:tcPr>
          <w:p>
            <w:pPr>
              <w:spacing w:after="0"/>
              <w:rPr>
                <w:sz w:val="12"/>
                <w:szCs w:val="12"/>
                <w:color w:val="auto"/>
              </w:rPr>
            </w:pPr>
          </w:p>
        </w:tc>
        <w:tc>
          <w:tcPr>
            <w:tcW w:w="200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5"/>
              </w:rPr>
              <w:t>Six Months</w:t>
            </w: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w w:val="97"/>
              </w:rPr>
              <w:t>Number of</w:t>
            </w:r>
          </w:p>
        </w:tc>
        <w:tc>
          <w:tcPr>
            <w:tcW w:w="280" w:type="dxa"/>
            <w:vAlign w:val="bottom"/>
          </w:tcPr>
          <w:p>
            <w:pPr>
              <w:spacing w:after="0"/>
              <w:rPr>
                <w:sz w:val="12"/>
                <w:szCs w:val="12"/>
                <w:color w:val="auto"/>
              </w:rPr>
            </w:pPr>
          </w:p>
        </w:tc>
        <w:tc>
          <w:tcPr>
            <w:tcW w:w="1120" w:type="dxa"/>
            <w:vAlign w:val="bottom"/>
            <w:gridSpan w:val="3"/>
          </w:tcPr>
          <w:p>
            <w:pPr>
              <w:jc w:val="center"/>
              <w:ind w:right="380"/>
              <w:spacing w:after="0" w:line="141" w:lineRule="exact"/>
              <w:rPr>
                <w:sz w:val="20"/>
                <w:szCs w:val="20"/>
                <w:color w:val="auto"/>
              </w:rPr>
            </w:pPr>
            <w:r>
              <w:rPr>
                <w:rFonts w:ascii="Arial" w:cs="Arial" w:eastAsia="Arial" w:hAnsi="Arial"/>
                <w:sz w:val="14"/>
                <w:szCs w:val="14"/>
                <w:color w:val="auto"/>
                <w:w w:val="99"/>
              </w:rPr>
              <w:t>Modification</w:t>
            </w:r>
          </w:p>
        </w:tc>
        <w:tc>
          <w:tcPr>
            <w:tcW w:w="860" w:type="dxa"/>
            <w:vAlign w:val="bottom"/>
            <w:gridSpan w:val="3"/>
          </w:tcPr>
          <w:p>
            <w:pPr>
              <w:jc w:val="center"/>
              <w:ind w:right="80"/>
              <w:spacing w:after="0" w:line="141" w:lineRule="exact"/>
              <w:rPr>
                <w:sz w:val="20"/>
                <w:szCs w:val="20"/>
                <w:color w:val="auto"/>
              </w:rPr>
            </w:pPr>
            <w:r>
              <w:rPr>
                <w:rFonts w:ascii="Arial" w:cs="Arial" w:eastAsia="Arial" w:hAnsi="Arial"/>
                <w:sz w:val="14"/>
                <w:szCs w:val="14"/>
                <w:color w:val="auto"/>
                <w:w w:val="99"/>
              </w:rPr>
              <w:t>Modification</w:t>
            </w: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June 30, 2016</w:t>
            </w:r>
          </w:p>
        </w:tc>
        <w:tc>
          <w:tcPr>
            <w:tcW w:w="9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Contracts</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Outstanding</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380" w:type="dxa"/>
            <w:vAlign w:val="bottom"/>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June 30, 2016</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Contracts</w:t>
            </w:r>
          </w:p>
        </w:tc>
        <w:tc>
          <w:tcPr>
            <w:tcW w:w="28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Outstanding</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Modified in the</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Recorded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8"/>
              </w:rPr>
              <w:t>Recorded</w:t>
            </w:r>
          </w:p>
        </w:tc>
        <w:tc>
          <w:tcPr>
            <w:tcW w:w="380" w:type="dxa"/>
            <w:vAlign w:val="bottom"/>
          </w:tcPr>
          <w:p>
            <w:pPr>
              <w:spacing w:after="0"/>
              <w:rPr>
                <w:sz w:val="12"/>
                <w:szCs w:val="12"/>
                <w:color w:val="auto"/>
              </w:rPr>
            </w:pPr>
          </w:p>
        </w:tc>
        <w:tc>
          <w:tcPr>
            <w:tcW w:w="2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(in thousands)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Modified in the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Recorded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Recorded</w:t>
            </w:r>
          </w:p>
        </w:tc>
        <w:tc>
          <w:tcPr>
            <w:tcW w:w="0" w:type="dxa"/>
            <w:vAlign w:val="bottom"/>
          </w:tcPr>
          <w:p>
            <w:pPr>
              <w:spacing w:after="0"/>
              <w:rPr>
                <w:sz w:val="1"/>
                <w:szCs w:val="1"/>
                <w:color w:val="auto"/>
              </w:rPr>
            </w:pPr>
          </w:p>
        </w:tc>
      </w:tr>
      <w:tr>
        <w:trPr>
          <w:trHeight w:val="149"/>
        </w:trPr>
        <w:tc>
          <w:tcPr>
            <w:tcW w:w="17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w w:val="92"/>
              </w:rPr>
              <w:t>Troubled Debt Restructurings</w:t>
            </w:r>
          </w:p>
        </w:tc>
        <w:tc>
          <w:tcPr>
            <w:tcW w:w="980" w:type="dxa"/>
            <w:vAlign w:val="bottom"/>
          </w:tcPr>
          <w:p>
            <w:pPr>
              <w:spacing w:after="0"/>
              <w:rPr>
                <w:sz w:val="12"/>
                <w:szCs w:val="12"/>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color w:val="auto"/>
                <w:w w:val="95"/>
              </w:rPr>
              <w:t>Last 3 Months</w:t>
            </w:r>
          </w:p>
        </w:tc>
        <w:tc>
          <w:tcPr>
            <w:tcW w:w="1140" w:type="dxa"/>
            <w:vAlign w:val="bottom"/>
            <w:gridSpan w:val="2"/>
          </w:tcPr>
          <w:p>
            <w:pPr>
              <w:jc w:val="center"/>
              <w:ind w:right="380"/>
              <w:spacing w:after="0" w:line="129" w:lineRule="exact"/>
              <w:rPr>
                <w:sz w:val="20"/>
                <w:szCs w:val="20"/>
                <w:color w:val="auto"/>
              </w:rPr>
            </w:pPr>
            <w:r>
              <w:rPr>
                <w:rFonts w:ascii="Arial" w:cs="Arial" w:eastAsia="Arial" w:hAnsi="Arial"/>
                <w:sz w:val="14"/>
                <w:szCs w:val="14"/>
                <w:color w:val="auto"/>
                <w:w w:val="93"/>
              </w:rPr>
              <w:t>Investment</w:t>
            </w:r>
          </w:p>
        </w:tc>
        <w:tc>
          <w:tcPr>
            <w:tcW w:w="740" w:type="dxa"/>
            <w:vAlign w:val="bottom"/>
          </w:tcPr>
          <w:p>
            <w:pPr>
              <w:jc w:val="center"/>
              <w:spacing w:after="0" w:line="129" w:lineRule="exact"/>
              <w:rPr>
                <w:sz w:val="20"/>
                <w:szCs w:val="20"/>
                <w:color w:val="auto"/>
              </w:rPr>
            </w:pPr>
            <w:r>
              <w:rPr>
                <w:rFonts w:ascii="Arial" w:cs="Arial" w:eastAsia="Arial" w:hAnsi="Arial"/>
                <w:sz w:val="14"/>
                <w:szCs w:val="14"/>
                <w:color w:val="auto"/>
                <w:w w:val="93"/>
              </w:rPr>
              <w:t>Investment</w:t>
            </w:r>
          </w:p>
        </w:tc>
        <w:tc>
          <w:tcPr>
            <w:tcW w:w="380" w:type="dxa"/>
            <w:vAlign w:val="bottom"/>
          </w:tcPr>
          <w:p>
            <w:pPr>
              <w:spacing w:after="0"/>
              <w:rPr>
                <w:sz w:val="12"/>
                <w:szCs w:val="12"/>
                <w:color w:val="auto"/>
              </w:rPr>
            </w:pPr>
          </w:p>
        </w:tc>
        <w:tc>
          <w:tcPr>
            <w:tcW w:w="20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4"/>
              </w:rPr>
              <w:t>Troubled Debt Restructurings</w:t>
            </w:r>
          </w:p>
        </w:tc>
        <w:tc>
          <w:tcPr>
            <w:tcW w:w="920" w:type="dxa"/>
            <w:vAlign w:val="bottom"/>
          </w:tcPr>
          <w:p>
            <w:pPr>
              <w:jc w:val="center"/>
              <w:spacing w:after="0" w:line="129" w:lineRule="exact"/>
              <w:rPr>
                <w:sz w:val="20"/>
                <w:szCs w:val="20"/>
                <w:color w:val="auto"/>
              </w:rPr>
            </w:pPr>
            <w:r>
              <w:rPr>
                <w:rFonts w:ascii="Arial" w:cs="Arial" w:eastAsia="Arial" w:hAnsi="Arial"/>
                <w:sz w:val="14"/>
                <w:szCs w:val="14"/>
                <w:color w:val="auto"/>
                <w:w w:val="95"/>
              </w:rPr>
              <w:t>Last 6 Months</w:t>
            </w:r>
          </w:p>
        </w:tc>
        <w:tc>
          <w:tcPr>
            <w:tcW w:w="280" w:type="dxa"/>
            <w:vAlign w:val="bottom"/>
          </w:tcPr>
          <w:p>
            <w:pPr>
              <w:spacing w:after="0"/>
              <w:rPr>
                <w:sz w:val="12"/>
                <w:szCs w:val="12"/>
                <w:color w:val="auto"/>
              </w:rPr>
            </w:pPr>
          </w:p>
        </w:tc>
        <w:tc>
          <w:tcPr>
            <w:tcW w:w="1120" w:type="dxa"/>
            <w:vAlign w:val="bottom"/>
            <w:gridSpan w:val="3"/>
          </w:tcPr>
          <w:p>
            <w:pPr>
              <w:jc w:val="center"/>
              <w:ind w:right="360"/>
              <w:spacing w:after="0" w:line="129" w:lineRule="exact"/>
              <w:rPr>
                <w:sz w:val="20"/>
                <w:szCs w:val="20"/>
                <w:color w:val="auto"/>
              </w:rPr>
            </w:pPr>
            <w:r>
              <w:rPr>
                <w:rFonts w:ascii="Arial" w:cs="Arial" w:eastAsia="Arial" w:hAnsi="Arial"/>
                <w:sz w:val="14"/>
                <w:szCs w:val="14"/>
                <w:color w:val="auto"/>
                <w:w w:val="93"/>
              </w:rPr>
              <w:t>Investment</w:t>
            </w:r>
          </w:p>
        </w:tc>
        <w:tc>
          <w:tcPr>
            <w:tcW w:w="86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3"/>
              </w:rPr>
              <w:t>Investment</w:t>
            </w: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Consumer Real Estate</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Consumer Real Estate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three and six months ended June 30,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vMerge w:val="restart"/>
          </w:tcPr>
          <w:p>
            <w:pPr>
              <w:spacing w:after="0"/>
              <w:rPr>
                <w:sz w:val="20"/>
                <w:szCs w:val="20"/>
                <w:color w:val="auto"/>
              </w:rPr>
            </w:pPr>
            <w:r>
              <w:rPr>
                <w:rFonts w:ascii="Arial" w:cs="Arial" w:eastAsia="Arial" w:hAnsi="Arial"/>
                <w:sz w:val="14"/>
                <w:szCs w:val="14"/>
                <w:color w:val="auto"/>
              </w:rPr>
              <w:t>Three Months</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color w:val="auto"/>
                <w:w w:val="90"/>
              </w:rPr>
              <w:t>Pre-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Post-</w:t>
            </w: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Post-</w:t>
            </w:r>
          </w:p>
        </w:tc>
        <w:tc>
          <w:tcPr>
            <w:tcW w:w="0" w:type="dxa"/>
            <w:vAlign w:val="bottom"/>
          </w:tcPr>
          <w:p>
            <w:pPr>
              <w:spacing w:after="0"/>
              <w:rPr>
                <w:sz w:val="1"/>
                <w:szCs w:val="1"/>
                <w:color w:val="auto"/>
              </w:rPr>
            </w:pPr>
          </w:p>
        </w:tc>
      </w:tr>
      <w:tr>
        <w:trPr>
          <w:trHeight w:val="140"/>
        </w:trPr>
        <w:tc>
          <w:tcPr>
            <w:tcW w:w="2580" w:type="dxa"/>
            <w:vAlign w:val="bottom"/>
            <w:gridSpan w:val="2"/>
            <w:vMerge w:val="continue"/>
          </w:tcPr>
          <w:p>
            <w:pPr>
              <w:spacing w:after="0"/>
              <w:rPr>
                <w:sz w:val="12"/>
                <w:szCs w:val="12"/>
                <w:color w:val="auto"/>
              </w:rPr>
            </w:pPr>
          </w:p>
        </w:tc>
        <w:tc>
          <w:tcPr>
            <w:tcW w:w="124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4"/>
              </w:rPr>
              <w:t>Number of</w:t>
            </w:r>
          </w:p>
        </w:tc>
        <w:tc>
          <w:tcPr>
            <w:tcW w:w="760" w:type="dxa"/>
            <w:vAlign w:val="bottom"/>
            <w:gridSpan w:val="2"/>
          </w:tcPr>
          <w:p>
            <w:pPr>
              <w:jc w:val="center"/>
              <w:spacing w:after="0" w:line="141" w:lineRule="exact"/>
              <w:rPr>
                <w:sz w:val="20"/>
                <w:szCs w:val="20"/>
                <w:color w:val="auto"/>
              </w:rPr>
            </w:pPr>
            <w:r>
              <w:rPr>
                <w:rFonts w:ascii="Arial" w:cs="Arial" w:eastAsia="Arial" w:hAnsi="Arial"/>
                <w:sz w:val="14"/>
                <w:szCs w:val="14"/>
                <w:color w:val="auto"/>
              </w:rPr>
              <w:t>Modification</w:t>
            </w:r>
          </w:p>
        </w:tc>
        <w:tc>
          <w:tcPr>
            <w:tcW w:w="340" w:type="dxa"/>
            <w:vAlign w:val="bottom"/>
          </w:tcPr>
          <w:p>
            <w:pPr>
              <w:spacing w:after="0"/>
              <w:rPr>
                <w:sz w:val="12"/>
                <w:szCs w:val="12"/>
                <w:color w:val="auto"/>
              </w:rPr>
            </w:pPr>
          </w:p>
        </w:tc>
        <w:tc>
          <w:tcPr>
            <w:tcW w:w="1080" w:type="dxa"/>
            <w:vAlign w:val="bottom"/>
            <w:gridSpan w:val="3"/>
          </w:tcPr>
          <w:p>
            <w:pPr>
              <w:jc w:val="center"/>
              <w:ind w:right="340"/>
              <w:spacing w:after="0" w:line="141" w:lineRule="exact"/>
              <w:rPr>
                <w:sz w:val="20"/>
                <w:szCs w:val="20"/>
                <w:color w:val="auto"/>
              </w:rPr>
            </w:pPr>
            <w:r>
              <w:rPr>
                <w:rFonts w:ascii="Arial" w:cs="Arial" w:eastAsia="Arial" w:hAnsi="Arial"/>
                <w:sz w:val="14"/>
                <w:szCs w:val="14"/>
                <w:color w:val="auto"/>
                <w:w w:val="99"/>
              </w:rPr>
              <w:t>Modification</w:t>
            </w:r>
          </w:p>
        </w:tc>
        <w:tc>
          <w:tcPr>
            <w:tcW w:w="2320" w:type="dxa"/>
            <w:vAlign w:val="bottom"/>
            <w:gridSpan w:val="2"/>
          </w:tcPr>
          <w:p>
            <w:pPr>
              <w:jc w:val="center"/>
              <w:ind w:right="320"/>
              <w:spacing w:after="0" w:line="141" w:lineRule="exact"/>
              <w:rPr>
                <w:sz w:val="20"/>
                <w:szCs w:val="20"/>
                <w:color w:val="auto"/>
              </w:rPr>
            </w:pPr>
            <w:r>
              <w:rPr>
                <w:rFonts w:ascii="Arial" w:cs="Arial" w:eastAsia="Arial" w:hAnsi="Arial"/>
                <w:sz w:val="14"/>
                <w:szCs w:val="14"/>
                <w:color w:val="auto"/>
                <w:w w:val="98"/>
              </w:rPr>
              <w:t>Six Months</w:t>
            </w: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w w:val="97"/>
              </w:rPr>
              <w:t>Number of</w:t>
            </w:r>
          </w:p>
        </w:tc>
        <w:tc>
          <w:tcPr>
            <w:tcW w:w="240" w:type="dxa"/>
            <w:vAlign w:val="bottom"/>
          </w:tcPr>
          <w:p>
            <w:pPr>
              <w:spacing w:after="0"/>
              <w:rPr>
                <w:sz w:val="12"/>
                <w:szCs w:val="12"/>
                <w:color w:val="auto"/>
              </w:rPr>
            </w:pPr>
          </w:p>
        </w:tc>
        <w:tc>
          <w:tcPr>
            <w:tcW w:w="1080" w:type="dxa"/>
            <w:vAlign w:val="bottom"/>
            <w:gridSpan w:val="3"/>
          </w:tcPr>
          <w:p>
            <w:pPr>
              <w:jc w:val="center"/>
              <w:ind w:right="340"/>
              <w:spacing w:after="0" w:line="141" w:lineRule="exact"/>
              <w:rPr>
                <w:sz w:val="20"/>
                <w:szCs w:val="20"/>
                <w:color w:val="auto"/>
              </w:rPr>
            </w:pPr>
            <w:r>
              <w:rPr>
                <w:rFonts w:ascii="Arial" w:cs="Arial" w:eastAsia="Arial" w:hAnsi="Arial"/>
                <w:sz w:val="14"/>
                <w:szCs w:val="14"/>
                <w:color w:val="auto"/>
                <w:w w:val="99"/>
              </w:rPr>
              <w:t>Modification</w:t>
            </w:r>
          </w:p>
        </w:tc>
        <w:tc>
          <w:tcPr>
            <w:tcW w:w="860" w:type="dxa"/>
            <w:vAlign w:val="bottom"/>
            <w:gridSpan w:val="3"/>
          </w:tcPr>
          <w:p>
            <w:pPr>
              <w:jc w:val="center"/>
              <w:ind w:right="80"/>
              <w:spacing w:after="0" w:line="141" w:lineRule="exact"/>
              <w:rPr>
                <w:sz w:val="20"/>
                <w:szCs w:val="20"/>
                <w:color w:val="auto"/>
              </w:rPr>
            </w:pPr>
            <w:r>
              <w:rPr>
                <w:rFonts w:ascii="Arial" w:cs="Arial" w:eastAsia="Arial" w:hAnsi="Arial"/>
                <w:sz w:val="14"/>
                <w:szCs w:val="14"/>
                <w:color w:val="auto"/>
                <w:w w:val="99"/>
              </w:rPr>
              <w:t>Modification</w:t>
            </w: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June 30, 2015</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Contracts</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34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Outstanding</w:t>
            </w:r>
          </w:p>
        </w:tc>
        <w:tc>
          <w:tcPr>
            <w:tcW w:w="23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June 30, 2015</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Contracts</w:t>
            </w:r>
          </w:p>
        </w:tc>
        <w:tc>
          <w:tcPr>
            <w:tcW w:w="24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Outstanding</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8"/>
              </w:rPr>
              <w:t>Modified in the</w:t>
            </w: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92"/>
              </w:rPr>
              <w:t>Recorded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Recorded</w:t>
            </w:r>
          </w:p>
        </w:tc>
        <w:tc>
          <w:tcPr>
            <w:tcW w:w="23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(in thousands)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Modified in the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8"/>
              </w:rPr>
              <w:t>Recorded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Recorded</w:t>
            </w: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line="129" w:lineRule="exact"/>
              <w:rPr>
                <w:sz w:val="20"/>
                <w:szCs w:val="20"/>
                <w:color w:val="auto"/>
              </w:rPr>
            </w:pPr>
            <w:r>
              <w:rPr>
                <w:rFonts w:ascii="Arial" w:cs="Arial" w:eastAsia="Arial" w:hAnsi="Arial"/>
                <w:sz w:val="14"/>
                <w:szCs w:val="14"/>
                <w:color w:val="auto"/>
              </w:rPr>
              <w:t>Troubled Debt Restructurings</w:t>
            </w:r>
          </w:p>
        </w:tc>
        <w:tc>
          <w:tcPr>
            <w:tcW w:w="1240" w:type="dxa"/>
            <w:vAlign w:val="bottom"/>
            <w:gridSpan w:val="2"/>
          </w:tcPr>
          <w:p>
            <w:pPr>
              <w:jc w:val="center"/>
              <w:ind w:right="340"/>
              <w:spacing w:after="0" w:line="129" w:lineRule="exact"/>
              <w:rPr>
                <w:sz w:val="20"/>
                <w:szCs w:val="20"/>
                <w:color w:val="auto"/>
              </w:rPr>
            </w:pPr>
            <w:r>
              <w:rPr>
                <w:rFonts w:ascii="Arial" w:cs="Arial" w:eastAsia="Arial" w:hAnsi="Arial"/>
                <w:sz w:val="14"/>
                <w:szCs w:val="14"/>
                <w:color w:val="auto"/>
                <w:w w:val="93"/>
              </w:rPr>
              <w:t>Last 3 Months</w:t>
            </w: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3"/>
              </w:rPr>
              <w:t>Investment</w:t>
            </w:r>
          </w:p>
        </w:tc>
        <w:tc>
          <w:tcPr>
            <w:tcW w:w="340" w:type="dxa"/>
            <w:vAlign w:val="bottom"/>
          </w:tcPr>
          <w:p>
            <w:pPr>
              <w:spacing w:after="0"/>
              <w:rPr>
                <w:sz w:val="12"/>
                <w:szCs w:val="12"/>
                <w:color w:val="auto"/>
              </w:rPr>
            </w:pPr>
          </w:p>
        </w:tc>
        <w:tc>
          <w:tcPr>
            <w:tcW w:w="1080" w:type="dxa"/>
            <w:vAlign w:val="bottom"/>
            <w:gridSpan w:val="3"/>
          </w:tcPr>
          <w:p>
            <w:pPr>
              <w:jc w:val="center"/>
              <w:ind w:right="360"/>
              <w:spacing w:after="0" w:line="129" w:lineRule="exact"/>
              <w:rPr>
                <w:sz w:val="20"/>
                <w:szCs w:val="20"/>
                <w:color w:val="auto"/>
              </w:rPr>
            </w:pPr>
            <w:r>
              <w:rPr>
                <w:rFonts w:ascii="Arial" w:cs="Arial" w:eastAsia="Arial" w:hAnsi="Arial"/>
                <w:sz w:val="14"/>
                <w:szCs w:val="14"/>
                <w:color w:val="auto"/>
                <w:w w:val="93"/>
              </w:rPr>
              <w:t>Investment</w:t>
            </w:r>
          </w:p>
        </w:tc>
        <w:tc>
          <w:tcPr>
            <w:tcW w:w="232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4"/>
              </w:rPr>
              <w:t>Troubled Debt Restructurings</w:t>
            </w:r>
          </w:p>
        </w:tc>
        <w:tc>
          <w:tcPr>
            <w:tcW w:w="920" w:type="dxa"/>
            <w:vAlign w:val="bottom"/>
          </w:tcPr>
          <w:p>
            <w:pPr>
              <w:jc w:val="center"/>
              <w:spacing w:after="0" w:line="129" w:lineRule="exact"/>
              <w:rPr>
                <w:sz w:val="20"/>
                <w:szCs w:val="20"/>
                <w:color w:val="auto"/>
              </w:rPr>
            </w:pPr>
            <w:r>
              <w:rPr>
                <w:rFonts w:ascii="Arial" w:cs="Arial" w:eastAsia="Arial" w:hAnsi="Arial"/>
                <w:sz w:val="14"/>
                <w:szCs w:val="14"/>
                <w:color w:val="auto"/>
                <w:w w:val="95"/>
              </w:rPr>
              <w:t>Last 6 Months</w:t>
            </w:r>
          </w:p>
        </w:tc>
        <w:tc>
          <w:tcPr>
            <w:tcW w:w="240" w:type="dxa"/>
            <w:vAlign w:val="bottom"/>
          </w:tcPr>
          <w:p>
            <w:pPr>
              <w:spacing w:after="0"/>
              <w:rPr>
                <w:sz w:val="12"/>
                <w:szCs w:val="12"/>
                <w:color w:val="auto"/>
              </w:rPr>
            </w:pPr>
          </w:p>
        </w:tc>
        <w:tc>
          <w:tcPr>
            <w:tcW w:w="1080" w:type="dxa"/>
            <w:vAlign w:val="bottom"/>
            <w:gridSpan w:val="3"/>
          </w:tcPr>
          <w:p>
            <w:pPr>
              <w:jc w:val="center"/>
              <w:ind w:right="320"/>
              <w:spacing w:after="0" w:line="129" w:lineRule="exact"/>
              <w:rPr>
                <w:sz w:val="20"/>
                <w:szCs w:val="20"/>
                <w:color w:val="auto"/>
              </w:rPr>
            </w:pPr>
            <w:r>
              <w:rPr>
                <w:rFonts w:ascii="Arial" w:cs="Arial" w:eastAsia="Arial" w:hAnsi="Arial"/>
                <w:sz w:val="14"/>
                <w:szCs w:val="14"/>
                <w:color w:val="auto"/>
                <w:w w:val="93"/>
              </w:rPr>
              <w:t>Investment</w:t>
            </w:r>
          </w:p>
        </w:tc>
        <w:tc>
          <w:tcPr>
            <w:tcW w:w="86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3"/>
              </w:rPr>
              <w:t>Investment</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Commercial Real Estate</w:t>
            </w:r>
          </w:p>
        </w:tc>
        <w:tc>
          <w:tcPr>
            <w:tcW w:w="9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9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Commercial Real Estate</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60"/>
              <w:spacing w:after="0"/>
              <w:rPr>
                <w:sz w:val="20"/>
                <w:szCs w:val="20"/>
                <w:color w:val="auto"/>
              </w:rPr>
            </w:pPr>
            <w:r>
              <w:rPr>
                <w:rFonts w:ascii="Arial" w:cs="Arial" w:eastAsia="Arial" w:hAnsi="Arial"/>
                <w:sz w:val="18"/>
                <w:szCs w:val="18"/>
                <w:color w:val="auto"/>
              </w:rPr>
              <w:t>Commercial and Industrial</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 period ended June 30, 2016 and 2015, there were no TDRs that subsequently defaulted after modification.</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5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loans individually evaluated for impairment by class of loans for three months ended June 30, 2016 and June 30, 2015.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4"/>
              </w:rPr>
              <w:t>QTD</w:t>
            </w:r>
          </w:p>
        </w:tc>
        <w:tc>
          <w:tcPr>
            <w:tcW w:w="10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QTD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91"/>
              </w:rPr>
              <w:t>Average</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2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92"/>
              </w:rPr>
              <w:t>Recorded</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4000" w:type="dxa"/>
            <w:vAlign w:val="bottom"/>
            <w:gridSpan w:val="2"/>
          </w:tcPr>
          <w:p>
            <w:pPr>
              <w:spacing w:after="0"/>
              <w:rPr>
                <w:sz w:val="20"/>
                <w:szCs w:val="20"/>
                <w:color w:val="auto"/>
              </w:rPr>
            </w:pPr>
            <w:r>
              <w:rPr>
                <w:rFonts w:ascii="Arial" w:cs="Arial" w:eastAsia="Arial" w:hAnsi="Arial"/>
                <w:sz w:val="14"/>
                <w:szCs w:val="14"/>
                <w:color w:val="auto"/>
              </w:rPr>
              <w:t>Three Months Ended June 30, 2016</w:t>
            </w:r>
          </w:p>
        </w:tc>
        <w:tc>
          <w:tcPr>
            <w:tcW w:w="1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w w:val="97"/>
              </w:rPr>
              <w:t>Allowance</w:t>
            </w:r>
          </w:p>
        </w:tc>
        <w:tc>
          <w:tcPr>
            <w:tcW w:w="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90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79"/>
              </w:rPr>
              <w:t>40</w:t>
            </w:r>
          </w:p>
        </w:tc>
        <w:tc>
          <w:tcPr>
            <w:tcW w:w="4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60"/>
              <w:spacing w:after="0"/>
              <w:rPr>
                <w:sz w:val="20"/>
                <w:szCs w:val="20"/>
                <w:color w:val="auto"/>
              </w:rPr>
            </w:pPr>
            <w:r>
              <w:rPr>
                <w:rFonts w:ascii="Arial" w:cs="Arial" w:eastAsia="Arial" w:hAnsi="Arial"/>
                <w:sz w:val="18"/>
                <w:szCs w:val="18"/>
                <w:color w:val="auto"/>
                <w:w w:val="79"/>
              </w:rPr>
              <w:t>40</w:t>
            </w:r>
          </w:p>
        </w:tc>
        <w:tc>
          <w:tcPr>
            <w:tcW w:w="2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90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79"/>
              </w:rPr>
              <w:t>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454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61</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162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436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90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6"/>
              </w:rPr>
              <w:t>567</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567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66</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577</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w w:val="71"/>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NOTE 4</w:t>
            </w:r>
          </w:p>
        </w:tc>
        <w:tc>
          <w:tcPr>
            <w:tcW w:w="3300" w:type="dxa"/>
            <w:vAlign w:val="bottom"/>
          </w:tcPr>
          <w:p>
            <w:pPr>
              <w:ind w:left="220"/>
              <w:spacing w:after="0"/>
              <w:rPr>
                <w:sz w:val="20"/>
                <w:szCs w:val="20"/>
                <w:color w:val="auto"/>
              </w:rPr>
            </w:pPr>
            <w:r>
              <w:rPr>
                <w:rFonts w:ascii="Arial" w:cs="Arial" w:eastAsia="Arial" w:hAnsi="Arial"/>
                <w:sz w:val="18"/>
                <w:szCs w:val="18"/>
                <w:color w:val="auto"/>
              </w:rPr>
              <w:t>LOANS (Continued)</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QTD</w:t>
            </w:r>
          </w:p>
        </w:tc>
        <w:tc>
          <w:tcPr>
            <w:tcW w:w="12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QTD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1"/>
              </w:rPr>
              <w:t>Average</w:t>
            </w: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8"/>
              </w:rPr>
              <w:t>Recorded</w:t>
            </w: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4120" w:type="dxa"/>
            <w:vAlign w:val="bottom"/>
            <w:gridSpan w:val="3"/>
          </w:tcPr>
          <w:p>
            <w:pPr>
              <w:spacing w:after="0"/>
              <w:rPr>
                <w:sz w:val="20"/>
                <w:szCs w:val="20"/>
                <w:color w:val="auto"/>
              </w:rPr>
            </w:pPr>
            <w:r>
              <w:rPr>
                <w:rFonts w:ascii="Arial" w:cs="Arial" w:eastAsia="Arial" w:hAnsi="Arial"/>
                <w:sz w:val="14"/>
                <w:szCs w:val="14"/>
                <w:color w:val="auto"/>
              </w:rPr>
              <w:t>Three Months Ended June 30, 2015</w:t>
            </w:r>
          </w:p>
        </w:tc>
        <w:tc>
          <w:tcPr>
            <w:tcW w:w="150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color w:val="auto"/>
                <w:w w:val="93"/>
              </w:rPr>
              <w:t>Investment</w:t>
            </w:r>
          </w:p>
        </w:tc>
        <w:tc>
          <w:tcPr>
            <w:tcW w:w="70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color w:val="auto"/>
                <w:w w:val="93"/>
              </w:rPr>
              <w:t>Allowance</w:t>
            </w:r>
          </w:p>
        </w:tc>
        <w:tc>
          <w:tcPr>
            <w:tcW w:w="10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Recognized</w:t>
            </w:r>
          </w:p>
        </w:tc>
        <w:tc>
          <w:tcPr>
            <w:tcW w:w="2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Consumer Real Estate</w:t>
            </w:r>
          </w:p>
        </w:tc>
        <w:tc>
          <w:tcPr>
            <w:tcW w:w="172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557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Agricultural</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1,460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1,546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Commercial and Industrial</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1,000</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1,364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With a specific allowance recorded:</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Agricultural Real Estate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1,339</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1,339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Consumer</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3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Consumer Real Estate</w:t>
            </w:r>
          </w:p>
        </w:tc>
        <w:tc>
          <w:tcPr>
            <w:tcW w:w="172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678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2"/>
            <w:vMerge w:val="restart"/>
          </w:tcPr>
          <w:p>
            <w:pPr>
              <w:ind w:left="340"/>
              <w:spacing w:after="0"/>
              <w:rPr>
                <w:sz w:val="20"/>
                <w:szCs w:val="20"/>
                <w:color w:val="auto"/>
              </w:rPr>
            </w:pPr>
            <w:r>
              <w:rPr>
                <w:rFonts w:ascii="Arial" w:cs="Arial" w:eastAsia="Arial" w:hAnsi="Arial"/>
                <w:sz w:val="18"/>
                <w:szCs w:val="18"/>
                <w:color w:val="auto"/>
              </w:rPr>
              <w:t>Agricultural</w:t>
            </w: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2,885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2"/>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1,323</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1,687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201</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20" w:type="dxa"/>
            <w:vAlign w:val="bottom"/>
            <w:gridSpan w:val="2"/>
          </w:tcPr>
          <w:p>
            <w:pPr>
              <w:ind w:left="1500"/>
              <w:spacing w:after="0"/>
              <w:rPr>
                <w:sz w:val="20"/>
                <w:szCs w:val="20"/>
                <w:color w:val="auto"/>
              </w:rPr>
            </w:pPr>
            <w:r>
              <w:rPr>
                <w:rFonts w:ascii="Arial" w:cs="Arial" w:eastAsia="Arial" w:hAnsi="Arial"/>
                <w:sz w:val="18"/>
                <w:szCs w:val="18"/>
                <w:color w:val="auto"/>
                <w:w w:val="99"/>
              </w:rPr>
              <w:t>19</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loans individually evaluated for impairment by class of loans for six months ended June 30, 2016 and June 30, 2015.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13"/>
              <w:spacing w:after="0" w:line="123" w:lineRule="exact"/>
              <w:rPr>
                <w:sz w:val="20"/>
                <w:szCs w:val="20"/>
                <w:color w:val="auto"/>
              </w:rPr>
            </w:pPr>
            <w:r>
              <w:rPr>
                <w:rFonts w:ascii="Arial" w:cs="Arial" w:eastAsia="Arial" w:hAnsi="Arial"/>
                <w:sz w:val="14"/>
                <w:szCs w:val="14"/>
                <w:color w:val="auto"/>
              </w:rPr>
              <w:t>YTD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9"/>
              </w:rPr>
              <w:t>YTD</w:t>
            </w:r>
          </w:p>
        </w:tc>
        <w:tc>
          <w:tcPr>
            <w:tcW w:w="10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YTD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91"/>
              </w:rPr>
              <w:t>Average</w:t>
            </w: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92"/>
              </w:rPr>
              <w:t>Recorded</w:t>
            </w: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Income</w:t>
            </w:r>
          </w:p>
        </w:tc>
        <w:tc>
          <w:tcPr>
            <w:tcW w:w="2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5320" w:type="dxa"/>
            <w:vAlign w:val="bottom"/>
            <w:gridSpan w:val="2"/>
          </w:tcPr>
          <w:p>
            <w:pPr>
              <w:spacing w:after="0"/>
              <w:rPr>
                <w:sz w:val="20"/>
                <w:szCs w:val="20"/>
                <w:color w:val="auto"/>
              </w:rPr>
            </w:pPr>
            <w:r>
              <w:rPr>
                <w:rFonts w:ascii="Arial" w:cs="Arial" w:eastAsia="Arial" w:hAnsi="Arial"/>
                <w:sz w:val="14"/>
                <w:szCs w:val="14"/>
                <w:color w:val="auto"/>
              </w:rPr>
              <w:t>Six Months Ended June 30, 2016</w:t>
            </w: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96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Allowance</w:t>
            </w:r>
          </w:p>
        </w:tc>
        <w:tc>
          <w:tcPr>
            <w:tcW w:w="108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90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79"/>
              </w:rPr>
              <w:t>40</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79"/>
              </w:rPr>
              <w:t>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162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436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567</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567</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66</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606</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NOTE 4</w:t>
            </w:r>
          </w:p>
        </w:tc>
        <w:tc>
          <w:tcPr>
            <w:tcW w:w="3280" w:type="dxa"/>
            <w:vAlign w:val="bottom"/>
          </w:tcPr>
          <w:p>
            <w:pPr>
              <w:ind w:left="220"/>
              <w:spacing w:after="0"/>
              <w:rPr>
                <w:sz w:val="20"/>
                <w:szCs w:val="20"/>
                <w:color w:val="auto"/>
              </w:rPr>
            </w:pPr>
            <w:r>
              <w:rPr>
                <w:rFonts w:ascii="Arial" w:cs="Arial" w:eastAsia="Arial" w:hAnsi="Arial"/>
                <w:sz w:val="18"/>
                <w:szCs w:val="18"/>
                <w:color w:val="auto"/>
              </w:rPr>
              <w:t>LOANS (Continued)</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YTD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YTD</w:t>
            </w:r>
          </w:p>
        </w:tc>
        <w:tc>
          <w:tcPr>
            <w:tcW w:w="12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YTD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1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8"/>
              </w:rPr>
              <w:t>Recorded</w:t>
            </w: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4100" w:type="dxa"/>
            <w:vAlign w:val="bottom"/>
            <w:gridSpan w:val="3"/>
          </w:tcPr>
          <w:p>
            <w:pPr>
              <w:spacing w:after="0"/>
              <w:rPr>
                <w:sz w:val="20"/>
                <w:szCs w:val="20"/>
                <w:color w:val="auto"/>
              </w:rPr>
            </w:pPr>
            <w:r>
              <w:rPr>
                <w:rFonts w:ascii="Arial" w:cs="Arial" w:eastAsia="Arial" w:hAnsi="Arial"/>
                <w:sz w:val="14"/>
                <w:szCs w:val="14"/>
                <w:color w:val="auto"/>
              </w:rPr>
              <w:t>Six Months Ended June 30, 2015</w:t>
            </w:r>
          </w:p>
        </w:tc>
        <w:tc>
          <w:tcPr>
            <w:tcW w:w="15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color w:val="auto"/>
              </w:rPr>
              <w:t>222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color w:val="auto"/>
                <w:w w:val="93"/>
              </w:rPr>
              <w:t>Allowance</w:t>
            </w:r>
          </w:p>
        </w:tc>
        <w:tc>
          <w:tcPr>
            <w:tcW w:w="10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Recognized</w:t>
            </w:r>
          </w:p>
        </w:tc>
        <w:tc>
          <w:tcPr>
            <w:tcW w:w="2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Consumer Real Estate</w:t>
            </w:r>
          </w:p>
        </w:tc>
        <w:tc>
          <w:tcPr>
            <w:tcW w:w="172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557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557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Agricultural</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Commercial and Industrial</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With a specific allowance recorded:</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Agricultural Real Estate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1,339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Consumer</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3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Consumer Real Estate</w:t>
            </w:r>
          </w:p>
        </w:tc>
        <w:tc>
          <w:tcPr>
            <w:tcW w:w="172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678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678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7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ind w:left="340"/>
              <w:spacing w:after="0"/>
              <w:rPr>
                <w:sz w:val="20"/>
                <w:szCs w:val="20"/>
                <w:color w:val="auto"/>
              </w:rPr>
            </w:pPr>
            <w:r>
              <w:rPr>
                <w:rFonts w:ascii="Arial" w:cs="Arial" w:eastAsia="Arial" w:hAnsi="Arial"/>
                <w:sz w:val="18"/>
                <w:szCs w:val="18"/>
                <w:color w:val="auto"/>
              </w:rPr>
              <w:t>Agricultural</w:t>
            </w: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7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2,799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1,323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1,687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201</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7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720" w:type="dxa"/>
            <w:vAlign w:val="bottom"/>
            <w:gridSpan w:val="2"/>
          </w:tcPr>
          <w:p>
            <w:pPr>
              <w:ind w:left="1520"/>
              <w:spacing w:after="0"/>
              <w:rPr>
                <w:sz w:val="20"/>
                <w:szCs w:val="20"/>
                <w:color w:val="auto"/>
              </w:rPr>
            </w:pPr>
            <w:r>
              <w:rPr>
                <w:rFonts w:ascii="Arial" w:cs="Arial" w:eastAsia="Arial" w:hAnsi="Arial"/>
                <w:sz w:val="18"/>
                <w:szCs w:val="18"/>
                <w:color w:val="auto"/>
                <w:w w:val="89"/>
              </w:rPr>
              <w:t>21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June 30, 2016, the Company had $673 thousand of foreclosed residential real estate property obtained by physical possession and $512 thousand of consumer mortgage loans secured by residential real estate properties for which foreclosure proceedings are in process according to local jurisdictions. As of June 30, 2015, the Company had $452 thousand of foreclosed residential real estate property obtained by physical possession and $138 thousand of consumer mortgage loans secured by residential real estate properties for which foreclosure proceedings are in process according to local jurisdictions.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(In Thousands)</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right"/>
              <w:ind w:right="120"/>
              <w:spacing w:after="0" w:line="123" w:lineRule="exact"/>
              <w:rPr>
                <w:sz w:val="20"/>
                <w:szCs w:val="20"/>
                <w:color w:val="auto"/>
              </w:rPr>
            </w:pPr>
            <w:r>
              <w:rPr>
                <w:rFonts w:ascii="Arial" w:cs="Arial" w:eastAsia="Arial" w:hAnsi="Arial"/>
                <w:sz w:val="14"/>
                <w:szCs w:val="14"/>
                <w:color w:val="auto"/>
                <w:w w:val="91"/>
              </w:rPr>
              <w:t>Six Months Ended</w:t>
            </w:r>
          </w:p>
        </w:tc>
        <w:tc>
          <w:tcPr>
            <w:tcW w:w="214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Twelve Months Ended</w:t>
            </w:r>
          </w:p>
        </w:tc>
        <w:tc>
          <w:tcPr>
            <w:tcW w:w="120" w:type="dxa"/>
            <w:vAlign w:val="bottom"/>
          </w:tcPr>
          <w:p>
            <w:pPr>
              <w:spacing w:after="0"/>
              <w:rPr>
                <w:sz w:val="10"/>
                <w:szCs w:val="10"/>
                <w:color w:val="auto"/>
              </w:rPr>
            </w:pPr>
          </w:p>
        </w:tc>
      </w:tr>
      <w:tr>
        <w:trPr>
          <w:trHeight w:val="167"/>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June 30, 2016</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December 31, 2015</w:t>
            </w: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Loan &amp; Lease Losses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Balance at beginning of year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5,905</w:t>
            </w: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Allowance for Loan &amp; Lease Losses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Allowance for Unfunded Loan Commitments &amp; Letters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0"/>
                <w:szCs w:val="20"/>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Additional analysis, presented in thousands, related to the allowance for credit losses for three months ended June 30, 2016 and June 30, 2015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Unfunded Loan</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Commitment &amp;</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Consumer</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Commercial and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Letters of</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84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w w:val="97"/>
              </w:rPr>
              <w:t>Agricultural</w:t>
            </w:r>
          </w:p>
        </w:tc>
        <w:tc>
          <w:tcPr>
            <w:tcW w:w="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Industrial</w:t>
            </w:r>
          </w:p>
        </w:tc>
        <w:tc>
          <w:tcPr>
            <w:tcW w:w="7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Credit</w:t>
            </w: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2016</w:t>
            </w: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Arial" w:cs="Arial" w:eastAsia="Arial" w:hAnsi="Arial"/>
                <w:sz w:val="18"/>
                <w:szCs w:val="18"/>
                <w:b w:val="1"/>
                <w:bCs w:val="1"/>
                <w:color w:val="auto"/>
              </w:rPr>
              <w:t>ALLOWANCE FOR CREDIT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8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335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Other Non-interest expense related to</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365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6"/>
              </w:rPr>
              <w:t>219</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963</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w w:val="95"/>
              </w:rPr>
              <w:t>Ending balance: collectively evaluated for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229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591</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2,627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1,149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365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88,791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61,353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357,243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110,386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30,485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731,691</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162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436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Ending balance: collectively evaluated for</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88,337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61,191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356,807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109,819</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30,485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730,072</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NOTE 4</w:t>
            </w:r>
          </w:p>
        </w:tc>
        <w:tc>
          <w:tcPr>
            <w:tcW w:w="2440" w:type="dxa"/>
            <w:vAlign w:val="bottom"/>
          </w:tcPr>
          <w:p>
            <w:pPr>
              <w:ind w:left="20"/>
              <w:spacing w:after="0"/>
              <w:rPr>
                <w:sz w:val="20"/>
                <w:szCs w:val="20"/>
                <w:color w:val="auto"/>
              </w:rPr>
            </w:pPr>
            <w:r>
              <w:rPr>
                <w:rFonts w:ascii="Arial" w:cs="Arial" w:eastAsia="Arial" w:hAnsi="Arial"/>
                <w:sz w:val="18"/>
                <w:szCs w:val="18"/>
                <w:color w:val="auto"/>
              </w:rPr>
              <w:t>LOANS (Continued)</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Unfunded</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Loan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1"/>
              </w:rPr>
              <w:t>Commercial</w:t>
            </w:r>
          </w:p>
        </w:tc>
        <w:tc>
          <w:tcPr>
            <w:tcW w:w="6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7"/>
              </w:rPr>
              <w:t>&amp; Letters of</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Real Estate</w:t>
            </w:r>
          </w:p>
        </w:tc>
        <w:tc>
          <w:tcPr>
            <w:tcW w:w="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Credit</w:t>
            </w: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2015</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ALLOWANCE FOR CREDIT LOSSES: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2"/>
        </w:trPr>
        <w:tc>
          <w:tcPr>
            <w:tcW w:w="34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Other Non-interest expense related to</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309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189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519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201</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1,027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impairment</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180"/>
              <w:spacing w:after="0"/>
              <w:rPr>
                <w:sz w:val="20"/>
                <w:szCs w:val="20"/>
                <w:color w:val="auto"/>
              </w:rPr>
            </w:pPr>
            <w:r>
              <w:rPr>
                <w:rFonts w:ascii="Arial" w:cs="Arial" w:eastAsia="Arial" w:hAnsi="Arial"/>
                <w:sz w:val="18"/>
                <w:szCs w:val="18"/>
                <w:color w:val="auto"/>
                <w:w w:val="92"/>
              </w:rPr>
              <w:t>impairment</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519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2,051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86,641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52,614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74,352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279,002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102,822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25,160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620,591</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180"/>
              <w:spacing w:after="0"/>
              <w:rPr>
                <w:sz w:val="20"/>
                <w:szCs w:val="20"/>
                <w:color w:val="auto"/>
              </w:rPr>
            </w:pPr>
            <w:r>
              <w:rPr>
                <w:rFonts w:ascii="Arial" w:cs="Arial" w:eastAsia="Arial" w:hAnsi="Arial"/>
                <w:sz w:val="18"/>
                <w:szCs w:val="18"/>
                <w:color w:val="auto"/>
                <w:w w:val="92"/>
              </w:rPr>
              <w:t>impairment</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2,799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impairment</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85,963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52,392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74,352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276,203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101,499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25,160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615,569</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Additional analysis, presented in thousands, related to the allowance for credit losses for six months ended June 30, 2016 and June 30, 2015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Unfunded</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Loan</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Commitment</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2"/>
              </w:rPr>
              <w:t>Consumer</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7"/>
              </w:rPr>
              <w:t>&amp; Letters of</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2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Credit</w:t>
            </w: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Other Non-interest expense related to</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365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219</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963</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Ending balance: individually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w w:val="99"/>
              </w:rPr>
              <w:t>Ending balance: collectively evaluated for</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229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88,791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61,353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357,243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110,386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731,691</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w w:val="99"/>
              </w:rPr>
              <w:t>Ending balance: individually evaluated for</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162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Ending balance: collectively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88,337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61,191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356,807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109,819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730,072</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6"/>
          <w:szCs w:val="16"/>
          <w:color w:val="auto"/>
        </w:rPr>
        <w:t>LOANS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Unfunded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Loan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1"/>
              </w:rPr>
              <w:t>Commercial</w:t>
            </w:r>
          </w:p>
        </w:tc>
        <w:tc>
          <w:tcPr>
            <w:tcW w:w="6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7"/>
              </w:rPr>
              <w:t>&amp; Letters of</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Real Estate</w:t>
            </w:r>
          </w:p>
        </w:tc>
        <w:tc>
          <w:tcPr>
            <w:tcW w:w="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Credit</w:t>
            </w: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2015</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Other Non-interest expense related to</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309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189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519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201</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1,027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519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2,051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86,641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52,614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74,352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279,002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102,822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25,160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620,591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2,799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85,963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52,392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74,352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276,203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101,499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25,160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615,569</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EARNINGS PER SHARE</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5"/>
          </w:tcPr>
          <w:p>
            <w:pPr>
              <w:jc w:val="right"/>
              <w:ind w:right="880"/>
              <w:spacing w:after="0" w:line="142" w:lineRule="exact"/>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2"/>
                <w:szCs w:val="12"/>
                <w:color w:val="auto"/>
              </w:rPr>
            </w:pPr>
          </w:p>
        </w:tc>
        <w:tc>
          <w:tcPr>
            <w:tcW w:w="2000" w:type="dxa"/>
            <w:vAlign w:val="bottom"/>
            <w:gridSpan w:val="4"/>
          </w:tcPr>
          <w:p>
            <w:pPr>
              <w:jc w:val="right"/>
              <w:ind w:right="394"/>
              <w:spacing w:after="0" w:line="142" w:lineRule="exact"/>
              <w:rPr>
                <w:sz w:val="20"/>
                <w:szCs w:val="20"/>
                <w:color w:val="auto"/>
              </w:rPr>
            </w:pPr>
            <w:r>
              <w:rPr>
                <w:rFonts w:ascii="Arial" w:cs="Arial" w:eastAsia="Arial" w:hAnsi="Arial"/>
                <w:sz w:val="14"/>
                <w:szCs w:val="14"/>
                <w:color w:val="auto"/>
              </w:rPr>
              <w:t>Year to Date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600"/>
              <w:spacing w:after="0" w:line="123" w:lineRule="exact"/>
              <w:rPr>
                <w:sz w:val="20"/>
                <w:szCs w:val="20"/>
                <w:color w:val="auto"/>
              </w:rPr>
            </w:pPr>
            <w:r>
              <w:rPr>
                <w:rFonts w:ascii="Arial" w:cs="Arial" w:eastAsia="Arial" w:hAnsi="Arial"/>
                <w:sz w:val="14"/>
                <w:szCs w:val="14"/>
                <w:color w:val="auto"/>
              </w:rPr>
              <w:t>June 30,</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95"/>
              <w:spacing w:after="0" w:line="123" w:lineRule="exact"/>
              <w:rPr>
                <w:sz w:val="20"/>
                <w:szCs w:val="20"/>
                <w:color w:val="auto"/>
              </w:rPr>
            </w:pPr>
            <w:r>
              <w:rPr>
                <w:rFonts w:ascii="Arial" w:cs="Arial" w:eastAsia="Arial" w:hAnsi="Arial"/>
                <w:sz w:val="14"/>
                <w:szCs w:val="14"/>
                <w:color w:val="auto"/>
                <w:w w:val="96"/>
              </w:rPr>
              <w:t>June 30,</w:t>
            </w: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600"/>
              <w:spacing w:after="0" w:line="123" w:lineRule="exact"/>
              <w:rPr>
                <w:sz w:val="20"/>
                <w:szCs w:val="20"/>
                <w:color w:val="auto"/>
              </w:rPr>
            </w:pPr>
            <w:r>
              <w:rPr>
                <w:rFonts w:ascii="Arial" w:cs="Arial" w:eastAsia="Arial" w:hAnsi="Arial"/>
                <w:sz w:val="14"/>
                <w:szCs w:val="14"/>
                <w:color w:val="auto"/>
              </w:rPr>
              <w:t>June 30,</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94"/>
              <w:spacing w:after="0" w:line="123" w:lineRule="exact"/>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2,974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2,597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5,455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distributed earnings allocated to participating securities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Less: undistributed earnings allocated to participating securities</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460"/>
              <w:spacing w:after="0"/>
              <w:rPr>
                <w:sz w:val="20"/>
                <w:szCs w:val="20"/>
                <w:color w:val="auto"/>
              </w:rPr>
            </w:pPr>
            <w:r>
              <w:rPr>
                <w:rFonts w:ascii="Arial" w:cs="Arial" w:eastAsia="Arial" w:hAnsi="Arial"/>
                <w:sz w:val="18"/>
                <w:szCs w:val="18"/>
                <w:color w:val="auto"/>
              </w:rPr>
              <w:t>Weighted average common shares outstanding including participating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4,605,534</w:t>
            </w: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4,608,453</w:t>
            </w:r>
          </w:p>
        </w:tc>
        <w:tc>
          <w:tcPr>
            <w:tcW w:w="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4,607,380</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4,615,846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average unvested restricted shares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(37,905)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(32,815)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(32,869)</w:t>
            </w:r>
          </w:p>
        </w:tc>
        <w:tc>
          <w:tcPr>
            <w:tcW w:w="0" w:type="dxa"/>
            <w:vAlign w:val="bottom"/>
          </w:tcPr>
          <w:p>
            <w:pPr>
              <w:spacing w:after="0"/>
              <w:rPr>
                <w:sz w:val="1"/>
                <w:szCs w:val="1"/>
                <w:color w:val="auto"/>
              </w:rPr>
            </w:pPr>
          </w:p>
        </w:tc>
      </w:tr>
      <w:tr>
        <w:trPr>
          <w:trHeight w:val="223"/>
        </w:trPr>
        <w:tc>
          <w:tcPr>
            <w:tcW w:w="6260" w:type="dxa"/>
            <w:vAlign w:val="bottom"/>
            <w:gridSpan w:val="3"/>
          </w:tcPr>
          <w:p>
            <w:pPr>
              <w:ind w:left="46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4,567,629</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4,575,638</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4,569,093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4,582,977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and diluted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8"/>
                <w:szCs w:val="18"/>
                <w:color w:val="auto"/>
                <w:w w:val="95"/>
              </w:rPr>
              <w:t>NOTE 6</w:t>
            </w:r>
          </w:p>
        </w:tc>
        <w:tc>
          <w:tcPr>
            <w:tcW w:w="5620" w:type="dxa"/>
            <w:vAlign w:val="bottom"/>
            <w:vMerge w:val="restart"/>
          </w:tcPr>
          <w:p>
            <w:pPr>
              <w:ind w:left="400"/>
              <w:spacing w:after="0"/>
              <w:rPr>
                <w:sz w:val="20"/>
                <w:szCs w:val="20"/>
                <w:color w:val="auto"/>
              </w:rPr>
            </w:pPr>
            <w:r>
              <w:rPr>
                <w:rFonts w:ascii="Arial" w:cs="Arial" w:eastAsia="Arial" w:hAnsi="Arial"/>
                <w:sz w:val="18"/>
                <w:szCs w:val="18"/>
                <w:color w:val="auto"/>
              </w:rPr>
              <w:t>FAIR VALUE OF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 w:type="dxa"/>
            <w:vAlign w:val="bottom"/>
            <w:gridSpan w:val="2"/>
            <w:vMerge w:val="continue"/>
          </w:tcPr>
          <w:p>
            <w:pPr>
              <w:spacing w:after="0"/>
              <w:rPr>
                <w:sz w:val="24"/>
                <w:szCs w:val="24"/>
                <w:color w:val="auto"/>
              </w:rPr>
            </w:pPr>
          </w:p>
        </w:tc>
        <w:tc>
          <w:tcPr>
            <w:tcW w:w="5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3"/>
          </w:tcPr>
          <w:p>
            <w:pPr>
              <w:spacing w:after="0"/>
              <w:rPr>
                <w:sz w:val="20"/>
                <w:szCs w:val="20"/>
                <w:color w:val="auto"/>
              </w:rPr>
            </w:pPr>
            <w:r>
              <w:rPr>
                <w:rFonts w:ascii="Arial" w:cs="Arial" w:eastAsia="Arial" w:hAnsi="Arial"/>
                <w:sz w:val="18"/>
                <w:szCs w:val="18"/>
                <w:color w:val="auto"/>
              </w:rPr>
              <w:t>FAIR VALUE OF FINANCIAL INSTRUMENTS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Interest Bearing Time Deposits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Securities – Available-for-sale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Loans, net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variable-rate loans that re-price frequently, and with no significant change in credit risk, fair values are based on carrying values. The fair values of the fixed rate and all other loans are estimated using discounted cash flow analysis, using interest rates currently being offered for loans with similar terms to borrowers with similar credit quality.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Receivable and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Off Balance Sheet Financial Instruments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FHLB Advances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June 30, 2016 and December 31, 2015 are reflected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(In Thousands)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2"/>
              </w:rPr>
              <w:t>June 30, 2016</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6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4"/>
              </w:rPr>
              <w:t>Carrying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300"/>
              <w:spacing w:after="0" w:line="123" w:lineRule="exact"/>
              <w:rPr>
                <w:sz w:val="20"/>
                <w:szCs w:val="20"/>
                <w:color w:val="auto"/>
              </w:rPr>
            </w:pPr>
            <w:r>
              <w:rPr>
                <w:rFonts w:ascii="Arial" w:cs="Arial" w:eastAsia="Arial" w:hAnsi="Arial"/>
                <w:sz w:val="14"/>
                <w:szCs w:val="14"/>
                <w:color w:val="auto"/>
              </w:rPr>
              <w:t>Fair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Value</w:t>
            </w:r>
          </w:p>
        </w:tc>
        <w:tc>
          <w:tcPr>
            <w:tcW w:w="2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Level 3</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23,379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23,379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23,379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Securities - available-for-sale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217,063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217,063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26,124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189,433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Loans,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725,198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728,789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728,789</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receivable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0" w:type="dxa"/>
            <w:vAlign w:val="bottom"/>
            <w:shd w:val="clear" w:color="auto" w:fill="CCEEFF"/>
          </w:tcPr>
          <w:p>
            <w:pPr>
              <w:spacing w:after="0"/>
              <w:rPr>
                <w:sz w:val="18"/>
                <w:szCs w:val="18"/>
                <w:color w:val="auto"/>
              </w:rPr>
            </w:pPr>
          </w:p>
        </w:tc>
      </w:tr>
      <w:tr>
        <w:trPr>
          <w:trHeight w:val="324"/>
        </w:trPr>
        <w:tc>
          <w:tcPr>
            <w:tcW w:w="62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bearing Deposits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441,470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441,470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441,470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Non-interest bearing Deposits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170,126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170,126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170,126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191,415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191,415</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Deposits</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802,846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803,011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170,126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632,885</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Fed Funds purchased and Securities sold under agreements to repurchase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75,942</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Federal Home Loan Bank advances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10,041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10,041</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payable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365"/>
        </w:trPr>
        <w:tc>
          <w:tcPr>
            <w:tcW w:w="6260" w:type="dxa"/>
            <w:vAlign w:val="bottom"/>
          </w:tcPr>
          <w:p>
            <w:pPr>
              <w:ind w:left="562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NOTE 6</w:t>
            </w:r>
          </w:p>
        </w:tc>
        <w:tc>
          <w:tcPr>
            <w:tcW w:w="5560" w:type="dxa"/>
            <w:vAlign w:val="bottom"/>
          </w:tcPr>
          <w:p>
            <w:pPr>
              <w:ind w:left="220"/>
              <w:spacing w:after="0"/>
              <w:rPr>
                <w:sz w:val="20"/>
                <w:szCs w:val="20"/>
                <w:color w:val="auto"/>
              </w:rPr>
            </w:pPr>
            <w:r>
              <w:rPr>
                <w:rFonts w:ascii="Arial" w:cs="Arial" w:eastAsia="Arial" w:hAnsi="Arial"/>
                <w:sz w:val="18"/>
                <w:szCs w:val="18"/>
                <w:color w:val="auto"/>
              </w:rPr>
              <w:t>FAIR VALUE OF FINANCIAL INSTRUMENTS (Continued)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2"/>
              </w:rPr>
              <w:t>December 31, 2015</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4"/>
              </w:rPr>
              <w:t>Carrying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Fair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3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22,018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22,018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Securities - available-for-sale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235,115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235,115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38,505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189,258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Other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679,821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683,332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683,332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3,589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6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Interest bearing Deposits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415,942</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415,942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Non-interest bearing Deposits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171,112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171,112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Time Deposits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184,285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184,308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771,339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771,362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600,250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2"/>
            <w:vMerge w:val="restart"/>
          </w:tcPr>
          <w:p>
            <w:pPr>
              <w:ind w:left="340"/>
              <w:spacing w:after="0"/>
              <w:rPr>
                <w:sz w:val="20"/>
                <w:szCs w:val="20"/>
                <w:color w:val="auto"/>
              </w:rPr>
            </w:pPr>
            <w:r>
              <w:rPr>
                <w:rFonts w:ascii="Arial" w:cs="Arial" w:eastAsia="Arial" w:hAnsi="Arial"/>
                <w:sz w:val="18"/>
                <w:szCs w:val="18"/>
                <w:color w:val="auto"/>
                <w:w w:val="94"/>
              </w:rPr>
              <w:t>Federal Funds Purchased and Securities Sold Under Agreement to Repurchase</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Home Loan Bank advances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Interest payable</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 when quoted prices are available in an active market, securities are valued using the quoted price and are classified as Level 1.</w:t>
      </w:r>
    </w:p>
    <w:p>
      <w:pPr>
        <w:spacing w:after="0" w:line="24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June 30, 2016 and December 31, 2015, segregated by level or the valuation inputs within the fair value hierarchy utilized to measure fair value:</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9"/>
          </w:tcPr>
          <w:p>
            <w:pPr>
              <w:ind w:left="380"/>
              <w:spacing w:after="0"/>
              <w:rPr>
                <w:sz w:val="20"/>
                <w:szCs w:val="20"/>
                <w:color w:val="auto"/>
              </w:rPr>
            </w:pPr>
            <w:r>
              <w:rPr>
                <w:rFonts w:ascii="Arial" w:cs="Arial" w:eastAsia="Arial" w:hAnsi="Arial"/>
                <w:sz w:val="14"/>
                <w:szCs w:val="14"/>
                <w:color w:val="auto"/>
              </w:rPr>
              <w:t>Assets and Liabilities Measured at Fair Value on a Recurring Basis (In Thousands)</w:t>
            </w: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2"/>
          </w:tcPr>
          <w:p>
            <w:pPr>
              <w:jc w:val="center"/>
              <w:ind w:right="700"/>
              <w:spacing w:after="0" w:line="123" w:lineRule="exact"/>
              <w:rPr>
                <w:sz w:val="20"/>
                <w:szCs w:val="20"/>
                <w:color w:val="auto"/>
              </w:rPr>
            </w:pPr>
            <w:r>
              <w:rPr>
                <w:rFonts w:ascii="Arial" w:cs="Arial" w:eastAsia="Arial" w:hAnsi="Arial"/>
                <w:sz w:val="14"/>
                <w:szCs w:val="14"/>
                <w:color w:val="auto"/>
                <w:w w:val="92"/>
              </w:rPr>
              <w:t>Quoted Prices in</w:t>
            </w: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2"/>
          </w:tcPr>
          <w:p>
            <w:pPr>
              <w:jc w:val="center"/>
              <w:ind w:right="1120"/>
              <w:spacing w:after="0" w:line="123" w:lineRule="exact"/>
              <w:rPr>
                <w:sz w:val="20"/>
                <w:szCs w:val="20"/>
                <w:color w:val="auto"/>
              </w:rPr>
            </w:pPr>
            <w:r>
              <w:rPr>
                <w:rFonts w:ascii="Arial" w:cs="Arial" w:eastAsia="Arial" w:hAnsi="Arial"/>
                <w:sz w:val="14"/>
                <w:szCs w:val="14"/>
                <w:color w:val="auto"/>
                <w:w w:val="95"/>
              </w:rPr>
              <w:t>Significant</w:t>
            </w: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78"/>
              <w:spacing w:after="0" w:line="123" w:lineRule="exact"/>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Active Markets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92"/>
              </w:rPr>
              <w:t>Observable</w:t>
            </w: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Observable</w:t>
            </w:r>
          </w:p>
        </w:tc>
        <w:tc>
          <w:tcPr>
            <w:tcW w:w="0" w:type="dxa"/>
            <w:vAlign w:val="bottom"/>
          </w:tcPr>
          <w:p>
            <w:pPr>
              <w:spacing w:after="0"/>
              <w:rPr>
                <w:sz w:val="1"/>
                <w:szCs w:val="1"/>
                <w:color w:val="auto"/>
              </w:rPr>
            </w:pPr>
          </w:p>
        </w:tc>
      </w:tr>
      <w:tr>
        <w:trPr>
          <w:trHeight w:val="149"/>
        </w:trPr>
        <w:tc>
          <w:tcPr>
            <w:tcW w:w="3500" w:type="dxa"/>
            <w:vAlign w:val="bottom"/>
            <w:gridSpan w:val="3"/>
            <w:vMerge w:val="restart"/>
          </w:tcPr>
          <w:p>
            <w:pPr>
              <w:spacing w:after="0"/>
              <w:rPr>
                <w:sz w:val="20"/>
                <w:szCs w:val="20"/>
                <w:color w:val="auto"/>
              </w:rPr>
            </w:pPr>
            <w:r>
              <w:rPr>
                <w:rFonts w:ascii="Arial" w:cs="Arial" w:eastAsia="Arial" w:hAnsi="Arial"/>
                <w:sz w:val="14"/>
                <w:szCs w:val="14"/>
                <w:color w:val="auto"/>
              </w:rPr>
              <w:t>June 30, 2016</w:t>
            </w:r>
          </w:p>
        </w:tc>
        <w:tc>
          <w:tcPr>
            <w:tcW w:w="220" w:type="dxa"/>
            <w:vAlign w:val="bottom"/>
          </w:tcPr>
          <w:p>
            <w:pPr>
              <w:spacing w:after="0"/>
              <w:rPr>
                <w:sz w:val="12"/>
                <w:szCs w:val="12"/>
                <w:color w:val="auto"/>
              </w:rPr>
            </w:pPr>
          </w:p>
        </w:tc>
        <w:tc>
          <w:tcPr>
            <w:tcW w:w="19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9"/>
              </w:rPr>
              <w:t>for Identical</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4"/>
              </w:rPr>
              <w:t>Inputs</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35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680"/>
              <w:spacing w:after="0"/>
              <w:rPr>
                <w:sz w:val="20"/>
                <w:szCs w:val="20"/>
                <w:color w:val="auto"/>
              </w:rPr>
            </w:pPr>
            <w:r>
              <w:rPr>
                <w:rFonts w:ascii="Arial" w:cs="Arial" w:eastAsia="Arial" w:hAnsi="Arial"/>
                <w:sz w:val="14"/>
                <w:szCs w:val="14"/>
                <w:color w:val="auto"/>
                <w:w w:val="93"/>
              </w:rPr>
              <w:t>Assets (Level 1)</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center"/>
              <w:ind w:right="1120"/>
              <w:spacing w:after="0"/>
              <w:rPr>
                <w:sz w:val="20"/>
                <w:szCs w:val="20"/>
                <w:color w:val="auto"/>
              </w:rPr>
            </w:pPr>
            <w:r>
              <w:rPr>
                <w:rFonts w:ascii="Arial" w:cs="Arial" w:eastAsia="Arial" w:hAnsi="Arial"/>
                <w:sz w:val="14"/>
                <w:szCs w:val="14"/>
                <w:color w:val="auto"/>
                <w:w w:val="99"/>
              </w:rPr>
              <w:t>(Level 2)</w:t>
            </w:r>
          </w:p>
        </w:tc>
        <w:tc>
          <w:tcPr>
            <w:tcW w:w="1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182"/>
        </w:trPr>
        <w:tc>
          <w:tcPr>
            <w:tcW w:w="8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Assets -</w:t>
            </w:r>
          </w:p>
        </w:tc>
        <w:tc>
          <w:tcPr>
            <w:tcW w:w="26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(Securities Available-for-</w:t>
            </w:r>
          </w:p>
        </w:tc>
        <w:tc>
          <w:tcPr>
            <w:tcW w:w="2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U.S. Treasury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ind w:left="980"/>
              <w:spacing w:after="0"/>
              <w:rPr>
                <w:sz w:val="20"/>
                <w:szCs w:val="20"/>
                <w:color w:val="auto"/>
              </w:rPr>
            </w:pPr>
            <w:r>
              <w:rPr>
                <w:rFonts w:ascii="Arial" w:cs="Arial" w:eastAsia="Arial" w:hAnsi="Arial"/>
                <w:sz w:val="18"/>
                <w:szCs w:val="18"/>
                <w:color w:val="auto"/>
              </w:rPr>
              <w:t>26,124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93,493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9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32,711</w:t>
            </w:r>
          </w:p>
        </w:tc>
        <w:tc>
          <w:tcPr>
            <w:tcW w:w="1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63,229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9"/>
        </w:trPr>
        <w:tc>
          <w:tcPr>
            <w:tcW w:w="3500" w:type="dxa"/>
            <w:vAlign w:val="bottom"/>
            <w:gridSpan w:val="3"/>
          </w:tcPr>
          <w:p>
            <w:pPr>
              <w:ind w:left="360"/>
              <w:spacing w:after="0"/>
              <w:rPr>
                <w:sz w:val="20"/>
                <w:szCs w:val="20"/>
                <w:color w:val="auto"/>
              </w:rPr>
            </w:pPr>
            <w:r>
              <w:rPr>
                <w:rFonts w:ascii="Arial" w:cs="Arial" w:eastAsia="Arial" w:hAnsi="Arial"/>
                <w:sz w:val="18"/>
                <w:szCs w:val="18"/>
                <w:color w:val="auto"/>
              </w:rPr>
              <w:t>Total Securities Available-for-</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ind w:left="540"/>
              <w:spacing w:after="0"/>
              <w:rPr>
                <w:sz w:val="20"/>
                <w:szCs w:val="20"/>
                <w:color w:val="auto"/>
              </w:rPr>
            </w:pPr>
            <w:r>
              <w:rPr>
                <w:rFonts w:ascii="Arial" w:cs="Arial" w:eastAsia="Arial" w:hAnsi="Arial"/>
                <w:sz w:val="18"/>
                <w:szCs w:val="18"/>
                <w:color w:val="auto"/>
              </w:rPr>
              <w:t>Sale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Pr>
          <w:p>
            <w:pPr>
              <w:ind w:left="980"/>
              <w:spacing w:after="0"/>
              <w:rPr>
                <w:sz w:val="20"/>
                <w:szCs w:val="20"/>
                <w:color w:val="auto"/>
              </w:rPr>
            </w:pPr>
            <w:r>
              <w:rPr>
                <w:rFonts w:ascii="Arial" w:cs="Arial" w:eastAsia="Arial" w:hAnsi="Arial"/>
                <w:sz w:val="18"/>
                <w:szCs w:val="18"/>
                <w:color w:val="auto"/>
                <w:w w:val="87"/>
              </w:rPr>
              <w:t>26,124</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189,433</w:t>
            </w: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700"/>
              <w:spacing w:after="0"/>
              <w:rPr>
                <w:sz w:val="20"/>
                <w:szCs w:val="20"/>
                <w:color w:val="auto"/>
              </w:rPr>
            </w:pPr>
            <w:r>
              <w:rPr>
                <w:rFonts w:ascii="Arial" w:cs="Arial" w:eastAsia="Arial" w:hAnsi="Arial"/>
                <w:sz w:val="14"/>
                <w:szCs w:val="14"/>
                <w:color w:val="auto"/>
                <w:w w:val="92"/>
              </w:rPr>
              <w:t>Quoted Prices in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2"/>
          </w:tcPr>
          <w:p>
            <w:pPr>
              <w:jc w:val="center"/>
              <w:ind w:right="1120"/>
              <w:spacing w:after="0"/>
              <w:rPr>
                <w:sz w:val="20"/>
                <w:szCs w:val="20"/>
                <w:color w:val="auto"/>
              </w:rPr>
            </w:pPr>
            <w:r>
              <w:rPr>
                <w:rFonts w:ascii="Arial" w:cs="Arial" w:eastAsia="Arial" w:hAnsi="Arial"/>
                <w:sz w:val="14"/>
                <w:szCs w:val="14"/>
                <w:color w:val="auto"/>
                <w:w w:val="95"/>
              </w:rPr>
              <w:t>Significant</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Active Markets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92"/>
              </w:rPr>
              <w:t>Observable</w:t>
            </w: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Observable</w:t>
            </w:r>
          </w:p>
        </w:tc>
        <w:tc>
          <w:tcPr>
            <w:tcW w:w="0" w:type="dxa"/>
            <w:vAlign w:val="bottom"/>
          </w:tcPr>
          <w:p>
            <w:pPr>
              <w:spacing w:after="0"/>
              <w:rPr>
                <w:sz w:val="1"/>
                <w:szCs w:val="1"/>
                <w:color w:val="auto"/>
              </w:rPr>
            </w:pPr>
          </w:p>
        </w:tc>
      </w:tr>
      <w:tr>
        <w:trPr>
          <w:trHeight w:val="149"/>
        </w:trPr>
        <w:tc>
          <w:tcPr>
            <w:tcW w:w="1140" w:type="dxa"/>
            <w:vAlign w:val="bottom"/>
            <w:gridSpan w:val="2"/>
            <w:vMerge w:val="restart"/>
          </w:tcPr>
          <w:p>
            <w:pPr>
              <w:spacing w:after="0"/>
              <w:rPr>
                <w:sz w:val="20"/>
                <w:szCs w:val="20"/>
                <w:color w:val="auto"/>
              </w:rPr>
            </w:pPr>
            <w:r>
              <w:rPr>
                <w:rFonts w:ascii="Arial" w:cs="Arial" w:eastAsia="Arial" w:hAnsi="Arial"/>
                <w:sz w:val="14"/>
                <w:szCs w:val="14"/>
                <w:color w:val="auto"/>
                <w:w w:val="91"/>
              </w:rPr>
              <w:t>December 31, 2015</w:t>
            </w:r>
          </w:p>
        </w:tc>
        <w:tc>
          <w:tcPr>
            <w:tcW w:w="23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9"/>
              </w:rPr>
              <w:t>for Identical</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4"/>
              </w:rPr>
              <w:t>Inputs</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1140" w:type="dxa"/>
            <w:vAlign w:val="bottom"/>
            <w:tcBorders>
              <w:bottom w:val="single" w:sz="8" w:color="auto"/>
            </w:tcBorders>
            <w:gridSpan w:val="2"/>
            <w:vMerge w:val="continue"/>
          </w:tcPr>
          <w:p>
            <w:pPr>
              <w:spacing w:after="0"/>
              <w:rPr>
                <w:sz w:val="14"/>
                <w:szCs w:val="14"/>
                <w:color w:val="auto"/>
              </w:rPr>
            </w:pPr>
          </w:p>
        </w:tc>
        <w:tc>
          <w:tcPr>
            <w:tcW w:w="236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93"/>
              </w:rPr>
              <w:t>Assets (Level 1)</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w w:val="99"/>
              </w:rPr>
              <w:t>(Level 2)</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color w:val="auto"/>
                <w:w w:val="99"/>
              </w:rPr>
              <w:t>(Level 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0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 - (Securities Available-for-</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U.S. Treasury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ind w:left="980"/>
              <w:spacing w:after="0"/>
              <w:rPr>
                <w:sz w:val="20"/>
                <w:szCs w:val="20"/>
                <w:color w:val="auto"/>
              </w:rPr>
            </w:pPr>
            <w:r>
              <w:rPr>
                <w:rFonts w:ascii="Arial" w:cs="Arial" w:eastAsia="Arial" w:hAnsi="Arial"/>
                <w:sz w:val="18"/>
                <w:szCs w:val="18"/>
                <w:color w:val="auto"/>
              </w:rPr>
              <w:t>38,505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98,220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9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26,324</w:t>
            </w:r>
          </w:p>
        </w:tc>
        <w:tc>
          <w:tcPr>
            <w:tcW w:w="1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64,714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09"/>
        </w:trPr>
        <w:tc>
          <w:tcPr>
            <w:tcW w:w="3500" w:type="dxa"/>
            <w:vAlign w:val="bottom"/>
            <w:gridSpan w:val="3"/>
          </w:tcPr>
          <w:p>
            <w:pPr>
              <w:ind w:left="360"/>
              <w:spacing w:after="0"/>
              <w:rPr>
                <w:sz w:val="20"/>
                <w:szCs w:val="20"/>
                <w:color w:val="auto"/>
              </w:rPr>
            </w:pPr>
            <w:r>
              <w:rPr>
                <w:rFonts w:ascii="Arial" w:cs="Arial" w:eastAsia="Arial" w:hAnsi="Arial"/>
                <w:sz w:val="18"/>
                <w:szCs w:val="18"/>
                <w:color w:val="auto"/>
              </w:rPr>
              <w:t>Total Securities Available-for-</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ind w:left="540"/>
              <w:spacing w:after="0"/>
              <w:rPr>
                <w:sz w:val="20"/>
                <w:szCs w:val="20"/>
                <w:color w:val="auto"/>
              </w:rPr>
            </w:pPr>
            <w:r>
              <w:rPr>
                <w:rFonts w:ascii="Arial" w:cs="Arial" w:eastAsia="Arial" w:hAnsi="Arial"/>
                <w:sz w:val="18"/>
                <w:szCs w:val="18"/>
                <w:color w:val="auto"/>
              </w:rPr>
              <w:t>Sale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ind w:left="980"/>
              <w:spacing w:after="0"/>
              <w:rPr>
                <w:sz w:val="20"/>
                <w:szCs w:val="20"/>
                <w:color w:val="auto"/>
              </w:rPr>
            </w:pPr>
            <w:r>
              <w:rPr>
                <w:rFonts w:ascii="Arial" w:cs="Arial" w:eastAsia="Arial" w:hAnsi="Arial"/>
                <w:sz w:val="18"/>
                <w:szCs w:val="18"/>
                <w:color w:val="auto"/>
              </w:rPr>
              <w:t>38,505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189,258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June 30, 2016 and June 30, 2015.</w:t>
      </w:r>
    </w:p>
    <w:p>
      <w:pPr>
        <w:spacing w:after="0" w:line="193" w:lineRule="exact"/>
        <w:rPr>
          <w:sz w:val="20"/>
          <w:szCs w:val="20"/>
          <w:color w:val="auto"/>
        </w:rPr>
      </w:pPr>
    </w:p>
    <w:p>
      <w:pPr>
        <w:jc w:val="center"/>
        <w:ind w:left="5240"/>
        <w:spacing w:after="0"/>
        <w:rPr>
          <w:sz w:val="20"/>
          <w:szCs w:val="20"/>
          <w:color w:val="auto"/>
        </w:rPr>
      </w:pPr>
      <w:r>
        <w:rPr>
          <w:rFonts w:ascii="Arial" w:cs="Arial" w:eastAsia="Arial" w:hAnsi="Arial"/>
          <w:sz w:val="14"/>
          <w:szCs w:val="14"/>
          <w:color w:val="auto"/>
        </w:rPr>
        <w:t>(In Thousands)</w:t>
      </w:r>
    </w:p>
    <w:p>
      <w:pPr>
        <w:jc w:val="center"/>
        <w:ind w:left="5240"/>
        <w:spacing w:after="0" w:line="231" w:lineRule="auto"/>
        <w:rPr>
          <w:sz w:val="20"/>
          <w:szCs w:val="20"/>
          <w:color w:val="auto"/>
        </w:rPr>
      </w:pPr>
      <w:r>
        <w:rPr>
          <w:rFonts w:ascii="Arial" w:cs="Arial" w:eastAsia="Arial" w:hAnsi="Arial"/>
          <w:sz w:val="14"/>
          <w:szCs w:val="14"/>
          <w:color w:val="auto"/>
        </w:rPr>
        <w:t>Fair Value Measurements Using Significant</w:t>
      </w:r>
    </w:p>
    <w:tbl>
      <w:tblPr>
        <w:tblLayout w:type="fixed"/>
        <w:tblInd w:w="920" w:type="dxa"/>
        <w:tblCellMar>
          <w:top w:w="0" w:type="dxa"/>
          <w:left w:w="0" w:type="dxa"/>
          <w:bottom w:w="0" w:type="dxa"/>
          <w:right w:w="0" w:type="dxa"/>
        </w:tblCellMar>
      </w:tblPr>
      <w:tr>
        <w:trPr>
          <w:trHeight w:val="142"/>
        </w:trPr>
        <w:tc>
          <w:tcPr>
            <w:tcW w:w="5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color w:val="auto"/>
                <w:w w:val="94"/>
              </w:rPr>
              <w:t>Unobservable Inputs (Level 3)</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4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540" w:type="dxa"/>
            <w:vAlign w:val="bottom"/>
          </w:tcPr>
          <w:p>
            <w:pPr>
              <w:spacing w:after="0"/>
              <w:rPr>
                <w:sz w:val="10"/>
                <w:szCs w:val="10"/>
                <w:color w:val="auto"/>
              </w:rPr>
            </w:pPr>
          </w:p>
        </w:tc>
        <w:tc>
          <w:tcPr>
            <w:tcW w:w="1600" w:type="dxa"/>
            <w:vAlign w:val="bottom"/>
            <w:gridSpan w:val="3"/>
          </w:tcPr>
          <w:p>
            <w:pPr>
              <w:jc w:val="center"/>
              <w:ind w:right="700"/>
              <w:spacing w:after="0" w:line="123" w:lineRule="exact"/>
              <w:rPr>
                <w:sz w:val="20"/>
                <w:szCs w:val="20"/>
                <w:color w:val="auto"/>
              </w:rPr>
            </w:pPr>
            <w:r>
              <w:rPr>
                <w:rFonts w:ascii="Arial" w:cs="Arial" w:eastAsia="Arial" w:hAnsi="Arial"/>
                <w:sz w:val="14"/>
                <w:szCs w:val="14"/>
                <w:color w:val="auto"/>
                <w:w w:val="92"/>
              </w:rPr>
              <w:t>State and Local</w:t>
            </w: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Governments</w:t>
            </w:r>
          </w:p>
        </w:tc>
        <w:tc>
          <w:tcPr>
            <w:tcW w:w="540" w:type="dxa"/>
            <w:vAlign w:val="bottom"/>
          </w:tcPr>
          <w:p>
            <w:pPr>
              <w:spacing w:after="0"/>
              <w:rPr>
                <w:sz w:val="12"/>
                <w:szCs w:val="12"/>
                <w:color w:val="auto"/>
              </w:rPr>
            </w:pPr>
          </w:p>
        </w:tc>
        <w:tc>
          <w:tcPr>
            <w:tcW w:w="160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Governments</w:t>
            </w:r>
          </w:p>
        </w:tc>
      </w:tr>
      <w:tr>
        <w:trPr>
          <w:trHeight w:val="167"/>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Tax-Exempt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color w:val="auto"/>
                <w:w w:val="92"/>
              </w:rPr>
              <w:t>Taxable</w:t>
            </w:r>
          </w:p>
        </w:tc>
        <w:tc>
          <w:tcPr>
            <w:tcW w:w="2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Total</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(5,904)</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3"/>
          </w:tcPr>
          <w:p>
            <w:pPr>
              <w:jc w:val="center"/>
              <w:ind w:right="720"/>
              <w:spacing w:after="0"/>
              <w:rPr>
                <w:sz w:val="20"/>
                <w:szCs w:val="20"/>
                <w:color w:val="auto"/>
              </w:rPr>
            </w:pPr>
            <w:r>
              <w:rPr>
                <w:rFonts w:ascii="Arial" w:cs="Arial" w:eastAsia="Arial" w:hAnsi="Arial"/>
                <w:sz w:val="14"/>
                <w:szCs w:val="14"/>
                <w:color w:val="auto"/>
                <w:w w:val="93"/>
              </w:rPr>
              <w:t>(In Thousands)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center"/>
              <w:ind w:left="495"/>
              <w:spacing w:after="0"/>
              <w:rPr>
                <w:sz w:val="20"/>
                <w:szCs w:val="20"/>
                <w:color w:val="auto"/>
              </w:rPr>
            </w:pPr>
            <w:r>
              <w:rPr>
                <w:rFonts w:ascii="Arial" w:cs="Arial" w:eastAsia="Arial" w:hAnsi="Arial"/>
                <w:sz w:val="14"/>
                <w:szCs w:val="14"/>
                <w:color w:val="auto"/>
                <w:w w:val="93"/>
              </w:rPr>
              <w:t>Fair Value Measurements Using Significant</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color w:val="auto"/>
                <w:w w:val="94"/>
              </w:rPr>
              <w:t>Unobservable Inputs (Level 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4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540" w:type="dxa"/>
            <w:vAlign w:val="bottom"/>
          </w:tcPr>
          <w:p>
            <w:pPr>
              <w:spacing w:after="0"/>
              <w:rPr>
                <w:sz w:val="10"/>
                <w:szCs w:val="10"/>
                <w:color w:val="auto"/>
              </w:rPr>
            </w:pPr>
          </w:p>
        </w:tc>
        <w:tc>
          <w:tcPr>
            <w:tcW w:w="1600" w:type="dxa"/>
            <w:vAlign w:val="bottom"/>
            <w:gridSpan w:val="3"/>
          </w:tcPr>
          <w:p>
            <w:pPr>
              <w:jc w:val="center"/>
              <w:ind w:right="700"/>
              <w:spacing w:after="0" w:line="123" w:lineRule="exact"/>
              <w:rPr>
                <w:sz w:val="20"/>
                <w:szCs w:val="20"/>
                <w:color w:val="auto"/>
              </w:rPr>
            </w:pPr>
            <w:r>
              <w:rPr>
                <w:rFonts w:ascii="Arial" w:cs="Arial" w:eastAsia="Arial" w:hAnsi="Arial"/>
                <w:sz w:val="14"/>
                <w:szCs w:val="14"/>
                <w:color w:val="auto"/>
                <w:w w:val="92"/>
              </w:rPr>
              <w:t>State and Local</w:t>
            </w: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Governments</w:t>
            </w:r>
          </w:p>
        </w:tc>
        <w:tc>
          <w:tcPr>
            <w:tcW w:w="540" w:type="dxa"/>
            <w:vAlign w:val="bottom"/>
          </w:tcPr>
          <w:p>
            <w:pPr>
              <w:spacing w:after="0"/>
              <w:rPr>
                <w:sz w:val="12"/>
                <w:szCs w:val="12"/>
                <w:color w:val="auto"/>
              </w:rPr>
            </w:pPr>
          </w:p>
        </w:tc>
        <w:tc>
          <w:tcPr>
            <w:tcW w:w="160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Governments</w:t>
            </w:r>
          </w:p>
        </w:tc>
      </w:tr>
      <w:tr>
        <w:trPr>
          <w:trHeight w:val="167"/>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Tax-Exempt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color w:val="auto"/>
                <w:w w:val="92"/>
              </w:rPr>
              <w:t>Taxable</w:t>
            </w:r>
          </w:p>
        </w:tc>
        <w:tc>
          <w:tcPr>
            <w:tcW w:w="2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Total</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also has assets that, under certain conditions, are subject to measurement at fair value on a non-recurring basis. At June 30, 2016 and December 31, 2015,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2016 and December 31, 2015, fair value of collateral dependent impaired loans categorized as Level 3 were $0.4 and $0.5 million, respectively. The specific allocation for impaired loans was $217 and $330 thousand as of June 30, 2016 and December 31, 2015, respectively, which are accounted for in the allowance for loan losses (see Note 4).</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unobservable inputs used in recurring and nonrecurring Level 3 fair value measurements: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Fair Value at</w:t>
            </w:r>
          </w:p>
        </w:tc>
        <w:tc>
          <w:tcPr>
            <w:tcW w:w="1600" w:type="dxa"/>
            <w:vAlign w:val="bottom"/>
            <w:gridSpan w:val="2"/>
            <w:vMerge w:val="restart"/>
          </w:tcPr>
          <w:p>
            <w:pPr>
              <w:ind w:left="20"/>
              <w:spacing w:after="0"/>
              <w:rPr>
                <w:sz w:val="20"/>
                <w:szCs w:val="20"/>
                <w:color w:val="auto"/>
              </w:rPr>
            </w:pPr>
            <w:r>
              <w:rPr>
                <w:rFonts w:ascii="Arial" w:cs="Arial" w:eastAsia="Arial" w:hAnsi="Arial"/>
                <w:sz w:val="14"/>
                <w:szCs w:val="14"/>
                <w:color w:val="auto"/>
              </w:rPr>
              <w:t>Valuation Technique</w:t>
            </w:r>
          </w:p>
        </w:tc>
        <w:tc>
          <w:tcPr>
            <w:tcW w:w="1920" w:type="dxa"/>
            <w:vAlign w:val="bottom"/>
            <w:gridSpan w:val="2"/>
            <w:vMerge w:val="restart"/>
          </w:tcPr>
          <w:p>
            <w:pPr>
              <w:ind w:left="180"/>
              <w:spacing w:after="0"/>
              <w:rPr>
                <w:sz w:val="20"/>
                <w:szCs w:val="20"/>
                <w:color w:val="auto"/>
              </w:rPr>
            </w:pPr>
            <w:r>
              <w:rPr>
                <w:rFonts w:ascii="Arial" w:cs="Arial" w:eastAsia="Arial" w:hAnsi="Arial"/>
                <w:sz w:val="14"/>
                <w:szCs w:val="14"/>
                <w:color w:val="auto"/>
              </w:rPr>
              <w:t>Unobservable Inputs</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color w:val="auto"/>
                <w:w w:val="90"/>
              </w:rPr>
              <w:t>June 30, 2016</w:t>
            </w:r>
          </w:p>
        </w:tc>
        <w:tc>
          <w:tcPr>
            <w:tcW w:w="160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8"/>
              <w:spacing w:after="0" w:line="142" w:lineRule="exact"/>
              <w:rPr>
                <w:sz w:val="20"/>
                <w:szCs w:val="20"/>
                <w:color w:val="auto"/>
              </w:rPr>
            </w:pPr>
            <w:r>
              <w:rPr>
                <w:rFonts w:ascii="Arial" w:cs="Arial" w:eastAsia="Arial" w:hAnsi="Arial"/>
                <w:sz w:val="14"/>
                <w:szCs w:val="14"/>
                <w:color w:val="auto"/>
                <w:w w:val="93"/>
              </w:rPr>
              <w:t>(In Thousands)</w:t>
            </w:r>
          </w:p>
        </w:tc>
        <w:tc>
          <w:tcPr>
            <w:tcW w:w="4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and local government</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1,506</w:t>
            </w:r>
          </w:p>
        </w:tc>
        <w:tc>
          <w:tcPr>
            <w:tcW w:w="1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Discounted cash</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Credit strength of</w:t>
            </w:r>
          </w:p>
        </w:tc>
        <w:tc>
          <w:tcPr>
            <w:tcW w:w="8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flow</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underlying project or</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entity / Discount rate</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color w:val="auto"/>
              </w:rPr>
              <w:t>Collateral dependent Impaired loans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405</w:t>
            </w:r>
          </w:p>
        </w:tc>
        <w:tc>
          <w:tcPr>
            <w:tcW w:w="1600" w:type="dxa"/>
            <w:vAlign w:val="bottom"/>
            <w:gridSpan w:val="2"/>
          </w:tcPr>
          <w:p>
            <w:pPr>
              <w:spacing w:after="0"/>
              <w:rPr>
                <w:sz w:val="20"/>
                <w:szCs w:val="20"/>
                <w:color w:val="auto"/>
              </w:rPr>
            </w:pPr>
            <w:r>
              <w:rPr>
                <w:rFonts w:ascii="Arial" w:cs="Arial" w:eastAsia="Arial" w:hAnsi="Arial"/>
                <w:sz w:val="18"/>
                <w:szCs w:val="18"/>
                <w:color w:val="auto"/>
              </w:rPr>
              <w:t>Collateral based</w:t>
            </w:r>
          </w:p>
        </w:tc>
        <w:tc>
          <w:tcPr>
            <w:tcW w:w="1920" w:type="dxa"/>
            <w:vAlign w:val="bottom"/>
            <w:gridSpan w:val="2"/>
          </w:tcPr>
          <w:p>
            <w:pPr>
              <w:spacing w:after="0"/>
              <w:rPr>
                <w:sz w:val="20"/>
                <w:szCs w:val="20"/>
                <w:color w:val="auto"/>
              </w:rPr>
            </w:pPr>
            <w:r>
              <w:rPr>
                <w:rFonts w:ascii="Arial" w:cs="Arial" w:eastAsia="Arial" w:hAnsi="Arial"/>
                <w:sz w:val="18"/>
                <w:szCs w:val="18"/>
                <w:color w:val="auto"/>
              </w:rPr>
              <w:t>Discount to reflect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measurements</w:t>
            </w:r>
          </w:p>
        </w:tc>
        <w:tc>
          <w:tcPr>
            <w:tcW w:w="1920" w:type="dxa"/>
            <w:vAlign w:val="bottom"/>
            <w:gridSpan w:val="2"/>
          </w:tcPr>
          <w:p>
            <w:pPr>
              <w:spacing w:after="0"/>
              <w:rPr>
                <w:sz w:val="20"/>
                <w:szCs w:val="20"/>
                <w:color w:val="auto"/>
              </w:rPr>
            </w:pPr>
            <w:r>
              <w:rPr>
                <w:rFonts w:ascii="Arial" w:cs="Arial" w:eastAsia="Arial" w:hAnsi="Arial"/>
                <w:sz w:val="18"/>
                <w:szCs w:val="18"/>
                <w:color w:val="auto"/>
              </w:rPr>
              <w:t>current market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conditions and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ultimate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collectability</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Fair Value at</w:t>
            </w:r>
          </w:p>
        </w:tc>
        <w:tc>
          <w:tcPr>
            <w:tcW w:w="1600" w:type="dxa"/>
            <w:vAlign w:val="bottom"/>
            <w:gridSpan w:val="2"/>
            <w:vMerge w:val="restart"/>
          </w:tcPr>
          <w:p>
            <w:pPr>
              <w:ind w:left="20"/>
              <w:spacing w:after="0"/>
              <w:rPr>
                <w:sz w:val="20"/>
                <w:szCs w:val="20"/>
                <w:color w:val="auto"/>
              </w:rPr>
            </w:pPr>
            <w:r>
              <w:rPr>
                <w:rFonts w:ascii="Arial" w:cs="Arial" w:eastAsia="Arial" w:hAnsi="Arial"/>
                <w:sz w:val="14"/>
                <w:szCs w:val="14"/>
                <w:color w:val="auto"/>
              </w:rPr>
              <w:t>Valuation Technique</w:t>
            </w:r>
          </w:p>
        </w:tc>
        <w:tc>
          <w:tcPr>
            <w:tcW w:w="1920" w:type="dxa"/>
            <w:vAlign w:val="bottom"/>
            <w:gridSpan w:val="2"/>
            <w:vMerge w:val="restart"/>
          </w:tcPr>
          <w:p>
            <w:pPr>
              <w:ind w:left="180"/>
              <w:spacing w:after="0"/>
              <w:rPr>
                <w:sz w:val="20"/>
                <w:szCs w:val="20"/>
                <w:color w:val="auto"/>
              </w:rPr>
            </w:pPr>
            <w:r>
              <w:rPr>
                <w:rFonts w:ascii="Arial" w:cs="Arial" w:eastAsia="Arial" w:hAnsi="Arial"/>
                <w:sz w:val="14"/>
                <w:szCs w:val="14"/>
                <w:color w:val="auto"/>
              </w:rPr>
              <w:t>Unobservable Inputs</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color w:val="auto"/>
              </w:rPr>
              <w:t>December 31, 2015</w:t>
            </w:r>
          </w:p>
        </w:tc>
        <w:tc>
          <w:tcPr>
            <w:tcW w:w="160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8"/>
              <w:spacing w:after="0" w:line="142" w:lineRule="exact"/>
              <w:rPr>
                <w:sz w:val="20"/>
                <w:szCs w:val="20"/>
                <w:color w:val="auto"/>
              </w:rPr>
            </w:pPr>
            <w:r>
              <w:rPr>
                <w:rFonts w:ascii="Arial" w:cs="Arial" w:eastAsia="Arial" w:hAnsi="Arial"/>
                <w:sz w:val="14"/>
                <w:szCs w:val="14"/>
                <w:color w:val="auto"/>
                <w:w w:val="93"/>
              </w:rPr>
              <w:t>(In Thousands)</w:t>
            </w:r>
          </w:p>
        </w:tc>
        <w:tc>
          <w:tcPr>
            <w:tcW w:w="4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and local government</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7,352</w:t>
            </w:r>
          </w:p>
        </w:tc>
        <w:tc>
          <w:tcPr>
            <w:tcW w:w="1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Discounted cash</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Credit strength of</w:t>
            </w:r>
          </w:p>
        </w:tc>
        <w:tc>
          <w:tcPr>
            <w:tcW w:w="8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flow</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underlying project or</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entity / Discount rate</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color w:val="auto"/>
              </w:rPr>
              <w:t>Collateral dependent Impaired loans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549</w:t>
            </w:r>
          </w:p>
        </w:tc>
        <w:tc>
          <w:tcPr>
            <w:tcW w:w="1600" w:type="dxa"/>
            <w:vAlign w:val="bottom"/>
            <w:gridSpan w:val="2"/>
          </w:tcPr>
          <w:p>
            <w:pPr>
              <w:spacing w:after="0"/>
              <w:rPr>
                <w:sz w:val="20"/>
                <w:szCs w:val="20"/>
                <w:color w:val="auto"/>
              </w:rPr>
            </w:pPr>
            <w:r>
              <w:rPr>
                <w:rFonts w:ascii="Arial" w:cs="Arial" w:eastAsia="Arial" w:hAnsi="Arial"/>
                <w:sz w:val="18"/>
                <w:szCs w:val="18"/>
                <w:color w:val="auto"/>
              </w:rPr>
              <w:t>Collateral based</w:t>
            </w:r>
          </w:p>
        </w:tc>
        <w:tc>
          <w:tcPr>
            <w:tcW w:w="1920" w:type="dxa"/>
            <w:vAlign w:val="bottom"/>
            <w:gridSpan w:val="2"/>
          </w:tcPr>
          <w:p>
            <w:pPr>
              <w:spacing w:after="0"/>
              <w:rPr>
                <w:sz w:val="20"/>
                <w:szCs w:val="20"/>
                <w:color w:val="auto"/>
              </w:rPr>
            </w:pPr>
            <w:r>
              <w:rPr>
                <w:rFonts w:ascii="Arial" w:cs="Arial" w:eastAsia="Arial" w:hAnsi="Arial"/>
                <w:sz w:val="18"/>
                <w:szCs w:val="18"/>
                <w:color w:val="auto"/>
              </w:rPr>
              <w:t>Discount to reflect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measurements</w:t>
            </w:r>
          </w:p>
        </w:tc>
        <w:tc>
          <w:tcPr>
            <w:tcW w:w="1920" w:type="dxa"/>
            <w:vAlign w:val="bottom"/>
            <w:gridSpan w:val="2"/>
          </w:tcPr>
          <w:p>
            <w:pPr>
              <w:spacing w:after="0"/>
              <w:rPr>
                <w:sz w:val="20"/>
                <w:szCs w:val="20"/>
                <w:color w:val="auto"/>
              </w:rPr>
            </w:pPr>
            <w:r>
              <w:rPr>
                <w:rFonts w:ascii="Arial" w:cs="Arial" w:eastAsia="Arial" w:hAnsi="Arial"/>
                <w:sz w:val="18"/>
                <w:szCs w:val="18"/>
                <w:color w:val="auto"/>
              </w:rPr>
              <w:t>current market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conditions and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ultimate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collectability</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real estate owned - commercial</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216</w:t>
            </w:r>
          </w:p>
        </w:tc>
        <w:tc>
          <w:tcPr>
            <w:tcW w:w="1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Appraisals</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 to reflect</w:t>
            </w:r>
          </w:p>
        </w:tc>
        <w:tc>
          <w:tcPr>
            <w:tcW w:w="8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market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18"/>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FAIR VALUE OF FINANCIAL INSTRUMENTS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impaired loans and other real estate owned as recorded at fair value on June 30, 2016 and December 31, 2015:</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2"/>
              </w:rPr>
              <w:t>Assets Measured at Fair Value on a Nonrecurring Basis at June 30, 2016</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Quoted Prices in Active</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7"/>
              </w:rPr>
              <w:t>Markets for</w:t>
            </w:r>
          </w:p>
        </w:tc>
        <w:tc>
          <w:tcPr>
            <w:tcW w:w="160" w:type="dxa"/>
            <w:vAlign w:val="bottom"/>
          </w:tcPr>
          <w:p>
            <w:pPr>
              <w:spacing w:after="0"/>
              <w:rPr>
                <w:sz w:val="12"/>
                <w:szCs w:val="12"/>
                <w:color w:val="auto"/>
              </w:rPr>
            </w:pPr>
          </w:p>
        </w:tc>
        <w:tc>
          <w:tcPr>
            <w:tcW w:w="16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9"/>
              </w:rPr>
              <w:t>Significant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 at</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5"/>
              </w:rPr>
              <w:t>Identical</w:t>
            </w:r>
          </w:p>
        </w:tc>
        <w:tc>
          <w:tcPr>
            <w:tcW w:w="1800" w:type="dxa"/>
            <w:vAlign w:val="bottom"/>
            <w:gridSpan w:val="3"/>
          </w:tcPr>
          <w:p>
            <w:pPr>
              <w:spacing w:after="0" w:line="149" w:lineRule="exact"/>
              <w:rPr>
                <w:sz w:val="20"/>
                <w:szCs w:val="20"/>
                <w:color w:val="auto"/>
              </w:rPr>
            </w:pPr>
            <w:r>
              <w:rPr>
                <w:rFonts w:ascii="Arial" w:cs="Arial" w:eastAsia="Arial" w:hAnsi="Arial"/>
                <w:sz w:val="14"/>
                <w:szCs w:val="14"/>
                <w:color w:val="auto"/>
              </w:rPr>
              <w:t>Observable Inputs</w:t>
            </w:r>
          </w:p>
        </w:tc>
        <w:tc>
          <w:tcPr>
            <w:tcW w:w="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w w:val="99"/>
              </w:rPr>
              <w:t>Unobservable Inputs</w:t>
            </w:r>
          </w:p>
        </w:tc>
      </w:tr>
      <w:tr>
        <w:trPr>
          <w:trHeight w:val="167"/>
        </w:trPr>
        <w:tc>
          <w:tcPr>
            <w:tcW w:w="3280" w:type="dxa"/>
            <w:vAlign w:val="bottom"/>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June 30, 2016</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right="940"/>
              <w:spacing w:after="0"/>
              <w:rPr>
                <w:sz w:val="20"/>
                <w:szCs w:val="20"/>
                <w:color w:val="auto"/>
              </w:rPr>
            </w:pPr>
            <w:r>
              <w:rPr>
                <w:rFonts w:ascii="Arial" w:cs="Arial" w:eastAsia="Arial" w:hAnsi="Arial"/>
                <w:sz w:val="14"/>
                <w:szCs w:val="14"/>
                <w:color w:val="auto"/>
                <w:w w:val="93"/>
              </w:rPr>
              <w:t>Assets (Level 1)</w:t>
            </w:r>
          </w:p>
        </w:tc>
        <w:tc>
          <w:tcPr>
            <w:tcW w:w="160" w:type="dxa"/>
            <w:vAlign w:val="bottom"/>
          </w:tcPr>
          <w:p>
            <w:pPr>
              <w:spacing w:after="0"/>
              <w:rPr>
                <w:sz w:val="14"/>
                <w:szCs w:val="14"/>
                <w:color w:val="auto"/>
              </w:rPr>
            </w:pPr>
          </w:p>
        </w:tc>
        <w:tc>
          <w:tcPr>
            <w:tcW w:w="1640" w:type="dxa"/>
            <w:vAlign w:val="bottom"/>
            <w:gridSpan w:val="2"/>
          </w:tcPr>
          <w:p>
            <w:pPr>
              <w:jc w:val="center"/>
              <w:ind w:right="900"/>
              <w:spacing w:after="0"/>
              <w:rPr>
                <w:sz w:val="20"/>
                <w:szCs w:val="20"/>
                <w:color w:val="auto"/>
              </w:rPr>
            </w:pPr>
            <w:r>
              <w:rPr>
                <w:rFonts w:ascii="Arial" w:cs="Arial" w:eastAsia="Arial" w:hAnsi="Arial"/>
                <w:sz w:val="14"/>
                <w:szCs w:val="14"/>
                <w:color w:val="auto"/>
                <w:w w:val="99"/>
              </w:rPr>
              <w:t>(Level 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3)</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365"/>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2"/>
              </w:rPr>
              <w:t>Assets Measured at Fair Value on a Nonrecurring Basis at December 31, 2015</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Quoted Prices in Active</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7"/>
              </w:rPr>
              <w:t>Markets for</w:t>
            </w:r>
          </w:p>
        </w:tc>
        <w:tc>
          <w:tcPr>
            <w:tcW w:w="160" w:type="dxa"/>
            <w:vAlign w:val="bottom"/>
          </w:tcPr>
          <w:p>
            <w:pPr>
              <w:spacing w:after="0"/>
              <w:rPr>
                <w:sz w:val="12"/>
                <w:szCs w:val="12"/>
                <w:color w:val="auto"/>
              </w:rPr>
            </w:pPr>
          </w:p>
        </w:tc>
        <w:tc>
          <w:tcPr>
            <w:tcW w:w="16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9"/>
              </w:rPr>
              <w:t>Significant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 at</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5"/>
              </w:rPr>
              <w:t>Identical</w:t>
            </w:r>
          </w:p>
        </w:tc>
        <w:tc>
          <w:tcPr>
            <w:tcW w:w="1800" w:type="dxa"/>
            <w:vAlign w:val="bottom"/>
            <w:gridSpan w:val="3"/>
          </w:tcPr>
          <w:p>
            <w:pPr>
              <w:spacing w:after="0" w:line="149" w:lineRule="exact"/>
              <w:rPr>
                <w:sz w:val="20"/>
                <w:szCs w:val="20"/>
                <w:color w:val="auto"/>
              </w:rPr>
            </w:pPr>
            <w:r>
              <w:rPr>
                <w:rFonts w:ascii="Arial" w:cs="Arial" w:eastAsia="Arial" w:hAnsi="Arial"/>
                <w:sz w:val="14"/>
                <w:szCs w:val="14"/>
                <w:color w:val="auto"/>
              </w:rPr>
              <w:t>Observable Inputs</w:t>
            </w:r>
          </w:p>
        </w:tc>
        <w:tc>
          <w:tcPr>
            <w:tcW w:w="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w w:val="99"/>
              </w:rPr>
              <w:t>Unobservable Inputs</w:t>
            </w:r>
          </w:p>
        </w:tc>
      </w:tr>
      <w:tr>
        <w:trPr>
          <w:trHeight w:val="167"/>
        </w:trPr>
        <w:tc>
          <w:tcPr>
            <w:tcW w:w="3280" w:type="dxa"/>
            <w:vAlign w:val="bottom"/>
          </w:tcPr>
          <w:p>
            <w:pPr>
              <w:spacing w:after="0"/>
              <w:rPr>
                <w:sz w:val="20"/>
                <w:szCs w:val="20"/>
                <w:color w:val="auto"/>
              </w:rPr>
            </w:pPr>
            <w:r>
              <w:rPr>
                <w:rFonts w:ascii="Arial" w:cs="Arial" w:eastAsia="Arial" w:hAnsi="Arial"/>
                <w:sz w:val="14"/>
                <w:szCs w:val="14"/>
                <w:color w:val="auto"/>
              </w:rPr>
              <w:t>(In Thousands)</w:t>
            </w:r>
          </w:p>
        </w:tc>
        <w:tc>
          <w:tcPr>
            <w:tcW w:w="1240" w:type="dxa"/>
            <w:vAlign w:val="bottom"/>
            <w:gridSpan w:val="3"/>
          </w:tcPr>
          <w:p>
            <w:pPr>
              <w:ind w:left="20"/>
              <w:spacing w:after="0"/>
              <w:rPr>
                <w:sz w:val="20"/>
                <w:szCs w:val="20"/>
                <w:color w:val="auto"/>
              </w:rPr>
            </w:pPr>
            <w:r>
              <w:rPr>
                <w:rFonts w:ascii="Arial" w:cs="Arial" w:eastAsia="Arial" w:hAnsi="Arial"/>
                <w:sz w:val="14"/>
                <w:szCs w:val="14"/>
                <w:color w:val="auto"/>
                <w:w w:val="97"/>
              </w:rPr>
              <w:t>December 31, 2015</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right="940"/>
              <w:spacing w:after="0"/>
              <w:rPr>
                <w:sz w:val="20"/>
                <w:szCs w:val="20"/>
                <w:color w:val="auto"/>
              </w:rPr>
            </w:pPr>
            <w:r>
              <w:rPr>
                <w:rFonts w:ascii="Arial" w:cs="Arial" w:eastAsia="Arial" w:hAnsi="Arial"/>
                <w:sz w:val="14"/>
                <w:szCs w:val="14"/>
                <w:color w:val="auto"/>
                <w:w w:val="93"/>
              </w:rPr>
              <w:t>Assets (Level 1)</w:t>
            </w:r>
          </w:p>
        </w:tc>
        <w:tc>
          <w:tcPr>
            <w:tcW w:w="160" w:type="dxa"/>
            <w:vAlign w:val="bottom"/>
          </w:tcPr>
          <w:p>
            <w:pPr>
              <w:spacing w:after="0"/>
              <w:rPr>
                <w:sz w:val="14"/>
                <w:szCs w:val="14"/>
                <w:color w:val="auto"/>
              </w:rPr>
            </w:pPr>
          </w:p>
        </w:tc>
        <w:tc>
          <w:tcPr>
            <w:tcW w:w="1640" w:type="dxa"/>
            <w:vAlign w:val="bottom"/>
            <w:gridSpan w:val="2"/>
          </w:tcPr>
          <w:p>
            <w:pPr>
              <w:jc w:val="center"/>
              <w:ind w:right="900"/>
              <w:spacing w:after="0"/>
              <w:rPr>
                <w:sz w:val="20"/>
                <w:szCs w:val="20"/>
                <w:color w:val="auto"/>
              </w:rPr>
            </w:pPr>
            <w:r>
              <w:rPr>
                <w:rFonts w:ascii="Arial" w:cs="Arial" w:eastAsia="Arial" w:hAnsi="Arial"/>
                <w:sz w:val="14"/>
                <w:szCs w:val="14"/>
                <w:color w:val="auto"/>
                <w:w w:val="99"/>
              </w:rPr>
              <w:t>(Level 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3)</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Other real estate owned -</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also has other assets, which under certain conditions, are subject to measurement at fair value. These assets include loans held for sale, bank owned life insurance, and mortgage servicing rights. The Company estimated the fair values of these assets utilizing Level 3 inputs, including, the discounted present value of expected future cash flows. At June 30, 2016 and December 31, 2015, the Company estimates that there is no impairment of these assets.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FEDERAL FUNDS PURCHASED AND SECURITIES SOLD UNDER AGREEMENTS TO REPURCHASE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had $19 million and $22 million in Federal Funds Purchased as of June 30, 2016, and December 31, 2015, respectively. During the same time periods the company also had $57 million and $57 million in securities sold under agreement to repurchase.</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color w:val="auto"/>
                <w:w w:val="90"/>
              </w:rPr>
              <w:t>June 30, 2016</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80" w:type="dxa"/>
            <w:vAlign w:val="bottom"/>
            <w:tcBorders>
              <w:bottom w:val="single" w:sz="8" w:color="auto"/>
            </w:tcBorders>
            <w:gridSpan w:val="10"/>
          </w:tcPr>
          <w:p>
            <w:pPr>
              <w:jc w:val="center"/>
              <w:spacing w:after="0" w:line="142" w:lineRule="exact"/>
              <w:rPr>
                <w:sz w:val="20"/>
                <w:szCs w:val="20"/>
                <w:color w:val="auto"/>
              </w:rPr>
            </w:pPr>
            <w:r>
              <w:rPr>
                <w:rFonts w:ascii="Arial" w:cs="Arial" w:eastAsia="Arial" w:hAnsi="Arial"/>
                <w:sz w:val="14"/>
                <w:szCs w:val="14"/>
                <w:color w:val="auto"/>
                <w:w w:val="93"/>
              </w:rPr>
              <w:t>Remaining Contratual Maturity of the Agreements (In Thousands)</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4"/>
                <w:szCs w:val="14"/>
                <w:color w:val="auto"/>
                <w:w w:val="97"/>
              </w:rPr>
              <w:t>Overnight &amp;</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Continuous</w:t>
            </w:r>
          </w:p>
        </w:tc>
        <w:tc>
          <w:tcPr>
            <w:tcW w:w="5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w w:val="90"/>
              </w:rPr>
              <w:t>Up to 30 days</w:t>
            </w:r>
          </w:p>
        </w:tc>
        <w:tc>
          <w:tcPr>
            <w:tcW w:w="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30-90 days</w:t>
            </w:r>
          </w:p>
        </w:tc>
        <w:tc>
          <w:tcPr>
            <w:tcW w:w="1500" w:type="dxa"/>
            <w:vAlign w:val="bottom"/>
            <w:gridSpan w:val="3"/>
          </w:tcPr>
          <w:p>
            <w:pPr>
              <w:spacing w:after="0"/>
              <w:rPr>
                <w:sz w:val="20"/>
                <w:szCs w:val="20"/>
                <w:color w:val="auto"/>
              </w:rPr>
            </w:pPr>
            <w:r>
              <w:rPr>
                <w:rFonts w:ascii="Arial" w:cs="Arial" w:eastAsia="Arial" w:hAnsi="Arial"/>
                <w:sz w:val="14"/>
                <w:szCs w:val="14"/>
                <w:color w:val="auto"/>
              </w:rPr>
              <w:t>Greater Than 90 days</w:t>
            </w:r>
          </w:p>
        </w:tc>
        <w:tc>
          <w:tcPr>
            <w:tcW w:w="2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$18,592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37,041</w:t>
            </w:r>
          </w:p>
        </w:tc>
        <w:tc>
          <w:tcPr>
            <w:tcW w:w="80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20,309</w:t>
            </w:r>
          </w:p>
        </w:tc>
        <w:tc>
          <w:tcPr>
            <w:tcW w:w="94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57,350</w:t>
            </w:r>
          </w:p>
        </w:tc>
      </w:tr>
      <w:tr>
        <w:trPr>
          <w:trHeight w:val="223"/>
        </w:trPr>
        <w:tc>
          <w:tcPr>
            <w:tcW w:w="3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55,633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75,942</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left="196"/>
              <w:spacing w:after="0"/>
              <w:rPr>
                <w:sz w:val="20"/>
                <w:szCs w:val="20"/>
                <w:color w:val="auto"/>
              </w:rPr>
            </w:pPr>
            <w:r>
              <w:rPr>
                <w:rFonts w:ascii="Arial" w:cs="Arial" w:eastAsia="Arial" w:hAnsi="Arial"/>
                <w:sz w:val="14"/>
                <w:szCs w:val="14"/>
                <w:color w:val="auto"/>
                <w:w w:val="91"/>
              </w:rPr>
              <w:t>December 31, 2015</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80" w:type="dxa"/>
            <w:vAlign w:val="bottom"/>
            <w:tcBorders>
              <w:bottom w:val="single" w:sz="8" w:color="auto"/>
            </w:tcBorders>
            <w:gridSpan w:val="10"/>
          </w:tcPr>
          <w:p>
            <w:pPr>
              <w:jc w:val="center"/>
              <w:spacing w:after="0" w:line="142" w:lineRule="exact"/>
              <w:rPr>
                <w:sz w:val="20"/>
                <w:szCs w:val="20"/>
                <w:color w:val="auto"/>
              </w:rPr>
            </w:pPr>
            <w:r>
              <w:rPr>
                <w:rFonts w:ascii="Arial" w:cs="Arial" w:eastAsia="Arial" w:hAnsi="Arial"/>
                <w:sz w:val="14"/>
                <w:szCs w:val="14"/>
                <w:color w:val="auto"/>
                <w:w w:val="94"/>
              </w:rPr>
              <w:t>Remaining Contratual Maturity of the Agreements (In Thousands)</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4"/>
                <w:szCs w:val="14"/>
                <w:color w:val="auto"/>
                <w:w w:val="97"/>
              </w:rPr>
              <w:t>Overnight &amp;</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3"/>
              </w:rPr>
              <w:t>Greater Than 90</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Continuous</w:t>
            </w:r>
          </w:p>
        </w:tc>
        <w:tc>
          <w:tcPr>
            <w:tcW w:w="5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w w:val="90"/>
              </w:rPr>
              <w:t>Up to 30 days</w:t>
            </w:r>
          </w:p>
        </w:tc>
        <w:tc>
          <w:tcPr>
            <w:tcW w:w="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30-90 days</w:t>
            </w: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days</w:t>
            </w:r>
          </w:p>
        </w:tc>
        <w:tc>
          <w:tcPr>
            <w:tcW w:w="2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39,691</w:t>
            </w:r>
          </w:p>
        </w:tc>
        <w:tc>
          <w:tcPr>
            <w:tcW w:w="80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17,124</w:t>
            </w:r>
          </w:p>
        </w:tc>
        <w:tc>
          <w:tcPr>
            <w:tcW w:w="94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56,815</w:t>
            </w:r>
          </w:p>
        </w:tc>
      </w:tr>
      <w:tr>
        <w:trPr>
          <w:trHeight w:val="223"/>
        </w:trPr>
        <w:tc>
          <w:tcPr>
            <w:tcW w:w="3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61,691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78,815</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Loan growth continued to drive improvement in the net interest income of the Company. It also translated into an improved bottom line even with the increased provision for loan losses expense. All major lines of loan business reported growth. Consumer loans also experienced strong growth through the first half of 2016. Automobile loans lead the improvement as area dealers also reported increased levels of sales. One-to four family residential mortgage loan activity increased as long term interest rates remain at low levels. Regulatory requirements have lengthened the time for a loan to close from when the application is taken.</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agricultural market is facing a tougher environment this season with lower commodity prices and higher input prices. Many farmers are working with decreasing working capital which is both beneficial and slightly worrisome for the Bank. However, it is important to note, that the Bank’s observation is that while working capital is decreasing, most farms are still operating with sufficient working capital. Tighter profit margins are impacting used equipment valuations, purchases and sales. Land prices have decreased slightly with the greater fluctuations in the lower quality land.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OVERVIEW (Continued)</w:t>
      </w:r>
    </w:p>
    <w:p>
      <w:pPr>
        <w:spacing w:after="0" w:line="15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Unemployment rates continue to improve throughout the Company’s market area. Manufacturing activity remains similar to last year. Low gas prices continue to help the local economies. Competition remains challenging in the commercial market, especially for the well performing larger balance customers.</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Loan growth drove the improvement in net interest income as compared to last year and was the driving factor for the increased loan loss provision. Noninterest income also strengthened and net income after taxes ended the first half 2016 10.25% above first half 2015. The 8.9% increase in net interest income after provision for loan losses, and a 5.7% increase in noninterest income, partially offset by a 5.4% increase in noninterest expense, resulted in a 10.3% increase in earnings per share for the 2016 half as compared to 2015’s first half.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Farmers &amp; Merchants Bancorp, Inc. (Company) is a financial holding company incorporated under the laws of Ohio in 1985. Our subsidiaries are, The Farmers &amp; Merchants State Bank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Bank opened an additional office during April of 2016 in Fort Wayne, Indiana. The office is located within the corporation limits of Huntertown, with a Fort Wayne address. The Bank has continued its expansion strategy and the new office is expected to provide new growth opportunities. The doors officially opened on April 7</w:t>
      </w:r>
      <w:r>
        <w:rPr>
          <w:rFonts w:ascii="Arial" w:cs="Arial" w:eastAsia="Arial" w:hAnsi="Arial"/>
          <w:sz w:val="15"/>
          <w:szCs w:val="15"/>
          <w:color w:val="auto"/>
        </w:rPr>
        <w:t>th</w:t>
      </w:r>
      <w:r>
        <w:rPr>
          <w:rFonts w:ascii="Arial" w:cs="Arial" w:eastAsia="Arial" w:hAnsi="Arial"/>
          <w:sz w:val="18"/>
          <w:szCs w:val="18"/>
          <w:color w:val="auto"/>
        </w:rPr>
        <w: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Bank is currently preparing to open its twenty-fourth location in Bowling Green, Ohio. The office is expected to open during the third quarter. It will be the second leased office and is being renovated to meet the Bank’s needs.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are provided at most branch locations along with other independent locations such as major employers and hospitals in the market area. The Bank has custodial services for Individual Retirement Accounts (IRAs) and Health Savings Accounts (HSAs) .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Bank in 2015. Upgrades to our digital products and services continue to occur in both retail and business lines.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NATURE OF ACTIVITIES (Continued)</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principal borrowers are reviewed and an approved exception from an additional officer is required should a credit score not meet the Bank’s Loan Policy guidelines.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Maximum loan to value (LTV) for cars, trucks and light trucks vary from 90% to 110% depending on whether direct or indirect.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Loans above 100% are generally due to additional charges for extended warranties and/or insurance coverage periods for wage or death.</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Bank will only make Qualified Mortgages as defined by the Truth in Lending Act and Regulation Z.</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Commercial/Agriculture/Real Estate:</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Up to 80% LTV.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Livestock and grain up to 80% LTV, crops (insured) up to 75% and Warehouse Receipts up to 87%.</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Maximum LTV of 50% on raw and finished goods.</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New/used vehicles to 100% of wholesale.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New/Used recreational vehicles and manufactured homes to 80% of wholesale.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Heavy trucks, tilted trailers up to NTE 75% LTV and aircraft up to 75% of appraised value.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 To enable the formation of the captive, the Company’s status was changed to a financial holding company from a bank holding company.</w:t>
      </w:r>
    </w:p>
    <w:p>
      <w:pPr>
        <w:sectPr>
          <w:pgSz w:w="11900" w:h="16838" w:orient="portrait"/>
          <w:cols w:equalWidth="0" w:num="1">
            <w:col w:w="11360"/>
          </w:cols>
          <w:pgMar w:left="240" w:top="459" w:right="299" w:bottom="1440" w:gutter="0" w:footer="0" w:header="0"/>
        </w:sectPr>
      </w:pP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60"/>
          </w:cols>
          <w:pgMar w:left="240" w:top="459" w:right="2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NATURE OF ACTIVITIES (Continued)</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Bank’s primary market includes communities located in the Ohio counties of Defiance, Fulton, Henry, Lucas, Williams, Wood and in the Indiana counties of DeKalb and Steuben. In the first half of 2016 the Bank added the Indiana county of Allen to its service area with the opening of its newly constructed office in Fort Wayne. The commercial banking business in this market is highly competitive, with approximately 17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June 30, 2016, we had 269 full time equivalent employees. The employees are not represented by a collective bargaining unit. We provide our employees with a comprehensive benefit program, some of which are contributory. We consider our employee relations to be good.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DEVELOPMENTS</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Bank has been attentive to the significant final mortgage rules, revisions to the rules, and additional guidance issued by the Consumer Financial Protection Bureau (CFPB) to implement the Dodd-Frank Wall Street Reform and Consumer Protection Act provisions. Effective in January 2014, these rules have altered the landscape for the entire mortgage lending industry. The Bank continues to test, train, validate results, and review the applicable requirements of these new mortgage rules to enhance knowledge and understanding. The TILA-RESPA Integrated Disclosure (TRID) rules which were originally to be effective on August 1, 2015 were subsequently postponed until October 3, 2015. Bank staff worked closely with the Mortgage Loan Origination software vendor and diligently strived to achieve TRID compliance as of the October 2015 effective date. The vendor has been attentive to the key regulatory requirements and receptive to its individual clients’ needs. Further changes and enhancements to the loan origination software have served to better accommodate documentation needs and compliance strategies. Bank staff has continued outreach efforts with real estate agents, attorneys, and closing agents to further cultivate collaboration and attain TRID compliance, and thus minimize the impact of these regulatory changes on home loan borrowers. Due to the complexities of the new TRID rules, the lack of clarity or guidance involving various provisions, and the lingering uncertainties regarding liability, remaining attentive to industry questions and concerns to ensure full compliance remains an ongoing priority. The Bank has committed to make good faith efforts in compliance with the technical requirements of the TRID rules. The industry currently awaits an upcoming Proposed Rule announced in April 2016 by the CFPB which is intended to resolve places in the regulation text and commentary where it believes adjustments would be useful for greater certainty and clarity.</w:t>
      </w:r>
    </w:p>
    <w:p>
      <w:pPr>
        <w:spacing w:after="0" w:line="18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 (Continued)</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reals estate acquired through or in lieu of, loan foreclosures (“OREO Property”) as the accounting areas that require the most subjective or complex judgments, and as such could be the most subject to revision as new information becomes available.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carrying amount or fair value less cost to sell.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Foreclosed real estate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 Foreclosed real estate is classified as OREO Property. The net income from operations of foreclosed real estate held for sale is reported in non-interest income or non-interest expense determined by whether in a gain or loss position overall. At June 30, 2016, holdings were $1.3 million and were $1.2 million as of December 31, 2015 and $1.1 million as of June 30, 2015.</w:t>
      </w:r>
    </w:p>
    <w:p>
      <w:pPr>
        <w:spacing w:after="0" w:line="19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required to estimate the value of its Mortgage Servicing Rights. The Company recognizes as separate assets rights to service fixed rate single-family mortgage loans that it has sold without recourse but services for others for a fee. Mortgage servicing assets are initially recorded at cost,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mortgage servicing rights relating to loans serviced for others represent an asset of the company.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The amortization thereof is recorded in non-interest expense. There are a number of factors, however, that can affect the ultimate value of the mortgage servicing rights to the Company, including the estimated prepayment speed of the loan and the discount rate used to present value the servicing right. For example, if the mortgage loan is prepaid, the Company will receive fewer servicing fees,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 (Continued)</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meaning that the present value of the mortgage servicing rights is less than the carrying value of those rights on the Company’s balance sheet. Therefore, in an attempt to reflect an accurate expected value to the Company of the mortgage servicing rights, the Company receives a valuation of its mortgage servicing rights from an independent third party. The independent third party’s valuation of the mortgage servicing rights is based on relevant characteristics of the Company’s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Company’s mortgage servicing rights, management then establishes a valuation allowance by each strata, if necessary, to quantify the likely impairment of the value of the mortgage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 For more information regarding the estimates and calculations used to establish the ALLL and the value of Mortgage Servicing Rights, please see Note 1 to the consolidated financial statements provided herewith.</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ended March 31, 2016 with its total asset balance over a billion dollars. It represented a new record high in the Company’s 119 year history. The Bank did not reach a billion dollars in total assets until the quarter ending, June 30, 2016. The Company plans to continue in its growth mode with the addition of the Bank’s 23</w:t>
      </w:r>
      <w:r>
        <w:rPr>
          <w:rFonts w:ascii="Arial" w:cs="Arial" w:eastAsia="Arial" w:hAnsi="Arial"/>
          <w:sz w:val="15"/>
          <w:szCs w:val="15"/>
          <w:color w:val="auto"/>
        </w:rPr>
        <w:t>rd</w:t>
      </w:r>
      <w:r>
        <w:rPr>
          <w:rFonts w:ascii="Arial" w:cs="Arial" w:eastAsia="Arial" w:hAnsi="Arial"/>
          <w:sz w:val="18"/>
          <w:szCs w:val="18"/>
          <w:color w:val="auto"/>
        </w:rPr>
        <w:t xml:space="preserve"> office which opened April 7, 2016 in Indiana, making it the fourth office in the state. The Bank will also add its 24th office in the third quarter with a leased office in Bowling Green, Ohio.</w:t>
      </w:r>
    </w:p>
    <w:p>
      <w:pPr>
        <w:spacing w:after="0" w:line="187"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Liquidity in terms of cash and cash equivalents ended almost $1.4 million higher as of June 30, 2016 than it was at yearend December 31, 2015. Decreased securities along with increased deposits funded the $45.4 million in increase in net loans for the first half of 2016. Loan growth occurred in commercial real estate, commercial and industrial, agricultural real estate and agricultural, consumer real estate and consumer portfolios. The only portfolio with a decrease was industrial development bonds (“IDB”), which decreased just $539 thousand in aggregate.</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comparing to the same period, prior year, the June 30, 2016 record loan balances of $731.7 million increased 17.9% compared to $620.6 million. The year over year improvement was made up of a 28.0% increase in commercial real estate loans, a 16.6% increase in agricultural real estate loans, a12.2% increase in non-real estate agricultural loans and a 9.5% increase in commercial and industrial loans. Consumer real estate expanded during the second quarter to end with a 2.6% higher balance than the previous June 2015. The only portfolio which experienced a reduction was IDB, which decreased by 20.1%. While this percentage seems high, the decrease amounted to only $1.5 million in aggregate. The Company credits the growth to a strong team of lenders focused on providing customers valuable localized services and thereby increasing our market share.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FINANCIAL CONDITION, LIQUIDITY AND CAPITAL RESOURCES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breakdown of the loan portfolio by category as of June 30 for the last three years, net of deferred fees and costs.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40"/>
              <w:spacing w:after="0" w:line="123" w:lineRule="exact"/>
              <w:rPr>
                <w:sz w:val="20"/>
                <w:szCs w:val="20"/>
                <w:color w:val="auto"/>
              </w:rPr>
            </w:pPr>
            <w:r>
              <w:rPr>
                <w:rFonts w:ascii="Arial" w:cs="Arial" w:eastAsia="Arial" w:hAnsi="Arial"/>
                <w:sz w:val="14"/>
                <w:szCs w:val="14"/>
                <w:color w:val="auto"/>
                <w:w w:val="86"/>
              </w:rPr>
              <w:t>June-16</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560"/>
              <w:spacing w:after="0" w:line="123" w:lineRule="exact"/>
              <w:rPr>
                <w:sz w:val="20"/>
                <w:szCs w:val="20"/>
                <w:color w:val="auto"/>
              </w:rPr>
            </w:pPr>
            <w:r>
              <w:rPr>
                <w:rFonts w:ascii="Arial" w:cs="Arial" w:eastAsia="Arial" w:hAnsi="Arial"/>
                <w:sz w:val="14"/>
                <w:szCs w:val="14"/>
                <w:color w:val="auto"/>
                <w:w w:val="90"/>
              </w:rPr>
              <w:t>June-15</w:t>
            </w:r>
          </w:p>
        </w:tc>
        <w:tc>
          <w:tcPr>
            <w:tcW w:w="100" w:type="dxa"/>
            <w:vAlign w:val="bottom"/>
          </w:tcPr>
          <w:p>
            <w:pPr>
              <w:spacing w:after="0"/>
              <w:rPr>
                <w:sz w:val="10"/>
                <w:szCs w:val="10"/>
                <w:color w:val="auto"/>
              </w:rPr>
            </w:pPr>
          </w:p>
        </w:tc>
        <w:tc>
          <w:tcPr>
            <w:tcW w:w="58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0"/>
              </w:rPr>
              <w:t>June-14</w:t>
            </w:r>
          </w:p>
        </w:tc>
        <w:tc>
          <w:tcPr>
            <w:tcW w:w="100" w:type="dxa"/>
            <w:vAlign w:val="bottom"/>
          </w:tcPr>
          <w:p>
            <w:pPr>
              <w:spacing w:after="0"/>
              <w:rPr>
                <w:sz w:val="10"/>
                <w:szCs w:val="10"/>
                <w:color w:val="auto"/>
              </w:rPr>
            </w:pPr>
          </w:p>
        </w:tc>
      </w:tr>
      <w:tr>
        <w:trPr>
          <w:trHeight w:val="167"/>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Amount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Amount</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88,791</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86,641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61,353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52,614</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47,745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83,433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74,352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63,393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357,243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279,002</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265,902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104,434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95,370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98,292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30,485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22,481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w:t>
            </w: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Total Loans,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731,691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620,591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597,839</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mentioned previously, the security portfolio was utilized to fund loan growth in both 2015 and the first half 2016. The security portfolio decreased $18.1 million in the first half 2016 from yearend 2015 and is lower by $36.5 million from June 30, 2015. The current portfolio is in a net unrealized gain position of $1.6 million. With the exception of stock, which is shown as other securities, all of the Company’s security portfolio is categorized as “available for sale” and as such is recorded at fair value.</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Management feels confident that liquidity needs for future growth can be met through additional run-off and/or sales from the security portfolio, increased deposits and additional borrowings. For short term needs, the Bank has $91.2 million of unsecured borrowing capacity through its correspondent banks.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Overall assets grew 3.3% since yearend 2015 and 8.4% since June 30, 2015. The largest growth was in the loan portfolios.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Deposits accounted for the largest growth within liabilities, up 4.1% or $31.5 million since yearend and 5.4% or $41.2 million over June 30, 2015 balances. Core deposits continue to drive the increase which provide the greatest benefit for both lower cost of funds and the opportunity to generate additional noninterest income. When comparing to a year ago, other borrowed money increased $10 million as the borrowings took place during the fourth quarter of 2015.</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Federal Funds purchased and securities sold under agreements to repurchase increased $18.0 million when comparing June 30, 2016 balances to June 30, 2015. This category decreased by $2.9 million when comparing June 30, 2016 to December 31, 2015. Borrowings from FHLB aided in the first half decrease as these replaced $10 million of Fed Funds purchased.</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Capital increased $4.8 million during the first half of 2016, as earnings exceeded dividend declarations. Accumulated other comprehensive income increased in gain position $1.4 million which encompassed the shift of $456 thousand from unrealized gain to realized gain with the sale of securities since yearend 2015. Dividends paid year-to-date differed by $85.0 thousand from the same period last year.</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beginning of the Basel III capital rule applies in 2016. The Bank and Company include a capital conservation buffer as a part of the transition provision. For calendar year 2016, the applicable required capital conservation buffer percentage of 0.625% is the base above which institutions avoid limitations on distributions and certain discretionary bonus payments. The total buffer requirement will increase to 2.5% for calendar year 2019. As of June 30, 2016, the Company and the Bank are both positioned well above the 2019 requirement.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FINANCIAL CONDITION, LIQUIDITY AND CAPITAL RESOURCES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be well-capitalized in accordance with Federal regulatory capital requirements as the capital ratios below show:</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 Ratio</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960" w:type="dxa"/>
            <w:vAlign w:val="bottom"/>
          </w:tcPr>
          <w:p>
            <w:pPr>
              <w:jc w:val="right"/>
              <w:spacing w:after="0"/>
              <w:rPr>
                <w:sz w:val="20"/>
                <w:szCs w:val="20"/>
                <w:color w:val="auto"/>
              </w:rPr>
            </w:pPr>
            <w:r>
              <w:rPr>
                <w:rFonts w:ascii="Arial" w:cs="Arial" w:eastAsia="Arial" w:hAnsi="Arial"/>
                <w:sz w:val="18"/>
                <w:szCs w:val="18"/>
                <w:color w:val="auto"/>
              </w:rPr>
              <w:t>13.83%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96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Capital Conservation Buffer</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 for three month periods ended June 30, 2016, 2015 and March 31, 2016.</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second quarter 2016 had an increase of $103 million in net average loan growth over the average balances of second quarter 2015. This represents a strong 18% increase in one year. The benefits of these higher loan balances can be seen in interest income from loans, as it was $1.2 million higher for the quarter ended June 30, 2016, over the same time period in 2015. The higher levels of loan interest income helped to offset the available-for-sale securities portfolio, which decreased $103 thousand in 2</w:t>
      </w:r>
      <w:r>
        <w:rPr>
          <w:rFonts w:ascii="Arial" w:cs="Arial" w:eastAsia="Arial" w:hAnsi="Arial"/>
          <w:sz w:val="15"/>
          <w:szCs w:val="15"/>
          <w:color w:val="auto"/>
        </w:rPr>
        <w:t>nd</w:t>
      </w:r>
      <w:r>
        <w:rPr>
          <w:rFonts w:ascii="Arial" w:cs="Arial" w:eastAsia="Arial" w:hAnsi="Arial"/>
          <w:sz w:val="18"/>
          <w:szCs w:val="18"/>
          <w:color w:val="auto"/>
        </w:rPr>
        <w:t xml:space="preserve"> quarter interest income from 2015 to 2016. Overall, interest income was up $1.1 million for the second quarter 2016 versus 2015.</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When comparing second quarter 2016 to first quarter 2016, average loan balances grew $27.8 million over the three month period. Loan interest income was up $356 thousand in the most recent quarter, as a reflection of this increase. Additionally, interest income from available-for-sale securities showed an increase of $26 thousand for the quarter, as the quarterly purchases resulted in higher yields although average balances were $4.2 million lower at June 30.</w:t>
      </w:r>
    </w:p>
    <w:p>
      <w:pPr>
        <w:spacing w:after="0" w:line="14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For the 3 months ended June 30, 2016, annualized interest income and yield on earning assets was up 14 basis points, as compared to June 30, 2015. As demonstrated in the following table, the increased volume of loans helped to offset the lower volume in the available-for-sales security portfolio.</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34% tax rate in the charts to follow.</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Yield/Rate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5"/>
          </w:tcPr>
          <w:p>
            <w:pPr>
              <w:jc w:val="right"/>
              <w:ind w:right="190"/>
              <w:spacing w:after="0" w:line="142" w:lineRule="exact"/>
              <w:rPr>
                <w:sz w:val="20"/>
                <w:szCs w:val="20"/>
                <w:color w:val="auto"/>
              </w:rPr>
            </w:pPr>
            <w:r>
              <w:rPr>
                <w:rFonts w:ascii="Arial" w:cs="Arial" w:eastAsia="Arial" w:hAnsi="Arial"/>
                <w:sz w:val="14"/>
                <w:szCs w:val="14"/>
                <w:color w:val="auto"/>
                <w:w w:val="95"/>
              </w:rPr>
              <w:t>Quarter to Date Ended June 30, 2016</w:t>
            </w:r>
          </w:p>
        </w:tc>
        <w:tc>
          <w:tcPr>
            <w:tcW w:w="6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4"/>
          </w:tcPr>
          <w:p>
            <w:pPr>
              <w:spacing w:after="0" w:line="142" w:lineRule="exact"/>
              <w:rPr>
                <w:sz w:val="20"/>
                <w:szCs w:val="20"/>
                <w:color w:val="auto"/>
              </w:rPr>
            </w:pPr>
            <w:r>
              <w:rPr>
                <w:rFonts w:ascii="Arial" w:cs="Arial" w:eastAsia="Arial" w:hAnsi="Arial"/>
                <w:sz w:val="14"/>
                <w:szCs w:val="14"/>
                <w:color w:val="auto"/>
              </w:rPr>
              <w:t>Average Balance</w:t>
            </w:r>
          </w:p>
        </w:tc>
        <w:tc>
          <w:tcPr>
            <w:tcW w:w="1060" w:type="dxa"/>
            <w:vAlign w:val="bottom"/>
            <w:gridSpan w:val="2"/>
          </w:tcPr>
          <w:p>
            <w:pPr>
              <w:spacing w:after="0" w:line="142" w:lineRule="exact"/>
              <w:rPr>
                <w:sz w:val="20"/>
                <w:szCs w:val="20"/>
                <w:color w:val="auto"/>
              </w:rPr>
            </w:pPr>
            <w:r>
              <w:rPr>
                <w:rFonts w:ascii="Arial" w:cs="Arial" w:eastAsia="Arial" w:hAnsi="Arial"/>
                <w:sz w:val="14"/>
                <w:szCs w:val="14"/>
                <w:color w:val="auto"/>
                <w:w w:val="92"/>
              </w:rPr>
              <w:t>Interest/Dividends</w:t>
            </w:r>
          </w:p>
        </w:tc>
        <w:tc>
          <w:tcPr>
            <w:tcW w:w="660" w:type="dxa"/>
            <w:vAlign w:val="bottom"/>
          </w:tcPr>
          <w:p>
            <w:pPr>
              <w:spacing w:after="0"/>
              <w:rPr>
                <w:sz w:val="12"/>
                <w:szCs w:val="12"/>
                <w:color w:val="auto"/>
              </w:rPr>
            </w:pPr>
          </w:p>
        </w:tc>
        <w:tc>
          <w:tcPr>
            <w:tcW w:w="1580" w:type="dxa"/>
            <w:vAlign w:val="bottom"/>
            <w:gridSpan w:val="2"/>
          </w:tcPr>
          <w:p>
            <w:pPr>
              <w:jc w:val="right"/>
              <w:ind w:right="688"/>
              <w:spacing w:after="0" w:line="142" w:lineRule="exact"/>
              <w:rPr>
                <w:sz w:val="20"/>
                <w:szCs w:val="20"/>
                <w:color w:val="auto"/>
              </w:rPr>
            </w:pPr>
            <w:r>
              <w:rPr>
                <w:rFonts w:ascii="Arial" w:cs="Arial" w:eastAsia="Arial" w:hAnsi="Arial"/>
                <w:sz w:val="14"/>
                <w:szCs w:val="14"/>
                <w:color w:val="auto"/>
                <w:w w:val="90"/>
              </w:rPr>
              <w:t>June 30, 2016</w:t>
            </w:r>
          </w:p>
        </w:tc>
        <w:tc>
          <w:tcPr>
            <w:tcW w:w="820" w:type="dxa"/>
            <w:vAlign w:val="bottom"/>
          </w:tcPr>
          <w:p>
            <w:pPr>
              <w:ind w:left="20"/>
              <w:spacing w:after="0" w:line="142" w:lineRule="exact"/>
              <w:rPr>
                <w:sz w:val="20"/>
                <w:szCs w:val="20"/>
                <w:color w:val="auto"/>
              </w:rPr>
            </w:pPr>
            <w:r>
              <w:rPr>
                <w:rFonts w:ascii="Arial" w:cs="Arial" w:eastAsia="Arial" w:hAnsi="Arial"/>
                <w:sz w:val="14"/>
                <w:szCs w:val="14"/>
                <w:color w:val="auto"/>
                <w:w w:val="87"/>
              </w:rPr>
              <w:t>June 30,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Earning 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Loans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720,408</w:t>
            </w:r>
          </w:p>
        </w:tc>
        <w:tc>
          <w:tcPr>
            <w:tcW w:w="6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8,362</w:t>
            </w:r>
          </w:p>
        </w:tc>
        <w:tc>
          <w:tcPr>
            <w:tcW w:w="660" w:type="dxa"/>
            <w:vAlign w:val="bottom"/>
          </w:tcPr>
          <w:p>
            <w:pPr>
              <w:spacing w:after="0"/>
              <w:rPr>
                <w:sz w:val="18"/>
                <w:szCs w:val="18"/>
                <w:color w:val="auto"/>
              </w:rPr>
            </w:pP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4.65%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170,968</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683</w:t>
            </w:r>
          </w:p>
        </w:tc>
        <w:tc>
          <w:tcPr>
            <w:tcW w:w="15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1.60%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Tax-exempt Investment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57,031</w:t>
            </w:r>
          </w:p>
        </w:tc>
        <w:tc>
          <w:tcPr>
            <w:tcW w:w="4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329</w:t>
            </w: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3.50%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0.57%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Total Interest Earning Assets</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957,555</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9,387</w:t>
            </w:r>
          </w:p>
        </w:tc>
        <w:tc>
          <w:tcPr>
            <w:tcW w:w="660" w:type="dxa"/>
            <w:vAlign w:val="bottom"/>
            <w:vMerge w:val="continue"/>
          </w:tcPr>
          <w:p>
            <w:pPr>
              <w:spacing w:after="0"/>
              <w:rPr>
                <w:sz w:val="19"/>
                <w:szCs w:val="19"/>
                <w:color w:val="auto"/>
              </w:rPr>
            </w:pP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3.99%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 in Quarter to Date June 30, 2016 Interest Income Compared to June 30, 2015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Due to</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Change</w:t>
            </w:r>
          </w:p>
        </w:tc>
        <w:tc>
          <w:tcPr>
            <w:tcW w:w="24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w w:val="96"/>
              </w:rPr>
              <w:t>Volume</w:t>
            </w:r>
          </w:p>
        </w:tc>
        <w:tc>
          <w:tcPr>
            <w:tcW w:w="800" w:type="dxa"/>
            <w:vAlign w:val="bottom"/>
            <w:gridSpan w:val="3"/>
          </w:tcPr>
          <w:p>
            <w:pPr>
              <w:spacing w:after="0"/>
              <w:rPr>
                <w:sz w:val="20"/>
                <w:szCs w:val="20"/>
                <w:color w:val="auto"/>
              </w:rPr>
            </w:pPr>
            <w:r>
              <w:rPr>
                <w:rFonts w:ascii="Arial" w:cs="Arial" w:eastAsia="Arial" w:hAnsi="Arial"/>
                <w:sz w:val="14"/>
                <w:szCs w:val="14"/>
                <w:color w:val="auto"/>
              </w:rPr>
              <w:t>Due to Rate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Earning Assets:</w:t>
            </w:r>
          </w:p>
        </w:tc>
        <w:tc>
          <w:tcPr>
            <w:tcW w:w="2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Loans</w:t>
            </w:r>
          </w:p>
        </w:tc>
        <w:tc>
          <w:tcPr>
            <w:tcW w:w="3540" w:type="dxa"/>
            <w:vAlign w:val="bottom"/>
            <w:gridSpan w:val="3"/>
          </w:tcPr>
          <w:p>
            <w:pPr>
              <w:jc w:val="right"/>
              <w:ind w:right="300"/>
              <w:spacing w:after="0"/>
              <w:rPr>
                <w:sz w:val="20"/>
                <w:szCs w:val="20"/>
                <w:color w:val="auto"/>
              </w:rPr>
            </w:pPr>
            <w:r>
              <w:rPr>
                <w:rFonts w:ascii="Arial" w:cs="Arial" w:eastAsia="Arial" w:hAnsi="Arial"/>
                <w:sz w:val="18"/>
                <w:szCs w:val="18"/>
                <w:color w:val="auto"/>
              </w:rPr>
              <w:t>$1,199</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$1,201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3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Tax-exempt Investment Securities</w:t>
            </w:r>
          </w:p>
        </w:tc>
        <w:tc>
          <w:tcPr>
            <w:tcW w:w="3540" w:type="dxa"/>
            <w:vAlign w:val="bottom"/>
            <w:gridSpan w:val="3"/>
          </w:tcPr>
          <w:p>
            <w:pPr>
              <w:jc w:val="right"/>
              <w:ind w:right="240"/>
              <w:spacing w:after="0"/>
              <w:rPr>
                <w:sz w:val="20"/>
                <w:szCs w:val="20"/>
                <w:color w:val="auto"/>
              </w:rPr>
            </w:pPr>
            <w:r>
              <w:rPr>
                <w:rFonts w:ascii="Arial" w:cs="Arial" w:eastAsia="Arial" w:hAnsi="Arial"/>
                <w:sz w:val="18"/>
                <w:szCs w:val="18"/>
                <w:color w:val="auto"/>
              </w:rPr>
              <w:t>(72)</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3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Interest Earning Assets</w:t>
            </w:r>
          </w:p>
        </w:tc>
        <w:tc>
          <w:tcPr>
            <w:tcW w:w="27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1,039</w:t>
            </w:r>
          </w:p>
        </w:tc>
        <w:tc>
          <w:tcPr>
            <w:tcW w:w="5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740" w:type="dxa"/>
            <w:vAlign w:val="bottom"/>
            <w:vMerge w:val="restart"/>
          </w:tcPr>
          <w:p>
            <w:pPr>
              <w:jc w:val="right"/>
              <w:ind w:right="1730"/>
              <w:spacing w:after="0"/>
              <w:rPr>
                <w:sz w:val="20"/>
                <w:szCs w:val="20"/>
                <w:color w:val="auto"/>
              </w:rPr>
            </w:pPr>
            <w:r>
              <w:rPr>
                <w:rFonts w:ascii="Arial" w:cs="Arial" w:eastAsia="Arial" w:hAnsi="Arial"/>
                <w:sz w:val="18"/>
                <w:szCs w:val="18"/>
                <w:color w:val="auto"/>
              </w:rPr>
              <w:t>42</w:t>
            </w: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Offsetting some of the increases in interest income for the quarter was the increase in cost of funds in 2016. Second quarter 2016 was higher by $176 thousand than second quarter 2015. Since 2015, average interest-bearing deposit balances have increased $54 million and resulted in $77 thousand more in interest expense for the most recent quarter. Additionally, interest expense on Fed Funds Purchased, Securities Sold Under Agreement to Repurchase and FHLB borrowings was up $99 thousand in the second quarter 2016 over the same time frame in 2015.</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comparing second quarter 2016 to first quarter 2016, interest expense increased $51 thousand. Interest expense on deposits increased $31 thousand, as average balances were $22 million higher for the second quarter.</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Yield/Rate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5"/>
          </w:tcPr>
          <w:p>
            <w:pPr>
              <w:jc w:val="right"/>
              <w:ind w:right="190"/>
              <w:spacing w:after="0" w:line="142" w:lineRule="exact"/>
              <w:rPr>
                <w:sz w:val="20"/>
                <w:szCs w:val="20"/>
                <w:color w:val="auto"/>
              </w:rPr>
            </w:pPr>
            <w:r>
              <w:rPr>
                <w:rFonts w:ascii="Arial" w:cs="Arial" w:eastAsia="Arial" w:hAnsi="Arial"/>
                <w:sz w:val="14"/>
                <w:szCs w:val="14"/>
                <w:color w:val="auto"/>
                <w:w w:val="95"/>
              </w:rPr>
              <w:t>Quarter to Date Ended June 30, 2016</w:t>
            </w:r>
          </w:p>
        </w:tc>
        <w:tc>
          <w:tcPr>
            <w:tcW w:w="6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color w:val="auto"/>
                <w:w w:val="93"/>
              </w:rPr>
              <w:t>Average Balance</w:t>
            </w:r>
          </w:p>
        </w:tc>
        <w:tc>
          <w:tcPr>
            <w:tcW w:w="64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2"/>
              </w:rPr>
              <w:t>Interest/Dividends</w:t>
            </w:r>
          </w:p>
        </w:tc>
        <w:tc>
          <w:tcPr>
            <w:tcW w:w="660" w:type="dxa"/>
            <w:vAlign w:val="bottom"/>
          </w:tcPr>
          <w:p>
            <w:pPr>
              <w:spacing w:after="0"/>
              <w:rPr>
                <w:sz w:val="12"/>
                <w:szCs w:val="12"/>
                <w:color w:val="auto"/>
              </w:rPr>
            </w:pPr>
          </w:p>
        </w:tc>
        <w:tc>
          <w:tcPr>
            <w:tcW w:w="1560" w:type="dxa"/>
            <w:vAlign w:val="bottom"/>
            <w:gridSpan w:val="2"/>
          </w:tcPr>
          <w:p>
            <w:pPr>
              <w:jc w:val="right"/>
              <w:ind w:right="688"/>
              <w:spacing w:after="0" w:line="142" w:lineRule="exact"/>
              <w:rPr>
                <w:sz w:val="20"/>
                <w:szCs w:val="20"/>
                <w:color w:val="auto"/>
              </w:rPr>
            </w:pPr>
            <w:r>
              <w:rPr>
                <w:rFonts w:ascii="Arial" w:cs="Arial" w:eastAsia="Arial" w:hAnsi="Arial"/>
                <w:sz w:val="14"/>
                <w:szCs w:val="14"/>
                <w:color w:val="auto"/>
                <w:w w:val="87"/>
              </w:rPr>
              <w:t>June 30, 2016</w:t>
            </w:r>
          </w:p>
        </w:tc>
        <w:tc>
          <w:tcPr>
            <w:tcW w:w="820" w:type="dxa"/>
            <w:vAlign w:val="bottom"/>
          </w:tcPr>
          <w:p>
            <w:pPr>
              <w:ind w:left="20"/>
              <w:spacing w:after="0" w:line="142" w:lineRule="exact"/>
              <w:rPr>
                <w:sz w:val="20"/>
                <w:szCs w:val="20"/>
                <w:color w:val="auto"/>
              </w:rPr>
            </w:pPr>
            <w:r>
              <w:rPr>
                <w:rFonts w:ascii="Arial" w:cs="Arial" w:eastAsia="Arial" w:hAnsi="Arial"/>
                <w:sz w:val="14"/>
                <w:szCs w:val="14"/>
                <w:color w:val="auto"/>
                <w:w w:val="87"/>
              </w:rPr>
              <w:t>June 30,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442,191</w:t>
            </w:r>
          </w:p>
        </w:tc>
        <w:tc>
          <w:tcPr>
            <w:tcW w:w="10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450</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0.41%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Time Deposits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190,499</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435</w:t>
            </w:r>
          </w:p>
        </w:tc>
        <w:tc>
          <w:tcPr>
            <w:tcW w:w="15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0.91%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Borrowed Money</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36</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1.44%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 Funds Purchased &amp; Securities Sold under</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 to Repurch.</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70,234</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0.72%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712,924</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1,047</w:t>
            </w:r>
          </w:p>
        </w:tc>
        <w:tc>
          <w:tcPr>
            <w:tcW w:w="660" w:type="dxa"/>
            <w:vAlign w:val="bottom"/>
            <w:vMerge w:val="continue"/>
          </w:tcPr>
          <w:p>
            <w:pPr>
              <w:spacing w:after="0"/>
              <w:rPr>
                <w:sz w:val="19"/>
                <w:szCs w:val="19"/>
                <w:color w:val="auto"/>
              </w:rPr>
            </w:pP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0.58%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Quarter to Date June 30, 2016 Interest Expense Compared to June 30, 2015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96"/>
              </w:rPr>
              <w:t>Due to</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rPr>
              <w:t>Change</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88"/>
              </w:rPr>
              <w:t>Volume</w:t>
            </w:r>
          </w:p>
        </w:tc>
        <w:tc>
          <w:tcPr>
            <w:tcW w:w="6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w w:val="88"/>
              </w:rPr>
              <w:t>Due to Rate</w:t>
            </w: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Savings Deposits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Time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Borrowed Money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Fed Funds Purchased &amp; Securities Sold under Agreement to Repurch.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Overall, net interest spread and net interest margin figures for the second quarter 2016 are higher than last year. As the chart below illustrates, higher yields on interest and dividend income offset the higher interest expense in the most recent quarter.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the first quarter this year, net interest margin is up two basis points. The interest/dividend yield was up two basis points, and the interest expense cost remained flat.</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6/30/2016</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6/30/2015</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3/31/2016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3.99%</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0.58%</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0.53%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3.41%</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3.56%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3.45%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interest income was up $922 thousand for the second quarter 2016 over the same time frame in 2015 due to the increase in loan interest income and partially offset by higher interest expense, as previously mentioned. There has also been a $332 thousand increase in net interest income over first quarter 2016. As the new loans added in 2016 generate more income, management expects the benefits of the Company’s strategy of repositioning the balance sheet to continue to widen this margin.</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Noninterest income was up $185 thousand for the second quarter 2016 over the same time frame in 2015. The Company has seen an increase in its mortgage production volume, and as such the gain on the sale of these loans was $61 thousand for the second quarter 2016 over the same period in 2015. The Company also took advantage of market fluctuations in its available-for-sale portfolio and sales on securities were $206 thousand higher in the most recent quarter than the same quarter prior year.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Noninterest income for the second quarter 2016 also shows improvement over the first quarter by $214 thousand. Increases in gain on sale of loans of $65 thousand and gain on sale of available-for-sale securities of $230 thousand were partially offset by decreases in customer service fees of $170 thousand.</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provision for loan losses was $156 thousand higher for the second quarter 2016 as compared to the same quarter 2015. Loan growth warranted a higher provision expense be taken in 2016 than in 2015. Management continues to monitor asset quality, making adjustments to the provision as necessary. Loan charge-offs were $355 thousand lower in second quarter 2016 than the same quarter 2015, recoveries decreased $254 thousand. Past due loans decreased $1.3 million from June 30, 2016 to June 30, 2015, the bulk of which came from the commercial real estate portfolio. No new loans were categorized as TDR during the quarter, and no TDR loans defaulted during the quarter.</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Since the first quarter 2016, past due loans have decreased by $675 thousand. Net charge-offs increased $90 thousand, and recoveries increased $7 thousand. Provision expense was increased an additional $62 thousand in the second quarter over first quarter, as loan volumes continued to increase during the second quarter.</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June 30, 2016, 2015, and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Three Months</w:t>
            </w:r>
          </w:p>
        </w:tc>
        <w:tc>
          <w:tcPr>
            <w:tcW w:w="24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Three Months</w:t>
            </w:r>
          </w:p>
        </w:tc>
        <w:tc>
          <w:tcPr>
            <w:tcW w:w="26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2"/>
              </w:rPr>
              <w:t>Three Months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w w:val="94"/>
              </w:rPr>
              <w:t>June-16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w w:val="94"/>
              </w:rPr>
              <w:t>June-15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June-14</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731,691</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620,591</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597,839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4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720,408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616,998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591,732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Losses-Apr 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6,285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5,977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Agriculture Real Estate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720"/>
              <w:spacing w:after="0"/>
              <w:rPr>
                <w:sz w:val="20"/>
                <w:szCs w:val="20"/>
                <w:color w:val="auto"/>
              </w:rPr>
            </w:pPr>
            <w:r>
              <w:rPr>
                <w:rFonts w:ascii="Arial" w:cs="Arial" w:eastAsia="Arial" w:hAnsi="Arial"/>
                <w:sz w:val="18"/>
                <w:szCs w:val="18"/>
                <w:color w:val="auto"/>
              </w:rPr>
              <w:t>Consumer &amp; other loans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Loan Recoveries:</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Agriculture Real Estate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300" w:type="dxa"/>
            <w:vAlign w:val="bottom"/>
          </w:tcPr>
          <w:p>
            <w:pPr>
              <w:ind w:left="720"/>
              <w:spacing w:after="0"/>
              <w:rPr>
                <w:sz w:val="20"/>
                <w:szCs w:val="20"/>
                <w:color w:val="auto"/>
              </w:rPr>
            </w:pPr>
            <w:r>
              <w:rPr>
                <w:rFonts w:ascii="Arial" w:cs="Arial" w:eastAsia="Arial" w:hAnsi="Arial"/>
                <w:sz w:val="18"/>
                <w:szCs w:val="18"/>
                <w:color w:val="auto"/>
              </w:rPr>
              <w:t>Consumer &amp; other loans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720"/>
              <w:spacing w:after="0"/>
              <w:rPr>
                <w:sz w:val="20"/>
                <w:szCs w:val="20"/>
                <w:color w:val="auto"/>
              </w:rPr>
            </w:pPr>
            <w:r>
              <w:rPr>
                <w:rFonts w:ascii="Arial" w:cs="Arial" w:eastAsia="Arial" w:hAnsi="Arial"/>
                <w:sz w:val="18"/>
                <w:szCs w:val="18"/>
                <w:color w:val="auto"/>
              </w:rPr>
              <w:t>Net Charge Offs</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loan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5300" w:type="dxa"/>
            <w:vAlign w:val="bottom"/>
          </w:tcPr>
          <w:p>
            <w:pPr>
              <w:ind w:left="720"/>
              <w:spacing w:after="0"/>
              <w:rPr>
                <w:sz w:val="20"/>
                <w:szCs w:val="20"/>
                <w:color w:val="auto"/>
              </w:rPr>
            </w:pPr>
            <w:r>
              <w:rPr>
                <w:rFonts w:ascii="Arial" w:cs="Arial" w:eastAsia="Arial" w:hAnsi="Arial"/>
                <w:sz w:val="18"/>
                <w:szCs w:val="18"/>
                <w:color w:val="auto"/>
              </w:rPr>
              <w:t>Acquisition provision for loan loss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Jun 30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w w:val="98"/>
              </w:rPr>
              <w:t>Allowance for Unfunded Loan Commitments &amp; Letters of Credit Jun</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Credit Losses - Jun 30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6,712</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6,128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Ratio of the Allowance for Loan Loss to Nonperforming Loans*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Nonperforming loans are defined as all loans on nonaccrual, plus any loans past 90 days not on nonaccrual.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second quarter 2016, noninterest expenses were $276 thousand higher than for the same quarter in 2015. Salaries, wages, and employee benefits increased $154 thousand, with the addition of the Huntertown office and normal merit increases. Data processing charges increased $41 thousand for second quarter 2016 over the second quarter 2015, with the bulk of this being related to the cost of upgrading Bank customer debit cards to incorporate EMV chip card technology, which is more secure than cards having only magnetic strip capabilities.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Since the first quarter 2016, noninterest expenses decreased $329 thousand during the second quarter. Employee benefits decreased $147 thousand for the second quarter, as well as a $50 thousand decrease in data processing.</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Overall, net income in the second quarter of 2016 was up $377 thousand as compared to the same quarter last year and improved upon first quarter 2016 income by $493 thousand. The Company has done an exceptional job of growing loans while keeping past dues low. The Company remains strong, stable, and well capitalized and has the capacity to continue to cover the increased costs of doing business in a tough economy while seeking good loans to improve profitability.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 for year to date ended June 30, 2016 and 2015, and December 31,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Higher loan balances created the improvement in the interest income for the first half 2016 as compared to first half 2015. Interest income rose 11.6% or $1.9 million while loans interest income accounted for a 14.8% or $2.1 million increase. Offsetting the improvement from loans was a decrease in securities income of $197 thousand. The change in the balance sheet mix along with the loan growth caused the asset yield to improve by 13 basis points to 3.98% for the first half 2016 compared to first half 2015’s 3.85%.</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With each quarter of 2016, the loan growth contributes to the continued improvement in asset yield. The growth factor contribution is shown in the charts which follow. Improvement in loan interest income far outweighs the loss for investments decreasing.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average interest earning asset base was $64.2 million higher in first half 2016 than for first half 2015, an increase of approximately 7.3%.</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34% tax rate in the charts to follow.</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Yield/Rate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6"/>
          </w:tcPr>
          <w:p>
            <w:pPr>
              <w:jc w:val="right"/>
              <w:ind w:right="410"/>
              <w:spacing w:after="0" w:line="142" w:lineRule="exact"/>
              <w:rPr>
                <w:sz w:val="20"/>
                <w:szCs w:val="20"/>
                <w:color w:val="auto"/>
              </w:rPr>
            </w:pPr>
            <w:r>
              <w:rPr>
                <w:rFonts w:ascii="Arial" w:cs="Arial" w:eastAsia="Arial" w:hAnsi="Arial"/>
                <w:sz w:val="14"/>
                <w:szCs w:val="14"/>
                <w:color w:val="auto"/>
              </w:rPr>
              <w:t>Year to Date Ended 6/30/2016</w:t>
            </w:r>
          </w:p>
        </w:tc>
        <w:tc>
          <w:tcPr>
            <w:tcW w:w="6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tcPr>
          <w:p>
            <w:pPr>
              <w:spacing w:after="0" w:line="142" w:lineRule="exact"/>
              <w:rPr>
                <w:sz w:val="20"/>
                <w:szCs w:val="20"/>
                <w:color w:val="auto"/>
              </w:rPr>
            </w:pPr>
            <w:r>
              <w:rPr>
                <w:rFonts w:ascii="Arial" w:cs="Arial" w:eastAsia="Arial" w:hAnsi="Arial"/>
                <w:sz w:val="14"/>
                <w:szCs w:val="14"/>
                <w:color w:val="auto"/>
              </w:rPr>
              <w:t>Average Balance</w:t>
            </w:r>
          </w:p>
        </w:tc>
        <w:tc>
          <w:tcPr>
            <w:tcW w:w="3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4"/>
              </w:rPr>
              <w:t>Interest/Dividends</w:t>
            </w:r>
          </w:p>
        </w:tc>
        <w:tc>
          <w:tcPr>
            <w:tcW w:w="660" w:type="dxa"/>
            <w:vAlign w:val="bottom"/>
          </w:tcPr>
          <w:p>
            <w:pPr>
              <w:spacing w:after="0"/>
              <w:rPr>
                <w:sz w:val="12"/>
                <w:szCs w:val="12"/>
                <w:color w:val="auto"/>
              </w:rPr>
            </w:pPr>
          </w:p>
        </w:tc>
        <w:tc>
          <w:tcPr>
            <w:tcW w:w="1580" w:type="dxa"/>
            <w:vAlign w:val="bottom"/>
            <w:gridSpan w:val="2"/>
          </w:tcPr>
          <w:p>
            <w:pPr>
              <w:jc w:val="right"/>
              <w:ind w:right="688"/>
              <w:spacing w:after="0" w:line="142" w:lineRule="exact"/>
              <w:rPr>
                <w:sz w:val="20"/>
                <w:szCs w:val="20"/>
                <w:color w:val="auto"/>
              </w:rPr>
            </w:pPr>
            <w:r>
              <w:rPr>
                <w:rFonts w:ascii="Arial" w:cs="Arial" w:eastAsia="Arial" w:hAnsi="Arial"/>
                <w:sz w:val="14"/>
                <w:szCs w:val="14"/>
                <w:color w:val="auto"/>
                <w:w w:val="90"/>
              </w:rPr>
              <w:t>June 30, 2016</w:t>
            </w:r>
          </w:p>
        </w:tc>
        <w:tc>
          <w:tcPr>
            <w:tcW w:w="820" w:type="dxa"/>
            <w:vAlign w:val="bottom"/>
          </w:tcPr>
          <w:p>
            <w:pPr>
              <w:ind w:left="20"/>
              <w:spacing w:after="0" w:line="142" w:lineRule="exact"/>
              <w:rPr>
                <w:sz w:val="20"/>
                <w:szCs w:val="20"/>
                <w:color w:val="auto"/>
              </w:rPr>
            </w:pPr>
            <w:r>
              <w:rPr>
                <w:rFonts w:ascii="Arial" w:cs="Arial" w:eastAsia="Arial" w:hAnsi="Arial"/>
                <w:sz w:val="14"/>
                <w:szCs w:val="14"/>
                <w:color w:val="auto"/>
                <w:w w:val="87"/>
              </w:rPr>
              <w:t>June 30,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Earning Assets: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Loans</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706,523</w:t>
            </w:r>
          </w:p>
        </w:tc>
        <w:tc>
          <w:tcPr>
            <w:tcW w:w="3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16,368</w:t>
            </w: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4.64%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169,392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1,353</w:t>
            </w:r>
          </w:p>
        </w:tc>
        <w:tc>
          <w:tcPr>
            <w:tcW w:w="15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1.60%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Tax-exempt Investment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56,482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646</w:t>
            </w: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3.47%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0.51%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 Interest Earning Assets</w:t>
            </w: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941,725</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18,391</w:t>
            </w:r>
          </w:p>
        </w:tc>
        <w:tc>
          <w:tcPr>
            <w:tcW w:w="660" w:type="dxa"/>
            <w:vAlign w:val="bottom"/>
            <w:vMerge w:val="continue"/>
          </w:tcPr>
          <w:p>
            <w:pPr>
              <w:spacing w:after="0"/>
              <w:rPr>
                <w:sz w:val="19"/>
                <w:szCs w:val="19"/>
                <w:color w:val="auto"/>
              </w:rPr>
            </w:pPr>
          </w:p>
        </w:tc>
        <w:tc>
          <w:tcPr>
            <w:tcW w:w="1580" w:type="dxa"/>
            <w:vAlign w:val="bottom"/>
            <w:gridSpan w:val="2"/>
          </w:tcPr>
          <w:p>
            <w:pPr>
              <w:jc w:val="right"/>
              <w:ind w:right="548"/>
              <w:spacing w:after="0"/>
              <w:rPr>
                <w:sz w:val="20"/>
                <w:szCs w:val="20"/>
                <w:color w:val="auto"/>
              </w:rPr>
            </w:pPr>
            <w:r>
              <w:rPr>
                <w:rFonts w:ascii="Arial" w:cs="Arial" w:eastAsia="Arial" w:hAnsi="Arial"/>
                <w:sz w:val="18"/>
                <w:szCs w:val="18"/>
                <w:color w:val="auto"/>
              </w:rPr>
              <w:t>3.98%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Change in Year to Date June 30, 2016 Interest Income Compared to June 30, 2015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Due to</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color w:val="auto"/>
                <w:w w:val="89"/>
              </w:rPr>
              <w:t>Change</w:t>
            </w:r>
          </w:p>
        </w:tc>
        <w:tc>
          <w:tcPr>
            <w:tcW w:w="1040" w:type="dxa"/>
            <w:vAlign w:val="bottom"/>
            <w:gridSpan w:val="2"/>
          </w:tcPr>
          <w:p>
            <w:pPr>
              <w:jc w:val="right"/>
              <w:ind w:right="580"/>
              <w:spacing w:after="0"/>
              <w:rPr>
                <w:sz w:val="20"/>
                <w:szCs w:val="20"/>
                <w:color w:val="auto"/>
              </w:rPr>
            </w:pPr>
            <w:r>
              <w:rPr>
                <w:rFonts w:ascii="Arial" w:cs="Arial" w:eastAsia="Arial" w:hAnsi="Arial"/>
                <w:sz w:val="14"/>
                <w:szCs w:val="14"/>
                <w:color w:val="auto"/>
                <w:w w:val="92"/>
              </w:rPr>
              <w:t>Volume</w:t>
            </w:r>
          </w:p>
        </w:tc>
        <w:tc>
          <w:tcPr>
            <w:tcW w:w="800" w:type="dxa"/>
            <w:vAlign w:val="bottom"/>
            <w:gridSpan w:val="3"/>
          </w:tcPr>
          <w:p>
            <w:pPr>
              <w:spacing w:after="0"/>
              <w:rPr>
                <w:sz w:val="20"/>
                <w:szCs w:val="20"/>
                <w:color w:val="auto"/>
              </w:rPr>
            </w:pPr>
            <w:r>
              <w:rPr>
                <w:rFonts w:ascii="Arial" w:cs="Arial" w:eastAsia="Arial" w:hAnsi="Arial"/>
                <w:sz w:val="14"/>
                <w:szCs w:val="14"/>
                <w:color w:val="auto"/>
              </w:rPr>
              <w:t>Due to Rate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Earning Assets:</w:t>
            </w:r>
          </w:p>
        </w:tc>
        <w:tc>
          <w:tcPr>
            <w:tcW w:w="2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Loans</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$ 2,111</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$2,148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37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Tax-exempt Investment Securities</w:t>
            </w:r>
          </w:p>
        </w:tc>
        <w:tc>
          <w:tcPr>
            <w:tcW w:w="3780" w:type="dxa"/>
            <w:vAlign w:val="bottom"/>
            <w:gridSpan w:val="3"/>
          </w:tcPr>
          <w:p>
            <w:pPr>
              <w:jc w:val="right"/>
              <w:ind w:right="480"/>
              <w:spacing w:after="0"/>
              <w:rPr>
                <w:sz w:val="20"/>
                <w:szCs w:val="20"/>
                <w:color w:val="auto"/>
              </w:rPr>
            </w:pPr>
            <w:r>
              <w:rPr>
                <w:rFonts w:ascii="Arial" w:cs="Arial" w:eastAsia="Arial" w:hAnsi="Arial"/>
                <w:sz w:val="18"/>
                <w:szCs w:val="18"/>
                <w:color w:val="auto"/>
              </w:rPr>
              <w:t>(149)</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3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Interest Earning Assets</w:t>
            </w:r>
          </w:p>
        </w:tc>
        <w:tc>
          <w:tcPr>
            <w:tcW w:w="27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1,918</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1,880</w:t>
            </w: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740" w:type="dxa"/>
            <w:vAlign w:val="bottom"/>
            <w:vMerge w:val="restart"/>
          </w:tcPr>
          <w:p>
            <w:pPr>
              <w:jc w:val="right"/>
              <w:ind w:right="1730"/>
              <w:spacing w:after="0"/>
              <w:rPr>
                <w:sz w:val="20"/>
                <w:szCs w:val="20"/>
                <w:color w:val="auto"/>
              </w:rPr>
            </w:pPr>
            <w:r>
              <w:rPr>
                <w:rFonts w:ascii="Arial" w:cs="Arial" w:eastAsia="Arial" w:hAnsi="Arial"/>
                <w:sz w:val="18"/>
                <w:szCs w:val="18"/>
                <w:color w:val="auto"/>
              </w:rPr>
              <w:t>46</w:t>
            </w: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was also higher for first half 2016 compared to first half 2015. At $2.0 million, first half 2016 was up $314 thousand as compared to same time period 2015 or 18.2%</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average balance of interest-bearing liabilities was higher by $43.6 million in 2016 than first half 2015. $10 million of the increase is attributed to the FHLB borrowings. The higher balance coupled with the slight variation of the balance sheet mix, resulted in a 5 basis points increase in the cost of funds at 0.58% for first half 2016 as compared to 2015’s 0.53%. The cost remained steady during second quarter to match first quarter’s 2016 rate.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Federal Funds and prime rate increase of 25 basis points in December 2015 had only a marginal effect on the Bank’s pricing methodologies. Rates, both loan and deposit, remain at low levels.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Yield/Rate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5"/>
          </w:tcPr>
          <w:p>
            <w:pPr>
              <w:jc w:val="right"/>
              <w:ind w:right="290"/>
              <w:spacing w:after="0" w:line="142" w:lineRule="exact"/>
              <w:rPr>
                <w:sz w:val="20"/>
                <w:szCs w:val="20"/>
                <w:color w:val="auto"/>
              </w:rPr>
            </w:pPr>
            <w:r>
              <w:rPr>
                <w:rFonts w:ascii="Arial" w:cs="Arial" w:eastAsia="Arial" w:hAnsi="Arial"/>
                <w:sz w:val="14"/>
                <w:szCs w:val="14"/>
                <w:color w:val="auto"/>
                <w:w w:val="96"/>
              </w:rPr>
              <w:t>Year to Date Ended June 30, 2016</w:t>
            </w:r>
          </w:p>
        </w:tc>
        <w:tc>
          <w:tcPr>
            <w:tcW w:w="6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color w:val="auto"/>
                <w:w w:val="93"/>
              </w:rPr>
              <w:t>Average Balance</w:t>
            </w:r>
          </w:p>
        </w:tc>
        <w:tc>
          <w:tcPr>
            <w:tcW w:w="64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2"/>
              </w:rPr>
              <w:t>Interest/Dividends</w:t>
            </w:r>
          </w:p>
        </w:tc>
        <w:tc>
          <w:tcPr>
            <w:tcW w:w="660" w:type="dxa"/>
            <w:vAlign w:val="bottom"/>
          </w:tcPr>
          <w:p>
            <w:pPr>
              <w:spacing w:after="0"/>
              <w:rPr>
                <w:sz w:val="12"/>
                <w:szCs w:val="12"/>
                <w:color w:val="auto"/>
              </w:rPr>
            </w:pPr>
          </w:p>
        </w:tc>
        <w:tc>
          <w:tcPr>
            <w:tcW w:w="1560" w:type="dxa"/>
            <w:vAlign w:val="bottom"/>
            <w:gridSpan w:val="2"/>
          </w:tcPr>
          <w:p>
            <w:pPr>
              <w:jc w:val="right"/>
              <w:ind w:right="688"/>
              <w:spacing w:after="0" w:line="142" w:lineRule="exact"/>
              <w:rPr>
                <w:sz w:val="20"/>
                <w:szCs w:val="20"/>
                <w:color w:val="auto"/>
              </w:rPr>
            </w:pPr>
            <w:r>
              <w:rPr>
                <w:rFonts w:ascii="Arial" w:cs="Arial" w:eastAsia="Arial" w:hAnsi="Arial"/>
                <w:sz w:val="14"/>
                <w:szCs w:val="14"/>
                <w:color w:val="auto"/>
                <w:w w:val="87"/>
              </w:rPr>
              <w:t>June 30, 2016</w:t>
            </w:r>
          </w:p>
        </w:tc>
        <w:tc>
          <w:tcPr>
            <w:tcW w:w="820" w:type="dxa"/>
            <w:vAlign w:val="bottom"/>
          </w:tcPr>
          <w:p>
            <w:pPr>
              <w:ind w:left="20"/>
              <w:spacing w:after="0" w:line="142" w:lineRule="exact"/>
              <w:rPr>
                <w:sz w:val="20"/>
                <w:szCs w:val="20"/>
                <w:color w:val="auto"/>
              </w:rPr>
            </w:pPr>
            <w:r>
              <w:rPr>
                <w:rFonts w:ascii="Arial" w:cs="Arial" w:eastAsia="Arial" w:hAnsi="Arial"/>
                <w:sz w:val="14"/>
                <w:szCs w:val="14"/>
                <w:color w:val="auto"/>
                <w:w w:val="87"/>
              </w:rPr>
              <w:t>June 30,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Savings Deposits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434,079</w:t>
            </w:r>
          </w:p>
        </w:tc>
        <w:tc>
          <w:tcPr>
            <w:tcW w:w="10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860</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0.40%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Time Deposits</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187,181</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879</w:t>
            </w:r>
          </w:p>
        </w:tc>
        <w:tc>
          <w:tcPr>
            <w:tcW w:w="15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0.94%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Borrowed Money</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73</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1.46%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 Funds Purchased &amp; Securities Sold under</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 to Repurch.</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68,470</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699,730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2,043</w:t>
            </w:r>
          </w:p>
        </w:tc>
        <w:tc>
          <w:tcPr>
            <w:tcW w:w="660" w:type="dxa"/>
            <w:vAlign w:val="bottom"/>
            <w:vMerge w:val="continue"/>
          </w:tcPr>
          <w:p>
            <w:pPr>
              <w:spacing w:after="0"/>
              <w:rPr>
                <w:sz w:val="19"/>
                <w:szCs w:val="19"/>
                <w:color w:val="auto"/>
              </w:rPr>
            </w:pP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0.58%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Change in Year to Date June 30, 2016 Interest Expense Compared to June 30, 2015 (In Thousands)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color w:val="auto"/>
                <w:w w:val="92"/>
              </w:rPr>
              <w:t>Due to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Change</w:t>
            </w:r>
          </w:p>
        </w:tc>
        <w:tc>
          <w:tcPr>
            <w:tcW w:w="280" w:type="dxa"/>
            <w:vAlign w:val="bottom"/>
          </w:tcPr>
          <w:p>
            <w:pPr>
              <w:spacing w:after="0"/>
              <w:rPr>
                <w:sz w:val="14"/>
                <w:szCs w:val="14"/>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color w:val="auto"/>
                <w:w w:val="88"/>
              </w:rPr>
              <w:t>Volume</w:t>
            </w: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Due to Rate</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Savings Deposits</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Time Deposits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Borrowed Money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Fed Funds Purchased &amp; Securities Sold under Agreement to Repurch.</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4700"/>
              <w:spacing w:after="0"/>
              <w:rPr>
                <w:sz w:val="20"/>
                <w:szCs w:val="20"/>
                <w:color w:val="auto"/>
              </w:rPr>
            </w:pPr>
            <w:r>
              <w:rPr>
                <w:rFonts w:ascii="Arial" w:cs="Arial" w:eastAsia="Arial" w:hAnsi="Arial"/>
                <w:sz w:val="18"/>
                <w:szCs w:val="18"/>
                <w:color w:val="auto"/>
              </w:rPr>
              <w:t>47</w:t>
            </w: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Overall, net interest spread and net interest margin figures for the first half 2016 have improved over the last two years. As the chart below illustrates, both higher yields on interest and dividend income, even offset by higher interest expense resulted with total net interest margin up 10 basis points since the first half of 2015 and over first half 2014 by 16 basis points.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6/30/2016</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6/30/2015</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6/30/2014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3.98%</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0.58%</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0.53%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3.40%</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3.55%</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3.45%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interest income was up $1.6 million in the first half 2016 over the same time frame in 2015 due to the increase in loan income even with higher interest expense, as previously mentioned. New loans added in 2015 and 2016 will continue to generate more income; the benefits of the Company’s strategy of repositioning the balance sheet will continue to grow.</w:t>
      </w:r>
    </w:p>
    <w:p>
      <w:pPr>
        <w:spacing w:after="0" w:line="285" w:lineRule="exact"/>
        <w:rPr>
          <w:sz w:val="20"/>
          <w:szCs w:val="20"/>
          <w:color w:val="auto"/>
        </w:rPr>
      </w:pPr>
    </w:p>
    <w:p>
      <w:pPr>
        <w:ind w:right="4960"/>
        <w:spacing w:after="0" w:line="378" w:lineRule="auto"/>
        <w:rPr>
          <w:sz w:val="20"/>
          <w:szCs w:val="20"/>
          <w:color w:val="auto"/>
        </w:rPr>
      </w:pPr>
      <w:r>
        <w:rPr>
          <w:rFonts w:ascii="Arial" w:cs="Arial" w:eastAsia="Arial" w:hAnsi="Arial"/>
          <w:sz w:val="18"/>
          <w:szCs w:val="18"/>
          <w:b w:val="1"/>
          <w:bCs w:val="1"/>
          <w:color w:val="auto"/>
        </w:rPr>
        <w:t xml:space="preserve">Comparison of Noninterest Results of Operation – First Half 2016 to First Half 2015 </w:t>
      </w:r>
      <w:r>
        <w:rPr>
          <w:rFonts w:ascii="Arial" w:cs="Arial" w:eastAsia="Arial" w:hAnsi="Arial"/>
          <w:sz w:val="18"/>
          <w:szCs w:val="18"/>
          <w:color w:val="auto"/>
        </w:rPr>
        <w:t>Provision Expense</w:t>
      </w:r>
    </w:p>
    <w:p>
      <w:pPr>
        <w:ind w:right="80"/>
        <w:spacing w:after="0" w:line="279" w:lineRule="auto"/>
        <w:rPr>
          <w:sz w:val="20"/>
          <w:szCs w:val="20"/>
          <w:color w:val="auto"/>
        </w:rPr>
      </w:pPr>
      <w:r>
        <w:rPr>
          <w:rFonts w:ascii="Arial" w:cs="Arial" w:eastAsia="Arial" w:hAnsi="Arial"/>
          <w:sz w:val="17"/>
          <w:szCs w:val="17"/>
          <w:color w:val="auto"/>
        </w:rPr>
        <w:t>Provision for loan losses was approximately two times higher for first half 2016 as the Bank sought to provide coverage for the much higher total loan balances as compared to first half 2015. The provision of $616 thousand was partially due to net-charge offs of $180 thousand during the half. First half 2015 had higher net charge-offs of $275 thousand and $297 thousand of provision expense. Strong asset quality for both periods is reflected in the low past dues (30 days+ past due/total loans) percentages of 0.19% for June 30, 2016 and 0.43% for June 30, 2015.</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7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Loans classified as nonaccrual were cut in half as of June 30, 2016 at $1.5 million compared to $3.1 million as of June 30, 2015. One new loan was categorized as TDR during the first half 2016.</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and consumer real estate loan portfolio and industrial loans accounted for the largest component of charge-offs and recoveries through first half of 2016. As was mentioned in previous discussion, the commercial real estate portfolio is currently having a major impact on the ALLL due to the loan growth.</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3"/>
              </w:rPr>
              <w:t>(In Thousands)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40" w:type="dxa"/>
            <w:vAlign w:val="bottom"/>
          </w:tcPr>
          <w:p>
            <w:pPr>
              <w:spacing w:after="0"/>
              <w:rPr>
                <w:sz w:val="10"/>
                <w:szCs w:val="10"/>
                <w:color w:val="auto"/>
              </w:rPr>
            </w:pPr>
          </w:p>
        </w:tc>
        <w:tc>
          <w:tcPr>
            <w:tcW w:w="980" w:type="dxa"/>
            <w:vAlign w:val="bottom"/>
            <w:gridSpan w:val="3"/>
          </w:tcPr>
          <w:p>
            <w:pPr>
              <w:spacing w:after="0" w:line="123" w:lineRule="exact"/>
              <w:rPr>
                <w:sz w:val="20"/>
                <w:szCs w:val="20"/>
                <w:color w:val="auto"/>
              </w:rPr>
            </w:pPr>
            <w:r>
              <w:rPr>
                <w:rFonts w:ascii="Arial" w:cs="Arial" w:eastAsia="Arial" w:hAnsi="Arial"/>
                <w:sz w:val="14"/>
                <w:szCs w:val="14"/>
                <w:color w:val="auto"/>
              </w:rPr>
              <w:t>Six Months</w:t>
            </w:r>
          </w:p>
        </w:tc>
        <w:tc>
          <w:tcPr>
            <w:tcW w:w="240" w:type="dxa"/>
            <w:vAlign w:val="bottom"/>
          </w:tcPr>
          <w:p>
            <w:pPr>
              <w:spacing w:after="0"/>
              <w:rPr>
                <w:sz w:val="10"/>
                <w:szCs w:val="10"/>
                <w:color w:val="auto"/>
              </w:rPr>
            </w:pPr>
          </w:p>
        </w:tc>
        <w:tc>
          <w:tcPr>
            <w:tcW w:w="10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Six Months</w:t>
            </w:r>
          </w:p>
        </w:tc>
        <w:tc>
          <w:tcPr>
            <w:tcW w:w="20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Six Months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8"/>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67"/>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June-16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June-15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June-14</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731,691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620,591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597,839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706,523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613,915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580,469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January 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Loan Recoveries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Net Charge Offs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Allowance for Loan &amp; Lease Losses - June 30</w:t>
            </w: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Unfunded Loan Commitments &amp; Letters of Credit - June 30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 Allowance for Credit Losses - June 30</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Ratio of Allowance for Loan Loss to Nonperforming Loans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424.86%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193.53%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429.96%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470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balances for allowance of loan losses by loan type for six months ended June 30, 2016 and June 30, 2015.</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color w:val="auto"/>
                <w:w w:val="90"/>
              </w:rPr>
              <w:t>June-2016</w:t>
            </w:r>
          </w:p>
        </w:tc>
        <w:tc>
          <w:tcPr>
            <w:tcW w:w="58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8"/>
              </w:rPr>
              <w:t>% of Loan</w:t>
            </w: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0"/>
              </w:rPr>
              <w:t>June-2015</w:t>
            </w:r>
          </w:p>
        </w:tc>
        <w:tc>
          <w:tcPr>
            <w:tcW w:w="60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1"/>
              </w:rPr>
              <w:t>% of Loan</w:t>
            </w: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4"/>
                <w:szCs w:val="14"/>
                <w:color w:val="auto"/>
                <w:w w:val="95"/>
              </w:rPr>
              <w:t>Amount</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Category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rPr>
              <w:t>Amount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Category</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End of Period Applicable To:</w:t>
            </w: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Consumer Real Estate</w:t>
            </w:r>
          </w:p>
        </w:tc>
        <w:tc>
          <w:tcPr>
            <w:tcW w:w="1340" w:type="dxa"/>
            <w:vAlign w:val="bottom"/>
            <w:gridSpan w:val="2"/>
          </w:tcPr>
          <w:p>
            <w:pPr>
              <w:ind w:left="12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413</w:t>
            </w:r>
          </w:p>
        </w:tc>
        <w:tc>
          <w:tcPr>
            <w:tcW w:w="620" w:type="dxa"/>
            <w:vAlign w:val="bottom"/>
          </w:tcPr>
          <w:p>
            <w:pPr>
              <w:jc w:val="right"/>
              <w:spacing w:after="0"/>
              <w:rPr>
                <w:sz w:val="20"/>
                <w:szCs w:val="20"/>
                <w:color w:val="auto"/>
              </w:rPr>
            </w:pPr>
            <w:r>
              <w:rPr>
                <w:rFonts w:ascii="Arial" w:cs="Arial" w:eastAsia="Arial" w:hAnsi="Arial"/>
                <w:sz w:val="18"/>
                <w:szCs w:val="18"/>
                <w:color w:val="auto"/>
              </w:rPr>
              <w:t>12.45</w:t>
            </w:r>
          </w:p>
        </w:tc>
        <w:tc>
          <w:tcPr>
            <w:tcW w:w="28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309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Agricultural Real Estate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229</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Agricultural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591</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519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2,286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1,215</w:t>
            </w:r>
          </w:p>
        </w:tc>
        <w:tc>
          <w:tcPr>
            <w:tcW w:w="620" w:type="dxa"/>
            <w:vAlign w:val="bottom"/>
          </w:tcPr>
          <w:p>
            <w:pPr>
              <w:jc w:val="right"/>
              <w:spacing w:after="0"/>
              <w:rPr>
                <w:sz w:val="20"/>
                <w:szCs w:val="20"/>
                <w:color w:val="auto"/>
              </w:rPr>
            </w:pPr>
            <w:r>
              <w:rPr>
                <w:rFonts w:ascii="Arial" w:cs="Arial" w:eastAsia="Arial" w:hAnsi="Arial"/>
                <w:sz w:val="18"/>
                <w:szCs w:val="18"/>
                <w:color w:val="auto"/>
              </w:rPr>
              <w:t>15.46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1,288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365</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Unallocated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963</w:t>
            </w:r>
          </w:p>
        </w:tc>
        <w:tc>
          <w:tcPr>
            <w:tcW w:w="5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1,027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Loan &amp; Lease Losses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Off Balance Sheet Commitments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201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Allowance for Credit Losses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6,712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Noninterest income was up $298 thousand in the first half 2016 over the same time frame in 2015. The bulk of this increase came from an increase in the gain on sale of available securities. The proceeds from these sales were used to partially fund the loan growth of 2016. Realizing a gain on the sales was an added benefit. Gain on sales of loans also increased due to higher activity in mortgage loan generation both in consumer and agricultural. All other categories of noninterest income showed only slight variations when comparing the two halves.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$42.7 million in sales of investment securities were conducted so far in 2016 which captured the benefit of movement in market interest rates. The sales resulted in a gain of $456 thousand. The same time period 2015 had sales of $30.3 million resulting in gains of $246 thousand. The difference between 2016 and 2015 sales was the utilization of the funds. 2016 went to fund loan growth while only a portion did in 2015 with the balances held in cash and reinvested in securities beginning in the second quarter.</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first half of 2016, mortgage servicing rights caused a net $87 thousand in income, in comparison to $5 thousand for the first half of 2015. The higher capitalized additions for 2016 are attributed to a higher loan origination level of 1-4 families in 2016 as compared to 2015. The carrying value is well below the market value of $2.8 million which indicates any large expense to fund the valuation allowance to be unlikely in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4"/>
                <w:szCs w:val="14"/>
                <w:color w:val="auto"/>
              </w:rPr>
              <w:t>(In Thousands)</w:t>
            </w: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Capitalized Additions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Ending Balance, June 30</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Mortgage Servicing Rights, net June 30</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2,143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2,028</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first half 2016, noninterest expenses were $697 thousand higher than in 2015. The effect of an increase of $311 thousand in salaries and wages was lessened by a decrease of $174 thousand in employee benefits. The decrease in employee benefits was derived from lower costs related to medical claims for the half and lower pension costs due to an adjustment in first half 2015 for the accrual.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Data processing fees were $123 thousand higher than last year due to the increased number of customers, accounts and updated services.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largest increase for the 2016 first half was in other general and administrative. This line item on the income statement was up by $322 thousand over 2015. ATM fees were higher by $145.5 thousand so far in 2016 than for 2015. This relates to the increased cost of accelerating the issuance of our debit cards to EMV (chip) cards. The Bank is working to have all chip cards in 2016 which would have otherwise occurred over a three year renewal period. The cost of the chip cards is also higher than the previous magnetic strip cards. Marketing expenses were up $105.9 thousand as advertising for the new office and KASASA Cash Back went full swing in the first half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Overall, net income in the first half of 2016 was up $507 thousand as compared to the same half last year. The Company has done an exceptional job of growing loans while keeping past dues low. The Company remains strong, stable, and well capitalized and has the capacity to continue to cover the increased costs of doing business in a tough economy while seeking good loans to improve profitability. The opening of the new offices may create a slight drag in the short run; however, the Company remains focused on the long term.</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3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 covering a twelve month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color w:val="auto"/>
              </w:rPr>
              <w:t>Net Interest</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 Change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 Change</w:t>
            </w:r>
          </w:p>
        </w:tc>
        <w:tc>
          <w:tcPr>
            <w:tcW w:w="0" w:type="dxa"/>
            <w:vAlign w:val="bottom"/>
          </w:tcPr>
          <w:p>
            <w:pPr>
              <w:spacing w:after="0"/>
              <w:rPr>
                <w:sz w:val="1"/>
                <w:szCs w:val="1"/>
                <w:color w:val="auto"/>
              </w:rPr>
            </w:pPr>
          </w:p>
        </w:tc>
      </w:tr>
      <w:tr>
        <w:trPr>
          <w:trHeight w:val="140"/>
        </w:trPr>
        <w:tc>
          <w:tcPr>
            <w:tcW w:w="6360" w:type="dxa"/>
            <w:vAlign w:val="bottom"/>
            <w:gridSpan w:val="2"/>
            <w:vMerge w:val="continue"/>
          </w:tcPr>
          <w:p>
            <w:pPr>
              <w:spacing w:after="0"/>
              <w:rPr>
                <w:sz w:val="12"/>
                <w:szCs w:val="12"/>
                <w:color w:val="auto"/>
              </w:rPr>
            </w:pPr>
          </w:p>
        </w:tc>
        <w:tc>
          <w:tcPr>
            <w:tcW w:w="1100" w:type="dxa"/>
            <w:vAlign w:val="bottom"/>
            <w:gridSpan w:val="2"/>
          </w:tcPr>
          <w:p>
            <w:pPr>
              <w:jc w:val="center"/>
              <w:ind w:right="480"/>
              <w:spacing w:after="0" w:line="141" w:lineRule="exact"/>
              <w:rPr>
                <w:sz w:val="20"/>
                <w:szCs w:val="20"/>
                <w:color w:val="auto"/>
              </w:rPr>
            </w:pPr>
            <w:r>
              <w:rPr>
                <w:rFonts w:ascii="Arial" w:cs="Arial" w:eastAsia="Arial" w:hAnsi="Arial"/>
                <w:sz w:val="14"/>
                <w:szCs w:val="14"/>
                <w:color w:val="auto"/>
                <w:w w:val="85"/>
              </w:rPr>
              <w:t>to</w:t>
            </w:r>
          </w:p>
        </w:tc>
        <w:tc>
          <w:tcPr>
            <w:tcW w:w="860" w:type="dxa"/>
            <w:vAlign w:val="bottom"/>
            <w:gridSpan w:val="2"/>
          </w:tcPr>
          <w:p>
            <w:pPr>
              <w:jc w:val="center"/>
              <w:ind w:right="300"/>
              <w:spacing w:after="0" w:line="141" w:lineRule="exact"/>
              <w:rPr>
                <w:sz w:val="20"/>
                <w:szCs w:val="20"/>
                <w:color w:val="auto"/>
              </w:rPr>
            </w:pPr>
            <w:r>
              <w:rPr>
                <w:rFonts w:ascii="Arial" w:cs="Arial" w:eastAsia="Arial" w:hAnsi="Arial"/>
                <w:sz w:val="14"/>
                <w:szCs w:val="14"/>
                <w:color w:val="auto"/>
                <w:w w:val="94"/>
              </w:rPr>
              <w:t>Rate</w:t>
            </w:r>
          </w:p>
        </w:tc>
        <w:tc>
          <w:tcPr>
            <w:tcW w:w="1180" w:type="dxa"/>
            <w:vAlign w:val="bottom"/>
            <w:gridSpan w:val="2"/>
          </w:tcPr>
          <w:p>
            <w:pPr>
              <w:jc w:val="right"/>
              <w:ind w:right="700"/>
              <w:spacing w:after="0" w:line="141" w:lineRule="exact"/>
              <w:rPr>
                <w:sz w:val="20"/>
                <w:szCs w:val="20"/>
                <w:color w:val="auto"/>
              </w:rPr>
            </w:pPr>
            <w:r>
              <w:rPr>
                <w:rFonts w:ascii="Arial" w:cs="Arial" w:eastAsia="Arial" w:hAnsi="Arial"/>
                <w:sz w:val="14"/>
                <w:szCs w:val="14"/>
                <w:color w:val="auto"/>
              </w:rPr>
              <w:t>Rate</w:t>
            </w:r>
          </w:p>
        </w:tc>
        <w:tc>
          <w:tcPr>
            <w:tcW w:w="110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Cumulative</w:t>
            </w:r>
          </w:p>
        </w:tc>
        <w:tc>
          <w:tcPr>
            <w:tcW w:w="82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w w:val="85"/>
              </w:rPr>
              <w:t>to</w:t>
            </w:r>
          </w:p>
        </w:tc>
        <w:tc>
          <w:tcPr>
            <w:tcW w:w="0" w:type="dxa"/>
            <w:vAlign w:val="bottom"/>
          </w:tcPr>
          <w:p>
            <w:pPr>
              <w:spacing w:after="0"/>
              <w:rPr>
                <w:sz w:val="1"/>
                <w:szCs w:val="1"/>
                <w:color w:val="auto"/>
              </w:rPr>
            </w:pPr>
          </w:p>
        </w:tc>
      </w:tr>
      <w:tr>
        <w:trPr>
          <w:trHeight w:val="149"/>
        </w:trPr>
        <w:tc>
          <w:tcPr>
            <w:tcW w:w="6360" w:type="dxa"/>
            <w:vAlign w:val="bottom"/>
            <w:gridSpan w:val="2"/>
          </w:tcPr>
          <w:p>
            <w:pPr>
              <w:spacing w:after="0" w:line="129" w:lineRule="exact"/>
              <w:rPr>
                <w:sz w:val="20"/>
                <w:szCs w:val="20"/>
                <w:color w:val="auto"/>
              </w:rPr>
            </w:pPr>
            <w:r>
              <w:rPr>
                <w:rFonts w:ascii="Arial" w:cs="Arial" w:eastAsia="Arial" w:hAnsi="Arial"/>
                <w:sz w:val="14"/>
                <w:szCs w:val="14"/>
                <w:color w:val="auto"/>
              </w:rPr>
              <w:t>Margin (Ratio)</w:t>
            </w:r>
          </w:p>
        </w:tc>
        <w:tc>
          <w:tcPr>
            <w:tcW w:w="1100" w:type="dxa"/>
            <w:vAlign w:val="bottom"/>
            <w:gridSpan w:val="2"/>
          </w:tcPr>
          <w:p>
            <w:pPr>
              <w:jc w:val="center"/>
              <w:ind w:right="460"/>
              <w:spacing w:after="0" w:line="129" w:lineRule="exact"/>
              <w:rPr>
                <w:sz w:val="20"/>
                <w:szCs w:val="20"/>
                <w:color w:val="auto"/>
              </w:rPr>
            </w:pPr>
            <w:r>
              <w:rPr>
                <w:rFonts w:ascii="Arial" w:cs="Arial" w:eastAsia="Arial" w:hAnsi="Arial"/>
                <w:sz w:val="14"/>
                <w:szCs w:val="14"/>
                <w:color w:val="auto"/>
                <w:w w:val="91"/>
              </w:rPr>
              <w:t>Flat Rate</w:t>
            </w:r>
          </w:p>
        </w:tc>
        <w:tc>
          <w:tcPr>
            <w:tcW w:w="8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Direction</w:t>
            </w:r>
          </w:p>
        </w:tc>
        <w:tc>
          <w:tcPr>
            <w:tcW w:w="1180" w:type="dxa"/>
            <w:vAlign w:val="bottom"/>
            <w:gridSpan w:val="2"/>
          </w:tcPr>
          <w:p>
            <w:pPr>
              <w:jc w:val="right"/>
              <w:ind w:right="500"/>
              <w:spacing w:after="0" w:line="129" w:lineRule="exact"/>
              <w:rPr>
                <w:sz w:val="20"/>
                <w:szCs w:val="20"/>
                <w:color w:val="auto"/>
              </w:rPr>
            </w:pPr>
            <w:r>
              <w:rPr>
                <w:rFonts w:ascii="Arial" w:cs="Arial" w:eastAsia="Arial" w:hAnsi="Arial"/>
                <w:sz w:val="14"/>
                <w:szCs w:val="14"/>
                <w:color w:val="auto"/>
                <w:w w:val="88"/>
              </w:rPr>
              <w:t>Changes by</w:t>
            </w:r>
          </w:p>
        </w:tc>
        <w:tc>
          <w:tcPr>
            <w:tcW w:w="1100" w:type="dxa"/>
            <w:vAlign w:val="bottom"/>
            <w:gridSpan w:val="2"/>
          </w:tcPr>
          <w:p>
            <w:pPr>
              <w:jc w:val="right"/>
              <w:ind w:right="380"/>
              <w:spacing w:after="0" w:line="129" w:lineRule="exact"/>
              <w:rPr>
                <w:sz w:val="20"/>
                <w:szCs w:val="20"/>
                <w:color w:val="auto"/>
              </w:rPr>
            </w:pPr>
            <w:r>
              <w:rPr>
                <w:rFonts w:ascii="Arial" w:cs="Arial" w:eastAsia="Arial" w:hAnsi="Arial"/>
                <w:sz w:val="14"/>
                <w:szCs w:val="14"/>
                <w:color w:val="auto"/>
                <w:w w:val="92"/>
              </w:rPr>
              <w:t xml:space="preserve">Total </w:t>
            </w:r>
            <w:r>
              <w:rPr>
                <w:rFonts w:ascii="Arial" w:cs="Arial" w:eastAsia="Arial" w:hAnsi="Arial"/>
                <w:sz w:val="14"/>
                <w:szCs w:val="14"/>
                <w:u w:val="single" w:color="auto"/>
                <w:color w:val="auto"/>
                <w:w w:val="92"/>
              </w:rPr>
              <w:t>($</w:t>
            </w:r>
            <w:r>
              <w:rPr>
                <w:rFonts w:ascii="Arial" w:cs="Arial" w:eastAsia="Arial" w:hAnsi="Arial"/>
                <w:sz w:val="14"/>
                <w:szCs w:val="14"/>
                <w:color w:val="auto"/>
                <w:w w:val="92"/>
              </w:rPr>
              <w:t>000)</w:t>
            </w: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color w:val="auto"/>
                <w:w w:val="91"/>
              </w:rPr>
              <w:t>Flat Rate</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3.09%</w:t>
            </w:r>
          </w:p>
        </w:tc>
        <w:tc>
          <w:tcPr>
            <w:tcW w:w="5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-8.12%</w:t>
            </w: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Rising</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30,396</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3.18%</w:t>
            </w:r>
          </w:p>
        </w:tc>
        <w:tc>
          <w:tcPr>
            <w:tcW w:w="54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-5.50%</w:t>
            </w: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Rising</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30,800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3.28%</w:t>
            </w:r>
          </w:p>
        </w:tc>
        <w:tc>
          <w:tcPr>
            <w:tcW w:w="5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w:t>
            </w:r>
          </w:p>
        </w:tc>
        <w:tc>
          <w:tcPr>
            <w:tcW w:w="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Rising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31,327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3.37%</w:t>
            </w:r>
          </w:p>
        </w:tc>
        <w:tc>
          <w:tcPr>
            <w:tcW w:w="54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Flat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31,746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3.39%</w:t>
            </w:r>
          </w:p>
        </w:tc>
        <w:tc>
          <w:tcPr>
            <w:tcW w:w="5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0.82%</w:t>
            </w:r>
          </w:p>
        </w:tc>
        <w:tc>
          <w:tcPr>
            <w:tcW w:w="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8"/>
              </w:rPr>
              <w:t>Falling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31,759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3.16%</w:t>
            </w:r>
          </w:p>
        </w:tc>
        <w:tc>
          <w:tcPr>
            <w:tcW w:w="54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-6.13%</w:t>
            </w: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Falling</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30,082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2.94%</w:t>
            </w:r>
          </w:p>
        </w:tc>
        <w:tc>
          <w:tcPr>
            <w:tcW w:w="5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-12.84%</w:t>
            </w:r>
          </w:p>
        </w:tc>
        <w:tc>
          <w:tcPr>
            <w:tcW w:w="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8"/>
              </w:rPr>
              <w:t>Falling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28,463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net interest margin represents the forecasted twelve month margin. The Company also reviews shocks with a 4.0% fluctuation with a delayed time frame of 10 months and over a 24 month time frame. It also shows what effect rate changes will have on both the margin and net interest income. The goal of the Company is to lengthen some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 (continued)</w:t>
      </w:r>
    </w:p>
    <w:p>
      <w:pPr>
        <w:spacing w:after="0" w:line="15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liabilities or sources of funds to decrease the exposure to a rising rate environment. The Bank has offered higher rates on certificates of deposits for longer periods since 2011. Of course, customer desires also drive the ability to capture longer term deposits. Currently, the majority of customers look for terms twelve months and under while the Bank would prefer 24 months and longer. Some movement into the longer term time deposits has occurred. Compared to five years ago, what the Bank has experienced over the years is a decrease in the time balances of our deposit portfolio, therefore a loss of term funding</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shock chart currently shows a slight tightening in net interest margin over the next twelve months in an increasing rate environment with an even lower tightening in a falling rate environment at the 200 basis point shock level. Due to the length and existence of such a low rate environment, the model does not predict expansion of net interest income in any falling category except the first one. Cost of funds are below 0.60% so at even the lowest shock of 100 basis points, the Bank cannot take full advantage and reprice funds to match the level of shock. Since the average duration of the majority of the assets is outside the 12 month shock period, the rising rate environment does not show improvement. The majority of the newer loans added to the commercial real estate portfolio begin with an initial fixed rate period of three to five years whose variable adjustment is outside of the current shock time frame. The Bank enhanced its use of the software model during 2012 by including decay rates and key rate ties on certain deposit accounts and continues to review and modify those rates as updated data is compiled. Both enhancements were based on historical performance data of the Bank. Both directional changes are within risk exposure guidelines at the 200 basis point level. The effect of the rate shocks may be mitigated to the extent that not all lines of business are directly tied to an external index and actual balance sheet composition may differ from prediction.</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Overall, what the chart shows is that the Company must concentrate on increasing loan spreads on variable loans and extend the duration on cost of funds where possible. Changes in portfolio and/or balance sheet composition are needed for the margin to improve regardless of any rate shock.</w:t>
      </w:r>
    </w:p>
    <w:p>
      <w:pPr>
        <w:spacing w:after="0" w:line="29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June 30, 2016,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June 30, 2016. There have been no changes in the Company’s internal control over financial reporting that occurred during the quarter ended June 30, 2016 that have materially affected, or are reasonably likely to materially affect, the registrant’s internal control over financial reporting.</w:t>
      </w:r>
    </w:p>
    <w:p>
      <w:pPr>
        <w:spacing w:after="0" w:line="3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7"/>
          <w:szCs w:val="17"/>
          <w:color w:val="auto"/>
        </w:rPr>
        <w:t>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225"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There have been no material changes in the risk factors disclosed by Registrant in its Report on Form 10-K for the fiscal year ended December 31, 2015. 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Treasury stock repurchased the quarter ended June 30, 2016 </w:t>
      </w:r>
      <w:r>
        <w:rPr>
          <w:rFonts w:ascii="Arial" w:cs="Arial" w:eastAsia="Arial" w:hAnsi="Arial"/>
          <w:sz w:val="15"/>
          <w:szCs w:val="15"/>
          <w:color w:val="auto"/>
        </w:rPr>
        <w:t>(1)</w:t>
      </w:r>
      <w:r>
        <w:rPr>
          <w:rFonts w:ascii="Arial" w:cs="Arial" w:eastAsia="Arial" w:hAnsi="Arial"/>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w w:val="95"/>
              </w:rPr>
              <w:t>(c) Total Number of Shares</w:t>
            </w:r>
          </w:p>
        </w:tc>
        <w:tc>
          <w:tcPr>
            <w:tcW w:w="760" w:type="dxa"/>
            <w:vAlign w:val="bottom"/>
          </w:tcPr>
          <w:p>
            <w:pPr>
              <w:spacing w:after="0"/>
              <w:rPr>
                <w:sz w:val="14"/>
                <w:szCs w:val="14"/>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(d) Maximum Number of Shares</w:t>
            </w:r>
          </w:p>
        </w:tc>
        <w:tc>
          <w:tcPr>
            <w:tcW w:w="0" w:type="dxa"/>
            <w:vAlign w:val="bottom"/>
          </w:tcPr>
          <w:p>
            <w:pPr>
              <w:spacing w:after="0"/>
              <w:rPr>
                <w:sz w:val="1"/>
                <w:szCs w:val="1"/>
                <w:color w:val="auto"/>
              </w:rPr>
            </w:pPr>
          </w:p>
        </w:tc>
      </w:tr>
      <w:tr>
        <w:trPr>
          <w:trHeight w:val="162"/>
        </w:trPr>
        <w:tc>
          <w:tcPr>
            <w:tcW w:w="170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660" w:type="dxa"/>
            <w:vAlign w:val="bottom"/>
          </w:tcPr>
          <w:p>
            <w:pPr>
              <w:spacing w:after="0"/>
              <w:rPr>
                <w:sz w:val="14"/>
                <w:szCs w:val="14"/>
                <w:color w:val="auto"/>
              </w:rPr>
            </w:pPr>
          </w:p>
        </w:tc>
        <w:tc>
          <w:tcPr>
            <w:tcW w:w="1180" w:type="dxa"/>
            <w:vAlign w:val="bottom"/>
          </w:tcPr>
          <w:p>
            <w:pPr>
              <w:jc w:val="right"/>
              <w:ind w:right="16"/>
              <w:spacing w:after="0"/>
              <w:rPr>
                <w:sz w:val="20"/>
                <w:szCs w:val="20"/>
                <w:color w:val="auto"/>
              </w:rPr>
            </w:pPr>
            <w:r>
              <w:rPr>
                <w:rFonts w:ascii="Arial" w:cs="Arial" w:eastAsia="Arial" w:hAnsi="Arial"/>
                <w:sz w:val="14"/>
                <w:szCs w:val="14"/>
                <w:color w:val="auto"/>
              </w:rPr>
              <w:t>(a) Total Number</w:t>
            </w:r>
          </w:p>
        </w:tc>
        <w:tc>
          <w:tcPr>
            <w:tcW w:w="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1"/>
              </w:rPr>
              <w:t>(b) Average Price</w:t>
            </w:r>
          </w:p>
        </w:tc>
        <w:tc>
          <w:tcPr>
            <w:tcW w:w="76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w w:val="91"/>
              </w:rPr>
              <w:t>Purchased as Part of Publicly</w:t>
            </w:r>
          </w:p>
        </w:tc>
        <w:tc>
          <w:tcPr>
            <w:tcW w:w="760" w:type="dxa"/>
            <w:vAlign w:val="bottom"/>
          </w:tcPr>
          <w:p>
            <w:pPr>
              <w:spacing w:after="0"/>
              <w:rPr>
                <w:sz w:val="14"/>
                <w:szCs w:val="14"/>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that may yet be purchased under</w:t>
            </w:r>
          </w:p>
        </w:tc>
        <w:tc>
          <w:tcPr>
            <w:tcW w:w="0" w:type="dxa"/>
            <w:vAlign w:val="bottom"/>
          </w:tcPr>
          <w:p>
            <w:pPr>
              <w:spacing w:after="0"/>
              <w:rPr>
                <w:sz w:val="1"/>
                <w:szCs w:val="1"/>
                <w:color w:val="auto"/>
              </w:rPr>
            </w:pPr>
          </w:p>
        </w:tc>
      </w:tr>
      <w:tr>
        <w:trPr>
          <w:trHeight w:val="167"/>
        </w:trPr>
        <w:tc>
          <w:tcPr>
            <w:tcW w:w="170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w w:val="87"/>
              </w:rPr>
              <w:t>of Shares Purchased</w:t>
            </w:r>
          </w:p>
        </w:tc>
        <w:tc>
          <w:tcPr>
            <w:tcW w:w="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8"/>
              </w:rPr>
              <w:t>Paid per Share</w:t>
            </w:r>
          </w:p>
        </w:tc>
        <w:tc>
          <w:tcPr>
            <w:tcW w:w="76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w w:val="91"/>
              </w:rPr>
              <w:t>Announced Plan or Programs</w:t>
            </w:r>
          </w:p>
        </w:tc>
        <w:tc>
          <w:tcPr>
            <w:tcW w:w="760" w:type="dxa"/>
            <w:vAlign w:val="bottom"/>
          </w:tcPr>
          <w:p>
            <w:pPr>
              <w:spacing w:after="0"/>
              <w:rPr>
                <w:sz w:val="14"/>
                <w:szCs w:val="14"/>
                <w:color w:val="auto"/>
              </w:rPr>
            </w:pPr>
          </w:p>
        </w:tc>
        <w:tc>
          <w:tcPr>
            <w:tcW w:w="1980" w:type="dxa"/>
            <w:vAlign w:val="bottom"/>
            <w:gridSpan w:val="2"/>
          </w:tcPr>
          <w:p>
            <w:pPr>
              <w:jc w:val="right"/>
              <w:ind w:right="400"/>
              <w:spacing w:after="0"/>
              <w:rPr>
                <w:sz w:val="20"/>
                <w:szCs w:val="20"/>
                <w:color w:val="auto"/>
              </w:rPr>
            </w:pPr>
            <w:r>
              <w:rPr>
                <w:rFonts w:ascii="Arial" w:cs="Arial" w:eastAsia="Arial" w:hAnsi="Arial"/>
                <w:sz w:val="14"/>
                <w:szCs w:val="14"/>
                <w:color w:val="auto"/>
              </w:rPr>
              <w:t>the Plans or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4/1/2016</w:t>
            </w: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w:t>
            </w:r>
          </w:p>
        </w:tc>
        <w:tc>
          <w:tcPr>
            <w:tcW w:w="6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7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4/30/2016</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700" w:type="dxa"/>
            <w:vAlign w:val="bottom"/>
            <w:gridSpan w:val="3"/>
          </w:tcPr>
          <w:p>
            <w:pPr>
              <w:spacing w:after="0"/>
              <w:rPr>
                <w:sz w:val="20"/>
                <w:szCs w:val="20"/>
                <w:color w:val="auto"/>
              </w:rPr>
            </w:pPr>
            <w:r>
              <w:rPr>
                <w:rFonts w:ascii="Arial" w:cs="Arial" w:eastAsia="Arial" w:hAnsi="Arial"/>
                <w:sz w:val="18"/>
                <w:szCs w:val="18"/>
                <w:color w:val="auto"/>
              </w:rPr>
              <w:t>5/1/2016</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to</w:t>
            </w:r>
          </w:p>
        </w:tc>
        <w:tc>
          <w:tcPr>
            <w:tcW w:w="66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5/31/2016</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6/1/2016</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w:t>
            </w:r>
          </w:p>
        </w:tc>
        <w:tc>
          <w:tcPr>
            <w:tcW w:w="6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7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6/30/2016</w:t>
            </w:r>
          </w:p>
        </w:tc>
        <w:tc>
          <w:tcPr>
            <w:tcW w:w="6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hanging="452"/>
        <w:spacing w:after="0" w:line="34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From time to time, the Company purchases shares in the market pursuant to a stock repurchase program publicly announced on January 15, 2016. On that date, the Board of Directors authorized the repurchase of 200,000 common shares between January 15, 2016 and December 31, 2016.</w:t>
      </w:r>
    </w:p>
    <w:p>
      <w:pPr>
        <w:sectPr>
          <w:pgSz w:w="11900" w:h="16838" w:orient="portrait"/>
          <w:cols w:equalWidth="0" w:num="1">
            <w:col w:w="11220"/>
          </w:cols>
          <w:pgMar w:left="240" w:top="459" w:right="439" w:bottom="1440"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ITEM 3</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DEFAULTS UPON SENIOR SECURITIES</w:t>
      </w:r>
    </w:p>
    <w:p>
      <w:pPr>
        <w:spacing w:after="0" w:line="140" w:lineRule="exact"/>
        <w:rPr>
          <w:sz w:val="20"/>
          <w:szCs w:val="20"/>
          <w:color w:val="auto"/>
        </w:rPr>
      </w:pPr>
    </w:p>
    <w:p>
      <w:pPr>
        <w:sectPr>
          <w:pgSz w:w="11900" w:h="16838" w:orient="portrait"/>
          <w:cols w:equalWidth="0" w:num="2">
            <w:col w:w="580" w:space="460"/>
            <w:col w:w="10180"/>
          </w:cols>
          <w:pgMar w:left="240" w:top="459" w:right="439" w:bottom="1440" w:gutter="0" w:footer="0" w:header="0"/>
          <w:type w:val="continuous"/>
        </w:sectPr>
      </w:pPr>
    </w:p>
    <w:p>
      <w:pPr>
        <w:ind w:left="150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ITEM 4</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MINE SAFETY DISCLOSURES</w:t>
      </w:r>
    </w:p>
    <w:p>
      <w:pPr>
        <w:spacing w:after="0" w:line="129" w:lineRule="exact"/>
        <w:rPr>
          <w:sz w:val="20"/>
          <w:szCs w:val="20"/>
          <w:color w:val="auto"/>
        </w:rPr>
      </w:pPr>
    </w:p>
    <w:p>
      <w:pPr>
        <w:sectPr>
          <w:pgSz w:w="11900" w:h="16838" w:orient="portrait"/>
          <w:cols w:equalWidth="0" w:num="2">
            <w:col w:w="580" w:space="460"/>
            <w:col w:w="10180"/>
          </w:cols>
          <w:pgMar w:left="240" w:top="459" w:right="439"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20"/>
          </w:cols>
          <w:pgMar w:left="240" w:top="459" w:right="439"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ITEM 5</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w:t>
      </w:r>
    </w:p>
    <w:p>
      <w:pPr>
        <w:spacing w:after="0" w:line="142" w:lineRule="exact"/>
        <w:rPr>
          <w:sz w:val="20"/>
          <w:szCs w:val="20"/>
          <w:color w:val="auto"/>
        </w:rPr>
      </w:pPr>
    </w:p>
    <w:p>
      <w:pPr>
        <w:sectPr>
          <w:pgSz w:w="11900" w:h="16838" w:orient="portrait"/>
          <w:cols w:equalWidth="0" w:num="2">
            <w:col w:w="580" w:space="460"/>
            <w:col w:w="10180"/>
          </w:cols>
          <w:pgMar w:left="240" w:top="459" w:right="439" w:bottom="1440" w:gutter="0" w:footer="0" w:header="0"/>
          <w:type w:val="continuous"/>
        </w:sectPr>
      </w:pPr>
    </w:p>
    <w:p>
      <w:pPr>
        <w:spacing w:after="0"/>
        <w:rPr>
          <w:sz w:val="20"/>
          <w:szCs w:val="20"/>
          <w:color w:val="auto"/>
        </w:rPr>
      </w:pPr>
      <w:r>
        <w:rPr>
          <w:rFonts w:ascii="Arial" w:cs="Arial" w:eastAsia="Arial" w:hAnsi="Arial"/>
          <w:sz w:val="17"/>
          <w:szCs w:val="17"/>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EXHIBITS</w:t>
      </w:r>
    </w:p>
    <w:p>
      <w:pPr>
        <w:spacing w:after="0" w:line="200" w:lineRule="exact"/>
        <w:rPr>
          <w:sz w:val="20"/>
          <w:szCs w:val="20"/>
          <w:color w:val="auto"/>
        </w:rPr>
      </w:pPr>
    </w:p>
    <w:p>
      <w:pPr>
        <w:sectPr>
          <w:pgSz w:w="11900" w:h="16838" w:orient="portrait"/>
          <w:cols w:equalWidth="0" w:num="2">
            <w:col w:w="580" w:space="460"/>
            <w:col w:w="10180"/>
          </w:cols>
          <w:pgMar w:left="240" w:top="459" w:right="439" w:bottom="1440" w:gutter="0" w:footer="0" w:header="0"/>
          <w:type w:val="continuous"/>
        </w:sectPr>
      </w:pPr>
    </w:p>
    <w:p>
      <w:pPr>
        <w:spacing w:after="0" w:line="6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8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9320" w:type="dxa"/>
            <w:vAlign w:val="bottom"/>
          </w:tcPr>
          <w:p>
            <w:pPr>
              <w:ind w:left="200"/>
              <w:spacing w:after="0"/>
              <w:rPr>
                <w:sz w:val="20"/>
                <w:szCs w:val="20"/>
                <w:color w:val="auto"/>
              </w:rPr>
            </w:pPr>
            <w:r>
              <w:rPr>
                <w:rFonts w:ascii="Arial" w:cs="Arial" w:eastAsia="Arial" w:hAnsi="Arial"/>
                <w:sz w:val="18"/>
                <w:szCs w:val="18"/>
                <w:color w:val="auto"/>
              </w:rPr>
              <w:t>Amended Articles of Incorporation of the Registrant</w:t>
            </w:r>
          </w:p>
        </w:tc>
      </w:tr>
      <w:tr>
        <w:trPr>
          <w:trHeight w:val="310"/>
        </w:trPr>
        <w:tc>
          <w:tcPr>
            <w:tcW w:w="88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9320" w:type="dxa"/>
            <w:vAlign w:val="bottom"/>
          </w:tcPr>
          <w:p>
            <w:pPr>
              <w:ind w:left="200"/>
              <w:spacing w:after="0"/>
              <w:rPr>
                <w:sz w:val="20"/>
                <w:szCs w:val="20"/>
                <w:color w:val="auto"/>
              </w:rPr>
            </w:pPr>
            <w:r>
              <w:rPr>
                <w:rFonts w:ascii="Arial" w:cs="Arial" w:eastAsia="Arial" w:hAnsi="Arial"/>
                <w:sz w:val="18"/>
                <w:szCs w:val="18"/>
                <w:color w:val="auto"/>
                <w:w w:val="91"/>
              </w:rPr>
              <w:t>Code of Regulations of the Registrant (incorporated by reference to Registrant’s Quarterly Report on Form 10-Q filed with the</w:t>
            </w:r>
          </w:p>
        </w:tc>
      </w:tr>
      <w:tr>
        <w:trPr>
          <w:trHeight w:val="230"/>
        </w:trPr>
        <w:tc>
          <w:tcPr>
            <w:tcW w:w="88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Commission on May 10, 2004)</w:t>
            </w:r>
          </w:p>
        </w:tc>
      </w:tr>
      <w:tr>
        <w:trPr>
          <w:trHeight w:val="324"/>
        </w:trPr>
        <w:tc>
          <w:tcPr>
            <w:tcW w:w="880" w:type="dxa"/>
            <w:vAlign w:val="bottom"/>
          </w:tcPr>
          <w:p>
            <w:pPr>
              <w:jc w:val="right"/>
              <w:ind w:right="370"/>
              <w:spacing w:after="0"/>
              <w:rPr>
                <w:sz w:val="20"/>
                <w:szCs w:val="20"/>
                <w:color w:val="auto"/>
              </w:rPr>
            </w:pPr>
            <w:r>
              <w:rPr>
                <w:rFonts w:ascii="Arial" w:cs="Arial" w:eastAsia="Arial" w:hAnsi="Arial"/>
                <w:sz w:val="18"/>
                <w:szCs w:val="18"/>
                <w:color w:val="auto"/>
              </w:rPr>
              <w:t>31.1</w:t>
            </w:r>
          </w:p>
        </w:tc>
        <w:tc>
          <w:tcPr>
            <w:tcW w:w="9320" w:type="dxa"/>
            <w:vAlign w:val="bottom"/>
          </w:tcPr>
          <w:p>
            <w:pPr>
              <w:ind w:left="200"/>
              <w:spacing w:after="0"/>
              <w:rPr>
                <w:sz w:val="20"/>
                <w:szCs w:val="20"/>
                <w:color w:val="auto"/>
              </w:rPr>
            </w:pPr>
            <w:r>
              <w:rPr>
                <w:rFonts w:ascii="Arial" w:cs="Arial" w:eastAsia="Arial" w:hAnsi="Arial"/>
                <w:sz w:val="18"/>
                <w:szCs w:val="18"/>
                <w:color w:val="auto"/>
              </w:rPr>
              <w:t>Rule 13-a-14(a) Certification -CEO</w:t>
            </w:r>
          </w:p>
        </w:tc>
      </w:tr>
      <w:tr>
        <w:trPr>
          <w:trHeight w:val="324"/>
        </w:trPr>
        <w:tc>
          <w:tcPr>
            <w:tcW w:w="88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9320" w:type="dxa"/>
            <w:vAlign w:val="bottom"/>
          </w:tcPr>
          <w:p>
            <w:pPr>
              <w:ind w:left="200"/>
              <w:spacing w:after="0"/>
              <w:rPr>
                <w:sz w:val="20"/>
                <w:szCs w:val="20"/>
                <w:color w:val="auto"/>
              </w:rPr>
            </w:pPr>
            <w:r>
              <w:rPr>
                <w:rFonts w:ascii="Arial" w:cs="Arial" w:eastAsia="Arial" w:hAnsi="Arial"/>
                <w:sz w:val="18"/>
                <w:szCs w:val="18"/>
                <w:color w:val="auto"/>
              </w:rPr>
              <w:t>Rule 13-a-14(a) Certification -CFO</w:t>
            </w:r>
          </w:p>
        </w:tc>
      </w:tr>
      <w:tr>
        <w:trPr>
          <w:trHeight w:val="324"/>
        </w:trPr>
        <w:tc>
          <w:tcPr>
            <w:tcW w:w="880" w:type="dxa"/>
            <w:vAlign w:val="bottom"/>
          </w:tcPr>
          <w:p>
            <w:pPr>
              <w:jc w:val="right"/>
              <w:ind w:right="370"/>
              <w:spacing w:after="0"/>
              <w:rPr>
                <w:sz w:val="20"/>
                <w:szCs w:val="20"/>
                <w:color w:val="auto"/>
              </w:rPr>
            </w:pPr>
            <w:r>
              <w:rPr>
                <w:rFonts w:ascii="Arial" w:cs="Arial" w:eastAsia="Arial" w:hAnsi="Arial"/>
                <w:sz w:val="18"/>
                <w:szCs w:val="18"/>
                <w:color w:val="auto"/>
              </w:rPr>
              <w:t>32.1</w:t>
            </w:r>
          </w:p>
        </w:tc>
        <w:tc>
          <w:tcPr>
            <w:tcW w:w="9320" w:type="dxa"/>
            <w:vAlign w:val="bottom"/>
          </w:tcPr>
          <w:p>
            <w:pPr>
              <w:ind w:left="200"/>
              <w:spacing w:after="0"/>
              <w:rPr>
                <w:sz w:val="20"/>
                <w:szCs w:val="20"/>
                <w:color w:val="auto"/>
              </w:rPr>
            </w:pPr>
            <w:r>
              <w:rPr>
                <w:rFonts w:ascii="Arial" w:cs="Arial" w:eastAsia="Arial" w:hAnsi="Arial"/>
                <w:sz w:val="18"/>
                <w:szCs w:val="18"/>
                <w:color w:val="auto"/>
              </w:rPr>
              <w:t>Section 1350 Certification - CEO</w:t>
            </w:r>
          </w:p>
        </w:tc>
      </w:tr>
      <w:tr>
        <w:trPr>
          <w:trHeight w:val="324"/>
        </w:trPr>
        <w:tc>
          <w:tcPr>
            <w:tcW w:w="880" w:type="dxa"/>
            <w:vAlign w:val="bottom"/>
          </w:tcPr>
          <w:p>
            <w:pPr>
              <w:jc w:val="right"/>
              <w:ind w:right="370"/>
              <w:spacing w:after="0"/>
              <w:rPr>
                <w:sz w:val="20"/>
                <w:szCs w:val="20"/>
                <w:color w:val="auto"/>
              </w:rPr>
            </w:pPr>
            <w:r>
              <w:rPr>
                <w:rFonts w:ascii="Arial" w:cs="Arial" w:eastAsia="Arial" w:hAnsi="Arial"/>
                <w:sz w:val="18"/>
                <w:szCs w:val="18"/>
                <w:color w:val="auto"/>
              </w:rPr>
              <w:t>32.2</w:t>
            </w:r>
          </w:p>
        </w:tc>
        <w:tc>
          <w:tcPr>
            <w:tcW w:w="9320" w:type="dxa"/>
            <w:vAlign w:val="bottom"/>
          </w:tcPr>
          <w:p>
            <w:pPr>
              <w:ind w:left="200"/>
              <w:spacing w:after="0"/>
              <w:rPr>
                <w:sz w:val="20"/>
                <w:szCs w:val="20"/>
                <w:color w:val="auto"/>
              </w:rPr>
            </w:pPr>
            <w:r>
              <w:rPr>
                <w:rFonts w:ascii="Arial" w:cs="Arial" w:eastAsia="Arial" w:hAnsi="Arial"/>
                <w:sz w:val="18"/>
                <w:szCs w:val="18"/>
                <w:color w:val="auto"/>
              </w:rPr>
              <w:t>Section 1350 Certification - CFO</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9320" w:type="dxa"/>
            <w:vAlign w:val="bottom"/>
          </w:tcPr>
          <w:p>
            <w:pPr>
              <w:ind w:left="200"/>
              <w:spacing w:after="0"/>
              <w:rPr>
                <w:sz w:val="20"/>
                <w:szCs w:val="20"/>
                <w:color w:val="auto"/>
              </w:rPr>
            </w:pPr>
            <w:r>
              <w:rPr>
                <w:rFonts w:ascii="Arial" w:cs="Arial" w:eastAsia="Arial" w:hAnsi="Arial"/>
                <w:sz w:val="18"/>
                <w:szCs w:val="18"/>
                <w:color w:val="auto"/>
              </w:rPr>
              <w:t>XBRL Instance Document (1)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932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 (1)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932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932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Document (1)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932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 (1)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932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365"/>
        </w:trPr>
        <w:tc>
          <w:tcPr>
            <w:tcW w:w="880" w:type="dxa"/>
            <w:vAlign w:val="bottom"/>
          </w:tcPr>
          <w:p>
            <w:pPr>
              <w:spacing w:after="0"/>
              <w:rPr>
                <w:sz w:val="24"/>
                <w:szCs w:val="24"/>
                <w:color w:val="auto"/>
              </w:rPr>
            </w:pPr>
          </w:p>
        </w:tc>
        <w:tc>
          <w:tcPr>
            <w:tcW w:w="9320" w:type="dxa"/>
            <w:vAlign w:val="bottom"/>
          </w:tcPr>
          <w:p>
            <w:pPr>
              <w:ind w:left="428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20"/>
          </w:cols>
          <w:pgMar w:left="24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Farmers &amp; Merchants Bancorp,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27, 2016</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By:  /s/ Paul S. Siebenmorgen</w:t>
            </w:r>
          </w:p>
        </w:tc>
      </w:tr>
      <w:tr>
        <w:trPr>
          <w:trHeight w:val="209"/>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S. Siebenmorgen</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27, 2016</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By:  /s/ Barbara J. Britenriker</w:t>
            </w:r>
          </w:p>
        </w:tc>
      </w:tr>
      <w:tr>
        <w:trPr>
          <w:trHeight w:val="209"/>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 Vice-President and CFO</w:t>
            </w:r>
          </w:p>
        </w:tc>
      </w:tr>
      <w:tr>
        <w:trPr>
          <w:trHeight w:val="365"/>
        </w:trPr>
        <w:tc>
          <w:tcPr>
            <w:tcW w:w="3520" w:type="dxa"/>
            <w:vAlign w:val="bottom"/>
          </w:tcPr>
          <w:p>
            <w:pPr>
              <w:spacing w:after="0"/>
              <w:rPr>
                <w:sz w:val="24"/>
                <w:szCs w:val="24"/>
                <w:color w:val="auto"/>
              </w:rPr>
            </w:pP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56</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Exhibit 3.1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ARTICLES OF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FARMERS &amp; MERCHANTS BANCORP,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FOURTH Amended Effective May 9,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desiring to form a corporation for profit, under the General Corporation Law of Ohio, does hereby certify: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this Corporation shall be FARMERS &amp; MERCHANTS BANCORP,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place in Ohio where its principal office is to be located is Archbold, Fulton County, Ohio.</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for which the Corporation is formed is to engage in any lawful act or activity for which corporations may be formed under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1701.01 to 1701.98, inclusive, of the Ohio Revised Code.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FOURTH</w:t>
      </w:r>
      <w:r>
        <w:rPr>
          <w:rFonts w:ascii="Arial" w:cs="Arial" w:eastAsia="Arial" w:hAnsi="Arial"/>
          <w:sz w:val="17"/>
          <w:szCs w:val="17"/>
          <w:color w:val="auto"/>
        </w:rPr>
        <w:t>: The number of shares which the Corporation is authorized to have outstanding is 10,000,000 shares all of which shall be common shares,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par value (the “Shares.”). The holders of the Shares are entitled at all times, except in the election of directors where the Shares may be voted cumulatively, to one (1) vote for each Share and to such dividends as the Board of Directors (herein called the “Board”) may in its discretion periodically declare. In the event of any liquidation, dissolution or winding up of the Corporation, the remaining assets of the Corporation after the payment of all debts and necessary expenses shall be distributed among the holders of the Shares pro rata in accordance with their respective Share holdings.</w:t>
      </w:r>
    </w:p>
    <w:p>
      <w:pPr>
        <w:spacing w:after="0" w:line="16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The number of Directors of the Corporation shall be fixed from time to time by its Code of Regulations and may be increased or decreased as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but the number thereof shall in no event be less than nine.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w:t>
      </w:r>
    </w:p>
    <w:p>
      <w:pPr>
        <w:spacing w:after="0" w:line="229" w:lineRule="exact"/>
        <w:rPr>
          <w:sz w:val="20"/>
          <w:szCs w:val="20"/>
          <w:color w:val="auto"/>
        </w:rPr>
      </w:pPr>
    </w:p>
    <w:p>
      <w:pPr>
        <w:ind w:left="760" w:hanging="29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otherwise provided in Clause (B) of this Article SIXTH:</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merger or consolidation of the Corporation with or into any other corporation;</w:t>
      </w:r>
    </w:p>
    <w:p>
      <w:pPr>
        <w:spacing w:after="0" w:line="225" w:lineRule="exact"/>
        <w:rPr>
          <w:rFonts w:ascii="Arial" w:cs="Arial" w:eastAsia="Arial" w:hAnsi="Arial"/>
          <w:sz w:val="18"/>
          <w:szCs w:val="18"/>
          <w:color w:val="auto"/>
        </w:rPr>
      </w:pPr>
    </w:p>
    <w:p>
      <w:pPr>
        <w:ind w:right="240" w:firstLine="921"/>
        <w:spacing w:after="0" w:line="277" w:lineRule="auto"/>
        <w:tabs>
          <w:tab w:leader="none" w:pos="11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sale, lease, exchange or other disposition of all or any substantial part of the assets of the Corporation to or with any other corporation, person or other entity;</w:t>
      </w:r>
    </w:p>
    <w:p>
      <w:pPr>
        <w:spacing w:after="0" w:line="170" w:lineRule="exact"/>
        <w:rPr>
          <w:rFonts w:ascii="Arial" w:cs="Arial" w:eastAsia="Arial" w:hAnsi="Arial"/>
          <w:sz w:val="18"/>
          <w:szCs w:val="18"/>
          <w:color w:val="auto"/>
        </w:rPr>
      </w:pPr>
    </w:p>
    <w:p>
      <w:pPr>
        <w:ind w:right="240" w:firstLine="921"/>
        <w:spacing w:after="0" w:line="264" w:lineRule="auto"/>
        <w:tabs>
          <w:tab w:leader="none" w:pos="122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issuance or transfer of any securities of the Corporation to any other corporation, person or other entity in exchange for assets or securities or a combination thereof (except assets or securities or a combination thereof so acquired in a single transaction or a series of related transactions having an aggregate fair market value of less than $250,000); or</w:t>
      </w:r>
    </w:p>
    <w:p>
      <w:pPr>
        <w:spacing w:after="0" w:line="181" w:lineRule="exact"/>
        <w:rPr>
          <w:rFonts w:ascii="Arial" w:cs="Arial" w:eastAsia="Arial" w:hAnsi="Arial"/>
          <w:sz w:val="18"/>
          <w:szCs w:val="18"/>
          <w:color w:val="auto"/>
        </w:rPr>
      </w:pPr>
    </w:p>
    <w:p>
      <w:pPr>
        <w:ind w:left="1220" w:hanging="299"/>
        <w:spacing w:after="0"/>
        <w:tabs>
          <w:tab w:leader="none" w:pos="1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issuance or transfer of any securities of the Corporation to any other corporation, person or other entity for cash;</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shall require the affirmative vote of the holders of at least a majority of the outstanding shares of capital stock of the Corporation which are not beneficially owned by such other corporation, person or other entity as of the record date for the determination of shareholders entitled to notice thereof and to vote thereon, such other corporation, person or entity is the beneficial owner, directly or indirectly, of 10% or more of the outstanding shares of capital stock of the Corporation entitled to vote generally in the election of Directors, considered for the purposes of this Article SIXTH as one class. Such affirmative vote shall be required notwithstanding the fact that no vote may be required, or that some lesser percentage may be specified, by law or in any agreement with any national securities exchange.</w:t>
      </w:r>
    </w:p>
    <w:p>
      <w:pPr>
        <w:spacing w:after="0" w:line="193" w:lineRule="exact"/>
        <w:rPr>
          <w:sz w:val="20"/>
          <w:szCs w:val="20"/>
          <w:color w:val="auto"/>
        </w:rPr>
      </w:pPr>
    </w:p>
    <w:p>
      <w:pPr>
        <w:ind w:right="240" w:firstLine="464"/>
        <w:spacing w:after="0" w:line="288" w:lineRule="auto"/>
        <w:tabs>
          <w:tab w:leader="none" w:pos="741"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provisions of this Article SIXTH shall not apply to any transaction described in clauses (i), (ii), (iii) or (iv) of Clause (A) of this Article SIXTH, (i) with another corporation if a majority, by vote, of the outstanding shares of all classes of capital stock of such other corporation entitled to vote generally in the election of Directors, considered for this purpose as one class, is owned of record or beneficially by the Corporation and/or its subsidiaries;</w:t>
      </w:r>
    </w:p>
    <w:p>
      <w:pPr>
        <w:ind w:right="20" w:firstLine="8"/>
        <w:spacing w:after="0" w:line="255"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another corporation, person or other entity if the Board of Directors of the Corporation shall by resolution have approved a memorandum of understanding with such other corporation, person or other entity with respect to and substantially consistent with such transaction prior to the time such other corporation, person or other</w:t>
      </w:r>
    </w:p>
    <w:p>
      <w:pPr>
        <w:sectPr>
          <w:pgSz w:w="11900" w:h="16838" w:orient="portrait"/>
          <w:cols w:equalWidth="0" w:num="1">
            <w:col w:w="11420"/>
          </w:cols>
          <w:pgMar w:left="240" w:top="125" w:right="239" w:bottom="1440" w:gutter="0" w:footer="0" w:header="0"/>
        </w:sectPr>
      </w:pPr>
    </w:p>
    <w:bookmarkStart w:id="58" w:name="page59"/>
    <w:bookmarkEnd w:id="58"/>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entity became the beneficial owner, directly or indirectly, of 10% or more of the outstanding shares of capital stock of the Corporation entitled to vote generally in the election of Directors; or (iii) approved by resolution adopted by the affirmative vote of at least three-fourths of the members of the whole Board of Directors of the Corporation at any time prior to the consummation thereof.</w:t>
      </w:r>
    </w:p>
    <w:p>
      <w:pPr>
        <w:spacing w:after="0" w:line="181" w:lineRule="exact"/>
        <w:rPr>
          <w:sz w:val="20"/>
          <w:szCs w:val="20"/>
          <w:color w:val="auto"/>
        </w:rPr>
      </w:pPr>
    </w:p>
    <w:p>
      <w:pPr>
        <w:ind w:right="140" w:firstLine="464"/>
        <w:spacing w:after="0" w:line="284" w:lineRule="auto"/>
        <w:tabs>
          <w:tab w:leader="none" w:pos="741" w:val="left"/>
        </w:tabs>
        <w:numPr>
          <w:ilvl w:val="1"/>
          <w:numId w:val="20"/>
        </w:numPr>
        <w:rPr>
          <w:rFonts w:ascii="Arial" w:cs="Arial" w:eastAsia="Arial" w:hAnsi="Arial"/>
          <w:sz w:val="16"/>
          <w:szCs w:val="16"/>
          <w:color w:val="auto"/>
        </w:rPr>
      </w:pPr>
      <w:r>
        <w:rPr>
          <w:rFonts w:ascii="Arial" w:cs="Arial" w:eastAsia="Arial" w:hAnsi="Arial"/>
          <w:sz w:val="16"/>
          <w:szCs w:val="16"/>
          <w:color w:val="auto"/>
        </w:rPr>
        <w:t>For the purposes of this Article SIXTH, a corporation, person or other entity shall be deemed to be the beneficial owner of any shares of capital stock of the corporation (i) which it has the right to acquire pursuant to any agreement, or upon exercise of conversion rights, warrants or options, or otherwise; or (ii) which are beneficially owned, directly or indirectly (including shares deemed owned through application or clause (i) above), by any other corporation, person or other entity with which it or its “affiliate” or “associate” (as defined below) has any agreement, arrangement or understanding for the purpose of acquiring, holding, voting or disposing of capital stock of the Corporation or which is its “affiliate” or “associate” as those terms were defined in Rule 12b-2 of the general rules and regulations under the Securities Exchange Act of 1934 as in effect on December 1, 1984. For the purposes of this Article SIXTH, the outstanding shares of any class of capital stock of the Corporation shall include shares deemed owned through the application of clauses (i) and</w:t>
      </w:r>
    </w:p>
    <w:p>
      <w:pPr>
        <w:spacing w:after="0" w:line="2" w:lineRule="exact"/>
        <w:rPr>
          <w:rFonts w:ascii="Arial" w:cs="Arial" w:eastAsia="Arial" w:hAnsi="Arial"/>
          <w:sz w:val="16"/>
          <w:szCs w:val="16"/>
          <w:color w:val="auto"/>
        </w:rPr>
      </w:pPr>
    </w:p>
    <w:p>
      <w:pPr>
        <w:ind w:right="40" w:firstLine="8"/>
        <w:spacing w:after="0" w:line="261"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this Clause (C) but shall not include any other shares which may be issuable pursuant to any agreement, or upon exercise of conversion rights, warrants or options, or otherwise.</w:t>
      </w:r>
    </w:p>
    <w:p>
      <w:pPr>
        <w:spacing w:after="0" w:line="183" w:lineRule="exact"/>
        <w:rPr>
          <w:rFonts w:ascii="Arial" w:cs="Arial" w:eastAsia="Arial" w:hAnsi="Arial"/>
          <w:sz w:val="18"/>
          <w:szCs w:val="18"/>
          <w:color w:val="auto"/>
        </w:rPr>
      </w:pPr>
    </w:p>
    <w:p>
      <w:pPr>
        <w:ind w:right="20" w:firstLine="464"/>
        <w:spacing w:after="0" w:line="271" w:lineRule="auto"/>
        <w:tabs>
          <w:tab w:leader="none" w:pos="751"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Board of Directors of the Corporation shall have the power and duty to determine for the purposes of this Article SIXTH, on the basis of information that known to it, whether (i) any other corporation, person or other entity beneficially owns, directly or indirectly, 10% or more of the outstanding shares of capital stock of the Corporation entitled to vote generally in the election of Directors, or is an “affiliate” or an “associate” (as defined above) of another, (ii) any proposed sale, lease, exchange or other disposition of part of the assets of the Corporation involves a substantial part of the assets of the Corporation, (iii) assets or securities, or a combination thereof, to be acquired in exchange for securities of the Corporation, have an aggregate fair market value of less than $250,000 and whether the same are proposed to be acquired in a single transaction or a series of related transactions, and (iv) the memorandum of understanding referred to above is substantially consistent with the transaction to which it relates. Any such determination by the Board shall be conclusive and binding for all purposes of this Article SIXTH.</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SEVENTH</w:t>
      </w:r>
      <w:r>
        <w:rPr>
          <w:rFonts w:ascii="Arial" w:cs="Arial" w:eastAsia="Arial" w:hAnsi="Arial"/>
          <w:sz w:val="16"/>
          <w:szCs w:val="16"/>
          <w:color w:val="auto"/>
        </w:rPr>
        <w:t>: The Board of Directors of the Corporation, when evaluating any offer of another party to (i) purchase or exchange any securities or property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outstanding equity securities of the Corporation, (ii) merge or consolidate the Corporation with another corporation, or (iii) purchase or otherwise acquire all or substantially all of the properties and assets of the Corporation, shall, in connection with the exercise of its judgment in determining what is in the best interests of the Corporation and its shareholders, give due consideration not only to the price or other consideration being offered, but also to all other relevant factors, including without limitation the financial and managerial resources and future prospects of the other party, the possible effects on the business of the Corporation and its subsidiaries and on the depositors, employees, and other constituents of the Corporation and its subsidiaries; and the possible effects on the communities and the public interest which the Corporation and its subsidiaries serve. In evaluating any such offer, the Board of Directors shall be deemed to be performing their duly authorized duties and acting in good faith and in the best interests of the Corporation within the meaning of Section 1701.13 of the Ohio Revised Code, as it may be amended from time to time, and the Corporation’s Code of Regulations.</w:t>
      </w:r>
    </w:p>
    <w:p>
      <w:pPr>
        <w:spacing w:after="0" w:line="16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When authorized by the affirmative vote of a majority of the Board of Directors, without the action or approval of the shareholders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this Corporation may redeem, purchase, or contract to purchase, at any time and from time to time, shares of any class issued by this Corporation for such prices and upon and subject to such terms and conditions as the Board of Directors may determine.</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Except as otherwise required by these Articles and notwithstanding any provision of law requiring any greater affirmative vote, any amendments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these Articles may be made, by the affirmative vote of the holders of 66 2/3% of the total number of shares voted with respect to such proposed amendment, including for the purposes of this Article NINTH shares voted for, against or abstain, but excluding any shares not voted, provided however, that the total number of shares voted in favor of the amendment represent at least a simple majority of the total voting power of the Corporation. In addition to the foregoing voting requirements, any amendment of these Articles that is inconsistent with, or would have the effect of altering or repealing the provisions of Article SIXTH of the Corporation’s Articles of Incorporation shall require the affirmative vote of the holders of Shares that would be required to approve a transaction under the provisions of Article SIXTH.</w:t>
      </w:r>
    </w:p>
    <w:p>
      <w:pPr>
        <w:sectPr>
          <w:pgSz w:w="11900" w:h="16838" w:orient="portrait"/>
          <w:cols w:equalWidth="0" w:num="1">
            <w:col w:w="11420"/>
          </w:cols>
          <w:pgMar w:left="240" w:top="27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CEO of Farmers &amp; Merchants Bancorp, Inc., certify that:</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00" w:right="40" w:hanging="446"/>
        <w:spacing w:after="0" w:line="29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00" w:hanging="44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40" w:hanging="440"/>
        <w:spacing w:after="0" w:line="286" w:lineRule="auto"/>
        <w:tabs>
          <w:tab w:leader="none" w:pos="19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80" w:hanging="440"/>
        <w:spacing w:after="0" w:line="342" w:lineRule="auto"/>
        <w:tabs>
          <w:tab w:leader="none" w:pos="19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80" w:hanging="440"/>
        <w:spacing w:after="0" w:line="277"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S. Siebenmorgen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30"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00" w:right="40" w:hanging="446"/>
        <w:spacing w:after="0" w:line="29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40" w:hanging="44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00" w:hanging="44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40" w:hanging="440"/>
        <w:spacing w:after="0" w:line="264"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40" w:hanging="440"/>
        <w:spacing w:after="0" w:line="286"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80" w:hanging="440"/>
        <w:spacing w:after="0" w:line="342"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80" w:hanging="440"/>
        <w:spacing w:after="0" w:line="277"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Barbara J Britenriker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125"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2016 as filed with the Securities and Exchange Commission (“the report”), I, Paul S. Siebenmorgen, President and Chief Executive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S. Siebenmorgen, President and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380"/>
          </w:cols>
          <w:pgMar w:left="240" w:top="125" w:right="27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2016,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Barbara J. Britenriker, Exec. Vice President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lvl w:ilvl="1">
      <w:lvlJc w:val="left"/>
      <w:lvlText w:val="%2."/>
      <w:numFmt w:val="lowerLetter"/>
      <w:start w:val="1"/>
    </w:lvl>
  </w:abstractNum>
  <w:abstractNum w:abstractNumId="6">
    <w:nsid w:val="6B68079A"/>
    <w:multiLevelType w:val="hybridMultilevel"/>
    <w:lvl w:ilvl="0">
      <w:lvlJc w:val="left"/>
      <w:lvlText w:val="%1."/>
      <w:numFmt w:val="decimal"/>
      <w:start w:val="5"/>
    </w:lvl>
    <w:lvl w:ilvl="1">
      <w:lvlJc w:val="left"/>
      <w:lvlText w:val="%2."/>
      <w:numFmt w:val="lowerLetter"/>
      <w:start w:val="1"/>
    </w:lvl>
  </w:abstractNum>
  <w:abstractNum w:abstractNumId="7">
    <w:nsid w:val="4E6AFB66"/>
    <w:multiLevelType w:val="hybridMultilevel"/>
    <w:lvl w:ilvl="0">
      <w:lvlJc w:val="left"/>
      <w:lvlText w:val="%1"/>
      <w:numFmt w:val="decimal"/>
      <w:start w:val="1"/>
    </w:lvl>
    <w:lvl w:ilvl="1">
      <w:lvlJc w:val="left"/>
      <w:lvlText w:val="%2."/>
      <w:numFmt w:val="lowerLetter"/>
      <w:start w:val="3"/>
    </w:lvl>
  </w:abstractNum>
  <w:abstractNum w:abstractNumId="8">
    <w:nsid w:val="25E45D32"/>
    <w:multiLevelType w:val="hybridMultilevel"/>
    <w:lvl w:ilvl="0">
      <w:lvlJc w:val="left"/>
      <w:lvlText w:val="%1."/>
      <w:numFmt w:val="decimal"/>
      <w:start w:val="8"/>
    </w:lvl>
    <w:lvl w:ilvl="1">
      <w:lvlJc w:val="left"/>
      <w:lvlText w:val="%2."/>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upperLetter"/>
      <w:start w:val="1"/>
    </w:lvl>
    <w:lvl w:ilvl="1">
      <w:lvlJc w:val="left"/>
      <w:lvlText w:val="(%2)"/>
      <w:numFmt w:val="lowerRoman"/>
      <w:start w:val="1"/>
    </w:lvl>
  </w:abstractNum>
  <w:abstractNum w:abstractNumId="17">
    <w:nsid w:val="333AB105"/>
    <w:multiLevelType w:val="hybridMultilevel"/>
    <w:lvl w:ilvl="0">
      <w:lvlJc w:val="left"/>
      <w:lvlText w:val="%1"/>
      <w:numFmt w:val="lowerRoman"/>
      <w:start w:val="1"/>
    </w:lvl>
    <w:lvl w:ilvl="1">
      <w:lvlJc w:val="left"/>
      <w:lvlText w:val="(%2)"/>
      <w:numFmt w:val="upperLetter"/>
      <w:start w:val="2"/>
    </w:lvl>
  </w:abstractNum>
  <w:abstractNum w:abstractNumId="18">
    <w:nsid w:val="721DA317"/>
    <w:multiLevelType w:val="hybridMultilevel"/>
    <w:lvl w:ilvl="0">
      <w:lvlJc w:val="left"/>
      <w:lvlText w:val="(%1)"/>
      <w:numFmt w:val="lowerRoman"/>
      <w:start w:val="2"/>
    </w:lvl>
    <w:lvl w:ilvl="1">
      <w:lvlJc w:val="left"/>
      <w:lvlText w:val="%2"/>
      <w:numFmt w:val="upperLetter"/>
      <w:start w:val="1"/>
    </w:lvl>
  </w:abstractNum>
  <w:abstractNum w:abstractNumId="19">
    <w:nsid w:val="2443A858"/>
    <w:multiLevelType w:val="hybridMultilevel"/>
    <w:lvl w:ilvl="0">
      <w:lvlJc w:val="left"/>
      <w:lvlText w:val="%1"/>
      <w:numFmt w:val="lowerRoman"/>
      <w:start w:val="1"/>
    </w:lvl>
    <w:lvl w:ilvl="1">
      <w:lvlJc w:val="left"/>
      <w:lvlText w:val="(%2)"/>
      <w:numFmt w:val="upperLetter"/>
      <w:start w:val="3"/>
    </w:lvl>
  </w:abstractNum>
  <w:abstractNum w:abstractNumId="20">
    <w:nsid w:val="2D1D5AE9"/>
    <w:multiLevelType w:val="hybridMultilevel"/>
    <w:lvl w:ilvl="0">
      <w:lvlJc w:val="left"/>
      <w:lvlText w:val="(%1)"/>
      <w:numFmt w:val="lowerRoman"/>
      <w:start w:val="2"/>
    </w:lvl>
    <w:lvl w:ilvl="1">
      <w:lvlJc w:val="left"/>
      <w:lvlText w:val="(%2)"/>
      <w:numFmt w:val="upperLetter"/>
      <w:start w:val="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2020-01-20T22:02:15Z</dcterms:created>
  <dcterms:modified xsi:type="dcterms:W3CDTF">2020-01-20T22:02:15Z</dcterms:modified>
</cp:coreProperties>
</file>