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45"/>
        <w:spacing w:after="0"/>
        <w:rPr>
          <w:sz w:val="20"/>
          <w:szCs w:val="20"/>
          <w:color w:val="auto"/>
        </w:rPr>
      </w:pPr>
      <w:r>
        <w:rPr>
          <w:rFonts w:ascii="Arial" w:cs="Arial" w:eastAsia="Arial" w:hAnsi="Arial"/>
          <w:sz w:val="32"/>
          <w:szCs w:val="32"/>
          <w:b w:val="1"/>
          <w:bCs w:val="1"/>
          <w:color w:val="auto"/>
        </w:rPr>
        <w:t>UNITED STATES</w:t>
      </w:r>
    </w:p>
    <w:p>
      <w:pPr>
        <w:spacing w:after="0" w:line="112" w:lineRule="exact"/>
        <w:rPr>
          <w:sz w:val="24"/>
          <w:szCs w:val="24"/>
          <w:color w:val="auto"/>
        </w:rPr>
      </w:pPr>
    </w:p>
    <w:p>
      <w:pPr>
        <w:jc w:val="center"/>
        <w:ind w:right="-45"/>
        <w:spacing w:after="0"/>
        <w:rPr>
          <w:sz w:val="20"/>
          <w:szCs w:val="20"/>
          <w:color w:val="auto"/>
        </w:rPr>
      </w:pPr>
      <w:r>
        <w:rPr>
          <w:rFonts w:ascii="Arial" w:cs="Arial" w:eastAsia="Arial" w:hAnsi="Arial"/>
          <w:sz w:val="32"/>
          <w:szCs w:val="32"/>
          <w:b w:val="1"/>
          <w:bCs w:val="1"/>
          <w:color w:val="auto"/>
        </w:rPr>
        <w:t>SECURITIES AND EXCHANGE COMMISSION</w:t>
      </w:r>
    </w:p>
    <w:p>
      <w:pPr>
        <w:spacing w:after="0" w:line="96" w:lineRule="exact"/>
        <w:rPr>
          <w:sz w:val="24"/>
          <w:szCs w:val="24"/>
          <w:color w:val="auto"/>
        </w:rPr>
      </w:pPr>
    </w:p>
    <w:p>
      <w:pPr>
        <w:jc w:val="center"/>
        <w:ind w:right="-45"/>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1989455</wp:posOffset>
            </wp:positionH>
            <wp:positionV relativeFrom="paragraph">
              <wp:posOffset>219075</wp:posOffset>
            </wp:positionV>
            <wp:extent cx="198945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9455" cy="635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45"/>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1989455</wp:posOffset>
            </wp:positionH>
            <wp:positionV relativeFrom="paragraph">
              <wp:posOffset>226060</wp:posOffset>
            </wp:positionV>
            <wp:extent cx="198945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9455" cy="635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ind w:left="646" w:hanging="646"/>
        <w:spacing w:after="0"/>
        <w:tabs>
          <w:tab w:leader="none" w:pos="646" w:val="left"/>
        </w:tabs>
        <w:numPr>
          <w:ilvl w:val="0"/>
          <w:numId w:val="1"/>
        </w:numPr>
        <w:rPr>
          <w:rFonts w:ascii="MS Gothic" w:cs="MS Gothic" w:eastAsia="MS Gothic" w:hAnsi="MS Gothic"/>
          <w:sz w:val="21"/>
          <w:szCs w:val="21"/>
          <w:b w:val="1"/>
          <w:bCs w:val="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94" w:lineRule="exact"/>
        <w:rPr>
          <w:sz w:val="24"/>
          <w:szCs w:val="24"/>
          <w:color w:val="auto"/>
        </w:rPr>
      </w:pPr>
    </w:p>
    <w:p>
      <w:pPr>
        <w:jc w:val="center"/>
        <w:ind w:right="-45"/>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93" w:lineRule="exact"/>
        <w:rPr>
          <w:sz w:val="24"/>
          <w:szCs w:val="24"/>
          <w:color w:val="auto"/>
        </w:rPr>
      </w:pPr>
    </w:p>
    <w:p>
      <w:pPr>
        <w:jc w:val="center"/>
        <w:ind w:right="-45"/>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646" w:hanging="646"/>
        <w:spacing w:after="0"/>
        <w:tabs>
          <w:tab w:leader="none" w:pos="646" w:val="left"/>
        </w:tabs>
        <w:numPr>
          <w:ilvl w:val="0"/>
          <w:numId w:val="2"/>
        </w:numPr>
        <w:rPr>
          <w:rFonts w:ascii="MS Gothic" w:cs="MS Gothic" w:eastAsia="MS Gothic" w:hAnsi="MS Gothic"/>
          <w:sz w:val="20"/>
          <w:szCs w:val="20"/>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5" w:lineRule="exact"/>
        <w:rPr>
          <w:sz w:val="24"/>
          <w:szCs w:val="24"/>
          <w:color w:val="auto"/>
        </w:rPr>
      </w:pPr>
    </w:p>
    <w:p>
      <w:pPr>
        <w:ind w:left="3026"/>
        <w:spacing w:after="0"/>
        <w:tabs>
          <w:tab w:leader="none" w:pos="5786"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3432810</wp:posOffset>
                </wp:positionH>
                <wp:positionV relativeFrom="paragraph">
                  <wp:posOffset>-5715</wp:posOffset>
                </wp:positionV>
                <wp:extent cx="2286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 cy="4763"/>
                        </a:xfrm>
                        <a:prstGeom prst="line">
                          <a:avLst/>
                        </a:prstGeom>
                        <a:solidFill>
                          <a:srgbClr val="FFFFFF"/>
                        </a:solidFill>
                        <a:ln w="10883">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3pt,-0.4499pt" to="288.3pt,-0.4499pt" o:allowincell="f" strokecolor="#000000" strokeweight="0.8569pt"/>
            </w:pict>
          </mc:Fallback>
        </mc:AlternateContent>
      </w:r>
    </w:p>
    <w:p>
      <w:pPr>
        <w:spacing w:after="0" w:line="193" w:lineRule="exact"/>
        <w:rPr>
          <w:sz w:val="24"/>
          <w:szCs w:val="24"/>
          <w:color w:val="auto"/>
        </w:rPr>
      </w:pPr>
    </w:p>
    <w:p>
      <w:pPr>
        <w:jc w:val="center"/>
        <w:ind w:right="-45"/>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1989455</wp:posOffset>
            </wp:positionH>
            <wp:positionV relativeFrom="paragraph">
              <wp:posOffset>219075</wp:posOffset>
            </wp:positionV>
            <wp:extent cx="198945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1989455" cy="635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45"/>
        <w:spacing w:after="0"/>
        <w:rPr>
          <w:sz w:val="20"/>
          <w:szCs w:val="20"/>
          <w:color w:val="auto"/>
        </w:rPr>
      </w:pPr>
      <w:r>
        <w:rPr>
          <w:rFonts w:ascii="Arial" w:cs="Arial" w:eastAsia="Arial" w:hAnsi="Arial"/>
          <w:sz w:val="40"/>
          <w:szCs w:val="40"/>
          <w:b w:val="1"/>
          <w:bCs w:val="1"/>
          <w:color w:val="auto"/>
        </w:rPr>
        <w:t>FARMERS &amp; MERCHANTS BANCORP,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1989455</wp:posOffset>
            </wp:positionH>
            <wp:positionV relativeFrom="paragraph">
              <wp:posOffset>240665</wp:posOffset>
            </wp:positionV>
            <wp:extent cx="19894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1989455" cy="635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tbl>
      <w:tblPr>
        <w:tblLayout w:type="fixed"/>
        <w:tblInd w:w="506" w:type="dxa"/>
        <w:tblCellMar>
          <w:top w:w="0" w:type="dxa"/>
          <w:left w:w="0" w:type="dxa"/>
          <w:bottom w:w="0" w:type="dxa"/>
          <w:right w:w="0" w:type="dxa"/>
        </w:tblCellMar>
      </w:tblPr>
      <w:tr>
        <w:trPr>
          <w:trHeight w:val="207"/>
        </w:trPr>
        <w:tc>
          <w:tcPr>
            <w:tcW w:w="4420" w:type="dxa"/>
            <w:vAlign w:val="bottom"/>
          </w:tcPr>
          <w:p>
            <w:pPr>
              <w:jc w:val="center"/>
              <w:ind w:right="2236"/>
              <w:spacing w:after="0"/>
              <w:rPr>
                <w:sz w:val="20"/>
                <w:szCs w:val="20"/>
                <w:color w:val="auto"/>
              </w:rPr>
            </w:pPr>
            <w:r>
              <w:rPr>
                <w:rFonts w:ascii="Arial" w:cs="Arial" w:eastAsia="Arial" w:hAnsi="Arial"/>
                <w:sz w:val="18"/>
                <w:szCs w:val="18"/>
                <w:b w:val="1"/>
                <w:bCs w:val="1"/>
                <w:color w:val="auto"/>
              </w:rPr>
              <w:t>OHIO</w:t>
            </w:r>
          </w:p>
        </w:tc>
        <w:tc>
          <w:tcPr>
            <w:tcW w:w="3560" w:type="dxa"/>
            <w:vAlign w:val="bottom"/>
          </w:tcPr>
          <w:p>
            <w:pPr>
              <w:jc w:val="right"/>
              <w:ind w:right="116"/>
              <w:spacing w:after="0"/>
              <w:rPr>
                <w:sz w:val="20"/>
                <w:szCs w:val="20"/>
                <w:color w:val="auto"/>
              </w:rPr>
            </w:pPr>
            <w:r>
              <w:rPr>
                <w:rFonts w:ascii="Arial" w:cs="Arial" w:eastAsia="Arial" w:hAnsi="Arial"/>
                <w:sz w:val="18"/>
                <w:szCs w:val="18"/>
                <w:b w:val="1"/>
                <w:bCs w:val="1"/>
                <w:color w:val="auto"/>
              </w:rPr>
              <w:t>34-1469491</w:t>
            </w:r>
          </w:p>
        </w:tc>
      </w:tr>
      <w:tr>
        <w:trPr>
          <w:trHeight w:val="263"/>
        </w:trPr>
        <w:tc>
          <w:tcPr>
            <w:tcW w:w="4420" w:type="dxa"/>
            <w:vAlign w:val="bottom"/>
          </w:tcPr>
          <w:p>
            <w:pPr>
              <w:jc w:val="center"/>
              <w:ind w:right="2216"/>
              <w:spacing w:after="0"/>
              <w:rPr>
                <w:sz w:val="20"/>
                <w:szCs w:val="20"/>
                <w:color w:val="auto"/>
              </w:rPr>
            </w:pPr>
            <w:r>
              <w:rPr>
                <w:rFonts w:ascii="Arial" w:cs="Arial" w:eastAsia="Arial" w:hAnsi="Arial"/>
                <w:sz w:val="16"/>
                <w:szCs w:val="16"/>
                <w:b w:val="1"/>
                <w:bCs w:val="1"/>
                <w:color w:val="auto"/>
                <w:w w:val="91"/>
              </w:rPr>
              <w:t>(State or other jurisdiction of</w:t>
            </w:r>
          </w:p>
        </w:tc>
        <w:tc>
          <w:tcPr>
            <w:tcW w:w="3560" w:type="dxa"/>
            <w:vAlign w:val="bottom"/>
          </w:tcPr>
          <w:p>
            <w:pPr>
              <w:jc w:val="center"/>
              <w:ind w:left="2216"/>
              <w:spacing w:after="0"/>
              <w:rPr>
                <w:sz w:val="20"/>
                <w:szCs w:val="20"/>
                <w:color w:val="auto"/>
              </w:rPr>
            </w:pPr>
            <w:r>
              <w:rPr>
                <w:rFonts w:ascii="Arial" w:cs="Arial" w:eastAsia="Arial" w:hAnsi="Arial"/>
                <w:sz w:val="16"/>
                <w:szCs w:val="16"/>
                <w:b w:val="1"/>
                <w:bCs w:val="1"/>
                <w:color w:val="auto"/>
                <w:w w:val="93"/>
              </w:rPr>
              <w:t>(IRS Employer</w:t>
            </w:r>
          </w:p>
        </w:tc>
      </w:tr>
      <w:tr>
        <w:trPr>
          <w:trHeight w:val="240"/>
        </w:trPr>
        <w:tc>
          <w:tcPr>
            <w:tcW w:w="4420" w:type="dxa"/>
            <w:vAlign w:val="bottom"/>
          </w:tcPr>
          <w:p>
            <w:pPr>
              <w:jc w:val="center"/>
              <w:ind w:right="2236"/>
              <w:spacing w:after="0"/>
              <w:rPr>
                <w:sz w:val="20"/>
                <w:szCs w:val="20"/>
                <w:color w:val="auto"/>
              </w:rPr>
            </w:pPr>
            <w:r>
              <w:rPr>
                <w:rFonts w:ascii="Arial" w:cs="Arial" w:eastAsia="Arial" w:hAnsi="Arial"/>
                <w:sz w:val="16"/>
                <w:szCs w:val="16"/>
                <w:b w:val="1"/>
                <w:bCs w:val="1"/>
                <w:color w:val="auto"/>
                <w:w w:val="91"/>
              </w:rPr>
              <w:t>incorporation or organization)</w:t>
            </w:r>
          </w:p>
        </w:tc>
        <w:tc>
          <w:tcPr>
            <w:tcW w:w="3560" w:type="dxa"/>
            <w:vAlign w:val="bottom"/>
          </w:tcPr>
          <w:p>
            <w:pPr>
              <w:jc w:val="center"/>
              <w:ind w:left="2216"/>
              <w:spacing w:after="0"/>
              <w:rPr>
                <w:sz w:val="20"/>
                <w:szCs w:val="20"/>
                <w:color w:val="auto"/>
              </w:rPr>
            </w:pPr>
            <w:r>
              <w:rPr>
                <w:rFonts w:ascii="Arial" w:cs="Arial" w:eastAsia="Arial" w:hAnsi="Arial"/>
                <w:sz w:val="16"/>
                <w:szCs w:val="16"/>
                <w:b w:val="1"/>
                <w:bCs w:val="1"/>
                <w:color w:val="auto"/>
                <w:w w:val="93"/>
              </w:rPr>
              <w:t>Identification No.)</w:t>
            </w:r>
          </w:p>
        </w:tc>
      </w:tr>
      <w:tr>
        <w:trPr>
          <w:trHeight w:val="377"/>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307 North Defiance Street</w:t>
            </w:r>
          </w:p>
        </w:tc>
        <w:tc>
          <w:tcPr>
            <w:tcW w:w="3560" w:type="dxa"/>
            <w:vAlign w:val="bottom"/>
          </w:tcPr>
          <w:p>
            <w:pPr>
              <w:spacing w:after="0"/>
              <w:rPr>
                <w:sz w:val="24"/>
                <w:szCs w:val="24"/>
                <w:color w:val="auto"/>
              </w:rPr>
            </w:pPr>
          </w:p>
        </w:tc>
      </w:tr>
      <w:tr>
        <w:trPr>
          <w:trHeight w:val="300"/>
        </w:trPr>
        <w:tc>
          <w:tcPr>
            <w:tcW w:w="4420" w:type="dxa"/>
            <w:vAlign w:val="bottom"/>
          </w:tcPr>
          <w:p>
            <w:pPr>
              <w:jc w:val="center"/>
              <w:ind w:right="2216"/>
              <w:spacing w:after="0"/>
              <w:rPr>
                <w:sz w:val="20"/>
                <w:szCs w:val="20"/>
                <w:color w:val="auto"/>
              </w:rPr>
            </w:pPr>
            <w:r>
              <w:rPr>
                <w:rFonts w:ascii="Arial" w:cs="Arial" w:eastAsia="Arial" w:hAnsi="Arial"/>
                <w:sz w:val="18"/>
                <w:szCs w:val="18"/>
                <w:b w:val="1"/>
                <w:bCs w:val="1"/>
                <w:color w:val="auto"/>
                <w:w w:val="92"/>
              </w:rPr>
              <w:t>Archbold, Ohio</w:t>
            </w:r>
          </w:p>
        </w:tc>
        <w:tc>
          <w:tcPr>
            <w:tcW w:w="3560" w:type="dxa"/>
            <w:vAlign w:val="bottom"/>
          </w:tcPr>
          <w:p>
            <w:pPr>
              <w:jc w:val="right"/>
              <w:ind w:right="316"/>
              <w:spacing w:after="0"/>
              <w:rPr>
                <w:sz w:val="20"/>
                <w:szCs w:val="20"/>
                <w:color w:val="auto"/>
              </w:rPr>
            </w:pPr>
            <w:r>
              <w:rPr>
                <w:rFonts w:ascii="Arial" w:cs="Arial" w:eastAsia="Arial" w:hAnsi="Arial"/>
                <w:sz w:val="18"/>
                <w:szCs w:val="18"/>
                <w:b w:val="1"/>
                <w:bCs w:val="1"/>
                <w:color w:val="auto"/>
              </w:rPr>
              <w:t>43502</w:t>
            </w:r>
          </w:p>
        </w:tc>
      </w:tr>
      <w:tr>
        <w:trPr>
          <w:trHeight w:val="263"/>
        </w:trPr>
        <w:tc>
          <w:tcPr>
            <w:tcW w:w="4420" w:type="dxa"/>
            <w:vAlign w:val="bottom"/>
          </w:tcPr>
          <w:p>
            <w:pPr>
              <w:jc w:val="center"/>
              <w:ind w:right="2276"/>
              <w:spacing w:after="0"/>
              <w:rPr>
                <w:sz w:val="20"/>
                <w:szCs w:val="20"/>
                <w:color w:val="auto"/>
              </w:rPr>
            </w:pPr>
            <w:r>
              <w:rPr>
                <w:rFonts w:ascii="Arial" w:cs="Arial" w:eastAsia="Arial" w:hAnsi="Arial"/>
                <w:sz w:val="16"/>
                <w:szCs w:val="16"/>
                <w:b w:val="1"/>
                <w:bCs w:val="1"/>
                <w:color w:val="auto"/>
                <w:w w:val="91"/>
              </w:rPr>
              <w:t>(Address of principal</w:t>
            </w:r>
          </w:p>
        </w:tc>
        <w:tc>
          <w:tcPr>
            <w:tcW w:w="3560" w:type="dxa"/>
            <w:vAlign w:val="bottom"/>
          </w:tcPr>
          <w:p>
            <w:pPr>
              <w:jc w:val="center"/>
              <w:ind w:left="2216"/>
              <w:spacing w:after="0"/>
              <w:rPr>
                <w:sz w:val="20"/>
                <w:szCs w:val="20"/>
                <w:color w:val="auto"/>
              </w:rPr>
            </w:pPr>
            <w:r>
              <w:rPr>
                <w:rFonts w:ascii="Arial" w:cs="Arial" w:eastAsia="Arial" w:hAnsi="Arial"/>
                <w:sz w:val="16"/>
                <w:szCs w:val="16"/>
                <w:b w:val="1"/>
                <w:bCs w:val="1"/>
                <w:color w:val="auto"/>
                <w:w w:val="93"/>
              </w:rPr>
              <w:t>(Zip Code)</w:t>
            </w:r>
          </w:p>
        </w:tc>
      </w:tr>
      <w:tr>
        <w:trPr>
          <w:trHeight w:val="240"/>
        </w:trPr>
        <w:tc>
          <w:tcPr>
            <w:tcW w:w="4420" w:type="dxa"/>
            <w:vAlign w:val="bottom"/>
          </w:tcPr>
          <w:p>
            <w:pPr>
              <w:jc w:val="center"/>
              <w:ind w:right="2216"/>
              <w:spacing w:after="0"/>
              <w:rPr>
                <w:sz w:val="20"/>
                <w:szCs w:val="20"/>
                <w:color w:val="auto"/>
              </w:rPr>
            </w:pPr>
            <w:r>
              <w:rPr>
                <w:rFonts w:ascii="Arial" w:cs="Arial" w:eastAsia="Arial" w:hAnsi="Arial"/>
                <w:sz w:val="16"/>
                <w:szCs w:val="16"/>
                <w:b w:val="1"/>
                <w:bCs w:val="1"/>
                <w:color w:val="auto"/>
                <w:w w:val="88"/>
              </w:rPr>
              <w:t>Executive offices)</w:t>
            </w:r>
          </w:p>
        </w:tc>
        <w:tc>
          <w:tcPr>
            <w:tcW w:w="35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-1039495</wp:posOffset>
            </wp:positionV>
            <wp:extent cx="19799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1979930" cy="635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-1039495</wp:posOffset>
            </wp:positionV>
            <wp:extent cx="195834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195834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-290195</wp:posOffset>
            </wp:positionV>
            <wp:extent cx="197993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1979930" cy="635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-290195</wp:posOffset>
            </wp:positionV>
            <wp:extent cx="195834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1958340" cy="6350"/>
                    </a:xfrm>
                    <a:prstGeom prst="rect">
                      <a:avLst/>
                    </a:prstGeom>
                    <a:noFill/>
                  </pic:spPr>
                </pic:pic>
              </a:graphicData>
            </a:graphic>
          </wp:anchor>
        </w:drawing>
      </w:r>
    </w:p>
    <w:p>
      <w:pPr>
        <w:spacing w:after="0" w:line="361" w:lineRule="exact"/>
        <w:rPr>
          <w:sz w:val="24"/>
          <w:szCs w:val="24"/>
          <w:color w:val="auto"/>
        </w:rPr>
      </w:pPr>
    </w:p>
    <w:p>
      <w:pPr>
        <w:jc w:val="center"/>
        <w:ind w:right="-45"/>
        <w:spacing w:after="0"/>
        <w:rPr>
          <w:sz w:val="20"/>
          <w:szCs w:val="20"/>
          <w:color w:val="auto"/>
        </w:rPr>
      </w:pPr>
      <w:r>
        <w:rPr>
          <w:rFonts w:ascii="Arial" w:cs="Arial" w:eastAsia="Arial" w:hAnsi="Arial"/>
          <w:sz w:val="18"/>
          <w:szCs w:val="18"/>
          <w:b w:val="1"/>
          <w:bCs w:val="1"/>
          <w:color w:val="auto"/>
        </w:rPr>
        <w:t>Registrant’s telephone number, including area code (419) 446-2501</w:t>
      </w:r>
    </w:p>
    <w:p>
      <w:pPr>
        <w:spacing w:after="0" w:line="153" w:lineRule="exact"/>
        <w:rPr>
          <w:sz w:val="24"/>
          <w:szCs w:val="24"/>
          <w:color w:val="auto"/>
        </w:rPr>
      </w:pPr>
    </w:p>
    <w:p>
      <w:pPr>
        <w:jc w:val="center"/>
        <w:ind w:right="-45"/>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tbl>
      <w:tblPr>
        <w:tblLayout w:type="fixed"/>
        <w:tblInd w:w="6"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308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86"/>
              </w:rPr>
              <w:t>Title of each class</w:t>
            </w:r>
          </w:p>
        </w:tc>
        <w:tc>
          <w:tcPr>
            <w:tcW w:w="278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91"/>
              </w:rPr>
              <w:t>Trading Symbol(s)</w:t>
            </w:r>
          </w:p>
        </w:tc>
        <w:tc>
          <w:tcPr>
            <w:tcW w:w="1960" w:type="dxa"/>
            <w:vAlign w:val="bottom"/>
            <w:gridSpan w:val="2"/>
          </w:tcPr>
          <w:p>
            <w:pPr>
              <w:spacing w:after="0"/>
              <w:rPr>
                <w:sz w:val="20"/>
                <w:szCs w:val="20"/>
                <w:color w:val="auto"/>
              </w:rPr>
            </w:pPr>
            <w:r>
              <w:rPr>
                <w:rFonts w:ascii="Arial" w:cs="Arial" w:eastAsia="Arial" w:hAnsi="Arial"/>
                <w:sz w:val="18"/>
                <w:szCs w:val="18"/>
                <w:b w:val="1"/>
                <w:bCs w:val="1"/>
                <w:color w:val="auto"/>
                <w:w w:val="94"/>
              </w:rPr>
              <w:t>Name of each exchange</w:t>
            </w:r>
          </w:p>
        </w:tc>
        <w:tc>
          <w:tcPr>
            <w:tcW w:w="56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86"/>
        </w:trPr>
        <w:tc>
          <w:tcPr>
            <w:tcW w:w="3860" w:type="dxa"/>
            <w:vAlign w:val="bottom"/>
            <w:gridSpan w:val="3"/>
          </w:tcPr>
          <w:p>
            <w:pPr>
              <w:jc w:val="center"/>
              <w:ind w:right="960"/>
              <w:spacing w:after="0"/>
              <w:rPr>
                <w:sz w:val="20"/>
                <w:szCs w:val="20"/>
                <w:color w:val="auto"/>
              </w:rPr>
            </w:pPr>
            <w:r>
              <w:rPr>
                <w:rFonts w:ascii="Arial" w:cs="Arial" w:eastAsia="Arial" w:hAnsi="Arial"/>
                <w:sz w:val="16"/>
                <w:szCs w:val="16"/>
                <w:b w:val="1"/>
                <w:bCs w:val="1"/>
                <w:color w:val="auto"/>
                <w:w w:val="91"/>
              </w:rPr>
              <w:t>Common Stock, No Par Value</w:t>
            </w:r>
          </w:p>
        </w:tc>
        <w:tc>
          <w:tcPr>
            <w:tcW w:w="2780" w:type="dxa"/>
            <w:vAlign w:val="bottom"/>
            <w:gridSpan w:val="2"/>
          </w:tcPr>
          <w:p>
            <w:pPr>
              <w:jc w:val="center"/>
              <w:ind w:right="1340"/>
              <w:spacing w:after="0"/>
              <w:rPr>
                <w:sz w:val="20"/>
                <w:szCs w:val="20"/>
                <w:color w:val="auto"/>
              </w:rPr>
            </w:pPr>
            <w:r>
              <w:rPr>
                <w:rFonts w:ascii="Arial" w:cs="Arial" w:eastAsia="Arial" w:hAnsi="Arial"/>
                <w:sz w:val="16"/>
                <w:szCs w:val="16"/>
                <w:b w:val="1"/>
                <w:bCs w:val="1"/>
                <w:color w:val="auto"/>
              </w:rPr>
              <w:t>FMAO</w:t>
            </w:r>
          </w:p>
        </w:tc>
        <w:tc>
          <w:tcPr>
            <w:tcW w:w="1960" w:type="dxa"/>
            <w:vAlign w:val="bottom"/>
            <w:gridSpan w:val="2"/>
          </w:tcPr>
          <w:p>
            <w:pPr>
              <w:ind w:left="20"/>
              <w:spacing w:after="0"/>
              <w:rPr>
                <w:sz w:val="20"/>
                <w:szCs w:val="20"/>
                <w:color w:val="auto"/>
              </w:rPr>
            </w:pPr>
            <w:r>
              <w:rPr>
                <w:rFonts w:ascii="Arial" w:cs="Arial" w:eastAsia="Arial" w:hAnsi="Arial"/>
                <w:sz w:val="16"/>
                <w:szCs w:val="16"/>
                <w:b w:val="1"/>
                <w:bCs w:val="1"/>
                <w:color w:val="auto"/>
              </w:rPr>
              <w:t>NASDAQ Capital Market</w:t>
            </w:r>
          </w:p>
        </w:tc>
        <w:tc>
          <w:tcPr>
            <w:tcW w:w="560" w:type="dxa"/>
            <w:vAlign w:val="bottom"/>
          </w:tcPr>
          <w:p>
            <w:pPr>
              <w:spacing w:after="0"/>
              <w:rPr>
                <w:sz w:val="24"/>
                <w:szCs w:val="24"/>
                <w:color w:val="auto"/>
              </w:rPr>
            </w:pPr>
          </w:p>
        </w:tc>
      </w:tr>
      <w:tr>
        <w:trPr>
          <w:trHeight w:val="392"/>
        </w:trPr>
        <w:tc>
          <w:tcPr>
            <w:tcW w:w="8600" w:type="dxa"/>
            <w:vAlign w:val="bottom"/>
            <w:gridSpan w:val="7"/>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3"/>
              </w:rPr>
              <w:t>☐</w:t>
            </w:r>
            <w:r>
              <w:rPr>
                <w:rFonts w:ascii="Arial" w:cs="Arial" w:eastAsia="Arial" w:hAnsi="Arial"/>
                <w:sz w:val="16"/>
                <w:szCs w:val="16"/>
                <w:color w:val="auto"/>
                <w:w w:val="93"/>
              </w:rPr>
              <w:t xml:space="preserve">  No</w:t>
            </w:r>
          </w:p>
        </w:tc>
        <w:tc>
          <w:tcPr>
            <w:tcW w:w="56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r>
      <w:tr>
        <w:trPr>
          <w:trHeight w:val="390"/>
        </w:trPr>
        <w:tc>
          <w:tcPr>
            <w:tcW w:w="8600" w:type="dxa"/>
            <w:vAlign w:val="bottom"/>
            <w:gridSpan w:val="7"/>
          </w:tcPr>
          <w:p>
            <w:pPr>
              <w:spacing w:after="0"/>
              <w:rPr>
                <w:sz w:val="20"/>
                <w:szCs w:val="20"/>
                <w:color w:val="auto"/>
              </w:rPr>
            </w:pPr>
            <w:r>
              <w:rPr>
                <w:rFonts w:ascii="Arial" w:cs="Arial" w:eastAsia="Arial" w:hAnsi="Arial"/>
                <w:sz w:val="16"/>
                <w:szCs w:val="16"/>
                <w:color w:val="auto"/>
                <w:w w:val="94"/>
              </w:rPr>
              <w:t>Indicate by check mark if the registrant is not required to file reports pursuant to Section 13 or Section 15(d) of the Exchange Act.</w:t>
            </w:r>
          </w:p>
        </w:tc>
        <w:tc>
          <w:tcPr>
            <w:tcW w:w="560" w:type="dxa"/>
            <w:vAlign w:val="bottom"/>
          </w:tcPr>
          <w:p>
            <w:pPr>
              <w:ind w:left="80"/>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r>
      <w:tr>
        <w:trPr>
          <w:trHeight w:val="298"/>
        </w:trPr>
        <w:tc>
          <w:tcPr>
            <w:tcW w:w="3860" w:type="dxa"/>
            <w:vAlign w:val="bottom"/>
            <w:gridSpan w:val="3"/>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13" w:lineRule="exact"/>
        <w:rPr>
          <w:sz w:val="24"/>
          <w:szCs w:val="24"/>
          <w:color w:val="auto"/>
        </w:rPr>
      </w:pPr>
    </w:p>
    <w:p>
      <w:pPr>
        <w:jc w:val="both"/>
        <w:ind w:left="6"/>
        <w:spacing w:after="0" w:line="26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3" w:lineRule="exact"/>
        <w:rPr>
          <w:sz w:val="24"/>
          <w:szCs w:val="24"/>
          <w:color w:val="auto"/>
        </w:rPr>
      </w:pPr>
    </w:p>
    <w:p>
      <w:pPr>
        <w:jc w:val="both"/>
        <w:ind w:left="6" w:right="20"/>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9366"/>
          </w:cols>
          <w:pgMar w:left="1254" w:top="1440" w:right="1286"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25"/>
        <w:spacing w:after="0"/>
        <w:rPr>
          <w:sz w:val="20"/>
          <w:szCs w:val="20"/>
          <w:color w:val="auto"/>
        </w:rPr>
      </w:pPr>
      <w:r>
        <w:rPr>
          <w:rFonts w:ascii="Arial" w:cs="Arial" w:eastAsia="Arial" w:hAnsi="Arial"/>
          <w:sz w:val="20"/>
          <w:szCs w:val="20"/>
          <w:color w:val="auto"/>
        </w:rPr>
        <w:t>1 / 63</w:t>
      </w:r>
    </w:p>
    <w:p>
      <w:pPr>
        <w:sectPr>
          <w:pgSz w:w="11900" w:h="16838" w:orient="portrait"/>
          <w:cols w:equalWidth="0" w:num="1">
            <w:col w:w="9366"/>
          </w:cols>
          <w:pgMar w:left="1254" w:top="1440" w:right="1286" w:bottom="0" w:gutter="0" w:footer="0" w:header="0"/>
          <w:type w:val="continuous"/>
        </w:sectPr>
      </w:pPr>
    </w:p>
    <w:bookmarkStart w:id="1" w:name="page2"/>
    <w:bookmarkEnd w:id="1"/>
    <w:p>
      <w:pPr>
        <w:jc w:val="both"/>
        <w:spacing w:after="0" w:line="38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80" w:type="dxa"/>
            <w:vAlign w:val="bottom"/>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4280" w:type="dxa"/>
            <w:vAlign w:val="bottom"/>
          </w:tcPr>
          <w:p>
            <w:pPr>
              <w:ind w:left="23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r>
      <w:tr>
        <w:trPr>
          <w:trHeight w:val="300"/>
        </w:trPr>
        <w:tc>
          <w:tcPr>
            <w:tcW w:w="4280" w:type="dxa"/>
            <w:vAlign w:val="bottom"/>
          </w:tcPr>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4280" w:type="dxa"/>
            <w:vAlign w:val="bottom"/>
          </w:tcPr>
          <w:p>
            <w:pPr>
              <w:ind w:left="2340"/>
              <w:spacing w:after="0" w:line="184" w:lineRule="exact"/>
              <w:rPr>
                <w:sz w:val="20"/>
                <w:szCs w:val="20"/>
                <w:color w:val="auto"/>
              </w:rPr>
            </w:pPr>
            <w:r>
              <w:rPr>
                <w:rFonts w:ascii="Arial" w:cs="Arial" w:eastAsia="Arial" w:hAnsi="Arial"/>
                <w:sz w:val="16"/>
                <w:szCs w:val="16"/>
                <w:color w:val="auto"/>
                <w:w w:val="90"/>
              </w:rPr>
              <w:t xml:space="preserve">Smaller reporting company </w:t>
            </w:r>
            <w:r>
              <w:rPr>
                <w:rFonts w:ascii="MS PGothic" w:cs="MS PGothic" w:eastAsia="MS PGothic" w:hAnsi="MS PGothic"/>
                <w:sz w:val="16"/>
                <w:szCs w:val="16"/>
                <w:color w:val="auto"/>
                <w:w w:val="90"/>
              </w:rPr>
              <w:t>☐</w:t>
            </w:r>
          </w:p>
        </w:tc>
      </w:tr>
      <w:tr>
        <w:trPr>
          <w:trHeight w:val="283"/>
        </w:trPr>
        <w:tc>
          <w:tcPr>
            <w:tcW w:w="4280" w:type="dxa"/>
            <w:vAlign w:val="bottom"/>
          </w:tcPr>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tc>
        <w:tc>
          <w:tcPr>
            <w:tcW w:w="4280" w:type="dxa"/>
            <w:vAlign w:val="bottom"/>
          </w:tcPr>
          <w:p>
            <w:pPr>
              <w:spacing w:after="0"/>
              <w:rPr>
                <w:sz w:val="24"/>
                <w:szCs w:val="24"/>
                <w:color w:val="auto"/>
              </w:rPr>
            </w:pPr>
          </w:p>
        </w:tc>
      </w:tr>
    </w:tbl>
    <w:p>
      <w:pPr>
        <w:spacing w:after="0" w:line="201" w:lineRule="exact"/>
        <w:rPr>
          <w:sz w:val="20"/>
          <w:szCs w:val="20"/>
          <w:color w:val="auto"/>
        </w:rPr>
      </w:pPr>
    </w:p>
    <w:p>
      <w:pPr>
        <w:jc w:val="both"/>
        <w:spacing w:after="0" w:line="24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2" w:lineRule="exact"/>
        <w:rPr>
          <w:sz w:val="20"/>
          <w:szCs w:val="20"/>
          <w:color w:val="auto"/>
        </w:rPr>
      </w:pPr>
    </w:p>
    <w:p>
      <w:pPr>
        <w:jc w:val="both"/>
        <w:spacing w:after="0" w:line="259"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05" w:lineRule="exact"/>
        <w:rPr>
          <w:sz w:val="20"/>
          <w:szCs w:val="20"/>
          <w:color w:val="auto"/>
        </w:rPr>
      </w:pPr>
    </w:p>
    <w:p>
      <w:pPr>
        <w:jc w:val="both"/>
        <w:spacing w:after="0" w:line="240"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02" w:lineRule="exact"/>
        <w:rPr>
          <w:sz w:val="20"/>
          <w:szCs w:val="20"/>
          <w:color w:val="auto"/>
        </w:rPr>
      </w:pPr>
    </w:p>
    <w:p>
      <w:pPr>
        <w:jc w:val="both"/>
        <w:spacing w:after="0" w:line="239"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89" w:lineRule="exact"/>
        <w:rPr>
          <w:sz w:val="20"/>
          <w:szCs w:val="20"/>
          <w:color w:val="auto"/>
        </w:rPr>
      </w:pPr>
    </w:p>
    <w:p>
      <w:pPr>
        <w:spacing w:after="0" w:line="192" w:lineRule="exact"/>
        <w:tabs>
          <w:tab w:leader="none" w:pos="7440" w:val="left"/>
          <w:tab w:leader="none" w:pos="80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2025, the aggregate market value of the registrant’s common stock held by non-affiliates of the registrant was $321,142,346.</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As of February 20, 2026, the Registrant had 14,564,425 shares of common stock issued of which 13,748,074 shares are outstanding.</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DOCUMENTS INCORPORATED BY REFERENCE</w:t>
      </w:r>
    </w:p>
    <w:p>
      <w:pPr>
        <w:spacing w:after="0" w:line="241" w:lineRule="exact"/>
        <w:rPr>
          <w:sz w:val="20"/>
          <w:szCs w:val="20"/>
          <w:color w:val="auto"/>
        </w:rPr>
      </w:pPr>
    </w:p>
    <w:p>
      <w:pPr>
        <w:ind w:right="20"/>
        <w:spacing w:after="0" w:line="381" w:lineRule="auto"/>
        <w:rPr>
          <w:sz w:val="20"/>
          <w:szCs w:val="20"/>
          <w:color w:val="auto"/>
        </w:rPr>
      </w:pPr>
      <w:r>
        <w:rPr>
          <w:rFonts w:ascii="Arial" w:cs="Arial" w:eastAsia="Arial" w:hAnsi="Arial"/>
          <w:sz w:val="16"/>
          <w:szCs w:val="16"/>
          <w:color w:val="auto"/>
        </w:rPr>
        <w:t>Part III of Form 10-K – Portions of the definitive Proxy Statement for the 2026 Annual Meeting of Shareholders of Farmers &amp; Merchants Bancorp, Inc.</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208"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 / 63</w:t>
      </w:r>
    </w:p>
    <w:p>
      <w:pPr>
        <w:sectPr>
          <w:pgSz w:w="11900" w:h="16838" w:orient="portrait"/>
          <w:cols w:equalWidth="0" w:num="1">
            <w:col w:w="9340"/>
          </w:cols>
          <w:pgMar w:left="1260" w:top="1208" w:right="1306"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0" w:type="dxa"/>
            <w:vAlign w:val="bottom"/>
            <w:gridSpan w:val="19"/>
          </w:tcPr>
          <w:p>
            <w:pPr>
              <w:jc w:val="center"/>
              <w:ind w:right="1020"/>
              <w:spacing w:after="0"/>
              <w:rPr>
                <w:sz w:val="20"/>
                <w:szCs w:val="20"/>
                <w:color w:val="auto"/>
              </w:rPr>
            </w:pPr>
            <w:r>
              <w:rPr>
                <w:rFonts w:ascii="Arial" w:cs="Arial" w:eastAsia="Arial" w:hAnsi="Arial"/>
                <w:sz w:val="20"/>
                <w:szCs w:val="20"/>
                <w:color w:val="auto"/>
                <w:w w:val="96"/>
              </w:rPr>
              <w:t>FARMERS &amp; MERCHANTS BANCORP, INC.</w:t>
            </w:r>
          </w:p>
        </w:tc>
        <w:tc>
          <w:tcPr>
            <w:tcW w:w="1600" w:type="dxa"/>
            <w:vAlign w:val="bottom"/>
          </w:tcPr>
          <w:p>
            <w:pPr>
              <w:spacing w:after="0"/>
              <w:rPr>
                <w:sz w:val="19"/>
                <w:szCs w:val="19"/>
                <w:color w:val="auto"/>
              </w:rPr>
            </w:pPr>
          </w:p>
        </w:tc>
      </w:tr>
      <w:tr>
        <w:trPr>
          <w:trHeight w:val="300"/>
        </w:trPr>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15"/>
          </w:tcPr>
          <w:p>
            <w:pPr>
              <w:jc w:val="center"/>
              <w:ind w:right="1880"/>
              <w:spacing w:after="0"/>
              <w:rPr>
                <w:sz w:val="20"/>
                <w:szCs w:val="20"/>
                <w:color w:val="auto"/>
              </w:rPr>
            </w:pPr>
            <w:r>
              <w:rPr>
                <w:rFonts w:ascii="Arial" w:cs="Arial" w:eastAsia="Arial" w:hAnsi="Arial"/>
                <w:sz w:val="20"/>
                <w:szCs w:val="20"/>
                <w:color w:val="auto"/>
                <w:w w:val="96"/>
              </w:rPr>
              <w:t>TABLE OF CONTENTS</w:t>
            </w:r>
          </w:p>
        </w:tc>
        <w:tc>
          <w:tcPr>
            <w:tcW w:w="1600" w:type="dxa"/>
            <w:vAlign w:val="bottom"/>
          </w:tcPr>
          <w:p>
            <w:pPr>
              <w:spacing w:after="0"/>
              <w:rPr>
                <w:sz w:val="24"/>
                <w:szCs w:val="24"/>
                <w:color w:val="auto"/>
              </w:rPr>
            </w:pPr>
          </w:p>
        </w:tc>
      </w:tr>
      <w:tr>
        <w:trPr>
          <w:trHeight w:val="330"/>
        </w:trPr>
        <w:tc>
          <w:tcPr>
            <w:tcW w:w="1480" w:type="dxa"/>
            <w:vAlign w:val="bottom"/>
            <w:gridSpan w:val="2"/>
          </w:tcPr>
          <w:p>
            <w:pPr>
              <w:spacing w:after="0" w:line="230" w:lineRule="exact"/>
              <w:rPr>
                <w:sz w:val="20"/>
                <w:szCs w:val="20"/>
                <w:color w:val="auto"/>
              </w:rPr>
            </w:pPr>
            <w:r>
              <w:rPr>
                <w:rFonts w:ascii="Arial" w:cs="Arial" w:eastAsia="Arial" w:hAnsi="Arial"/>
                <w:sz w:val="20"/>
                <w:szCs w:val="20"/>
                <w:color w:val="auto"/>
                <w:w w:val="98"/>
              </w:rPr>
              <w:t>Form 10</w:t>
            </w:r>
            <w:r>
              <w:rPr>
                <w:rFonts w:ascii="MS PMincho" w:cs="MS PMincho" w:eastAsia="MS PMincho" w:hAnsi="MS PMincho"/>
                <w:sz w:val="20"/>
                <w:szCs w:val="20"/>
                <w:color w:val="auto"/>
                <w:w w:val="98"/>
              </w:rPr>
              <w:t>‑</w:t>
            </w:r>
            <w:r>
              <w:rPr>
                <w:rFonts w:ascii="Arial" w:cs="Arial" w:eastAsia="Arial" w:hAnsi="Arial"/>
                <w:sz w:val="20"/>
                <w:szCs w:val="20"/>
                <w:color w:val="auto"/>
                <w:w w:val="98"/>
              </w:rPr>
              <w:t>K Items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jc w:val="right"/>
              <w:ind w:right="420"/>
              <w:spacing w:after="0"/>
              <w:rPr>
                <w:sz w:val="20"/>
                <w:szCs w:val="20"/>
                <w:color w:val="auto"/>
              </w:rPr>
            </w:pPr>
            <w:r>
              <w:rPr>
                <w:rFonts w:ascii="Arial" w:cs="Arial" w:eastAsia="Arial" w:hAnsi="Arial"/>
                <w:sz w:val="20"/>
                <w:szCs w:val="20"/>
                <w:color w:val="auto"/>
              </w:rPr>
              <w:t>PAGE</w:t>
            </w:r>
          </w:p>
        </w:tc>
      </w:tr>
      <w:tr>
        <w:trPr>
          <w:trHeight w:val="440"/>
        </w:trPr>
        <w:tc>
          <w:tcPr>
            <w:tcW w:w="1480" w:type="dxa"/>
            <w:vAlign w:val="bottom"/>
            <w:gridSpan w:val="2"/>
          </w:tcPr>
          <w:p>
            <w:pPr>
              <w:spacing w:after="0"/>
              <w:rPr>
                <w:sz w:val="20"/>
                <w:szCs w:val="20"/>
                <w:color w:val="auto"/>
              </w:rPr>
            </w:pPr>
            <w:r>
              <w:rPr>
                <w:rFonts w:ascii="Arial" w:cs="Arial" w:eastAsia="Arial" w:hAnsi="Arial"/>
                <w:sz w:val="20"/>
                <w:szCs w:val="20"/>
                <w:color w:val="auto"/>
              </w:rPr>
              <w:t>Item 1.</w:t>
            </w:r>
          </w:p>
        </w:tc>
        <w:tc>
          <w:tcPr>
            <w:tcW w:w="72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86"/>
              </w:rPr>
              <w:t>Business</w:t>
            </w:r>
          </w:p>
        </w:tc>
        <w:tc>
          <w:tcPr>
            <w:tcW w:w="5600" w:type="dxa"/>
            <w:vAlign w:val="bottom"/>
            <w:gridSpan w:val="24"/>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3-12</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1a.</w:t>
            </w:r>
          </w:p>
        </w:tc>
        <w:tc>
          <w:tcPr>
            <w:tcW w:w="102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89"/>
              </w:rPr>
              <w:t>Risk Factors</w:t>
            </w:r>
          </w:p>
        </w:tc>
        <w:tc>
          <w:tcPr>
            <w:tcW w:w="5300" w:type="dxa"/>
            <w:vAlign w:val="bottom"/>
            <w:gridSpan w:val="20"/>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12-20</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1b.</w:t>
            </w:r>
          </w:p>
        </w:tc>
        <w:tc>
          <w:tcPr>
            <w:tcW w:w="6320" w:type="dxa"/>
            <w:vAlign w:val="bottom"/>
            <w:gridSpan w:val="25"/>
          </w:tcPr>
          <w:p>
            <w:pPr>
              <w:spacing w:after="0"/>
              <w:rPr>
                <w:sz w:val="20"/>
                <w:szCs w:val="20"/>
                <w:color w:val="auto"/>
              </w:rPr>
            </w:pPr>
            <w:r>
              <w:rPr>
                <w:rFonts w:ascii="Arial" w:cs="Arial" w:eastAsia="Arial" w:hAnsi="Arial"/>
                <w:sz w:val="20"/>
                <w:szCs w:val="20"/>
                <w:color w:val="0000FF"/>
              </w:rPr>
              <w:t>Unresolved Staff Comments</w:t>
            </w:r>
          </w:p>
        </w:tc>
        <w:tc>
          <w:tcPr>
            <w:tcW w:w="16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1c.</w:t>
            </w:r>
          </w:p>
        </w:tc>
        <w:tc>
          <w:tcPr>
            <w:tcW w:w="2280" w:type="dxa"/>
            <w:vAlign w:val="bottom"/>
            <w:tcBorders>
              <w:top w:val="single" w:sz="8" w:color="0000FF"/>
            </w:tcBorders>
            <w:gridSpan w:val="11"/>
          </w:tcPr>
          <w:p>
            <w:pPr>
              <w:spacing w:after="0"/>
              <w:rPr>
                <w:sz w:val="20"/>
                <w:szCs w:val="20"/>
                <w:color w:val="auto"/>
              </w:rPr>
            </w:pPr>
            <w:r>
              <w:rPr>
                <w:rFonts w:ascii="Arial" w:cs="Arial" w:eastAsia="Arial" w:hAnsi="Arial"/>
                <w:sz w:val="20"/>
                <w:szCs w:val="20"/>
                <w:color w:val="0000FF"/>
              </w:rPr>
              <w:t>Cybersecurity</w:t>
            </w:r>
          </w:p>
        </w:tc>
        <w:tc>
          <w:tcPr>
            <w:tcW w:w="4040" w:type="dxa"/>
            <w:vAlign w:val="bottom"/>
            <w:gridSpan w:val="14"/>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20-22</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2.</w:t>
            </w:r>
          </w:p>
        </w:tc>
        <w:tc>
          <w:tcPr>
            <w:tcW w:w="8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20"/>
                <w:szCs w:val="20"/>
                <w:color w:val="0000FF"/>
                <w:w w:val="87"/>
              </w:rPr>
              <w:t>Properties</w:t>
            </w:r>
          </w:p>
        </w:tc>
        <w:tc>
          <w:tcPr>
            <w:tcW w:w="300" w:type="dxa"/>
            <w:vAlign w:val="bottom"/>
            <w:tcBorders>
              <w:top w:val="single" w:sz="8" w:color="0000FF"/>
            </w:tcBorders>
            <w:gridSpan w:val="3"/>
          </w:tcPr>
          <w:p>
            <w:pPr>
              <w:spacing w:after="0"/>
              <w:rPr>
                <w:sz w:val="24"/>
                <w:szCs w:val="24"/>
                <w:color w:val="auto"/>
              </w:rPr>
            </w:pPr>
          </w:p>
        </w:tc>
        <w:tc>
          <w:tcPr>
            <w:tcW w:w="5200" w:type="dxa"/>
            <w:vAlign w:val="bottom"/>
            <w:gridSpan w:val="19"/>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22-23</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3.</w:t>
            </w:r>
          </w:p>
        </w:tc>
        <w:tc>
          <w:tcPr>
            <w:tcW w:w="6320" w:type="dxa"/>
            <w:vAlign w:val="bottom"/>
            <w:gridSpan w:val="25"/>
          </w:tcPr>
          <w:p>
            <w:pPr>
              <w:spacing w:after="0"/>
              <w:rPr>
                <w:sz w:val="20"/>
                <w:szCs w:val="20"/>
                <w:color w:val="auto"/>
              </w:rPr>
            </w:pPr>
            <w:r>
              <w:rPr>
                <w:rFonts w:ascii="Arial" w:cs="Arial" w:eastAsia="Arial" w:hAnsi="Arial"/>
                <w:sz w:val="20"/>
                <w:szCs w:val="20"/>
                <w:color w:val="0000FF"/>
              </w:rPr>
              <w:t>Legal Proceedings</w:t>
            </w:r>
          </w:p>
        </w:tc>
        <w:tc>
          <w:tcPr>
            <w:tcW w:w="16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0"/>
        </w:trPr>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4.</w:t>
            </w:r>
          </w:p>
        </w:tc>
        <w:tc>
          <w:tcPr>
            <w:tcW w:w="2000" w:type="dxa"/>
            <w:vAlign w:val="bottom"/>
            <w:tcBorders>
              <w:bottom w:val="single" w:sz="8" w:color="0000FF"/>
            </w:tcBorders>
            <w:gridSpan w:val="10"/>
          </w:tcPr>
          <w:p>
            <w:pPr>
              <w:spacing w:after="0"/>
              <w:rPr>
                <w:sz w:val="20"/>
                <w:szCs w:val="20"/>
                <w:color w:val="auto"/>
              </w:rPr>
            </w:pPr>
            <w:r>
              <w:rPr>
                <w:rFonts w:ascii="Arial" w:cs="Arial" w:eastAsia="Arial" w:hAnsi="Arial"/>
                <w:sz w:val="20"/>
                <w:szCs w:val="20"/>
                <w:color w:val="0000FF"/>
                <w:w w:val="92"/>
              </w:rPr>
              <w:t>Mine Safety Disclosures</w:t>
            </w:r>
          </w:p>
        </w:tc>
        <w:tc>
          <w:tcPr>
            <w:tcW w:w="4320" w:type="dxa"/>
            <w:vAlign w:val="bottom"/>
            <w:gridSpan w:val="15"/>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5.</w:t>
            </w:r>
          </w:p>
        </w:tc>
        <w:tc>
          <w:tcPr>
            <w:tcW w:w="5940" w:type="dxa"/>
            <w:vAlign w:val="bottom"/>
            <w:tcBorders>
              <w:bottom w:val="single" w:sz="8" w:color="0000FF"/>
            </w:tcBorders>
            <w:gridSpan w:val="23"/>
          </w:tcPr>
          <w:p>
            <w:pPr>
              <w:spacing w:after="0"/>
              <w:rPr>
                <w:sz w:val="20"/>
                <w:szCs w:val="20"/>
                <w:color w:val="auto"/>
              </w:rPr>
            </w:pPr>
            <w:r>
              <w:rPr>
                <w:rFonts w:ascii="Arial" w:cs="Arial" w:eastAsia="Arial" w:hAnsi="Arial"/>
                <w:sz w:val="20"/>
                <w:szCs w:val="20"/>
                <w:color w:val="0000FF"/>
                <w:w w:val="91"/>
              </w:rPr>
              <w:t>Market for Registrant’s Common Equity and Related Stockholder Matters</w:t>
            </w:r>
          </w:p>
        </w:tc>
        <w:tc>
          <w:tcPr>
            <w:tcW w:w="380" w:type="dxa"/>
            <w:vAlign w:val="bottom"/>
            <w:gridSpan w:val="2"/>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24-25</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6.</w:t>
            </w:r>
          </w:p>
        </w:tc>
        <w:tc>
          <w:tcPr>
            <w:tcW w:w="6320" w:type="dxa"/>
            <w:vAlign w:val="bottom"/>
            <w:gridSpan w:val="25"/>
          </w:tcPr>
          <w:p>
            <w:pPr>
              <w:spacing w:after="0"/>
              <w:rPr>
                <w:sz w:val="20"/>
                <w:szCs w:val="20"/>
                <w:color w:val="auto"/>
              </w:rPr>
            </w:pPr>
            <w:r>
              <w:rPr>
                <w:rFonts w:ascii="Arial" w:cs="Arial" w:eastAsia="Arial" w:hAnsi="Arial"/>
                <w:sz w:val="20"/>
                <w:szCs w:val="20"/>
                <w:color w:val="0000FF"/>
              </w:rPr>
              <w:t>Reserved</w:t>
            </w:r>
          </w:p>
        </w:tc>
        <w:tc>
          <w:tcPr>
            <w:tcW w:w="16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0"/>
        </w:trPr>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7.</w:t>
            </w:r>
          </w:p>
        </w:tc>
        <w:tc>
          <w:tcPr>
            <w:tcW w:w="6320" w:type="dxa"/>
            <w:vAlign w:val="bottom"/>
            <w:tcBorders>
              <w:bottom w:val="single" w:sz="8" w:color="0000FF"/>
            </w:tcBorders>
            <w:gridSpan w:val="25"/>
          </w:tcPr>
          <w:p>
            <w:pPr>
              <w:spacing w:after="0"/>
              <w:rPr>
                <w:sz w:val="20"/>
                <w:szCs w:val="20"/>
                <w:color w:val="auto"/>
              </w:rPr>
            </w:pPr>
            <w:r>
              <w:rPr>
                <w:rFonts w:ascii="Arial" w:cs="Arial" w:eastAsia="Arial" w:hAnsi="Arial"/>
                <w:sz w:val="20"/>
                <w:szCs w:val="20"/>
                <w:color w:val="0000FF"/>
                <w:w w:val="92"/>
              </w:rPr>
              <w:t>Management’s Discussion and Analysis of Financial Condition and Results of</w:t>
            </w:r>
          </w:p>
        </w:tc>
        <w:tc>
          <w:tcPr>
            <w:tcW w:w="1600" w:type="dxa"/>
            <w:vAlign w:val="bottom"/>
          </w:tcPr>
          <w:p>
            <w:pPr>
              <w:jc w:val="right"/>
              <w:spacing w:after="0"/>
              <w:rPr>
                <w:sz w:val="20"/>
                <w:szCs w:val="20"/>
                <w:color w:val="auto"/>
              </w:rPr>
            </w:pPr>
            <w:r>
              <w:rPr>
                <w:rFonts w:ascii="Arial" w:cs="Arial" w:eastAsia="Arial" w:hAnsi="Arial"/>
                <w:sz w:val="20"/>
                <w:szCs w:val="20"/>
                <w:color w:val="auto"/>
              </w:rPr>
              <w:t>25-51</w:t>
            </w:r>
          </w:p>
        </w:tc>
      </w:tr>
      <w:tr>
        <w:trPr>
          <w:trHeight w:val="280"/>
        </w:trPr>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320" w:type="dxa"/>
            <w:vAlign w:val="bottom"/>
            <w:gridSpan w:val="25"/>
          </w:tcPr>
          <w:p>
            <w:pPr>
              <w:spacing w:after="0"/>
              <w:rPr>
                <w:sz w:val="20"/>
                <w:szCs w:val="20"/>
                <w:color w:val="auto"/>
              </w:rPr>
            </w:pPr>
            <w:r>
              <w:rPr>
                <w:rFonts w:ascii="Arial" w:cs="Arial" w:eastAsia="Arial" w:hAnsi="Arial"/>
                <w:sz w:val="20"/>
                <w:szCs w:val="20"/>
                <w:color w:val="0000FF"/>
              </w:rPr>
              <w:t>Operations</w:t>
            </w:r>
          </w:p>
        </w:tc>
        <w:tc>
          <w:tcPr>
            <w:tcW w:w="160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7a.</w:t>
            </w:r>
          </w:p>
        </w:tc>
        <w:tc>
          <w:tcPr>
            <w:tcW w:w="6320" w:type="dxa"/>
            <w:vAlign w:val="bottom"/>
            <w:gridSpan w:val="25"/>
          </w:tcPr>
          <w:p>
            <w:pPr>
              <w:spacing w:after="0"/>
              <w:rPr>
                <w:sz w:val="20"/>
                <w:szCs w:val="20"/>
                <w:color w:val="auto"/>
              </w:rPr>
            </w:pPr>
            <w:r>
              <w:rPr>
                <w:rFonts w:ascii="Arial" w:cs="Arial" w:eastAsia="Arial" w:hAnsi="Arial"/>
                <w:sz w:val="20"/>
                <w:szCs w:val="20"/>
                <w:color w:val="0000FF"/>
              </w:rPr>
              <w:t>Quantitative and Qualitative Disclosures About Market Risk</w:t>
            </w:r>
          </w:p>
        </w:tc>
        <w:tc>
          <w:tcPr>
            <w:tcW w:w="16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8.</w:t>
            </w:r>
          </w:p>
        </w:tc>
        <w:tc>
          <w:tcPr>
            <w:tcW w:w="4840" w:type="dxa"/>
            <w:vAlign w:val="bottom"/>
            <w:tcBorders>
              <w:top w:val="single" w:sz="8" w:color="0000FF"/>
            </w:tcBorders>
            <w:gridSpan w:val="19"/>
          </w:tcPr>
          <w:p>
            <w:pPr>
              <w:spacing w:after="0"/>
              <w:rPr>
                <w:sz w:val="20"/>
                <w:szCs w:val="20"/>
                <w:color w:val="auto"/>
              </w:rPr>
            </w:pPr>
            <w:r>
              <w:rPr>
                <w:rFonts w:ascii="Arial" w:cs="Arial" w:eastAsia="Arial" w:hAnsi="Arial"/>
                <w:sz w:val="20"/>
                <w:szCs w:val="20"/>
                <w:color w:val="0000FF"/>
              </w:rPr>
              <w:t>Financial Statements and Supplementary Data</w:t>
            </w:r>
          </w:p>
        </w:tc>
        <w:tc>
          <w:tcPr>
            <w:tcW w:w="1480" w:type="dxa"/>
            <w:vAlign w:val="bottom"/>
            <w:gridSpan w:val="6"/>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53-118</w:t>
            </w:r>
          </w:p>
        </w:tc>
      </w:tr>
      <w:tr>
        <w:trPr>
          <w:trHeight w:val="20"/>
        </w:trPr>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9.</w:t>
            </w:r>
          </w:p>
        </w:tc>
        <w:tc>
          <w:tcPr>
            <w:tcW w:w="5760" w:type="dxa"/>
            <w:vAlign w:val="bottom"/>
            <w:tcBorders>
              <w:bottom w:val="single" w:sz="8" w:color="0000FF"/>
            </w:tcBorders>
            <w:gridSpan w:val="22"/>
          </w:tcPr>
          <w:p>
            <w:pPr>
              <w:spacing w:after="0"/>
              <w:rPr>
                <w:sz w:val="20"/>
                <w:szCs w:val="20"/>
                <w:color w:val="auto"/>
              </w:rPr>
            </w:pPr>
            <w:r>
              <w:rPr>
                <w:rFonts w:ascii="Arial" w:cs="Arial" w:eastAsia="Arial" w:hAnsi="Arial"/>
                <w:sz w:val="20"/>
                <w:szCs w:val="20"/>
                <w:color w:val="0000FF"/>
                <w:w w:val="90"/>
              </w:rPr>
              <w:t>Changes In and Disagreements on Accounting and Financial Disclosure</w:t>
            </w:r>
          </w:p>
        </w:tc>
        <w:tc>
          <w:tcPr>
            <w:tcW w:w="560" w:type="dxa"/>
            <w:vAlign w:val="bottom"/>
            <w:gridSpan w:val="3"/>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Item9a.</w:t>
            </w:r>
          </w:p>
        </w:tc>
        <w:tc>
          <w:tcPr>
            <w:tcW w:w="1980" w:type="dxa"/>
            <w:vAlign w:val="bottom"/>
            <w:tcBorders>
              <w:bottom w:val="single" w:sz="8" w:color="0000FF"/>
            </w:tcBorders>
            <w:gridSpan w:val="9"/>
          </w:tcPr>
          <w:p>
            <w:pPr>
              <w:spacing w:after="0"/>
              <w:rPr>
                <w:sz w:val="20"/>
                <w:szCs w:val="20"/>
                <w:color w:val="auto"/>
              </w:rPr>
            </w:pPr>
            <w:r>
              <w:rPr>
                <w:rFonts w:ascii="Arial" w:cs="Arial" w:eastAsia="Arial" w:hAnsi="Arial"/>
                <w:sz w:val="20"/>
                <w:szCs w:val="20"/>
                <w:color w:val="0000FF"/>
                <w:w w:val="88"/>
              </w:rPr>
              <w:t>Controls and Procedures</w:t>
            </w:r>
          </w:p>
        </w:tc>
        <w:tc>
          <w:tcPr>
            <w:tcW w:w="4340" w:type="dxa"/>
            <w:vAlign w:val="bottom"/>
            <w:gridSpan w:val="16"/>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9b.</w:t>
            </w:r>
          </w:p>
        </w:tc>
        <w:tc>
          <w:tcPr>
            <w:tcW w:w="6320" w:type="dxa"/>
            <w:vAlign w:val="bottom"/>
            <w:gridSpan w:val="25"/>
          </w:tcPr>
          <w:p>
            <w:pPr>
              <w:spacing w:after="0"/>
              <w:rPr>
                <w:sz w:val="20"/>
                <w:szCs w:val="20"/>
                <w:color w:val="auto"/>
              </w:rPr>
            </w:pPr>
            <w:r>
              <w:rPr>
                <w:rFonts w:ascii="Arial" w:cs="Arial" w:eastAsia="Arial" w:hAnsi="Arial"/>
                <w:sz w:val="20"/>
                <w:szCs w:val="20"/>
                <w:color w:val="0000FF"/>
              </w:rPr>
              <w:t>Other Information</w:t>
            </w:r>
          </w:p>
        </w:tc>
        <w:tc>
          <w:tcPr>
            <w:tcW w:w="160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20"/>
        </w:trPr>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9c.</w:t>
            </w:r>
          </w:p>
        </w:tc>
        <w:tc>
          <w:tcPr>
            <w:tcW w:w="5520" w:type="dxa"/>
            <w:vAlign w:val="bottom"/>
            <w:tcBorders>
              <w:bottom w:val="single" w:sz="8" w:color="0000FF"/>
            </w:tcBorders>
            <w:gridSpan w:val="21"/>
          </w:tcPr>
          <w:p>
            <w:pPr>
              <w:spacing w:after="0"/>
              <w:rPr>
                <w:sz w:val="20"/>
                <w:szCs w:val="20"/>
                <w:color w:val="auto"/>
              </w:rPr>
            </w:pPr>
            <w:r>
              <w:rPr>
                <w:rFonts w:ascii="Arial" w:cs="Arial" w:eastAsia="Arial" w:hAnsi="Arial"/>
                <w:sz w:val="20"/>
                <w:szCs w:val="20"/>
                <w:color w:val="0000FF"/>
                <w:w w:val="90"/>
              </w:rPr>
              <w:t>Disclosure Regarding Foreign Jurisdictions That Prevent Inspections</w:t>
            </w:r>
          </w:p>
        </w:tc>
        <w:tc>
          <w:tcPr>
            <w:tcW w:w="800" w:type="dxa"/>
            <w:vAlign w:val="bottom"/>
            <w:gridSpan w:val="4"/>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10.</w:t>
            </w:r>
          </w:p>
        </w:tc>
        <w:tc>
          <w:tcPr>
            <w:tcW w:w="6320" w:type="dxa"/>
            <w:vAlign w:val="bottom"/>
            <w:gridSpan w:val="25"/>
          </w:tcPr>
          <w:p>
            <w:pPr>
              <w:spacing w:after="0"/>
              <w:rPr>
                <w:sz w:val="20"/>
                <w:szCs w:val="20"/>
                <w:color w:val="auto"/>
              </w:rPr>
            </w:pPr>
            <w:r>
              <w:rPr>
                <w:rFonts w:ascii="Arial" w:cs="Arial" w:eastAsia="Arial" w:hAnsi="Arial"/>
                <w:sz w:val="20"/>
                <w:szCs w:val="20"/>
                <w:color w:val="0000FF"/>
              </w:rPr>
              <w:t>Directors and Executive Officers of the Registrant</w:t>
            </w:r>
          </w:p>
        </w:tc>
        <w:tc>
          <w:tcPr>
            <w:tcW w:w="1600" w:type="dxa"/>
            <w:vAlign w:val="bottom"/>
          </w:tcPr>
          <w:p>
            <w:pPr>
              <w:jc w:val="right"/>
              <w:spacing w:after="0"/>
              <w:rPr>
                <w:sz w:val="20"/>
                <w:szCs w:val="20"/>
                <w:color w:val="auto"/>
              </w:rPr>
            </w:pPr>
            <w:r>
              <w:rPr>
                <w:rFonts w:ascii="Arial" w:cs="Arial" w:eastAsia="Arial" w:hAnsi="Arial"/>
                <w:sz w:val="20"/>
                <w:szCs w:val="20"/>
                <w:color w:val="auto"/>
              </w:rPr>
              <w:t>120-122</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11.</w:t>
            </w:r>
          </w:p>
        </w:tc>
        <w:tc>
          <w:tcPr>
            <w:tcW w:w="4020" w:type="dxa"/>
            <w:vAlign w:val="bottom"/>
            <w:tcBorders>
              <w:top w:val="single" w:sz="8" w:color="0000FF"/>
            </w:tcBorders>
            <w:gridSpan w:val="16"/>
          </w:tcPr>
          <w:p>
            <w:pPr>
              <w:spacing w:after="0"/>
              <w:rPr>
                <w:sz w:val="20"/>
                <w:szCs w:val="20"/>
                <w:color w:val="auto"/>
              </w:rPr>
            </w:pPr>
            <w:r>
              <w:rPr>
                <w:rFonts w:ascii="Arial" w:cs="Arial" w:eastAsia="Arial" w:hAnsi="Arial"/>
                <w:sz w:val="20"/>
                <w:szCs w:val="20"/>
                <w:color w:val="0000FF"/>
              </w:rPr>
              <w:t>Executive Compensation</w:t>
            </w:r>
          </w:p>
        </w:tc>
        <w:tc>
          <w:tcPr>
            <w:tcW w:w="2300" w:type="dxa"/>
            <w:vAlign w:val="bottom"/>
            <w:gridSpan w:val="9"/>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0"/>
        </w:trPr>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gridSpan w:val="8"/>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12.</w:t>
            </w:r>
          </w:p>
        </w:tc>
        <w:tc>
          <w:tcPr>
            <w:tcW w:w="6320" w:type="dxa"/>
            <w:vAlign w:val="bottom"/>
            <w:gridSpan w:val="25"/>
          </w:tcPr>
          <w:p>
            <w:pPr>
              <w:spacing w:after="0"/>
              <w:rPr>
                <w:sz w:val="20"/>
                <w:szCs w:val="20"/>
                <w:color w:val="auto"/>
              </w:rPr>
            </w:pPr>
            <w:r>
              <w:rPr>
                <w:rFonts w:ascii="Arial" w:cs="Arial" w:eastAsia="Arial" w:hAnsi="Arial"/>
                <w:sz w:val="20"/>
                <w:szCs w:val="20"/>
                <w:color w:val="0000FF"/>
              </w:rPr>
              <w:t>Security Ownership of Certain Beneficial Owners and Management</w:t>
            </w:r>
          </w:p>
        </w:tc>
        <w:tc>
          <w:tcPr>
            <w:tcW w:w="1600" w:type="dxa"/>
            <w:vAlign w:val="bottom"/>
          </w:tcPr>
          <w:p>
            <w:pPr>
              <w:jc w:val="right"/>
              <w:spacing w:after="0"/>
              <w:rPr>
                <w:sz w:val="20"/>
                <w:szCs w:val="20"/>
                <w:color w:val="auto"/>
              </w:rPr>
            </w:pPr>
            <w:r>
              <w:rPr>
                <w:rFonts w:ascii="Arial" w:cs="Arial" w:eastAsia="Arial" w:hAnsi="Arial"/>
                <w:sz w:val="20"/>
                <w:szCs w:val="20"/>
                <w:color w:val="auto"/>
              </w:rPr>
              <w:t>123-124</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13.</w:t>
            </w:r>
          </w:p>
        </w:tc>
        <w:tc>
          <w:tcPr>
            <w:tcW w:w="5420" w:type="dxa"/>
            <w:vAlign w:val="bottom"/>
            <w:tcBorders>
              <w:top w:val="single" w:sz="8" w:color="0000FF"/>
            </w:tcBorders>
            <w:gridSpan w:val="20"/>
          </w:tcPr>
          <w:p>
            <w:pPr>
              <w:spacing w:after="0"/>
              <w:rPr>
                <w:sz w:val="20"/>
                <w:szCs w:val="20"/>
                <w:color w:val="auto"/>
              </w:rPr>
            </w:pPr>
            <w:r>
              <w:rPr>
                <w:rFonts w:ascii="Arial" w:cs="Arial" w:eastAsia="Arial" w:hAnsi="Arial"/>
                <w:sz w:val="20"/>
                <w:szCs w:val="20"/>
                <w:color w:val="0000FF"/>
              </w:rPr>
              <w:t>Certain Relationships and Related Transactions</w:t>
            </w:r>
          </w:p>
        </w:tc>
        <w:tc>
          <w:tcPr>
            <w:tcW w:w="900" w:type="dxa"/>
            <w:vAlign w:val="bottom"/>
            <w:gridSpan w:val="5"/>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124</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14.</w:t>
            </w:r>
          </w:p>
        </w:tc>
        <w:tc>
          <w:tcPr>
            <w:tcW w:w="3800" w:type="dxa"/>
            <w:vAlign w:val="bottom"/>
            <w:tcBorders>
              <w:top w:val="single" w:sz="8" w:color="0000FF"/>
            </w:tcBorders>
            <w:gridSpan w:val="15"/>
          </w:tcPr>
          <w:p>
            <w:pPr>
              <w:spacing w:after="0"/>
              <w:rPr>
                <w:sz w:val="20"/>
                <w:szCs w:val="20"/>
                <w:color w:val="auto"/>
              </w:rPr>
            </w:pPr>
            <w:r>
              <w:rPr>
                <w:rFonts w:ascii="Arial" w:cs="Arial" w:eastAsia="Arial" w:hAnsi="Arial"/>
                <w:sz w:val="20"/>
                <w:szCs w:val="20"/>
                <w:color w:val="0000FF"/>
              </w:rPr>
              <w:t>Principal Accountant Fees and Services</w:t>
            </w:r>
          </w:p>
        </w:tc>
        <w:tc>
          <w:tcPr>
            <w:tcW w:w="2520" w:type="dxa"/>
            <w:vAlign w:val="bottom"/>
            <w:gridSpan w:val="10"/>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124</w:t>
            </w:r>
          </w:p>
        </w:tc>
      </w:tr>
      <w:tr>
        <w:trPr>
          <w:trHeight w:val="20"/>
        </w:trPr>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gridSpan w:val="8"/>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15.</w:t>
            </w:r>
          </w:p>
        </w:tc>
        <w:tc>
          <w:tcPr>
            <w:tcW w:w="6320" w:type="dxa"/>
            <w:vAlign w:val="bottom"/>
            <w:gridSpan w:val="25"/>
          </w:tcPr>
          <w:p>
            <w:pPr>
              <w:spacing w:after="0"/>
              <w:rPr>
                <w:sz w:val="20"/>
                <w:szCs w:val="20"/>
                <w:color w:val="auto"/>
              </w:rPr>
            </w:pPr>
            <w:r>
              <w:rPr>
                <w:rFonts w:ascii="Arial" w:cs="Arial" w:eastAsia="Arial" w:hAnsi="Arial"/>
                <w:sz w:val="20"/>
                <w:szCs w:val="20"/>
                <w:color w:val="0000FF"/>
              </w:rPr>
              <w:t>Exhibits, Financial Schedules and Reports on Form 8-K</w:t>
            </w:r>
          </w:p>
        </w:tc>
        <w:tc>
          <w:tcPr>
            <w:tcW w:w="1600" w:type="dxa"/>
            <w:vAlign w:val="bottom"/>
          </w:tcPr>
          <w:p>
            <w:pPr>
              <w:jc w:val="right"/>
              <w:spacing w:after="0"/>
              <w:rPr>
                <w:sz w:val="20"/>
                <w:szCs w:val="20"/>
                <w:color w:val="auto"/>
              </w:rPr>
            </w:pPr>
            <w:r>
              <w:rPr>
                <w:rFonts w:ascii="Arial" w:cs="Arial" w:eastAsia="Arial" w:hAnsi="Arial"/>
                <w:sz w:val="20"/>
                <w:szCs w:val="20"/>
                <w:color w:val="auto"/>
              </w:rPr>
              <w:t>125-126</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Item 16.</w:t>
            </w:r>
          </w:p>
        </w:tc>
        <w:tc>
          <w:tcPr>
            <w:tcW w:w="4480" w:type="dxa"/>
            <w:vAlign w:val="bottom"/>
            <w:tcBorders>
              <w:top w:val="single" w:sz="8" w:color="0000FF"/>
            </w:tcBorders>
            <w:gridSpan w:val="18"/>
          </w:tcPr>
          <w:p>
            <w:pPr>
              <w:spacing w:after="0"/>
              <w:rPr>
                <w:sz w:val="20"/>
                <w:szCs w:val="20"/>
                <w:color w:val="auto"/>
              </w:rPr>
            </w:pPr>
            <w:r>
              <w:rPr>
                <w:rFonts w:ascii="Arial" w:cs="Arial" w:eastAsia="Arial" w:hAnsi="Arial"/>
                <w:sz w:val="20"/>
                <w:szCs w:val="20"/>
                <w:color w:val="0000FF"/>
              </w:rPr>
              <w:t>Form 10-K Summary</w:t>
            </w:r>
          </w:p>
        </w:tc>
        <w:tc>
          <w:tcPr>
            <w:tcW w:w="1840" w:type="dxa"/>
            <w:vAlign w:val="bottom"/>
            <w:gridSpan w:val="7"/>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430"/>
        </w:trPr>
        <w:tc>
          <w:tcPr>
            <w:tcW w:w="84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85"/>
              </w:rPr>
              <w:t>Signatures</w:t>
            </w:r>
          </w:p>
        </w:tc>
        <w:tc>
          <w:tcPr>
            <w:tcW w:w="64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Exhibit 10.9</w:t>
            </w:r>
          </w:p>
        </w:tc>
        <w:tc>
          <w:tcPr>
            <w:tcW w:w="6020" w:type="dxa"/>
            <w:vAlign w:val="bottom"/>
            <w:tcBorders>
              <w:bottom w:val="single" w:sz="8" w:color="0000FF"/>
            </w:tcBorders>
            <w:gridSpan w:val="24"/>
          </w:tcPr>
          <w:p>
            <w:pPr>
              <w:spacing w:after="0"/>
              <w:rPr>
                <w:sz w:val="20"/>
                <w:szCs w:val="20"/>
                <w:color w:val="auto"/>
              </w:rPr>
            </w:pPr>
            <w:r>
              <w:rPr>
                <w:rFonts w:ascii="Arial" w:cs="Arial" w:eastAsia="Arial" w:hAnsi="Arial"/>
                <w:sz w:val="20"/>
                <w:szCs w:val="20"/>
                <w:color w:val="0000FF"/>
                <w:w w:val="91"/>
              </w:rPr>
              <w:t>Farmers &amp; Merchants Bancorp, Inc. 2025 Long-Term Stock Incentive Plan</w:t>
            </w:r>
          </w:p>
        </w:tc>
        <w:tc>
          <w:tcPr>
            <w:tcW w:w="3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128</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Exhibit 21.</w:t>
            </w:r>
          </w:p>
        </w:tc>
        <w:tc>
          <w:tcPr>
            <w:tcW w:w="4140" w:type="dxa"/>
            <w:vAlign w:val="bottom"/>
            <w:tcBorders>
              <w:bottom w:val="single" w:sz="8" w:color="0000FF"/>
            </w:tcBorders>
            <w:gridSpan w:val="17"/>
          </w:tcPr>
          <w:p>
            <w:pPr>
              <w:spacing w:after="0"/>
              <w:rPr>
                <w:sz w:val="20"/>
                <w:szCs w:val="20"/>
                <w:color w:val="auto"/>
              </w:rPr>
            </w:pPr>
            <w:r>
              <w:rPr>
                <w:rFonts w:ascii="Arial" w:cs="Arial" w:eastAsia="Arial" w:hAnsi="Arial"/>
                <w:sz w:val="20"/>
                <w:szCs w:val="20"/>
                <w:color w:val="0000FF"/>
                <w:w w:val="91"/>
              </w:rPr>
              <w:t>Subsidiaries of Farmers &amp; Merchants Bancorp, Inc.</w:t>
            </w:r>
          </w:p>
        </w:tc>
        <w:tc>
          <w:tcPr>
            <w:tcW w:w="2180" w:type="dxa"/>
            <w:vAlign w:val="bottom"/>
            <w:gridSpan w:val="8"/>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147</w:t>
            </w:r>
          </w:p>
        </w:tc>
      </w:tr>
      <w:tr>
        <w:trPr>
          <w:trHeight w:val="430"/>
        </w:trPr>
        <w:tc>
          <w:tcPr>
            <w:tcW w:w="1480" w:type="dxa"/>
            <w:vAlign w:val="bottom"/>
            <w:gridSpan w:val="2"/>
          </w:tcPr>
          <w:p>
            <w:pPr>
              <w:spacing w:after="0"/>
              <w:rPr>
                <w:sz w:val="20"/>
                <w:szCs w:val="20"/>
                <w:color w:val="auto"/>
              </w:rPr>
            </w:pPr>
            <w:r>
              <w:rPr>
                <w:rFonts w:ascii="Arial" w:cs="Arial" w:eastAsia="Arial" w:hAnsi="Arial"/>
                <w:sz w:val="20"/>
                <w:szCs w:val="20"/>
                <w:color w:val="auto"/>
              </w:rPr>
              <w:t>Exhibit 31.</w:t>
            </w:r>
          </w:p>
        </w:tc>
        <w:tc>
          <w:tcPr>
            <w:tcW w:w="6320" w:type="dxa"/>
            <w:vAlign w:val="bottom"/>
            <w:gridSpan w:val="25"/>
          </w:tcPr>
          <w:p>
            <w:pPr>
              <w:spacing w:after="0"/>
              <w:rPr>
                <w:sz w:val="20"/>
                <w:szCs w:val="20"/>
                <w:color w:val="auto"/>
              </w:rPr>
            </w:pPr>
            <w:r>
              <w:rPr>
                <w:rFonts w:ascii="Arial" w:cs="Arial" w:eastAsia="Arial" w:hAnsi="Arial"/>
                <w:sz w:val="20"/>
                <w:szCs w:val="20"/>
                <w:color w:val="0000FF"/>
              </w:rPr>
              <w:t>Certifications Under Section 302</w:t>
            </w:r>
          </w:p>
        </w:tc>
        <w:tc>
          <w:tcPr>
            <w:tcW w:w="1600" w:type="dxa"/>
            <w:vAlign w:val="bottom"/>
          </w:tcPr>
          <w:p>
            <w:pPr>
              <w:jc w:val="right"/>
              <w:spacing w:after="0"/>
              <w:rPr>
                <w:sz w:val="20"/>
                <w:szCs w:val="20"/>
                <w:color w:val="auto"/>
              </w:rPr>
            </w:pPr>
            <w:r>
              <w:rPr>
                <w:rFonts w:ascii="Arial" w:cs="Arial" w:eastAsia="Arial" w:hAnsi="Arial"/>
                <w:sz w:val="20"/>
                <w:szCs w:val="20"/>
                <w:color w:val="auto"/>
              </w:rPr>
              <w:t>148</w:t>
            </w:r>
          </w:p>
        </w:tc>
      </w:tr>
      <w:tr>
        <w:trPr>
          <w:trHeight w:val="20"/>
        </w:trPr>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-7879080</wp:posOffset>
            </wp:positionV>
            <wp:extent cx="596773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63</w:t>
      </w:r>
    </w:p>
    <w:p>
      <w:pPr>
        <w:sectPr>
          <w:pgSz w:w="11900" w:h="16838" w:orient="portrait"/>
          <w:cols w:equalWidth="0" w:num="1">
            <w:col w:w="9400"/>
          </w:cols>
          <w:pgMar w:left="1260" w:top="1440" w:right="1246" w:bottom="0" w:gutter="0" w:footer="0" w:header="0"/>
          <w:type w:val="continuous"/>
        </w:sectPr>
      </w:pPr>
    </w:p>
    <w:bookmarkStart w:id="3" w:name="page4"/>
    <w:bookmarkEnd w:id="3"/>
    <w:p>
      <w:pPr>
        <w:ind w:left="6"/>
        <w:spacing w:after="0"/>
        <w:tabs>
          <w:tab w:leader="none" w:pos="1466" w:val="left"/>
          <w:tab w:leader="none" w:pos="9086" w:val="left"/>
        </w:tabs>
        <w:rPr>
          <w:sz w:val="20"/>
          <w:szCs w:val="20"/>
          <w:color w:val="auto"/>
        </w:rPr>
      </w:pPr>
      <w:r>
        <w:rPr>
          <w:rFonts w:ascii="Arial" w:cs="Arial" w:eastAsia="Arial" w:hAnsi="Arial"/>
          <w:sz w:val="20"/>
          <w:szCs w:val="20"/>
          <w:color w:val="auto"/>
        </w:rPr>
        <w:t>Exhibit 32.</w:t>
      </w:r>
      <w:r>
        <w:rPr>
          <w:sz w:val="20"/>
          <w:szCs w:val="20"/>
          <w:color w:val="auto"/>
        </w:rPr>
        <w:tab/>
      </w:r>
      <w:r>
        <w:rPr>
          <w:rFonts w:ascii="Arial" w:cs="Arial" w:eastAsia="Arial" w:hAnsi="Arial"/>
          <w:sz w:val="20"/>
          <w:szCs w:val="20"/>
          <w:u w:val="single" w:color="auto"/>
          <w:color w:val="0000FF"/>
        </w:rPr>
        <w:t>Certifications Under Section 906</w:t>
      </w:r>
      <w:r>
        <w:rPr>
          <w:sz w:val="20"/>
          <w:szCs w:val="20"/>
          <w:color w:val="auto"/>
        </w:rPr>
        <w:tab/>
      </w:r>
      <w:r>
        <w:rPr>
          <w:rFonts w:ascii="Arial" w:cs="Arial" w:eastAsia="Arial" w:hAnsi="Arial"/>
          <w:sz w:val="17"/>
          <w:szCs w:val="17"/>
          <w:color w:val="auto"/>
        </w:rPr>
        <w:t>150</w:t>
      </w:r>
    </w:p>
    <w:p>
      <w:pPr>
        <w:spacing w:after="0" w:line="230" w:lineRule="exact"/>
        <w:rPr>
          <w:sz w:val="20"/>
          <w:szCs w:val="20"/>
          <w:color w:val="auto"/>
        </w:rPr>
      </w:pPr>
    </w:p>
    <w:p>
      <w:pPr>
        <w:ind w:left="1486" w:right="1280" w:hanging="1490"/>
        <w:spacing w:after="0" w:line="273" w:lineRule="auto"/>
        <w:tabs>
          <w:tab w:leader="none" w:pos="1466" w:val="left"/>
        </w:tabs>
        <w:rPr>
          <w:sz w:val="20"/>
          <w:szCs w:val="20"/>
          <w:color w:val="auto"/>
        </w:rPr>
      </w:pPr>
      <w:r>
        <w:rPr>
          <w:rFonts w:ascii="Arial" w:cs="Arial" w:eastAsia="Arial" w:hAnsi="Arial"/>
          <w:sz w:val="20"/>
          <w:szCs w:val="20"/>
          <w:color w:val="auto"/>
        </w:rPr>
        <w:t>Exhibit 101.INS</w:t>
        <w:tab/>
        <w:t xml:space="preserve">Inline XBRL Instance Document – The instance document does not appear in the Interactive Data File because its XBRL tags are embedded within the Inline XBRL document. </w:t>
      </w:r>
      <w:r>
        <w:rPr>
          <w:rFonts w:ascii="Arial" w:cs="Arial" w:eastAsia="Arial" w:hAnsi="Arial"/>
          <w:sz w:val="26"/>
          <w:szCs w:val="26"/>
          <w:color w:val="auto"/>
          <w:vertAlign w:val="superscript"/>
        </w:rPr>
        <w:t>(1)</w:t>
      </w:r>
    </w:p>
    <w:p>
      <w:pPr>
        <w:spacing w:after="0" w:line="2" w:lineRule="exact"/>
        <w:rPr>
          <w:sz w:val="20"/>
          <w:szCs w:val="20"/>
          <w:color w:val="auto"/>
        </w:rPr>
      </w:pPr>
    </w:p>
    <w:p>
      <w:pPr>
        <w:ind w:left="6"/>
        <w:spacing w:after="0"/>
        <w:rPr>
          <w:sz w:val="20"/>
          <w:szCs w:val="20"/>
          <w:color w:val="auto"/>
        </w:rPr>
      </w:pPr>
      <w:r>
        <w:rPr>
          <w:rFonts w:ascii="Arial" w:cs="Arial" w:eastAsia="Arial" w:hAnsi="Arial"/>
          <w:sz w:val="20"/>
          <w:szCs w:val="20"/>
          <w:color w:val="auto"/>
        </w:rPr>
        <w:t xml:space="preserve">Exhibit 101.SCH Inline XBRL Taxonomy Extension Schema With Embedded Linkbase Documents </w:t>
      </w:r>
      <w:r>
        <w:rPr>
          <w:rFonts w:ascii="Arial" w:cs="Arial" w:eastAsia="Arial" w:hAnsi="Arial"/>
          <w:sz w:val="26"/>
          <w:szCs w:val="26"/>
          <w:color w:val="auto"/>
          <w:vertAlign w:val="superscript"/>
        </w:rPr>
        <w:t>(1)</w:t>
      </w:r>
    </w:p>
    <w:p>
      <w:pPr>
        <w:spacing w:after="0" w:line="115" w:lineRule="exact"/>
        <w:rPr>
          <w:sz w:val="20"/>
          <w:szCs w:val="20"/>
          <w:color w:val="auto"/>
        </w:rPr>
      </w:pPr>
    </w:p>
    <w:p>
      <w:pPr>
        <w:ind w:left="206" w:hanging="206"/>
        <w:spacing w:after="0"/>
        <w:tabs>
          <w:tab w:leader="none" w:pos="206" w:val="left"/>
        </w:tabs>
        <w:numPr>
          <w:ilvl w:val="0"/>
          <w:numId w:val="3"/>
        </w:numPr>
        <w:rPr>
          <w:rFonts w:ascii="Arial" w:cs="Arial" w:eastAsia="Arial" w:hAnsi="Arial"/>
          <w:sz w:val="25"/>
          <w:szCs w:val="25"/>
          <w:color w:val="auto"/>
          <w:vertAlign w:val="superscript"/>
        </w:rPr>
      </w:pPr>
      <w:r>
        <w:rPr>
          <w:rFonts w:ascii="Arial" w:cs="Arial" w:eastAsia="Arial" w:hAnsi="Arial"/>
          <w:sz w:val="17"/>
          <w:szCs w:val="17"/>
          <w:color w:val="auto"/>
        </w:rPr>
        <w:t>Pursuant to Rule 406T of Regulation S-T, the interactive Data Files in Exhibit 101 hereto are deemed not filed or part of a</w:t>
      </w:r>
    </w:p>
    <w:p>
      <w:pPr>
        <w:spacing w:after="0" w:line="101" w:lineRule="exact"/>
        <w:rPr>
          <w:rFonts w:ascii="Arial" w:cs="Arial" w:eastAsia="Arial" w:hAnsi="Arial"/>
          <w:sz w:val="25"/>
          <w:szCs w:val="25"/>
          <w:color w:val="auto"/>
          <w:vertAlign w:val="superscript"/>
        </w:rPr>
      </w:pPr>
    </w:p>
    <w:p>
      <w:pPr>
        <w:jc w:val="both"/>
        <w:ind w:left="6" w:right="220"/>
        <w:spacing w:after="0" w:line="342" w:lineRule="auto"/>
        <w:rPr>
          <w:rFonts w:ascii="Arial" w:cs="Arial" w:eastAsia="Arial" w:hAnsi="Arial"/>
          <w:sz w:val="25"/>
          <w:szCs w:val="25"/>
          <w:color w:val="auto"/>
          <w:vertAlign w:val="superscript"/>
        </w:rPr>
      </w:pPr>
      <w:r>
        <w:rPr>
          <w:rFonts w:ascii="Arial" w:cs="Arial" w:eastAsia="Arial" w:hAnsi="Arial"/>
          <w:sz w:val="18"/>
          <w:szCs w:val="18"/>
          <w:color w:val="auto"/>
        </w:rPr>
        <w:t>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08"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20"/>
                <w:szCs w:val="20"/>
                <w:color w:val="auto"/>
              </w:rPr>
              <w:t>Total Pages:</w:t>
            </w:r>
          </w:p>
        </w:tc>
        <w:tc>
          <w:tcPr>
            <w:tcW w:w="4360" w:type="dxa"/>
            <w:vAlign w:val="bottom"/>
          </w:tcPr>
          <w:p>
            <w:pPr>
              <w:jc w:val="right"/>
              <w:spacing w:after="0"/>
              <w:rPr>
                <w:sz w:val="20"/>
                <w:szCs w:val="20"/>
                <w:color w:val="auto"/>
              </w:rPr>
            </w:pPr>
            <w:r>
              <w:rPr>
                <w:rFonts w:ascii="Arial" w:cs="Arial" w:eastAsia="Arial" w:hAnsi="Arial"/>
                <w:sz w:val="20"/>
                <w:szCs w:val="20"/>
                <w:color w:val="auto"/>
              </w:rPr>
              <w:t>151</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 / 63</w:t>
      </w:r>
    </w:p>
    <w:p>
      <w:pPr>
        <w:sectPr>
          <w:pgSz w:w="11900" w:h="16838" w:orient="portrait"/>
          <w:cols w:equalWidth="0" w:num="1">
            <w:col w:w="9406"/>
          </w:cols>
          <w:pgMar w:left="1254" w:top="1163" w:right="1246"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Forward Looking Statements</w:t>
      </w:r>
    </w:p>
    <w:p>
      <w:pPr>
        <w:spacing w:after="0" w:line="200" w:lineRule="exact"/>
        <w:rPr>
          <w:sz w:val="20"/>
          <w:szCs w:val="20"/>
          <w:color w:val="auto"/>
        </w:rPr>
      </w:pPr>
    </w:p>
    <w:p>
      <w:pPr>
        <w:jc w:val="both"/>
        <w:ind w:right="20"/>
        <w:spacing w:after="0" w:line="330" w:lineRule="auto"/>
        <w:rPr>
          <w:sz w:val="20"/>
          <w:szCs w:val="20"/>
          <w:color w:val="auto"/>
        </w:rPr>
      </w:pPr>
      <w:r>
        <w:rPr>
          <w:rFonts w:ascii="Arial" w:cs="Arial" w:eastAsia="Arial" w:hAnsi="Arial"/>
          <w:sz w:val="19"/>
          <w:szCs w:val="19"/>
          <w:color w:val="auto"/>
        </w:rPr>
        <w:t>This Annual Report on Form 10-K contains “forward-looking statements” within the meaning of the Private Securities Litigation Reform Act of 1995. Forward-looking statements include, without limitation, statements regarding the Company’s expectations, beliefs, plans, objectives, goals, projections, assumptions, or future events or performance and may be identified by words such as “may,” “will,” “should,” “could,” “anticipate,” “believe,” “expect,” “intend,” “plan,” “estimate,” “project,” “continue,” “potential,” or similar expressions.</w:t>
      </w:r>
    </w:p>
    <w:p>
      <w:pPr>
        <w:spacing w:after="0" w:line="238" w:lineRule="exact"/>
        <w:rPr>
          <w:sz w:val="20"/>
          <w:szCs w:val="20"/>
          <w:color w:val="auto"/>
        </w:rPr>
      </w:pPr>
    </w:p>
    <w:p>
      <w:pPr>
        <w:jc w:val="both"/>
        <w:ind w:right="40"/>
        <w:spacing w:after="0" w:line="355" w:lineRule="auto"/>
        <w:rPr>
          <w:sz w:val="20"/>
          <w:szCs w:val="20"/>
          <w:color w:val="auto"/>
        </w:rPr>
      </w:pPr>
      <w:r>
        <w:rPr>
          <w:rFonts w:ascii="Arial" w:cs="Arial" w:eastAsia="Arial" w:hAnsi="Arial"/>
          <w:sz w:val="18"/>
          <w:szCs w:val="18"/>
          <w:color w:val="auto"/>
        </w:rPr>
        <w:t>Forward-looking statements are based on current expectations and assumptions and are subject to significant risks and uncertainties that could cause actual results, performance, or achievements to differ materially from those expressed or implied by such statements. Factors that could cause such differences include, among others:</w:t>
      </w:r>
    </w:p>
    <w:p>
      <w:pPr>
        <w:spacing w:after="0" w:line="147" w:lineRule="exact"/>
        <w:rPr>
          <w:sz w:val="20"/>
          <w:szCs w:val="20"/>
          <w:color w:val="auto"/>
        </w:rPr>
      </w:pPr>
    </w:p>
    <w:p>
      <w:pPr>
        <w:ind w:left="620" w:hanging="313"/>
        <w:spacing w:after="0" w:line="365" w:lineRule="auto"/>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changes in general economic, business, or market conditions, including inflationary pressures or recessionary trends;</w:t>
      </w:r>
    </w:p>
    <w:p>
      <w:pPr>
        <w:spacing w:after="0" w:line="10" w:lineRule="exact"/>
        <w:rPr>
          <w:rFonts w:ascii="Arial" w:cs="Arial" w:eastAsia="Arial" w:hAnsi="Arial"/>
          <w:sz w:val="20"/>
          <w:szCs w:val="20"/>
          <w:color w:val="auto"/>
        </w:rPr>
      </w:pPr>
    </w:p>
    <w:p>
      <w:pPr>
        <w:ind w:left="620" w:hanging="313"/>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changes in interest rates, yield curves, funding costs, or the availability of liquidity;</w:t>
      </w:r>
    </w:p>
    <w:p>
      <w:pPr>
        <w:spacing w:after="0" w:line="130" w:lineRule="exact"/>
        <w:rPr>
          <w:rFonts w:ascii="Arial" w:cs="Arial" w:eastAsia="Arial" w:hAnsi="Arial"/>
          <w:sz w:val="20"/>
          <w:szCs w:val="20"/>
          <w:color w:val="auto"/>
        </w:rPr>
      </w:pPr>
    </w:p>
    <w:p>
      <w:pPr>
        <w:ind w:left="620" w:hanging="313"/>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changes in deposit levels, deposit mix, or the behavior of uninsured or rate-sensitive deposits;</w:t>
      </w:r>
    </w:p>
    <w:p>
      <w:pPr>
        <w:spacing w:after="0" w:line="139" w:lineRule="exact"/>
        <w:rPr>
          <w:rFonts w:ascii="Arial" w:cs="Arial" w:eastAsia="Arial" w:hAnsi="Arial"/>
          <w:sz w:val="20"/>
          <w:szCs w:val="20"/>
          <w:color w:val="auto"/>
        </w:rPr>
      </w:pPr>
    </w:p>
    <w:p>
      <w:pPr>
        <w:ind w:left="620" w:right="60" w:hanging="313"/>
        <w:spacing w:after="0" w:line="365" w:lineRule="auto"/>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credit risk, including changes in the quality, performance, or concentration of the Company’s loan and investment portfolios, including commercial real estate exposures;</w:t>
      </w:r>
    </w:p>
    <w:p>
      <w:pPr>
        <w:spacing w:after="0" w:line="10" w:lineRule="exact"/>
        <w:rPr>
          <w:rFonts w:ascii="Arial" w:cs="Arial" w:eastAsia="Arial" w:hAnsi="Arial"/>
          <w:sz w:val="20"/>
          <w:szCs w:val="20"/>
          <w:color w:val="auto"/>
        </w:rPr>
      </w:pPr>
    </w:p>
    <w:p>
      <w:pPr>
        <w:ind w:left="620" w:hanging="313"/>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competitive pressures from financial institutions and non-bank financial service providers;</w:t>
      </w:r>
    </w:p>
    <w:p>
      <w:pPr>
        <w:spacing w:after="0" w:line="139" w:lineRule="exact"/>
        <w:rPr>
          <w:rFonts w:ascii="Arial" w:cs="Arial" w:eastAsia="Arial" w:hAnsi="Arial"/>
          <w:sz w:val="20"/>
          <w:szCs w:val="20"/>
          <w:color w:val="auto"/>
        </w:rPr>
      </w:pPr>
    </w:p>
    <w:p>
      <w:pPr>
        <w:ind w:left="620" w:right="60" w:hanging="313"/>
        <w:spacing w:after="0" w:line="41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legislative, regulatory, or supervisory developments, including changes in capital, liquidity, consumer protection, or compliance requirements, and the results of regulatory examinations or enforcement actions;</w:t>
      </w:r>
    </w:p>
    <w:p>
      <w:pPr>
        <w:ind w:left="620" w:right="60" w:hanging="313"/>
        <w:spacing w:after="0" w:line="365" w:lineRule="auto"/>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cybersecurity threats, fraud, operational failures, or disruptions to information technology or third-party service providers;</w:t>
      </w:r>
    </w:p>
    <w:p>
      <w:pPr>
        <w:spacing w:after="0" w:line="10" w:lineRule="exact"/>
        <w:rPr>
          <w:rFonts w:ascii="Arial" w:cs="Arial" w:eastAsia="Arial" w:hAnsi="Arial"/>
          <w:sz w:val="20"/>
          <w:szCs w:val="20"/>
          <w:color w:val="auto"/>
        </w:rPr>
      </w:pPr>
    </w:p>
    <w:p>
      <w:pPr>
        <w:ind w:left="620" w:hanging="313"/>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changes in accounting standards or interpretations;</w:t>
      </w:r>
    </w:p>
    <w:p>
      <w:pPr>
        <w:spacing w:after="0" w:line="130" w:lineRule="exact"/>
        <w:rPr>
          <w:rFonts w:ascii="Arial" w:cs="Arial" w:eastAsia="Arial" w:hAnsi="Arial"/>
          <w:sz w:val="20"/>
          <w:szCs w:val="20"/>
          <w:color w:val="auto"/>
        </w:rPr>
      </w:pPr>
    </w:p>
    <w:p>
      <w:pPr>
        <w:ind w:left="620" w:hanging="313"/>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impact of geopolitical events, public health developments, or other external shocks; and</w:t>
      </w:r>
    </w:p>
    <w:p>
      <w:pPr>
        <w:spacing w:after="0" w:line="139" w:lineRule="exact"/>
        <w:rPr>
          <w:rFonts w:ascii="Arial" w:cs="Arial" w:eastAsia="Arial" w:hAnsi="Arial"/>
          <w:sz w:val="20"/>
          <w:szCs w:val="20"/>
          <w:color w:val="auto"/>
        </w:rPr>
      </w:pPr>
    </w:p>
    <w:p>
      <w:pPr>
        <w:ind w:left="620" w:right="20" w:hanging="313"/>
        <w:spacing w:after="0" w:line="365" w:lineRule="auto"/>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other risks and uncertainties described in the sections captioned “Risk Factors” and elsewhere in this Form 10-K and in the Company’s other filings with the Securities and Exchange Commission.</w:t>
      </w:r>
    </w:p>
    <w:p>
      <w:pPr>
        <w:spacing w:after="0" w:line="215"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The foregoing list of factors is not exclusive. Additional risks and uncertainties not presently known to the Company or that the Company currently deems immaterial also may adversely affect the Company’s business, financial condition, results of operations, or cash flows.</w:t>
      </w:r>
    </w:p>
    <w:p>
      <w:pPr>
        <w:spacing w:after="0" w:line="257" w:lineRule="exact"/>
        <w:rPr>
          <w:sz w:val="20"/>
          <w:szCs w:val="20"/>
          <w:color w:val="auto"/>
        </w:rPr>
      </w:pPr>
    </w:p>
    <w:p>
      <w:pPr>
        <w:jc w:val="both"/>
        <w:ind w:right="20"/>
        <w:spacing w:after="0" w:line="309" w:lineRule="auto"/>
        <w:rPr>
          <w:sz w:val="20"/>
          <w:szCs w:val="20"/>
          <w:color w:val="auto"/>
        </w:rPr>
      </w:pPr>
      <w:r>
        <w:rPr>
          <w:rFonts w:ascii="Arial" w:cs="Arial" w:eastAsia="Arial" w:hAnsi="Arial"/>
          <w:sz w:val="20"/>
          <w:szCs w:val="20"/>
          <w:color w:val="auto"/>
        </w:rPr>
        <w:t>Forward-looking statements speak only as of the date on which they are made. Except as required by applicable law or regulation, the Company undertakes no obligation to update, revise, or publicly disclose the results of any revisions to any forward-looking statement to reflect new information, future events, or otherwise. Readers are cautioned not to place undue reliance on forward-looking statements.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1. BUSINESS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 / 63</w:t>
      </w:r>
    </w:p>
    <w:p>
      <w:pPr>
        <w:sectPr>
          <w:pgSz w:w="11900" w:h="16838" w:orient="portrait"/>
          <w:cols w:equalWidth="0" w:num="1">
            <w:col w:w="9360"/>
          </w:cols>
          <w:pgMar w:left="1260" w:top="1440" w:right="1286" w:bottom="0" w:gutter="0" w:footer="0" w:header="0"/>
          <w:type w:val="continuous"/>
        </w:sectPr>
      </w:pPr>
    </w:p>
    <w:bookmarkStart w:id="5" w:name="page6"/>
    <w:bookmarkEnd w:id="5"/>
    <w:p>
      <w:pPr>
        <w:jc w:val="both"/>
        <w:spacing w:after="0" w:line="329" w:lineRule="auto"/>
        <w:rPr>
          <w:sz w:val="20"/>
          <w:szCs w:val="20"/>
          <w:color w:val="auto"/>
        </w:rPr>
      </w:pPr>
      <w:r>
        <w:rPr>
          <w:rFonts w:ascii="Arial" w:cs="Arial" w:eastAsia="Arial" w:hAnsi="Arial"/>
          <w:sz w:val="19"/>
          <w:szCs w:val="19"/>
          <w:color w:val="auto"/>
        </w:rPr>
        <w:t>Farmers &amp; Merchants Bancorp, Inc. (Company) is a bank holding company incorporated under the laws of Ohio in 1985 and elected to become a financial holding company under the Federal Reserve in 2014. Our primary subsidiary, The Farmers &amp; Merchants State Bank (Bank) is a local independent community bank that has been primarily serving Northwest Ohio, Northeast Indiana and Southeast Michigan since 1897. Our other subsidiary, Farmers &amp; Merchants Risk Management (Captive) was a captive insurance company formed in December 2014, located in Nevada and dissolved in December 2023. The Bank includes F&amp;M Insurance Agency, LLC, a subsidiary offering insurance products, which was formed in November 2023. We report our financial condition and net income on a consolidated basis and have only one segment.</w:t>
      </w:r>
    </w:p>
    <w:p>
      <w:pPr>
        <w:spacing w:after="0" w:line="244" w:lineRule="exact"/>
        <w:rPr>
          <w:sz w:val="20"/>
          <w:szCs w:val="20"/>
          <w:color w:val="auto"/>
        </w:rPr>
      </w:pPr>
    </w:p>
    <w:p>
      <w:pPr>
        <w:ind w:right="120"/>
        <w:spacing w:after="0" w:line="302" w:lineRule="auto"/>
        <w:rPr>
          <w:sz w:val="20"/>
          <w:szCs w:val="20"/>
          <w:color w:val="auto"/>
        </w:rPr>
      </w:pPr>
      <w:r>
        <w:rPr>
          <w:rFonts w:ascii="Arial" w:cs="Arial" w:eastAsia="Arial" w:hAnsi="Arial"/>
          <w:sz w:val="20"/>
          <w:szCs w:val="20"/>
          <w:color w:val="auto"/>
        </w:rPr>
        <w:t>Our executive offices are located at 307 North Defiance Street, Archbold, Ohio 43502, and our telephone number is (419) 446-2501.</w:t>
      </w:r>
    </w:p>
    <w:p>
      <w:pPr>
        <w:spacing w:after="0" w:line="261"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For a discussion of the general development of the Company’s business throughout 2025, please see the portion of Management’s Discussion and Analysis of Financial Condition and Results of Operations captioned “2025 in Review.”</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Nature of Activities</w:t>
      </w:r>
    </w:p>
    <w:p>
      <w:pPr>
        <w:spacing w:after="0" w:line="200"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color w:val="auto"/>
        </w:rPr>
        <w:t>The Farmers &amp; Merchants State Bank engages in general commercial banking and savings business including commercial, agricultural and residential mortgage as well as consumer lending activities. Because the Bank's offices are primarily located in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63</w:t>
      </w:r>
    </w:p>
    <w:p>
      <w:pPr>
        <w:sectPr>
          <w:pgSz w:w="11900" w:h="16838" w:orient="portrait"/>
          <w:cols w:equalWidth="0" w:num="1">
            <w:col w:w="9380"/>
          </w:cols>
          <w:pgMar w:left="1260" w:top="1173" w:right="1266"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40"/>
        <w:spacing w:after="0" w:line="329" w:lineRule="auto"/>
        <w:rPr>
          <w:sz w:val="20"/>
          <w:szCs w:val="20"/>
          <w:color w:val="auto"/>
        </w:rPr>
      </w:pPr>
      <w:r>
        <w:rPr>
          <w:rFonts w:ascii="Arial" w:cs="Arial" w:eastAsia="Arial" w:hAnsi="Arial"/>
          <w:sz w:val="19"/>
          <w:szCs w:val="19"/>
          <w:color w:val="auto"/>
        </w:rPr>
        <w:t>Northwest Ohio, Northeast Indiana and Southeast Michigan, a substantial amount of the loan portfolio is comprised of loans made to customers in the agricultural industry for such items as farmland, farm equipment, livestock and operating loans for seed, fertilizer, and feed. Other types of lending activities include loans for home improvements and loans for such items as autos, trucks, recreational vehicles and motorcycles. With the expansion into newer market areas, the most recent increases in loan activity have been in commercial and industrial, providing operating lines of credit and machinery purchases, and commercial real estate. The Bank also operates three Loan Production Offices (LPOs), two in Ohio and one in Indiana.</w:t>
      </w:r>
    </w:p>
    <w:p>
      <w:pPr>
        <w:spacing w:after="0" w:line="243" w:lineRule="exact"/>
        <w:rPr>
          <w:sz w:val="20"/>
          <w:szCs w:val="20"/>
          <w:color w:val="auto"/>
        </w:rPr>
      </w:pPr>
    </w:p>
    <w:p>
      <w:pPr>
        <w:jc w:val="both"/>
        <w:ind w:right="20"/>
        <w:spacing w:after="0" w:line="349" w:lineRule="auto"/>
        <w:rPr>
          <w:sz w:val="20"/>
          <w:szCs w:val="20"/>
          <w:color w:val="auto"/>
        </w:rPr>
      </w:pPr>
      <w:r>
        <w:rPr>
          <w:rFonts w:ascii="Arial" w:cs="Arial" w:eastAsia="Arial" w:hAnsi="Arial"/>
          <w:sz w:val="18"/>
          <w:szCs w:val="18"/>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189" w:lineRule="exact"/>
        <w:rPr>
          <w:sz w:val="20"/>
          <w:szCs w:val="20"/>
          <w:color w:val="auto"/>
        </w:rPr>
      </w:pPr>
    </w:p>
    <w:p>
      <w:pPr>
        <w:jc w:val="both"/>
        <w:spacing w:after="0" w:line="348" w:lineRule="auto"/>
        <w:rPr>
          <w:sz w:val="20"/>
          <w:szCs w:val="20"/>
          <w:color w:val="auto"/>
        </w:rPr>
      </w:pPr>
      <w:r>
        <w:rPr>
          <w:rFonts w:ascii="Arial" w:cs="Arial" w:eastAsia="Arial" w:hAnsi="Arial"/>
          <w:sz w:val="18"/>
          <w:szCs w:val="18"/>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seven and ten year fixed rate mortgage and a seven year jumbo fixed rate mortgage after which the interest rate will adjust annually for all. In order to offer longer term fixed rate mortgages, the Bank does participate in the Freddie Mac, Farm Service Agency (FSA) guaranteed secondary Agricultural market,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 The Bank currently participates in three State of Ohio programs: Ag-Link, Grow Now and Ohio Homebuyers Plus. What all three of these programs have in common, is the ability to provide the Bank an avenue to offer a product that saves both the Bank and the consumer savings over other traditional products. With the acquisition of Perpetual Federal Savings Bank in the fourth quarter of 2021 and the addition of Peoples Federal Savings in the fourth quarter of 2022, the Bank saw an increase in fixed rate, long-term mortgage loans to our portfolio from that banking service area. The Bank began offering a low income home buyer mortgage program, currently Hometown Advantage Mortgage Program, in November of 2023.</w:t>
      </w:r>
    </w:p>
    <w:p>
      <w:pPr>
        <w:spacing w:after="0" w:line="238"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color w:val="auto"/>
        </w:rPr>
        <w:t>The Bank does not have a program to fund sub-prime loans. Sub-prime loans are characterized as a lending program or strategy that targets borrowers who pose a significantly higher risk of default than traditional retail banking customers.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 / 63</w:t>
      </w:r>
    </w:p>
    <w:p>
      <w:pPr>
        <w:sectPr>
          <w:pgSz w:w="11900" w:h="16838" w:orient="portrait"/>
          <w:cols w:equalWidth="0" w:num="1">
            <w:col w:w="9380"/>
          </w:cols>
          <w:pgMar w:left="1260" w:top="1440" w:right="1266" w:bottom="0" w:gutter="0" w:footer="0" w:header="0"/>
          <w:type w:val="continuous"/>
        </w:sectPr>
      </w:pPr>
    </w:p>
    <w:bookmarkStart w:id="7" w:name="page8"/>
    <w:bookmarkEnd w:id="7"/>
    <w:p>
      <w:pPr>
        <w:jc w:val="both"/>
        <w:spacing w:after="0" w:line="352"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Consumer Loans:</w:t>
      </w:r>
    </w:p>
    <w:p>
      <w:pPr>
        <w:spacing w:after="0" w:line="125" w:lineRule="exact"/>
        <w:rPr>
          <w:sz w:val="20"/>
          <w:szCs w:val="20"/>
          <w:color w:val="auto"/>
        </w:rPr>
      </w:pPr>
    </w:p>
    <w:p>
      <w:pPr>
        <w:ind w:left="540" w:hanging="233"/>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Maximum loan to value (LTV) for cars, SUVs, and trucks is 110% depending on whether direct or indirect.</w:t>
      </w:r>
    </w:p>
    <w:p>
      <w:pPr>
        <w:spacing w:after="0" w:line="143" w:lineRule="exact"/>
        <w:rPr>
          <w:rFonts w:ascii="Arial" w:cs="Arial" w:eastAsia="Arial" w:hAnsi="Arial"/>
          <w:sz w:val="18"/>
          <w:szCs w:val="18"/>
          <w:color w:val="auto"/>
        </w:rPr>
      </w:pPr>
    </w:p>
    <w:p>
      <w:pPr>
        <w:ind w:left="540" w:hanging="233"/>
        <w:spacing w:after="0"/>
        <w:tabs>
          <w:tab w:leader="none" w:pos="540" w:val="left"/>
        </w:tabs>
        <w:numPr>
          <w:ilvl w:val="0"/>
          <w:numId w:val="5"/>
        </w:numPr>
        <w:rPr>
          <w:rFonts w:ascii="Arial" w:cs="Arial" w:eastAsia="Arial" w:hAnsi="Arial"/>
          <w:sz w:val="20"/>
          <w:szCs w:val="20"/>
          <w:color w:val="auto"/>
        </w:rPr>
      </w:pPr>
      <w:r>
        <w:rPr>
          <w:rFonts w:ascii="Arial" w:cs="Arial" w:eastAsia="Arial" w:hAnsi="Arial"/>
          <w:sz w:val="20"/>
          <w:szCs w:val="20"/>
          <w:color w:val="auto"/>
        </w:rPr>
        <w:t>Loans above 100% are generally the result of sales tax.</w:t>
      </w:r>
    </w:p>
    <w:p>
      <w:pPr>
        <w:spacing w:after="0" w:line="139" w:lineRule="exact"/>
        <w:rPr>
          <w:rFonts w:ascii="Arial" w:cs="Arial" w:eastAsia="Arial" w:hAnsi="Arial"/>
          <w:sz w:val="20"/>
          <w:szCs w:val="20"/>
          <w:color w:val="auto"/>
        </w:rPr>
      </w:pPr>
    </w:p>
    <w:p>
      <w:pPr>
        <w:ind w:left="540" w:hanging="233"/>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Boats, campers, motorcycles, RV's and Motor Coaches range from 80%-90% based on age of vehicle.</w:t>
      </w:r>
    </w:p>
    <w:p>
      <w:pPr>
        <w:spacing w:after="0" w:line="131" w:lineRule="exact"/>
        <w:rPr>
          <w:rFonts w:ascii="Arial" w:cs="Arial" w:eastAsia="Arial" w:hAnsi="Arial"/>
          <w:sz w:val="19"/>
          <w:szCs w:val="19"/>
          <w:color w:val="auto"/>
        </w:rPr>
      </w:pPr>
    </w:p>
    <w:p>
      <w:pPr>
        <w:ind w:left="540" w:hanging="233"/>
        <w:spacing w:after="0"/>
        <w:tabs>
          <w:tab w:leader="none" w:pos="540" w:val="left"/>
        </w:tabs>
        <w:numPr>
          <w:ilvl w:val="0"/>
          <w:numId w:val="5"/>
        </w:numPr>
        <w:rPr>
          <w:rFonts w:ascii="Arial" w:cs="Arial" w:eastAsia="Arial" w:hAnsi="Arial"/>
          <w:sz w:val="20"/>
          <w:szCs w:val="20"/>
          <w:color w:val="auto"/>
        </w:rPr>
      </w:pPr>
      <w:r>
        <w:rPr>
          <w:rFonts w:ascii="Arial" w:cs="Arial" w:eastAsia="Arial" w:hAnsi="Arial"/>
          <w:sz w:val="20"/>
          <w:szCs w:val="20"/>
          <w:color w:val="auto"/>
        </w:rPr>
        <w:t>1st or 2nd mortgages on 1-4 family homes maximum LTV range from 80%-85%.</w:t>
      </w:r>
    </w:p>
    <w:p>
      <w:pPr>
        <w:spacing w:after="0" w:line="139" w:lineRule="exact"/>
        <w:rPr>
          <w:rFonts w:ascii="Arial" w:cs="Arial" w:eastAsia="Arial" w:hAnsi="Arial"/>
          <w:sz w:val="20"/>
          <w:szCs w:val="20"/>
          <w:color w:val="auto"/>
        </w:rPr>
      </w:pPr>
    </w:p>
    <w:p>
      <w:pPr>
        <w:ind w:left="540" w:right="40" w:hanging="233"/>
        <w:spacing w:after="0" w:line="365" w:lineRule="auto"/>
        <w:tabs>
          <w:tab w:leader="none" w:pos="5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Raw land LTV maximum ranges from 65%-75% depending on whether or not the property has been improved.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Commercial/Agriculture:</w:t>
      </w:r>
    </w:p>
    <w:p>
      <w:pPr>
        <w:spacing w:after="0" w:line="7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Accounts Receivable:</w:t>
      </w:r>
    </w:p>
    <w:p>
      <w:pPr>
        <w:spacing w:after="0" w:line="116" w:lineRule="exact"/>
        <w:rPr>
          <w:sz w:val="20"/>
          <w:szCs w:val="20"/>
          <w:color w:val="auto"/>
        </w:rPr>
      </w:pPr>
    </w:p>
    <w:p>
      <w:pPr>
        <w:ind w:left="620"/>
        <w:spacing w:after="0"/>
        <w:tabs>
          <w:tab w:leader="none" w:pos="8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Up to 80% LTV less retainages and greater than 90 days.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Inventory:</w:t>
      </w:r>
    </w:p>
    <w:p>
      <w:pPr>
        <w:spacing w:after="0" w:line="116" w:lineRule="exact"/>
        <w:rPr>
          <w:sz w:val="20"/>
          <w:szCs w:val="20"/>
          <w:color w:val="auto"/>
        </w:rPr>
      </w:pPr>
    </w:p>
    <w:p>
      <w:pPr>
        <w:ind w:left="620"/>
        <w:spacing w:after="0"/>
        <w:tabs>
          <w:tab w:leader="none" w:pos="8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Agriculture:</w:t>
      </w:r>
    </w:p>
    <w:p>
      <w:pPr>
        <w:spacing w:after="0" w:line="140" w:lineRule="exact"/>
        <w:rPr>
          <w:sz w:val="20"/>
          <w:szCs w:val="20"/>
          <w:color w:val="auto"/>
        </w:rPr>
      </w:pPr>
    </w:p>
    <w:p>
      <w:pPr>
        <w:ind w:left="1480" w:right="20" w:hanging="311"/>
        <w:spacing w:after="0" w:line="365" w:lineRule="auto"/>
        <w:tabs>
          <w:tab w:leader="none" w:pos="1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Livestock and grain up to 80% LTV, crops (insured) up to 75% and Warehouse Receipts up to 87%.</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 / 63</w:t>
      </w:r>
    </w:p>
    <w:p>
      <w:pPr>
        <w:sectPr>
          <w:pgSz w:w="11900" w:h="16838" w:orient="portrait"/>
          <w:cols w:equalWidth="0" w:num="1">
            <w:col w:w="9340"/>
          </w:cols>
          <w:pgMar w:left="1260" w:top="1173" w:right="1306" w:bottom="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spacing w:after="0"/>
        <w:tabs>
          <w:tab w:leader="none" w:pos="8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Commercial:</w:t>
      </w:r>
    </w:p>
    <w:p>
      <w:pPr>
        <w:spacing w:after="0" w:line="130" w:lineRule="exact"/>
        <w:rPr>
          <w:sz w:val="20"/>
          <w:szCs w:val="20"/>
          <w:color w:val="auto"/>
        </w:rPr>
      </w:pPr>
    </w:p>
    <w:p>
      <w:pPr>
        <w:ind w:left="1480" w:hanging="311"/>
        <w:spacing w:after="0"/>
        <w:tabs>
          <w:tab w:leader="none" w:pos="1480" w:val="left"/>
        </w:tabs>
        <w:numPr>
          <w:ilvl w:val="1"/>
          <w:numId w:val="7"/>
        </w:numPr>
        <w:rPr>
          <w:rFonts w:ascii="Arial" w:cs="Arial" w:eastAsia="Arial" w:hAnsi="Arial"/>
          <w:sz w:val="20"/>
          <w:szCs w:val="20"/>
          <w:color w:val="auto"/>
        </w:rPr>
      </w:pPr>
      <w:r>
        <w:rPr>
          <w:rFonts w:ascii="Arial" w:cs="Arial" w:eastAsia="Arial" w:hAnsi="Arial"/>
          <w:sz w:val="20"/>
          <w:szCs w:val="20"/>
          <w:color w:val="auto"/>
        </w:rPr>
        <w:t>Maximum LTV of 50% on raw and finished goods.</w:t>
      </w:r>
    </w:p>
    <w:p>
      <w:pPr>
        <w:spacing w:after="0" w:line="130" w:lineRule="exact"/>
        <w:rPr>
          <w:rFonts w:ascii="Arial" w:cs="Arial" w:eastAsia="Arial" w:hAnsi="Arial"/>
          <w:sz w:val="20"/>
          <w:szCs w:val="20"/>
          <w:color w:val="auto"/>
        </w:rPr>
      </w:pPr>
    </w:p>
    <w:p>
      <w:pPr>
        <w:ind w:left="860" w:hanging="240"/>
        <w:spacing w:after="0"/>
        <w:tabs>
          <w:tab w:leader="none" w:pos="860" w:val="left"/>
        </w:tabs>
        <w:numPr>
          <w:ilvl w:val="0"/>
          <w:numId w:val="7"/>
        </w:numPr>
        <w:rPr>
          <w:rFonts w:ascii="Arial" w:cs="Arial" w:eastAsia="Arial" w:hAnsi="Arial"/>
          <w:sz w:val="20"/>
          <w:szCs w:val="20"/>
          <w:color w:val="auto"/>
        </w:rPr>
      </w:pPr>
      <w:r>
        <w:rPr>
          <w:rFonts w:ascii="Arial" w:cs="Arial" w:eastAsia="Arial" w:hAnsi="Arial"/>
          <w:sz w:val="20"/>
          <w:szCs w:val="20"/>
          <w:color w:val="auto"/>
        </w:rPr>
        <w:t>Floor plan:</w:t>
      </w:r>
    </w:p>
    <w:p>
      <w:pPr>
        <w:spacing w:after="0" w:line="130" w:lineRule="exact"/>
        <w:rPr>
          <w:rFonts w:ascii="Arial" w:cs="Arial" w:eastAsia="Arial" w:hAnsi="Arial"/>
          <w:sz w:val="20"/>
          <w:szCs w:val="20"/>
          <w:color w:val="auto"/>
        </w:rPr>
      </w:pPr>
    </w:p>
    <w:p>
      <w:pPr>
        <w:ind w:left="1480" w:hanging="311"/>
        <w:spacing w:after="0"/>
        <w:tabs>
          <w:tab w:leader="none" w:pos="1480" w:val="left"/>
        </w:tabs>
        <w:numPr>
          <w:ilvl w:val="1"/>
          <w:numId w:val="7"/>
        </w:numPr>
        <w:rPr>
          <w:rFonts w:ascii="Arial" w:cs="Arial" w:eastAsia="Arial" w:hAnsi="Arial"/>
          <w:sz w:val="20"/>
          <w:szCs w:val="20"/>
          <w:color w:val="auto"/>
        </w:rPr>
      </w:pPr>
      <w:r>
        <w:rPr>
          <w:rFonts w:ascii="Arial" w:cs="Arial" w:eastAsia="Arial" w:hAnsi="Arial"/>
          <w:sz w:val="20"/>
          <w:szCs w:val="20"/>
          <w:color w:val="auto"/>
        </w:rPr>
        <w:t>New/used vehicles to 100% of wholesale.</w:t>
      </w:r>
    </w:p>
    <w:p>
      <w:pPr>
        <w:spacing w:after="0" w:line="130" w:lineRule="exact"/>
        <w:rPr>
          <w:rFonts w:ascii="Arial" w:cs="Arial" w:eastAsia="Arial" w:hAnsi="Arial"/>
          <w:sz w:val="20"/>
          <w:szCs w:val="20"/>
          <w:color w:val="auto"/>
        </w:rPr>
      </w:pPr>
    </w:p>
    <w:p>
      <w:pPr>
        <w:ind w:left="1480" w:hanging="311"/>
        <w:spacing w:after="0"/>
        <w:tabs>
          <w:tab w:leader="none" w:pos="1480" w:val="left"/>
        </w:tabs>
        <w:numPr>
          <w:ilvl w:val="1"/>
          <w:numId w:val="7"/>
        </w:numPr>
        <w:rPr>
          <w:rFonts w:ascii="Arial" w:cs="Arial" w:eastAsia="Arial" w:hAnsi="Arial"/>
          <w:sz w:val="20"/>
          <w:szCs w:val="20"/>
          <w:color w:val="auto"/>
        </w:rPr>
      </w:pPr>
      <w:r>
        <w:rPr>
          <w:rFonts w:ascii="Arial" w:cs="Arial" w:eastAsia="Arial" w:hAnsi="Arial"/>
          <w:sz w:val="20"/>
          <w:szCs w:val="20"/>
          <w:color w:val="auto"/>
        </w:rPr>
        <w:t>New/Used recreational vehicles and manufactured homes to 80% of wholesale.</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Equipment:</w:t>
      </w:r>
    </w:p>
    <w:p>
      <w:pPr>
        <w:spacing w:after="0" w:line="125" w:lineRule="exact"/>
        <w:rPr>
          <w:sz w:val="20"/>
          <w:szCs w:val="20"/>
          <w:color w:val="auto"/>
        </w:rPr>
      </w:pPr>
    </w:p>
    <w:p>
      <w:pPr>
        <w:ind w:left="860" w:hanging="240"/>
        <w:spacing w:after="0"/>
        <w:tabs>
          <w:tab w:leader="none" w:pos="860" w:val="left"/>
        </w:tabs>
        <w:numPr>
          <w:ilvl w:val="0"/>
          <w:numId w:val="8"/>
        </w:numPr>
        <w:rPr>
          <w:rFonts w:ascii="Arial" w:cs="Arial" w:eastAsia="Arial" w:hAnsi="Arial"/>
          <w:sz w:val="19"/>
          <w:szCs w:val="19"/>
          <w:color w:val="auto"/>
        </w:rPr>
      </w:pPr>
      <w:r>
        <w:rPr>
          <w:rFonts w:ascii="Arial" w:cs="Arial" w:eastAsia="Arial" w:hAnsi="Arial"/>
          <w:sz w:val="19"/>
          <w:szCs w:val="19"/>
          <w:color w:val="auto"/>
        </w:rPr>
        <w:t>New not to exceed (NTE) 80% of invoice, used NTE 50% of listed book or 75% of appraised value.</w:t>
      </w:r>
    </w:p>
    <w:p>
      <w:pPr>
        <w:spacing w:after="0" w:line="131" w:lineRule="exact"/>
        <w:rPr>
          <w:rFonts w:ascii="Arial" w:cs="Arial" w:eastAsia="Arial" w:hAnsi="Arial"/>
          <w:sz w:val="19"/>
          <w:szCs w:val="19"/>
          <w:color w:val="auto"/>
        </w:rPr>
      </w:pPr>
    </w:p>
    <w:p>
      <w:pPr>
        <w:ind w:left="860" w:hanging="240"/>
        <w:spacing w:after="0"/>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Restaurant equipment up to 35% of market value.</w:t>
      </w:r>
    </w:p>
    <w:p>
      <w:pPr>
        <w:spacing w:after="0" w:line="130" w:lineRule="exact"/>
        <w:rPr>
          <w:rFonts w:ascii="Arial" w:cs="Arial" w:eastAsia="Arial" w:hAnsi="Arial"/>
          <w:sz w:val="20"/>
          <w:szCs w:val="20"/>
          <w:color w:val="auto"/>
        </w:rPr>
      </w:pPr>
    </w:p>
    <w:p>
      <w:pPr>
        <w:ind w:left="860" w:hanging="240"/>
        <w:spacing w:after="0"/>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Heavy trucks, titled trailers NTE 75% LTV and aircraft up to 75% of appraised value.</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Real Estate:</w:t>
      </w:r>
    </w:p>
    <w:p>
      <w:pPr>
        <w:spacing w:after="0" w:line="116" w:lineRule="exact"/>
        <w:rPr>
          <w:sz w:val="20"/>
          <w:szCs w:val="20"/>
          <w:color w:val="auto"/>
        </w:rPr>
      </w:pPr>
    </w:p>
    <w:p>
      <w:pPr>
        <w:ind w:left="860" w:hanging="240"/>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Maximum LTVs range from 70%-80% depending on type.</w:t>
      </w:r>
    </w:p>
    <w:p>
      <w:pPr>
        <w:spacing w:after="0" w:line="130" w:lineRule="exact"/>
        <w:rPr>
          <w:rFonts w:ascii="Arial" w:cs="Arial" w:eastAsia="Arial" w:hAnsi="Arial"/>
          <w:sz w:val="20"/>
          <w:szCs w:val="20"/>
          <w:color w:val="auto"/>
        </w:rPr>
      </w:pPr>
    </w:p>
    <w:p>
      <w:pPr>
        <w:ind w:left="860" w:hanging="240"/>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Maximum LTV on non-traditional borrower loans up to 85%.</w:t>
      </w:r>
    </w:p>
    <w:p>
      <w:pPr>
        <w:spacing w:after="0" w:line="334" w:lineRule="exact"/>
        <w:rPr>
          <w:sz w:val="20"/>
          <w:szCs w:val="20"/>
          <w:color w:val="auto"/>
        </w:rPr>
      </w:pPr>
    </w:p>
    <w:p>
      <w:pPr>
        <w:jc w:val="both"/>
        <w:ind w:right="20"/>
        <w:spacing w:after="0" w:line="309" w:lineRule="auto"/>
        <w:rPr>
          <w:sz w:val="20"/>
          <w:szCs w:val="20"/>
          <w:color w:val="auto"/>
        </w:rPr>
      </w:pPr>
      <w:r>
        <w:rPr>
          <w:rFonts w:ascii="Arial" w:cs="Arial" w:eastAsia="Arial" w:hAnsi="Arial"/>
          <w:sz w:val="20"/>
          <w:szCs w:val="20"/>
          <w:color w:val="auto"/>
        </w:rPr>
        <w:t>FM Investment Services, the brokerage department of the Bank, has served the Bank’s customers, providing investment services, since April of 1999. In November of 2020, FM Investment Services purchased the assets and clients of Adams County Financial Resources (ACFR). Securities are offered through Raymond James Financial Services, Inc.</w:t>
      </w:r>
    </w:p>
    <w:p>
      <w:pPr>
        <w:spacing w:after="0" w:line="256"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In December of 2014, the Company became a financial holding company within the meaning of the Bank Holding Company Act of 1956 as amended, in order to provide the flexibility to take advantage of the expanded powers available to a financial holding company under the Act. Our holding company is regulated and examined by the Federal Reserve.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in December 2014 and dissolved it in December 2023. The Captive was located in Nevada and regulated by the State of Nevada Division of Insurance. The Bank formed an insurance agency, F&amp;M Insurance Agency, LLC, in November 2023 to offer insurance products to our customers.</w:t>
      </w:r>
    </w:p>
    <w:p>
      <w:pPr>
        <w:spacing w:after="0" w:line="244"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Bank’s primary market includes communities located in the Ohio counties of Butler, Champaign, Defiance, Fulton, Hancock, Henry, Lucas, Shelby, Williams, Wood and in the Indiana counties of Adams, Allen, DeKalb, Jay, Steuben and Wells. The Michigan footprint includes Oakland County. The commercial banking business in this market is highly competitive, with approximately 5 other depository institutions currently doing business in the Bank’s primary market. In our banking activities, we compete directly with other commercial banks, credit unions, farm credit services, and savings and loan institutions in each of our operating localities. In a number of our locations, we compete against entities which are much larger than us, including Huntington National Bank, Fifth Third Bank, PNC, Wells Fargo Bank, NA, KeyBank NA and JPMorgan Chase Bank, NA. Based on deposit data as of June 30, 2025 from the FDIC and using zip codes in our markets, the Bank ranked 4th with a 5.14% market share in markets served. The primary factors in competing for loans and deposits are the rates charged as well as location and quality of the services provided.</w:t>
      </w:r>
    </w:p>
    <w:p>
      <w:pPr>
        <w:spacing w:after="0" w:line="245"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At December 31, 2025, we had 474 full time equivalent employees. The employees are not represented by a collective bargaining unit. We provide our employees with a comprehensive benefit program, some of which is contributory. We consider our employee relations to be good.</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 / 63</w:t>
      </w:r>
    </w:p>
    <w:p>
      <w:pPr>
        <w:sectPr>
          <w:pgSz w:w="11900" w:h="16838" w:orient="portrait"/>
          <w:cols w:equalWidth="0" w:num="1">
            <w:col w:w="9340"/>
          </w:cols>
          <w:pgMar w:left="1260" w:top="1440" w:right="1306" w:bottom="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u w:val="single" w:color="auto"/>
          <w:color w:val="auto"/>
        </w:rPr>
        <w:t>Supervision and Regulation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General</w:t>
      </w:r>
    </w:p>
    <w:p>
      <w:pPr>
        <w:spacing w:after="0" w:line="200" w:lineRule="exact"/>
        <w:rPr>
          <w:sz w:val="20"/>
          <w:szCs w:val="20"/>
          <w:color w:val="auto"/>
        </w:rPr>
      </w:pPr>
    </w:p>
    <w:p>
      <w:pPr>
        <w:jc w:val="both"/>
        <w:ind w:right="20"/>
        <w:spacing w:after="0" w:line="330" w:lineRule="auto"/>
        <w:rPr>
          <w:sz w:val="20"/>
          <w:szCs w:val="20"/>
          <w:color w:val="auto"/>
        </w:rPr>
      </w:pPr>
      <w:r>
        <w:rPr>
          <w:rFonts w:ascii="Arial" w:cs="Arial" w:eastAsia="Arial" w:hAnsi="Arial"/>
          <w:sz w:val="19"/>
          <w:szCs w:val="19"/>
          <w:color w:val="auto"/>
        </w:rPr>
        <w:t>The Company is a corporation organized under the laws of the State of Ohio. The business in which the Company and its subsidiaries are engaged is subject to extensive supervision, regulation and examination by various bank regulatory authorities. The supervision, regulation and examination to which the Company and its subsidiaries are subject to are intended primarily for the protection of depositors and the deposit insurance funds that insure the deposits of banks, rather than for the protection of shareholders.</w:t>
      </w:r>
    </w:p>
    <w:p>
      <w:pPr>
        <w:spacing w:after="0" w:line="238" w:lineRule="exact"/>
        <w:rPr>
          <w:sz w:val="20"/>
          <w:szCs w:val="20"/>
          <w:color w:val="auto"/>
        </w:rPr>
      </w:pPr>
    </w:p>
    <w:p>
      <w:pPr>
        <w:jc w:val="both"/>
        <w:spacing w:after="0" w:line="351" w:lineRule="auto"/>
        <w:rPr>
          <w:sz w:val="20"/>
          <w:szCs w:val="20"/>
          <w:color w:val="auto"/>
        </w:rPr>
      </w:pPr>
      <w:r>
        <w:rPr>
          <w:rFonts w:ascii="Arial" w:cs="Arial" w:eastAsia="Arial" w:hAnsi="Arial"/>
          <w:sz w:val="18"/>
          <w:szCs w:val="18"/>
          <w:color w:val="auto"/>
        </w:rPr>
        <w:t>Several of the more significant regulatory provisions applicable to banks and bank holding companies to which the Company and its subsidiaries are subject are discussed below along with certain regulatory matters concerning the Company and its subsidiaries. To the extent that the following information describes statutory or regulatory provisions, it is qualified in its entirety by reference to the particular statutory provisions. Any change in applicable law or regulation may have a material effect on the business and prospects of the Company and its subsidiaries.</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 / 63</w:t>
      </w:r>
    </w:p>
    <w:p>
      <w:pPr>
        <w:sectPr>
          <w:pgSz w:w="11900" w:h="16838" w:orient="portrait"/>
          <w:cols w:equalWidth="0" w:num="1">
            <w:col w:w="9340"/>
          </w:cols>
          <w:pgMar w:left="1260" w:top="1163" w:right="1306" w:bottom="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Safety and Soundness Standards</w:t>
      </w:r>
    </w:p>
    <w:p>
      <w:pPr>
        <w:spacing w:after="0" w:line="200"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The federal banking agencies have adopted guidelines that establish 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238"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institution’s primary federal regulator may require the institution to submit a plan for achieving and maintaining compliance. If an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institution’s rate of growth, require the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banking regulators, including cease and desist orders and civil money penalty assessments.</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Liquidity and Interest Rate Risk Oversight</w:t>
      </w:r>
    </w:p>
    <w:p>
      <w:pPr>
        <w:spacing w:after="0" w:line="20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In addition to the safety and soundness standards described above, following the 2023 banking sector stress events, federal and state banking regulators have increased supervisory focus on liquidity risk management and contingency funding planning, including the composition and stability of deposit funding (including uninsured and other rate-sensitive deposits), access to contingent sources of liquidity (including Federal Home Loan Bank advances and the Federal Reserve’s discount window), and governance and controls around liquidity stress testing and liquidity risk limits. Regulators have also emphasized oversight of interest rate risk management practices and the potential earnings and capital effects of changes in market interest rates, including as they relate to the valuation and duration of securities portfolios and related risk management practices.</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Regulatory Agencies</w:t>
      </w:r>
    </w:p>
    <w:p>
      <w:pPr>
        <w:spacing w:after="0" w:line="200"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The Company is a financial holding company and is subject to inspection, examination and supervision by the Board of Governors of the Federal Reserve System (the “Federal Reserve Board”) pursuant to the Bank Holding Company Act of 1956, as amended. As a financial holding company, the Company is still subject to all the bank holding company regulations.</w:t>
      </w:r>
    </w:p>
    <w:p>
      <w:pPr>
        <w:spacing w:after="0" w:line="256"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color w:val="auto"/>
        </w:rPr>
        <w:t>The Bank is an Ohio chartered commercial bank. It is subject to regulation and examination by both the Ohio Division of Financial Institutions (ODFI) and the Federal Deposit Insurance Corporation (FDIC).</w:t>
      </w:r>
    </w:p>
    <w:p>
      <w:pPr>
        <w:spacing w:after="0" w:line="261"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F&amp;M Insurance Agency, LLC is a limited liability company organized in Ohio and regulated by the State of Ohio, Division of Insurance.</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Holding Company Activities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63</w:t>
      </w:r>
    </w:p>
    <w:p>
      <w:pPr>
        <w:sectPr>
          <w:pgSz w:w="11900" w:h="16838" w:orient="portrait"/>
          <w:cols w:equalWidth="0" w:num="1">
            <w:col w:w="9400"/>
          </w:cols>
          <w:pgMar w:left="1260" w:top="1440" w:right="1246" w:bottom="0" w:gutter="0" w:footer="0" w:header="0"/>
          <w:type w:val="continuous"/>
        </w:sectPr>
      </w:pPr>
    </w:p>
    <w:bookmarkStart w:id="11" w:name="page12"/>
    <w:bookmarkEnd w:id="11"/>
    <w:p>
      <w:pPr>
        <w:jc w:val="both"/>
        <w:spacing w:after="0" w:line="352" w:lineRule="auto"/>
        <w:rPr>
          <w:sz w:val="20"/>
          <w:szCs w:val="20"/>
          <w:color w:val="auto"/>
        </w:rPr>
      </w:pPr>
      <w:r>
        <w:rPr>
          <w:rFonts w:ascii="Arial" w:cs="Arial" w:eastAsia="Arial" w:hAnsi="Arial"/>
          <w:sz w:val="18"/>
          <w:szCs w:val="18"/>
          <w:color w:val="auto"/>
        </w:rPr>
        <w:t>As a financial holding company incorporated and doing business within the State of Ohio, the Company is subject to regulation and supervision under the Bank Holding Act of 1956, as amended (the "Act"). The Company is required to file with the Federal Reserve Board on a quarterly basis information pursuant to the Act. The Federal Reserve Board may conduct examinations or inspections of the Company and its subsidiaries.</w:t>
      </w:r>
    </w:p>
    <w:p>
      <w:pPr>
        <w:spacing w:after="0" w:line="226" w:lineRule="exact"/>
        <w:rPr>
          <w:sz w:val="20"/>
          <w:szCs w:val="20"/>
          <w:color w:val="auto"/>
        </w:rPr>
      </w:pPr>
    </w:p>
    <w:p>
      <w:pPr>
        <w:jc w:val="both"/>
        <w:ind w:right="20"/>
        <w:spacing w:after="0" w:line="311" w:lineRule="auto"/>
        <w:rPr>
          <w:sz w:val="20"/>
          <w:szCs w:val="20"/>
          <w:color w:val="auto"/>
        </w:rPr>
      </w:pPr>
      <w:r>
        <w:rPr>
          <w:rFonts w:ascii="Arial" w:cs="Arial" w:eastAsia="Arial" w:hAnsi="Arial"/>
          <w:sz w:val="20"/>
          <w:szCs w:val="20"/>
          <w:color w:val="auto"/>
        </w:rPr>
        <w:t>Enacted in November 1999, the Gramm-Leach-Bliley Act (the "GLB Act"), the GLB Act made sweeping changes with respect to the permissible financial services which various types of financial institutions may provide. The Glass-Steagall Act, which had generally prevented banks from affiliation with securities and insurance firms, was repealed. Pursuant to the GLB Act, bank holding companies may elect to become a "financial holding company," provided that all of the depository institution subsidiaries of the bank holding company are “well capitalized” and “well managed” under applicable regulatory standards.</w:t>
      </w:r>
    </w:p>
    <w:p>
      <w:pPr>
        <w:spacing w:after="0" w:line="252"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Under the GLB Act, a bank holding company that has elected to become a financial holding company may affiliate with securities firms and insurance companies and engage in other activities that are financial in nature. Activities that are "financial in nature" include securities underwriting, dealing and market-making, sponsoring mutual funds and investment companies, insurance underwriting and agency, merchant banking, and activities that the Federal Reserve Board has determined to be closely related to banking. Federal Reserve Board approval is not required for the Company to acquire a company, other than a bank holding company, bank or savings association, engaged in activities that are financial in nature or incidental to activities that are financial in nature, as determined by the Federal Reserve Board. Prior Federal Reserve Board approval is required before the Company may acquire the beneficial ownership or control of more than 5% of the voting shares, or substantially all of the assets,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 / 63</w:t>
      </w:r>
    </w:p>
    <w:p>
      <w:pPr>
        <w:sectPr>
          <w:pgSz w:w="11900" w:h="16838" w:orient="portrait"/>
          <w:cols w:equalWidth="0" w:num="1">
            <w:col w:w="9340"/>
          </w:cols>
          <w:pgMar w:left="1260" w:top="1173" w:right="1306" w:bottom="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of a bank holding company, bank or savings association. If any subsidiary bank of the Company ceases to be "well capitalized" or "well managed" under applicable regulatory standards, the Federal Reserve Board may, among other actions, order the Company to divest the subsidiary bank. Alternatively, the Company may elect to conform its activities to those permissible for a bank holding company that is not also a financial holding company. If any subsidiary bank of the Company receives a rating under the Community Reinvestment Act of 1977 of less than satisfactory, the Company will be prohibited from engaging in new activities or acquiring companies other than bank holding companies, banks or savings associations.</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Affiliate Transactions</w:t>
      </w:r>
    </w:p>
    <w:p>
      <w:pPr>
        <w:spacing w:after="0" w:line="200"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Various governmental requirements, including Sections 23A and 23B of the Federal Reserve Act and Regulation W promulgated thereunder limit borrowings by holding companies and non-bank subsidiaries from affiliated insured depository institutions, and also limit various other transactions between holding companies and their non-bank subsidiaries, on the one hand, and their affiliated insured depository institutions on the other. Section 23A of the Federal Reserve Act also generally requires that an insured depository institution's loans to its non-bank affiliates be secured, and Section 23B of the Federal Reserve Act generally requires that an insured depository institution's transactions with its non-bank affiliates be on arms-length terms.</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Interstate Banking and Branching</w:t>
      </w:r>
    </w:p>
    <w:p>
      <w:pPr>
        <w:spacing w:after="0" w:line="200" w:lineRule="exact"/>
        <w:rPr>
          <w:sz w:val="20"/>
          <w:szCs w:val="20"/>
          <w:color w:val="auto"/>
        </w:rPr>
      </w:pPr>
    </w:p>
    <w:p>
      <w:pPr>
        <w:jc w:val="both"/>
        <w:ind w:right="20"/>
        <w:spacing w:after="0" w:line="311" w:lineRule="auto"/>
        <w:rPr>
          <w:sz w:val="20"/>
          <w:szCs w:val="20"/>
          <w:color w:val="auto"/>
        </w:rPr>
      </w:pPr>
      <w:r>
        <w:rPr>
          <w:rFonts w:ascii="Arial" w:cs="Arial" w:eastAsia="Arial" w:hAnsi="Arial"/>
          <w:sz w:val="20"/>
          <w:szCs w:val="20"/>
          <w:color w:val="auto"/>
        </w:rPr>
        <w:t>Under the Riegle-Neal Interstate Banking and Branching Efficiency Act ("Riegle-Neal"), subject to certain concentration limits and other requirements, adequately capitalized bank holding companies such as the Company are permitted to acquire banks and bank holding companies located in any state. Any bank that is a subsidiary of a bank holding company is permitted to receive deposits, renew time deposits, close loans, service loans and receive loan payments as an agent for any other bank subsidiary of that bank holding company. Banks are permitted to acquire branch offices outside their home states by merging with out-of-state banks, purchasing branches in other states and establishing de novo branch offices in other states. The Company could from time to time use Riegle-Neal to acquire banks in additional states.</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Control Acquisitions</w:t>
      </w:r>
    </w:p>
    <w:p>
      <w:pPr>
        <w:spacing w:after="0" w:line="20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Change in Bank Control Act prohibits a person or group of persons from acquiring "control" of a bank holding company, unless the Federal Reserve Board has been notified and has not objected to the transaction. Under the rebuttable presumption established by the Federal Reserve Board, the acquisition of 10% or more of a class of voting stock of a bank holding company with a class of securities registered under Section 12 of the Exchange Act, such as the Company, would, under the circumstances set forth in the presumption, constitute acquisition of control of the bank holding company. In addition, a company is required to obtain the approval of the Federal Reserve Board under the Bank Holding Company Act before acquiring 25% (5% in the case of an acquirer that is a bank holding company) or more of any class of outstanding voting stock of a bank holding company, or otherwise obtaining control or a "controlling influence" over that bank holding company.</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Liability for Banking Subsidiaries</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 / 63</w:t>
      </w:r>
    </w:p>
    <w:p>
      <w:pPr>
        <w:sectPr>
          <w:pgSz w:w="11900" w:h="16838" w:orient="portrait"/>
          <w:cols w:equalWidth="0" w:num="1">
            <w:col w:w="9360"/>
          </w:cols>
          <w:pgMar w:left="1260" w:top="1440" w:right="1286" w:bottom="0" w:gutter="0" w:footer="0" w:header="0"/>
          <w:type w:val="continuous"/>
        </w:sectPr>
      </w:pPr>
    </w:p>
    <w:bookmarkStart w:id="13" w:name="page14"/>
    <w:bookmarkEnd w:id="13"/>
    <w:p>
      <w:pPr>
        <w:jc w:val="both"/>
        <w:spacing w:after="0" w:line="329" w:lineRule="auto"/>
        <w:rPr>
          <w:sz w:val="20"/>
          <w:szCs w:val="20"/>
          <w:color w:val="auto"/>
        </w:rPr>
      </w:pPr>
      <w:r>
        <w:rPr>
          <w:rFonts w:ascii="Arial" w:cs="Arial" w:eastAsia="Arial" w:hAnsi="Arial"/>
          <w:sz w:val="19"/>
          <w:szCs w:val="19"/>
          <w:color w:val="auto"/>
        </w:rPr>
        <w:t>Under the current Federal Reserve Board policy, a bank holding company is expected to act as a source of financial and managerial strength to each of its subsidiary banks and to maintain resources adequate to support each subsidiary bank. This support may be required at times when the bank holding company may not have the resources to provide it. In the event of a bank holding company's bankruptcy, any commitment by the bank holding company to a U.S. federal bank regulatory agency to maintain the capital of a subsidiary bank would be assumed by the bankruptcy trustee and entitled to priority of payment. Any depository institution insured by the FDIC can be held liable for any loss incurred, or reasonably expected to be incurred, by the FDIC in connection with (1) the "default" of a commonly controlled FDIC-insured depository institution; or (2) any assistance provided by the FDIC to both a commonly controlled FDIC-insured depository institution "in danger of default." The Bank is an FDIC-insured depository institution. If a default occurred with respect to the Bank, any capital loans to the Bank from its parent holding company would be subordinate in right of payment to payment of the Bank's depositors and certain of its other obligations.</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Regulatory Capital Requirements</w:t>
      </w:r>
    </w:p>
    <w:p>
      <w:pPr>
        <w:spacing w:after="0" w:line="200" w:lineRule="exact"/>
        <w:rPr>
          <w:sz w:val="20"/>
          <w:szCs w:val="20"/>
          <w:color w:val="auto"/>
        </w:rPr>
      </w:pPr>
    </w:p>
    <w:p>
      <w:pPr>
        <w:jc w:val="both"/>
        <w:ind w:right="40"/>
        <w:spacing w:after="0" w:line="287" w:lineRule="exact"/>
        <w:rPr>
          <w:sz w:val="20"/>
          <w:szCs w:val="20"/>
          <w:color w:val="auto"/>
        </w:rPr>
      </w:pPr>
      <w:r>
        <w:rPr>
          <w:rFonts w:ascii="Arial" w:cs="Arial" w:eastAsia="Arial" w:hAnsi="Arial"/>
          <w:sz w:val="20"/>
          <w:szCs w:val="20"/>
          <w:color w:val="auto"/>
        </w:rPr>
        <w:t>The Company is required by the various regulatory authorities to maintain certain capital levels. Bank holding companies are required to maintain minimum levels of capital in accordance with Federal Reserve Board capital adequacy guidelines. If capital falls below minimum guideline levels, a bank holding company, among other things, may be denied approval to acquire or establish additional banks or non</w:t>
      </w:r>
      <w:r>
        <w:rPr>
          <w:rFonts w:ascii="MS PMincho" w:cs="MS PMincho" w:eastAsia="MS PMincho" w:hAnsi="MS PMincho"/>
          <w:sz w:val="20"/>
          <w:szCs w:val="20"/>
          <w:color w:val="auto"/>
        </w:rPr>
        <w:t>‑</w:t>
      </w:r>
      <w:r>
        <w:rPr>
          <w:rFonts w:ascii="Arial" w:cs="Arial" w:eastAsia="Arial" w:hAnsi="Arial"/>
          <w:sz w:val="20"/>
          <w:szCs w:val="20"/>
          <w:color w:val="auto"/>
        </w:rPr>
        <w:t>bank businesses. The required capital levels along with the Bank’s capital position at December 31, 2025 and 2024 are summarized in the table included in Note 16 to the consolidated financial statements.</w:t>
      </w:r>
    </w:p>
    <w:p>
      <w:pPr>
        <w:spacing w:after="0" w:line="321"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color w:val="auto"/>
        </w:rPr>
        <w:t>Beginning in 2015, the Company and Bank were required to measure capital adequacy using the Basel III capital framework ("Basel III"). Basel III is a comprehensive set of reform measures, developed by the Basel Committee on Banking Supervision,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 / 63</w:t>
      </w:r>
    </w:p>
    <w:p>
      <w:pPr>
        <w:sectPr>
          <w:pgSz w:w="11900" w:h="16838" w:orient="portrait"/>
          <w:cols w:equalWidth="0" w:num="1">
            <w:col w:w="9380"/>
          </w:cols>
          <w:pgMar w:left="1260" w:top="1173" w:right="1266" w:bottom="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color w:val="auto"/>
        </w:rPr>
        <w:t>to strengthen the regulation, supervision and risk management of the banking sector. Implementation of the rules is overseen by the Federal Reserve, the FDIC and the OCC.</w:t>
      </w:r>
    </w:p>
    <w:p>
      <w:pPr>
        <w:spacing w:after="0" w:line="261"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In addition, U.S. federal banking agencies have proposed and continue to evaluate revisions to regulatory capital requirements, including proposals intended to implement elements of the “Basel III endgame” reforms for certain banking organizations. While the applicability and ultimate impact of any such revisions on the Company and the Bank will depend on final rulemaking, supervisory expectations, and the Company’s and the Bank’s size, activities, and risk profile, changes to the capital framework could, if adopted and applicable, affect required capital levels, capital planning, and certain aspects of the Company’s and the Bank’s operations.</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FDICIA</w:t>
      </w:r>
    </w:p>
    <w:p>
      <w:pPr>
        <w:spacing w:after="0" w:line="200"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The Federal Deposit Insurance Corporation Improvement Act of 1991 ("FDICIA"), and the regulations promulgated under FDICIA, among other things, established five capital categories for insured depository institutions-well capitalized, adequately capitalized, undercapitalized, significantly undercapitalized and critically undercapitalized-and requires U.S. federal bank regulatory agencies to implement systems for "prompt corrective action" for insured depository institutions that do not meet minimum capital requirements based on these categories. Unless a bank is well capitalized, it is subject to restrictions on its ability to offer brokered deposits and on certain other aspects of its operations. An undercapitalized bank must develop a capital restoration plan and its parent bank holding company must guarantee the bank's compliance with the plan up to the lesser of 5% of the bank’s assets at the time it became undercapitalized and the amount needed to comply with the plan. As of December 31, 2025, the Bank was well capitalized pursuant to these prompt corrective action guidelines.</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Dividend Restrictions</w:t>
      </w:r>
    </w:p>
    <w:p>
      <w:pPr>
        <w:spacing w:after="0" w:line="200"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The ability of the Company to obtain funds for the payment of dividends and for other cash requirements will be largely dependent on the amount of dividends which may be declared by its banking subsidiary, which are limited to the Bank’s retained earnings during the current year and its prior two years. Various U.S. federal statutory provisions limit the amount of dividends the Company's banking subsidiar</w:t>
      </w:r>
      <w:r>
        <w:rPr>
          <w:rFonts w:ascii="Arial" w:cs="Arial" w:eastAsia="Arial" w:hAnsi="Arial"/>
          <w:sz w:val="18"/>
          <w:szCs w:val="18"/>
          <w:b w:val="1"/>
          <w:bCs w:val="1"/>
          <w:color w:val="auto"/>
        </w:rPr>
        <w:t>y</w:t>
      </w:r>
      <w:r>
        <w:rPr>
          <w:rFonts w:ascii="Arial" w:cs="Arial" w:eastAsia="Arial" w:hAnsi="Arial"/>
          <w:sz w:val="18"/>
          <w:szCs w:val="18"/>
          <w:color w:val="auto"/>
        </w:rPr>
        <w:t xml:space="preserve"> can pay to the Company without regulatory approval. In 2009, The Board of Governors of the Federal Reserve Division of Banking Supervision and Regulation issued SR09-4 regarding the safe and sound payment of dividends by bank holding companies. See Note 17 to the consolidated financial statements for additional information on applicable dividend restrictions.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Deposit Insurance Assessments</w:t>
      </w:r>
    </w:p>
    <w:p>
      <w:pPr>
        <w:spacing w:after="0" w:line="200"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The deposits of the Bank are insured up to the regulatory limits set by the FDIC. The FDIC maintains the Deposit Insurance fund (“DIF”) by assessing depository institutions an insurance premium (assessment). The amount assessed to each institution is based on statutory factors that take into consideration the degree of risk the institution poses to the DIF. The primary purposes of the DIF are to (1) insure the deposits and protect the depositors of insured depository institutions; and (2) resolve failed banks. The DIF is primarily funded through quarterly assessments on insured depository institutions, but it also earns interest income on its securities. Decreases in the DIF result from loss provisions associated with the resolution of failed banks and FDIC operating expenses.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63</w:t>
      </w:r>
    </w:p>
    <w:p>
      <w:pPr>
        <w:sectPr>
          <w:pgSz w:w="11900" w:h="16838" w:orient="portrait"/>
          <w:cols w:equalWidth="0" w:num="1">
            <w:col w:w="9400"/>
          </w:cols>
          <w:pgMar w:left="1260" w:top="1440" w:right="1246" w:bottom="0" w:gutter="0" w:footer="0" w:header="0"/>
          <w:type w:val="continuous"/>
        </w:sectPr>
      </w:pPr>
    </w:p>
    <w:bookmarkStart w:id="15" w:name="page16"/>
    <w:bookmarkEnd w:id="15"/>
    <w:p>
      <w:pPr>
        <w:jc w:val="both"/>
        <w:spacing w:after="0" w:line="349" w:lineRule="auto"/>
        <w:rPr>
          <w:sz w:val="20"/>
          <w:szCs w:val="20"/>
          <w:color w:val="auto"/>
        </w:rPr>
      </w:pPr>
      <w:r>
        <w:rPr>
          <w:rFonts w:ascii="Arial" w:cs="Arial" w:eastAsia="Arial" w:hAnsi="Arial"/>
          <w:sz w:val="18"/>
          <w:szCs w:val="18"/>
          <w:color w:val="auto"/>
        </w:rPr>
        <w:t>The Dodd-Frank Wall Street Reform and Consumer Protection Act of 2010 (“Dodd-Frank Act”) revised the statutory authorities governing the FDIC’s management of the DIF. A key requirement from the Dodd-Frank Act resulted in the FDIC’s adoption of new rules in February 2011 regarding Assessments, Dividends, Assessment Base, and Large Bank Pricing. The new rules implemented the following changes: (1) redefined the definition of an institution’s deposit insurance assessment base from one based on domestic deposits to one based on assets now defined as “average consolidated total assets minus average tangible equity”; (2) changed the assessment rate adjustments to better account for risk based on an institution’s funding sources; (3) revised the deposit insurance assessment rate schedule in light of the new assessment base and assessment rate adjustments; (4) implemented Dodd-Frank Act dividend provisions; (5) revised the large insured depository institution assessment system to better differentiate for risk and to take into account losses the FDIC may incur from large institution failures; and (6) provided technical and other changes to the FDIC’s assessment rules. Though deposit insurance assessments maintain a risk-based approach, the FDIC imposed a more extensive risk-based assessment system on large insured depository institutions with at least $10 billion in total assets since they are more complex in nature and could pose greater risk.</w:t>
      </w:r>
    </w:p>
    <w:p>
      <w:pPr>
        <w:spacing w:after="0" w:line="227" w:lineRule="exact"/>
        <w:rPr>
          <w:sz w:val="20"/>
          <w:szCs w:val="20"/>
          <w:color w:val="auto"/>
        </w:rPr>
      </w:pPr>
    </w:p>
    <w:p>
      <w:pPr>
        <w:ind w:right="40"/>
        <w:spacing w:after="0" w:line="331" w:lineRule="auto"/>
        <w:rPr>
          <w:sz w:val="20"/>
          <w:szCs w:val="20"/>
          <w:color w:val="auto"/>
        </w:rPr>
      </w:pPr>
      <w:r>
        <w:rPr>
          <w:rFonts w:ascii="Arial" w:cs="Arial" w:eastAsia="Arial" w:hAnsi="Arial"/>
          <w:sz w:val="19"/>
          <w:szCs w:val="19"/>
          <w:color w:val="auto"/>
        </w:rPr>
        <w:t>The Dodd-Frank Act permanently raised the standard maximum deposit insurance coverage amount to $250,000 and applies per depositor, per insured depository institution for each account ownership category.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 / 63</w:t>
      </w:r>
    </w:p>
    <w:p>
      <w:pPr>
        <w:sectPr>
          <w:pgSz w:w="11900" w:h="16838" w:orient="portrait"/>
          <w:cols w:equalWidth="0" w:num="1">
            <w:col w:w="9380"/>
          </w:cols>
          <w:pgMar w:left="1260" w:top="1173" w:right="1266" w:bottom="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Depositor Preference Statute</w:t>
      </w:r>
    </w:p>
    <w:p>
      <w:pPr>
        <w:spacing w:after="0" w:line="200"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In the "liquidation or other resolution" of an institution by any receiver, U.S. federal legislation provides that deposits and certain claims for administrative expenses and employee compensation against the insured depository institution would be afforded a priority over general unsecured claims against that institution, including federal funds and letters of credit.</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Government Monetary Policy</w:t>
      </w:r>
    </w:p>
    <w:p>
      <w:pPr>
        <w:spacing w:after="0" w:line="200" w:lineRule="exact"/>
        <w:rPr>
          <w:sz w:val="20"/>
          <w:szCs w:val="20"/>
          <w:color w:val="auto"/>
        </w:rPr>
      </w:pPr>
    </w:p>
    <w:p>
      <w:pPr>
        <w:jc w:val="both"/>
        <w:ind w:right="40"/>
        <w:spacing w:after="0" w:line="330" w:lineRule="auto"/>
        <w:rPr>
          <w:sz w:val="20"/>
          <w:szCs w:val="20"/>
          <w:color w:val="auto"/>
        </w:rPr>
      </w:pPr>
      <w:r>
        <w:rPr>
          <w:rFonts w:ascii="Arial" w:cs="Arial" w:eastAsia="Arial" w:hAnsi="Arial"/>
          <w:sz w:val="19"/>
          <w:szCs w:val="19"/>
          <w:color w:val="auto"/>
        </w:rPr>
        <w:t>The earnings of the Company are affected primarily by general economic conditions and to a lesser extent by the fiscal and monetary policies of the federal government and its agencies, particularly the Federal Reserve. Its policies influence, to some degree, the volume of bank loans and deposits, and interest rates charged and paid thereon, and thus have an effect on the earnings of the Company's subsidiary Bank.</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Federal Home Loan Bank System</w:t>
      </w:r>
    </w:p>
    <w:p>
      <w:pPr>
        <w:spacing w:after="0" w:line="200"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The Bank is a member of the Federal Home Loan Bank (FHLB) of Cincinnati and required to maintain an investment in the capital stock of the FHLB of Cincinnati. FHLBs serve as a credit facility for their members. The eleven FHLBs, primarily funded by proceeds from the sale of obligations of the FHLB system, make loans to their member banks in the form of long- and short-term advances. Advances from the FHLB are required to be fully collateralized as determined by FHLB requirements. Each FHLB must establish standards of community investment or service that its members must maintain for continued access to long-term advances. The criteria used to evaluate these standards considers a members CRA performance and its record of lending to first-time homebuyers.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Additional Regulation</w:t>
      </w:r>
    </w:p>
    <w:p>
      <w:pPr>
        <w:spacing w:after="0" w:line="200" w:lineRule="exact"/>
        <w:rPr>
          <w:sz w:val="20"/>
          <w:szCs w:val="20"/>
          <w:color w:val="auto"/>
        </w:rPr>
      </w:pPr>
    </w:p>
    <w:p>
      <w:pPr>
        <w:jc w:val="both"/>
        <w:spacing w:after="0" w:line="350" w:lineRule="auto"/>
        <w:rPr>
          <w:sz w:val="20"/>
          <w:szCs w:val="20"/>
          <w:color w:val="auto"/>
        </w:rPr>
      </w:pPr>
      <w:r>
        <w:rPr>
          <w:rFonts w:ascii="Arial" w:cs="Arial" w:eastAsia="Arial" w:hAnsi="Arial"/>
          <w:sz w:val="18"/>
          <w:szCs w:val="18"/>
          <w:i w:val="1"/>
          <w:iCs w:val="1"/>
          <w:color w:val="auto"/>
        </w:rPr>
        <w:t xml:space="preserve">Consumer Financial Protection Bureau </w:t>
      </w:r>
      <w:r>
        <w:rPr>
          <w:rFonts w:ascii="Arial" w:cs="Arial" w:eastAsia="Arial" w:hAnsi="Arial"/>
          <w:sz w:val="18"/>
          <w:szCs w:val="18"/>
          <w:color w:val="auto"/>
        </w:rPr>
        <w:t>- The Dodd-Frank Act created an independent regulatory body,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Financial Protection Bureau (CFPB). The CFPB was granted authority and responsibility to set rules and regulations for a broad range of consumer protection laws applicable to providers of consumer financial products and services, including banks. The CFBP was given responsibility for mortgage reform and enforcement, as well as broad new powers over consumer financial activities, including consumer financial products and services and how they are provided as well as authority to prohibit "unfair, deceptive or abusive" acts and practices.</w:t>
      </w:r>
    </w:p>
    <w:p>
      <w:pPr>
        <w:spacing w:after="0" w:line="219" w:lineRule="exact"/>
        <w:rPr>
          <w:sz w:val="20"/>
          <w:szCs w:val="20"/>
          <w:color w:val="auto"/>
        </w:rPr>
      </w:pPr>
    </w:p>
    <w:p>
      <w:pPr>
        <w:spacing w:after="0"/>
        <w:tabs>
          <w:tab w:leader="none" w:pos="3440" w:val="left"/>
          <w:tab w:leader="none" w:pos="6100" w:val="left"/>
        </w:tabs>
        <w:rPr>
          <w:sz w:val="20"/>
          <w:szCs w:val="20"/>
          <w:color w:val="auto"/>
        </w:rPr>
      </w:pPr>
      <w:r>
        <w:rPr>
          <w:rFonts w:ascii="Arial" w:cs="Arial" w:eastAsia="Arial" w:hAnsi="Arial"/>
          <w:sz w:val="20"/>
          <w:szCs w:val="20"/>
          <w:i w:val="1"/>
          <w:iCs w:val="1"/>
          <w:color w:val="auto"/>
        </w:rPr>
        <w:t>Cybersecurity</w:t>
      </w:r>
      <w:r>
        <w:rPr>
          <w:sz w:val="20"/>
          <w:szCs w:val="20"/>
          <w:color w:val="auto"/>
        </w:rPr>
        <w:tab/>
      </w:r>
      <w:r>
        <w:rPr>
          <w:rFonts w:ascii="Arial" w:cs="Arial" w:eastAsia="Arial" w:hAnsi="Arial"/>
          <w:sz w:val="20"/>
          <w:szCs w:val="20"/>
          <w:i w:val="1"/>
          <w:iCs w:val="1"/>
          <w:color w:val="auto"/>
        </w:rPr>
        <w:t>and</w:t>
      </w:r>
      <w:r>
        <w:rPr>
          <w:sz w:val="20"/>
          <w:szCs w:val="20"/>
          <w:color w:val="auto"/>
        </w:rPr>
        <w:tab/>
      </w:r>
      <w:r>
        <w:rPr>
          <w:rFonts w:ascii="Arial" w:cs="Arial" w:eastAsia="Arial" w:hAnsi="Arial"/>
          <w:sz w:val="17"/>
          <w:szCs w:val="17"/>
          <w:i w:val="1"/>
          <w:iCs w:val="1"/>
          <w:color w:val="auto"/>
        </w:rPr>
        <w:t>Technology</w:t>
      </w:r>
    </w:p>
    <w:p>
      <w:pPr>
        <w:spacing w:after="0" w:line="80" w:lineRule="exact"/>
        <w:rPr>
          <w:sz w:val="20"/>
          <w:szCs w:val="20"/>
          <w:color w:val="auto"/>
        </w:rPr>
      </w:pPr>
    </w:p>
    <w:p>
      <w:pPr>
        <w:jc w:val="both"/>
        <w:ind w:right="40"/>
        <w:spacing w:after="0" w:line="310" w:lineRule="auto"/>
        <w:rPr>
          <w:sz w:val="20"/>
          <w:szCs w:val="20"/>
          <w:color w:val="auto"/>
        </w:rPr>
      </w:pPr>
      <w:r>
        <w:rPr>
          <w:rFonts w:ascii="Arial" w:cs="Arial" w:eastAsia="Arial" w:hAnsi="Arial"/>
          <w:sz w:val="20"/>
          <w:szCs w:val="20"/>
          <w:i w:val="1"/>
          <w:iCs w:val="1"/>
          <w:color w:val="auto"/>
        </w:rPr>
        <w:t xml:space="preserve">Risk </w:t>
      </w:r>
      <w:r>
        <w:rPr>
          <w:rFonts w:ascii="Arial" w:cs="Arial" w:eastAsia="Arial" w:hAnsi="Arial"/>
          <w:sz w:val="20"/>
          <w:szCs w:val="20"/>
          <w:color w:val="auto"/>
        </w:rPr>
        <w:t>- Banking regulators increasingly emphasize cybersecurity, information security, operational resilience, and</w:t>
      </w:r>
      <w:r>
        <w:rPr>
          <w:rFonts w:ascii="Arial" w:cs="Arial" w:eastAsia="Arial" w:hAnsi="Arial"/>
          <w:sz w:val="20"/>
          <w:szCs w:val="20"/>
          <w:i w:val="1"/>
          <w:iCs w:val="1"/>
          <w:color w:val="auto"/>
        </w:rPr>
        <w:t xml:space="preserve"> </w:t>
      </w:r>
      <w:r>
        <w:rPr>
          <w:rFonts w:ascii="Arial" w:cs="Arial" w:eastAsia="Arial" w:hAnsi="Arial"/>
          <w:sz w:val="20"/>
          <w:szCs w:val="20"/>
          <w:color w:val="auto"/>
        </w:rPr>
        <w:t>third-party technology risk management as core safety and soundness priorities, including with respect to oversight of key service providers and incident response preparedness. In addition, SEC rules require public companies to provide specified disclosures regarding cybersecurity risk management, strategy, and governance, and to report certain material cybersecurity incidents.</w:t>
      </w:r>
    </w:p>
    <w:p>
      <w:pPr>
        <w:spacing w:after="0" w:line="255" w:lineRule="exact"/>
        <w:rPr>
          <w:sz w:val="20"/>
          <w:szCs w:val="20"/>
          <w:color w:val="auto"/>
        </w:rPr>
      </w:pPr>
    </w:p>
    <w:p>
      <w:pPr>
        <w:jc w:val="both"/>
        <w:ind w:right="40"/>
        <w:spacing w:after="0" w:line="352" w:lineRule="auto"/>
        <w:rPr>
          <w:sz w:val="20"/>
          <w:szCs w:val="20"/>
          <w:color w:val="auto"/>
        </w:rPr>
      </w:pPr>
      <w:r>
        <w:rPr>
          <w:rFonts w:ascii="Arial" w:cs="Arial" w:eastAsia="Arial" w:hAnsi="Arial"/>
          <w:sz w:val="18"/>
          <w:szCs w:val="18"/>
          <w:i w:val="1"/>
          <w:iCs w:val="1"/>
          <w:color w:val="auto"/>
        </w:rPr>
        <w:t xml:space="preserve">Gramm-Leach-Bliley Financial Modernization Act of 1999 (the GLB Act”) - </w:t>
      </w:r>
      <w:r>
        <w:rPr>
          <w:rFonts w:ascii="Arial" w:cs="Arial" w:eastAsia="Arial" w:hAnsi="Arial"/>
          <w:sz w:val="18"/>
          <w:szCs w:val="18"/>
          <w:color w:val="auto"/>
        </w:rPr>
        <w:t>In accordance with privacy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GLB Act, federal banking regulators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 / 63</w:t>
      </w:r>
    </w:p>
    <w:p>
      <w:pPr>
        <w:sectPr>
          <w:pgSz w:w="11900" w:h="16838" w:orient="portrait"/>
          <w:cols w:equalWidth="0" w:num="1">
            <w:col w:w="9380"/>
          </w:cols>
          <w:pgMar w:left="1260" w:top="1440" w:right="1266" w:bottom="0" w:gutter="0" w:footer="0" w:header="0"/>
          <w:type w:val="continuous"/>
        </w:sectPr>
      </w:pPr>
    </w:p>
    <w:bookmarkStart w:id="17" w:name="page18"/>
    <w:bookmarkEnd w:id="17"/>
    <w:p>
      <w:pPr>
        <w:jc w:val="both"/>
        <w:ind w:right="60"/>
        <w:spacing w:after="0" w:line="307" w:lineRule="auto"/>
        <w:rPr>
          <w:sz w:val="20"/>
          <w:szCs w:val="20"/>
          <w:color w:val="auto"/>
        </w:rPr>
      </w:pPr>
      <w:r>
        <w:rPr>
          <w:rFonts w:ascii="Arial" w:cs="Arial" w:eastAsia="Arial" w:hAnsi="Arial"/>
          <w:sz w:val="20"/>
          <w:szCs w:val="20"/>
          <w:color w:val="auto"/>
        </w:rPr>
        <w:t>disclosure of certain personal information to a non-affiliated third party. The privacy provisions of the GLB Act affect how consumer information is transmitted through diversified financial companies and conveyed to outside vendors.</w:t>
      </w:r>
    </w:p>
    <w:p>
      <w:pPr>
        <w:spacing w:after="0" w:line="257" w:lineRule="exact"/>
        <w:rPr>
          <w:sz w:val="20"/>
          <w:szCs w:val="20"/>
          <w:color w:val="auto"/>
        </w:rPr>
      </w:pPr>
    </w:p>
    <w:p>
      <w:pPr>
        <w:jc w:val="both"/>
        <w:spacing w:after="0" w:line="329" w:lineRule="auto"/>
        <w:rPr>
          <w:sz w:val="20"/>
          <w:szCs w:val="20"/>
          <w:color w:val="auto"/>
        </w:rPr>
      </w:pPr>
      <w:r>
        <w:rPr>
          <w:rFonts w:ascii="Arial" w:cs="Arial" w:eastAsia="Arial" w:hAnsi="Arial"/>
          <w:sz w:val="19"/>
          <w:szCs w:val="19"/>
          <w:i w:val="1"/>
          <w:iCs w:val="1"/>
          <w:color w:val="auto"/>
        </w:rPr>
        <w:t xml:space="preserve">Anti-Money Laundering and Anti-Terrorism Legislation </w:t>
      </w:r>
      <w:r>
        <w:rPr>
          <w:rFonts w:ascii="Arial" w:cs="Arial" w:eastAsia="Arial" w:hAnsi="Arial"/>
          <w:sz w:val="19"/>
          <w:szCs w:val="19"/>
          <w:color w:val="auto"/>
        </w:rPr>
        <w:t>- A major focus of governmental policy on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institutions has been aimed at combating money laundering and terrorist financing. A series of anti-money laundering and anti-terrorism laws and regulations, commonly referred to the Bank Secrecy Act (BSA), are designed to prevent criminals and terrorists from accessing financial institutions and using the U.S. financial system to launder criminal proceeds, finance terrorist acts, or move funds for other illicit purposes. Enactment of the USA PATRIOT Act of 2001 (the “USA Patriot Act”) substantially broadened the scope of United States anti-money laundering laws and regulations by imposing significant new compliance and due diligence obligations, creating new crimes and penalties and expanding the extra-territorial jurisdiction of the United States. The U. S. Treasury Department has issued a number of regulations that apply various requirements of the USA Patriot Act to financial institutions such as the Bank. These regulations impose obligations on financial institutions to maintain appropriate policies, procedures and controls to detect, prevent and report money laundering and terrorist financing and to verify the identity of their customers. Failure of a financial institution to maintain and implement adequate programs to combat money laundering and terrorist financing, or to comply with all of the relevant laws or regulations, could have serious legal and reputational consequences for the institution. Penalties for BSA violations can be severe and could include civil money penalties, criminal charges and imprisonment for individuals committing willful violations, and cease and desist orders.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 63</w:t>
      </w:r>
    </w:p>
    <w:p>
      <w:pPr>
        <w:sectPr>
          <w:pgSz w:w="11900" w:h="16838" w:orient="portrait"/>
          <w:cols w:equalWidth="0" w:num="1">
            <w:col w:w="9380"/>
          </w:cols>
          <w:pgMar w:left="1260" w:top="1173" w:right="1266" w:bottom="0"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40"/>
        <w:spacing w:after="0" w:line="329" w:lineRule="auto"/>
        <w:rPr>
          <w:sz w:val="20"/>
          <w:szCs w:val="20"/>
          <w:color w:val="auto"/>
        </w:rPr>
      </w:pPr>
      <w:r>
        <w:rPr>
          <w:rFonts w:ascii="Arial" w:cs="Arial" w:eastAsia="Arial" w:hAnsi="Arial"/>
          <w:sz w:val="19"/>
          <w:szCs w:val="19"/>
          <w:color w:val="auto"/>
        </w:rPr>
        <w:t>The U.S. Department of the Treasury’s Office of Foreign Asset Control (OFAC) administers and enforces economic and trade sanctions against targeted foreign countries and regimes, terrorists, international narcotics traffickers, those engaged in activities related to the proliferation of weapons of mass destruction, and other threats to the national security, foreign policy or economy of the United States. The Bank is responsible for blocking accounts of, and transactions with, sanctioned targets and countries and for reporting of blocked transactions after their occurrence. Failure to comply with these sanctions could result in serious financial, legal, and reputational consequences including civil money penalties and cease and desist orders.</w:t>
      </w:r>
    </w:p>
    <w:p>
      <w:pPr>
        <w:spacing w:after="0" w:line="243"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i w:val="1"/>
          <w:iCs w:val="1"/>
          <w:color w:val="auto"/>
        </w:rPr>
        <w:t xml:space="preserve">Significant mortgage-related rules </w:t>
      </w:r>
      <w:r>
        <w:rPr>
          <w:rFonts w:ascii="Arial" w:cs="Arial" w:eastAsia="Arial" w:hAnsi="Arial"/>
          <w:sz w:val="19"/>
          <w:szCs w:val="19"/>
          <w:color w:val="auto"/>
        </w:rPr>
        <w:t>- Mandated by the Dodd-Frank Act provisions and implemented by the CFPB or</w:t>
      </w:r>
      <w:r>
        <w:rPr>
          <w:rFonts w:ascii="Arial" w:cs="Arial" w:eastAsia="Arial" w:hAnsi="Arial"/>
          <w:sz w:val="19"/>
          <w:szCs w:val="19"/>
          <w:i w:val="1"/>
          <w:iCs w:val="1"/>
          <w:color w:val="auto"/>
        </w:rPr>
        <w:t xml:space="preserve"> </w:t>
      </w:r>
      <w:r>
        <w:rPr>
          <w:rFonts w:ascii="Arial" w:cs="Arial" w:eastAsia="Arial" w:hAnsi="Arial"/>
          <w:sz w:val="19"/>
          <w:szCs w:val="19"/>
          <w:color w:val="auto"/>
        </w:rPr>
        <w:t>jointly with other regulatory agencies, final rules were enacted in response to the breakdown in the mortgage lending markets and to provide for consumer protections. Final rules regarding mortgage and mortgage-related products addressed matters such as ability-to-repay, qualified mortgage standards, mortgage servicing, mortgage loan originator compensation, escrow requirements for higher-priced mortgage loans, and providing appraisals. These mortgage rules addressed problems consumers faced in the three major steps in buying a home – shopping for a mortgage, closing on a mortgage, and paying off a mortgage.</w:t>
      </w:r>
    </w:p>
    <w:p>
      <w:pPr>
        <w:spacing w:after="0" w:line="243"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Final rules and amendments to the integrated mortgage disclosure rules under the Real Estate Settlement Act (RESPA) and Truth in Lending Act (TILA) became effective in October 2015. The TILA-RESPA Integrated Disclosure rule commonly referred to as TRID combined required disclosures into two single forms: 1) The Loan Estimate which is provided shortly after a mortgage loan application and 2) The Closing Disclosure which is provided prior to loan consummation. In addition, a mandated appraisal notice under the Equal Credit Opportunity Act and the servicing application disclosure under RESPA were also combined into the new integrated disclosures. Subsequent amendments to the TRID rules added further clarity to certain provisions. Remaining attentive to the complexities of the TRID rules ensure practices and procedures remain compliant and do not subject the Bank to unnecessary liability.</w:t>
      </w:r>
    </w:p>
    <w:p>
      <w:pPr>
        <w:spacing w:after="0" w:line="258" w:lineRule="exact"/>
        <w:rPr>
          <w:sz w:val="20"/>
          <w:szCs w:val="20"/>
          <w:color w:val="auto"/>
        </w:rPr>
      </w:pPr>
    </w:p>
    <w:p>
      <w:pPr>
        <w:jc w:val="both"/>
        <w:ind w:right="60"/>
        <w:spacing w:after="0" w:line="349" w:lineRule="auto"/>
        <w:rPr>
          <w:sz w:val="20"/>
          <w:szCs w:val="20"/>
          <w:color w:val="auto"/>
        </w:rPr>
      </w:pPr>
      <w:r>
        <w:rPr>
          <w:rFonts w:ascii="Arial" w:cs="Arial" w:eastAsia="Arial" w:hAnsi="Arial"/>
          <w:sz w:val="18"/>
          <w:szCs w:val="18"/>
          <w:i w:val="1"/>
          <w:iCs w:val="1"/>
          <w:color w:val="auto"/>
        </w:rPr>
        <w:t xml:space="preserve">Qualified Mortgage Loan standards </w:t>
      </w:r>
      <w:r>
        <w:rPr>
          <w:rFonts w:ascii="Arial" w:cs="Arial" w:eastAsia="Arial" w:hAnsi="Arial"/>
          <w:sz w:val="18"/>
          <w:szCs w:val="18"/>
          <w:color w:val="auto"/>
        </w:rPr>
        <w:t>- The Bank focuses on Qualified Mortgage (QM) status for mortgage loans</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originated as they provide certain presumptions of compliance under the Ability to Repay rules adopted under the Dodd-Frank Act. In satisfying QM requirements, any mortgage lender regardless of their size can make loans which are entitled to the QM presumption of compliance. New final rules, effective October 2022, amended the Ability to Repay/Qualified Mortgage Rules. The General QM Final Rule amended the definition of the QM category to offset the impact of the sunsetting of the temporary Government Sponsored Enterprise (GSE) QMs; amended the General QM loan definition and removed the 43% debt-to-income limit; eliminated Appendix Q underwriting standards and any requirement to use them as a qualification for General QM status; and instead implemented price-based thresholds. For General QM status, applicable to first-lien mortgage loans offered by the Bank, a loan must still observe existing product features, underwriting requirements and limits on points and fees. On occasion, the Bank does make Non-Qualified Mortgages with approvals and originations of both Non-QM loans and Higher Priced Mortgage Loans which are periodically reported to the Bank’s Loan Committee.</w:t>
      </w:r>
    </w:p>
    <w:p>
      <w:pPr>
        <w:spacing w:after="0" w:line="228" w:lineRule="exact"/>
        <w:rPr>
          <w:sz w:val="20"/>
          <w:szCs w:val="20"/>
          <w:color w:val="auto"/>
        </w:rPr>
      </w:pPr>
    </w:p>
    <w:p>
      <w:pPr>
        <w:spacing w:after="0" w:line="352" w:lineRule="auto"/>
        <w:rPr>
          <w:sz w:val="20"/>
          <w:szCs w:val="20"/>
          <w:color w:val="auto"/>
        </w:rPr>
      </w:pPr>
      <w:r>
        <w:rPr>
          <w:rFonts w:ascii="Arial" w:cs="Arial" w:eastAsia="Arial" w:hAnsi="Arial"/>
          <w:sz w:val="18"/>
          <w:szCs w:val="18"/>
          <w:i w:val="1"/>
          <w:iCs w:val="1"/>
          <w:color w:val="auto"/>
        </w:rPr>
        <w:t xml:space="preserve">Flood Insurance Regulations </w:t>
      </w:r>
      <w:r>
        <w:rPr>
          <w:rFonts w:ascii="Arial" w:cs="Arial" w:eastAsia="Arial" w:hAnsi="Arial"/>
          <w:sz w:val="18"/>
          <w:szCs w:val="18"/>
          <w:color w:val="auto"/>
        </w:rPr>
        <w:t>- Final rules, mostly effective in October 2015, were issued by joint agencies to</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 provisions of the Homeowner Flood Insurance Affordability Act of 2014 (HFIAA) and the Biggert-Waters Flood Insurance Reform Act of 2012 (the Biggert-Waters Act). These provisions amended regulations which apply to loans secured by properties located in special flood hazard areas. Final rules for acceptance of private flood</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63</w:t>
      </w:r>
    </w:p>
    <w:p>
      <w:pPr>
        <w:sectPr>
          <w:pgSz w:w="11900" w:h="16838" w:orient="portrait"/>
          <w:cols w:equalWidth="0" w:num="1">
            <w:col w:w="9400"/>
          </w:cols>
          <w:pgMar w:left="1260" w:top="1440" w:right="1246" w:bottom="0" w:gutter="0" w:footer="0" w:header="0"/>
          <w:type w:val="continuous"/>
        </w:sectPr>
      </w:pPr>
    </w:p>
    <w:bookmarkStart w:id="19" w:name="page20"/>
    <w:bookmarkEnd w:id="19"/>
    <w:p>
      <w:pPr>
        <w:jc w:val="both"/>
        <w:ind w:right="80"/>
        <w:spacing w:after="0" w:line="307" w:lineRule="auto"/>
        <w:rPr>
          <w:sz w:val="20"/>
          <w:szCs w:val="20"/>
          <w:color w:val="auto"/>
        </w:rPr>
      </w:pPr>
      <w:r>
        <w:rPr>
          <w:rFonts w:ascii="Arial" w:cs="Arial" w:eastAsia="Arial" w:hAnsi="Arial"/>
          <w:sz w:val="20"/>
          <w:szCs w:val="20"/>
          <w:color w:val="auto"/>
        </w:rPr>
        <w:t>insurance policies became effective on July 1, 2019. Fines and penalties continue to be assessed by regulators for non-compliance with flood insurance requirements. A continued focus on adherence to the flood rules and requirements is necessary.</w:t>
      </w:r>
    </w:p>
    <w:p>
      <w:pPr>
        <w:spacing w:after="0" w:line="257" w:lineRule="exact"/>
        <w:rPr>
          <w:sz w:val="20"/>
          <w:szCs w:val="20"/>
          <w:color w:val="auto"/>
        </w:rPr>
      </w:pPr>
    </w:p>
    <w:p>
      <w:pPr>
        <w:jc w:val="both"/>
        <w:ind w:right="60"/>
        <w:spacing w:after="0" w:line="349" w:lineRule="auto"/>
        <w:rPr>
          <w:sz w:val="20"/>
          <w:szCs w:val="20"/>
          <w:color w:val="auto"/>
        </w:rPr>
      </w:pPr>
      <w:r>
        <w:rPr>
          <w:rFonts w:ascii="Arial" w:cs="Arial" w:eastAsia="Arial" w:hAnsi="Arial"/>
          <w:sz w:val="18"/>
          <w:szCs w:val="18"/>
          <w:i w:val="1"/>
          <w:iCs w:val="1"/>
          <w:color w:val="auto"/>
        </w:rPr>
        <w:t xml:space="preserve">Home Mortgage Disclosure Act - </w:t>
      </w:r>
      <w:r>
        <w:rPr>
          <w:rFonts w:ascii="Arial" w:cs="Arial" w:eastAsia="Arial" w:hAnsi="Arial"/>
          <w:sz w:val="18"/>
          <w:szCs w:val="18"/>
          <w:color w:val="auto"/>
        </w:rPr>
        <w:t>As a reporter under Regulation C which implements the Home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Act (HMDA), the Bank remains attentive to the accuracy and integrity of the data reported. Dodd-Frank Act provisions added new data points for HMDA and authorized the Bureau to require additional information. The types of transactions reportable expanded to include most consumer purpose transactions that are dwelling-secured loans or open-end lines of credit. Collection and disclosure of significant data points reflect applicant and borrower characteristics to identify potential discriminatory lending patterns. The information collected and disclosed is subject to review and evaluation by Federal banking regulators, community-oriented organizations, and the general public. A thorough review and validation of data fields to be reported for each reportable application is conducted throughout the year. Year-end submission of HMDA data utilizes the web-based tool developed by the CFPB.</w:t>
      </w:r>
    </w:p>
    <w:p>
      <w:pPr>
        <w:spacing w:after="0" w:line="231" w:lineRule="exact"/>
        <w:rPr>
          <w:sz w:val="20"/>
          <w:szCs w:val="20"/>
          <w:color w:val="auto"/>
        </w:rPr>
      </w:pPr>
    </w:p>
    <w:p>
      <w:pPr>
        <w:jc w:val="both"/>
        <w:spacing w:after="0" w:line="349" w:lineRule="auto"/>
        <w:rPr>
          <w:sz w:val="20"/>
          <w:szCs w:val="20"/>
          <w:color w:val="auto"/>
        </w:rPr>
      </w:pPr>
      <w:r>
        <w:rPr>
          <w:rFonts w:ascii="Arial" w:cs="Arial" w:eastAsia="Arial" w:hAnsi="Arial"/>
          <w:sz w:val="18"/>
          <w:szCs w:val="18"/>
          <w:i w:val="1"/>
          <w:iCs w:val="1"/>
          <w:color w:val="auto"/>
        </w:rPr>
        <w:t xml:space="preserve">Economic Growth, Regulatory Relief and Consumer Protection Act (EGRRCPA) - </w:t>
      </w:r>
      <w:r>
        <w:rPr>
          <w:rFonts w:ascii="Arial" w:cs="Arial" w:eastAsia="Arial" w:hAnsi="Arial"/>
          <w:sz w:val="18"/>
          <w:szCs w:val="18"/>
          <w:color w:val="auto"/>
        </w:rPr>
        <w:t>Enactment of EGRRCPA on May</w:t>
      </w:r>
      <w:r>
        <w:rPr>
          <w:rFonts w:ascii="Arial" w:cs="Arial" w:eastAsia="Arial" w:hAnsi="Arial"/>
          <w:sz w:val="18"/>
          <w:szCs w:val="18"/>
          <w:i w:val="1"/>
          <w:iCs w:val="1"/>
          <w:color w:val="auto"/>
        </w:rPr>
        <w:t xml:space="preserve"> </w:t>
      </w:r>
      <w:r>
        <w:rPr>
          <w:rFonts w:ascii="Arial" w:cs="Arial" w:eastAsia="Arial" w:hAnsi="Arial"/>
          <w:sz w:val="18"/>
          <w:szCs w:val="18"/>
          <w:color w:val="auto"/>
        </w:rPr>
        <w:t>24, 2018, resulted in a regulatory reform law deemed to be relief from certain burdensome provisions of the Dodd-Frank Act. The EGRRCPA included provisions with various effective dates, including some that were effective immediately. Matters impacted included access to mortgage credit; access to credit; protections for veterans, consumers, and homeowners; rules for holding companies; capital access; and protections for student borrowers. Though effective immediately, conforming regulations were required for certain provisions such as Reciprocal Deposits, Examination Cycles, and High Volatility Commercial Real Estate (HVCRE). The Protecting Tenants in Foreclosure Act was restored and permanently extended. Effective in September 2018, consumers could freeze their credit information and place one-year fraud alerts for free. Additionally, parents could freeze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63</w:t>
      </w:r>
    </w:p>
    <w:p>
      <w:pPr>
        <w:sectPr>
          <w:pgSz w:w="11900" w:h="16838" w:orient="portrait"/>
          <w:cols w:equalWidth="0" w:num="1">
            <w:col w:w="9400"/>
          </w:cols>
          <w:pgMar w:left="1260" w:top="1173" w:right="1246" w:bottom="0" w:gutter="0" w:footer="0" w:header="0"/>
          <w:type w:val="continuous"/>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credit information of their children under age 16 for free. The guidance and final rules issued must be monitored to ensure effectively managed.</w:t>
      </w:r>
    </w:p>
    <w:p>
      <w:pPr>
        <w:spacing w:after="0" w:line="261" w:lineRule="exact"/>
        <w:rPr>
          <w:sz w:val="20"/>
          <w:szCs w:val="20"/>
          <w:color w:val="auto"/>
        </w:rPr>
      </w:pPr>
    </w:p>
    <w:p>
      <w:pPr>
        <w:jc w:val="both"/>
        <w:ind w:right="20"/>
        <w:spacing w:after="0" w:line="349" w:lineRule="auto"/>
        <w:rPr>
          <w:sz w:val="20"/>
          <w:szCs w:val="20"/>
          <w:color w:val="auto"/>
        </w:rPr>
      </w:pPr>
      <w:r>
        <w:rPr>
          <w:rFonts w:ascii="Arial" w:cs="Arial" w:eastAsia="Arial" w:hAnsi="Arial"/>
          <w:sz w:val="18"/>
          <w:szCs w:val="18"/>
          <w:i w:val="1"/>
          <w:iCs w:val="1"/>
          <w:color w:val="auto"/>
        </w:rPr>
        <w:t xml:space="preserve">Unacceptable Acts or Practices resulting in Consumer Harm - </w:t>
      </w:r>
      <w:r>
        <w:rPr>
          <w:rFonts w:ascii="Arial" w:cs="Arial" w:eastAsia="Arial" w:hAnsi="Arial"/>
          <w:sz w:val="18"/>
          <w:szCs w:val="18"/>
          <w:color w:val="auto"/>
        </w:rPr>
        <w:t>Unfair or deceptive acts or practices (UDAP)</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originally developed years ago by the Federal Trade Commission focused on unacceptable practices that may not specifically be addressed elsewhere in banking or consumer finance law. Banking regulatory agencies have increasingly used this authority over the years to address acts or practices that are deemed harmful, deceptive, or misleading to consumers. The authority of the Federal Trade Commission (FTC) for credit practice rules was repealed as a result of the Dodd-Frank Act. Interagency guidance issued collectively by the regulatory agencies in August 2014 clearly indicated certain consumer credit practices were not permissible and remained subject to Section 5 of the Federal Trade Commission Act, as well as Sections 1031 and 1036 of the Dodd-Frank Act. Agencies continue to have supervisory authority and enforcement authority for practices previously addressed in the former credit practices rules. Understanding and awareness of impermissible consumer credit practices in conjunction with the CFPB's prohibitions regarding "unfair, deceptive or abusive" acts and practices relating to the offering and marketing of Bank products and services remains important.</w:t>
      </w:r>
    </w:p>
    <w:p>
      <w:pPr>
        <w:spacing w:after="0" w:line="228"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i w:val="1"/>
          <w:iCs w:val="1"/>
          <w:color w:val="auto"/>
        </w:rPr>
        <w:t xml:space="preserve">Equal Credit Opportunity Act (ECOA) / Section 1071 - Small Business Lending Data Collection - </w:t>
      </w:r>
      <w:r>
        <w:rPr>
          <w:rFonts w:ascii="Arial" w:cs="Arial" w:eastAsia="Arial" w:hAnsi="Arial"/>
          <w:sz w:val="20"/>
          <w:szCs w:val="20"/>
          <w:color w:val="auto"/>
        </w:rPr>
        <w:t>On March 30,</w:t>
      </w:r>
      <w:r>
        <w:rPr>
          <w:rFonts w:ascii="Arial" w:cs="Arial" w:eastAsia="Arial" w:hAnsi="Arial"/>
          <w:sz w:val="20"/>
          <w:szCs w:val="20"/>
          <w:i w:val="1"/>
          <w:iCs w:val="1"/>
          <w:color w:val="auto"/>
        </w:rPr>
        <w:t xml:space="preserve"> </w:t>
      </w:r>
      <w:r>
        <w:rPr>
          <w:rFonts w:ascii="Arial" w:cs="Arial" w:eastAsia="Arial" w:hAnsi="Arial"/>
          <w:sz w:val="20"/>
          <w:szCs w:val="20"/>
          <w:color w:val="auto"/>
        </w:rPr>
        <w:t>2023, the CFPB issued final rules which amend Regulation B to implement changes to the Equal Credit Opportunity Act (ECOA) as made by Section 1071 of the Dodd-Frank Act. Covered financial institutions are required to collect and report data on covered small business credit applications. Court injunctions have stayed mandatory compliance for community banks, including the Bank. The Bank continues to monitor developments and prepare for future rulemaking.</w:t>
      </w:r>
    </w:p>
    <w:p>
      <w:pPr>
        <w:spacing w:after="0" w:line="252" w:lineRule="exact"/>
        <w:rPr>
          <w:sz w:val="20"/>
          <w:szCs w:val="20"/>
          <w:color w:val="auto"/>
        </w:rPr>
      </w:pPr>
    </w:p>
    <w:p>
      <w:pPr>
        <w:jc w:val="both"/>
        <w:ind w:right="40"/>
        <w:spacing w:after="0" w:line="329" w:lineRule="auto"/>
        <w:rPr>
          <w:sz w:val="20"/>
          <w:szCs w:val="20"/>
          <w:color w:val="auto"/>
        </w:rPr>
      </w:pPr>
      <w:r>
        <w:rPr>
          <w:rFonts w:ascii="Arial" w:cs="Arial" w:eastAsia="Arial" w:hAnsi="Arial"/>
          <w:sz w:val="19"/>
          <w:szCs w:val="19"/>
          <w:i w:val="1"/>
          <w:iCs w:val="1"/>
          <w:color w:val="auto"/>
        </w:rPr>
        <w:t xml:space="preserve">Community Reinvestment Act (CRA) - </w:t>
      </w:r>
      <w:r>
        <w:rPr>
          <w:rFonts w:ascii="Arial" w:cs="Arial" w:eastAsia="Arial" w:hAnsi="Arial"/>
          <w:sz w:val="19"/>
          <w:szCs w:val="19"/>
          <w:color w:val="auto"/>
        </w:rPr>
        <w:t>CRA requires a continuing and affirmative obligation by the Bank to help</w:t>
      </w:r>
      <w:r>
        <w:rPr>
          <w:rFonts w:ascii="Arial" w:cs="Arial" w:eastAsia="Arial" w:hAnsi="Arial"/>
          <w:sz w:val="19"/>
          <w:szCs w:val="19"/>
          <w:i w:val="1"/>
          <w:iCs w:val="1"/>
          <w:color w:val="auto"/>
        </w:rPr>
        <w:t xml:space="preserve"> </w:t>
      </w:r>
      <w:r>
        <w:rPr>
          <w:rFonts w:ascii="Arial" w:cs="Arial" w:eastAsia="Arial" w:hAnsi="Arial"/>
          <w:sz w:val="19"/>
          <w:szCs w:val="19"/>
          <w:color w:val="auto"/>
        </w:rPr>
        <w:t>meet the credit needs of the communities it serves, including low- and moderate-income areas in a manner consistent with safe and sound operations. The Bank’s primary regulator, the FDIC, regularly conducts CRA examinations to assess the Bank’s CRA performance. A written evaluation of CRA performance is issued assigning a rating of Outstanding, Satisfactory, Needs to Improve, or Substantial Noncompliance. The Bank’s assigned CRA performance rating is required to be made public. CRA performance evaluations are considered when applications are submitted for requests such as mergers, acquisitions, and opening of new branches. The Bank’s most recent performance evaluation dated July 7, 2025 assigned a CRA rating of “Satisfactory”.</w:t>
      </w:r>
    </w:p>
    <w:p>
      <w:pPr>
        <w:spacing w:after="0" w:line="244"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A final rule with amendments to the Community Reinvestment Act (CRA) was jointly issued by the OCC, FRB, and FDIC on October 24, 2023. These amendments were intended to strengthen and modernize CRA regulations. The changes were designed to encourage banks to expand access to credit, investment and banking services in low- and moderate-income communities; adapt to changes in the banking industry including mobile and internet banking; provide greater clarity and consistency in the application of the CRA regulations, and tailor CRA evaluations and data collection to bank size and type. Provisions of this final rule were originally supposed to become effective April 1, 2024, with other provisions having later effective dates. The CRA rule is currently subject to ongoing litigation and its implementation is currently paused. The agencies have proposed rescinding the 2023 framework and reverting to pre-October 2023 standards. As a large bank examined for CRA, the Bank continues to operate under the prior framework and monitor regulatory updates.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63</w:t>
      </w:r>
    </w:p>
    <w:p>
      <w:pPr>
        <w:sectPr>
          <w:pgSz w:w="11900" w:h="16838" w:orient="portrait"/>
          <w:cols w:equalWidth="0" w:num="1">
            <w:col w:w="9400"/>
          </w:cols>
          <w:pgMar w:left="1260" w:top="1440" w:right="1246" w:bottom="0" w:gutter="0" w:footer="0" w:header="0"/>
          <w:type w:val="continuous"/>
        </w:sectPr>
      </w:pPr>
    </w:p>
    <w:bookmarkStart w:id="21" w:name="page22"/>
    <w:bookmarkEnd w:id="21"/>
    <w:p>
      <w:pPr>
        <w:jc w:val="both"/>
        <w:ind w:right="40"/>
        <w:spacing w:after="0" w:line="349" w:lineRule="auto"/>
        <w:rPr>
          <w:sz w:val="20"/>
          <w:szCs w:val="20"/>
          <w:color w:val="auto"/>
        </w:rPr>
      </w:pPr>
      <w:r>
        <w:rPr>
          <w:rFonts w:ascii="Arial" w:cs="Arial" w:eastAsia="Arial" w:hAnsi="Arial"/>
          <w:sz w:val="18"/>
          <w:szCs w:val="18"/>
          <w:i w:val="1"/>
          <w:iCs w:val="1"/>
          <w:color w:val="auto"/>
        </w:rPr>
        <w:t xml:space="preserve">Other Federal Regulations - </w:t>
      </w:r>
      <w:r>
        <w:rPr>
          <w:rFonts w:ascii="Arial" w:cs="Arial" w:eastAsia="Arial" w:hAnsi="Arial"/>
          <w:sz w:val="18"/>
          <w:szCs w:val="18"/>
          <w:color w:val="auto"/>
        </w:rPr>
        <w:t>The Bank is also subject to federal regulation relating to matters such as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 limitation as to the nature and amount of its loans and investments, regulatory approval of any merger or consolidation, issuance or retirement of their own securities, limitations upon the payment of dividends and other aspects of banking operations. In addition, the activities and operations of the Bank are subject to numerous additional detailed, complex and sometimes overlapping laws and regulations. These include state usury and consumer credit laws, state laws relating to fiduciaries, the federal Equal Credit Opportunity Act and Regulation B, the federal Electronic Funds Transfer Act and Regulation E, the federal Fair Credit Reporting Act and Regulation V, the federal Real Estate Settlement Procedures Act (RESPA) and Regulation X, the federal Truth in Lending Act and Regulation Z, the federal Truth in Savings Act and Regulation DD, the Bank Secrecy Act, the federal Community Reinvestment Act, anti-discrimination laws and legislation, and antitrust laws. Violations of various laws and regulations may result in fines, penalties, and/or reimbursement to customers.</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Future Legislation</w:t>
      </w:r>
    </w:p>
    <w:p>
      <w:pPr>
        <w:spacing w:after="0" w:line="200"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Changes to the laws and regulations, both at the federal and state levels, can affect the operating environment of the Company and its subsidiaries in substantial and unpredictable ways. The Company cannot accurately predict whether those changes in laws and regulations will occur, and, if those changes occur, the ultimate effect they would have upon the financial condition or results of operations of the Company or its subsidiaries.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 / 63</w:t>
      </w:r>
    </w:p>
    <w:p>
      <w:pPr>
        <w:sectPr>
          <w:pgSz w:w="11900" w:h="16838" w:orient="portrait"/>
          <w:cols w:equalWidth="0" w:num="1">
            <w:col w:w="9380"/>
          </w:cols>
          <w:pgMar w:left="1260" w:top="1173" w:right="1266" w:bottom="0"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Available Information</w:t>
      </w:r>
    </w:p>
    <w:p>
      <w:pPr>
        <w:spacing w:after="0" w:line="200"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The Company maintains an Internet web site at the following internet address: www.fm.bank. The Company files reports with the Securities and Exchange Commission (SEC). Because the Company makes its filings with the SEC electronically, you may access such reports at the SEC’s website (www.sec.gov). The Company makes available, free of charge through its internet address, copies of its annual report on Form 10-K, quarterly reports on Form 10-Q, current reports on Form 8-K, and any amendments to these reports as soon as reasonably practicable after such materials have been filed with or furnished to the SEC. Copies of these documents may also be obtained, either in electronic or paper form, by contacting Barbara J. Britenriker, Chief Financial Officer of the Company at (419) 446-2501.</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1a. RISK FACTORS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Risk</w:t>
      </w:r>
    </w:p>
    <w:p>
      <w:pPr>
        <w:spacing w:after="0" w:line="200" w:lineRule="exact"/>
        <w:rPr>
          <w:sz w:val="20"/>
          <w:szCs w:val="20"/>
          <w:color w:val="auto"/>
        </w:rPr>
      </w:pPr>
    </w:p>
    <w:p>
      <w:pPr>
        <w:jc w:val="both"/>
        <w:ind w:right="20"/>
        <w:spacing w:after="0" w:line="349" w:lineRule="auto"/>
        <w:rPr>
          <w:sz w:val="20"/>
          <w:szCs w:val="20"/>
          <w:color w:val="auto"/>
        </w:rPr>
      </w:pPr>
      <w:r>
        <w:rPr>
          <w:rFonts w:ascii="Arial" w:cs="Arial" w:eastAsia="Arial" w:hAnsi="Arial"/>
          <w:sz w:val="18"/>
          <w:szCs w:val="18"/>
          <w:color w:val="auto"/>
        </w:rPr>
        <w:t>The risk of nonpayment of loans is inherent in commercial banking. Such nonpayment could have an adverse effect on the Company’s earnings and our overall financial condition as well as the value of our common stock. Management attempts to reduce the Bank’s credit exposure by carefully monitoring the concentration of its loans within specific industries, geographies, loan types and through the loan approval process. However, there can be no assurance that such monitoring and procedures will totally mitigate the risks. Credit losses can cause insolvency and failure of a financial institution and, in such event, its shareholders could lose their entire investment. For more information on the exposure of the Company and the Bank to credit risk, see the section under Part II, Item 7 of this Form 10-K captioned “Loan Portfolio.” Under the credit loss model, we are required to present certain financial assets carried at amortized cost, such as loans held for investment and held-to-maturity debt securities, at the net amount expected to be collected. The Company only has available-for-sale securities.</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Dependence upon the Accuracy and Completeness of Information</w:t>
      </w:r>
    </w:p>
    <w:p>
      <w:pPr>
        <w:spacing w:after="0" w:line="200" w:lineRule="exact"/>
        <w:rPr>
          <w:sz w:val="20"/>
          <w:szCs w:val="20"/>
          <w:color w:val="auto"/>
        </w:rPr>
      </w:pPr>
    </w:p>
    <w:p>
      <w:pPr>
        <w:jc w:val="both"/>
        <w:ind w:right="20"/>
        <w:spacing w:after="0" w:line="311" w:lineRule="auto"/>
        <w:rPr>
          <w:sz w:val="20"/>
          <w:szCs w:val="20"/>
          <w:color w:val="auto"/>
        </w:rPr>
      </w:pPr>
      <w:r>
        <w:rPr>
          <w:rFonts w:ascii="Arial" w:cs="Arial" w:eastAsia="Arial" w:hAnsi="Arial"/>
          <w:sz w:val="20"/>
          <w:szCs w:val="20"/>
          <w:color w:val="auto"/>
        </w:rPr>
        <w:t>In deciding whether to extend credit or enter into other transactions with customers and counterparties, we may rely on information furnished by or on behalf of customers and counterparties, including financial statements and other financial information. We also may rely on representations of clients and counterparties as to the accuracy and completeness of that information and, with respect to financial statements, on reports of independent auditors and accountants if made available. If this information is inaccurate, we may be subject to regulatory action, reputational harm or other adverse effects with respect to the operation of our business, our financial condition and our results of operation.</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Loan Portfolio has a Large Concentration of Real Estate Loans</w:t>
      </w:r>
    </w:p>
    <w:p>
      <w:pPr>
        <w:spacing w:after="0" w:line="200" w:lineRule="exact"/>
        <w:rPr>
          <w:sz w:val="20"/>
          <w:szCs w:val="20"/>
          <w:color w:val="auto"/>
        </w:rPr>
      </w:pPr>
    </w:p>
    <w:p>
      <w:pPr>
        <w:jc w:val="both"/>
        <w:ind w:right="20"/>
        <w:spacing w:after="0" w:line="350" w:lineRule="auto"/>
        <w:rPr>
          <w:sz w:val="20"/>
          <w:szCs w:val="20"/>
          <w:color w:val="auto"/>
        </w:rPr>
      </w:pPr>
      <w:r>
        <w:rPr>
          <w:rFonts w:ascii="Arial" w:cs="Arial" w:eastAsia="Arial" w:hAnsi="Arial"/>
          <w:sz w:val="18"/>
          <w:szCs w:val="18"/>
          <w:color w:val="auto"/>
        </w:rPr>
        <w:t>Real estate loans, which constitute a large portion of our loan portfolio, include home equity, agricultural, commercial, construction and residential loans, and such loans are concentrated in the Bank’s primary markets in Northwest Ohio, Northeast Indiana and Southern Michigan and complimented with additional exposure in new areas from our LPOs. The market value of real estate can fluctuate significantly in a short period of time as a result of market conditions in the geographic area in which the real estate is located. Adverse developments affecting real estate values in our market could increase the credit risk associated with our loan portfolio. Also, real estate lending typically involves higher loan principal amounts and the repayment of the loans generally is dependent, in large part,</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 / 63</w:t>
      </w:r>
    </w:p>
    <w:p>
      <w:pPr>
        <w:sectPr>
          <w:pgSz w:w="11900" w:h="16838" w:orient="portrait"/>
          <w:cols w:equalWidth="0" w:num="1">
            <w:col w:w="9360"/>
          </w:cols>
          <w:pgMar w:left="1260" w:top="1440" w:right="1286" w:bottom="0" w:gutter="0" w:footer="0" w:header="0"/>
          <w:type w:val="continuous"/>
        </w:sectPr>
      </w:pPr>
    </w:p>
    <w:bookmarkStart w:id="23" w:name="page24"/>
    <w:bookmarkEnd w:id="23"/>
    <w:p>
      <w:pPr>
        <w:jc w:val="both"/>
        <w:ind w:right="40"/>
        <w:spacing w:after="0" w:line="307" w:lineRule="auto"/>
        <w:rPr>
          <w:sz w:val="20"/>
          <w:szCs w:val="20"/>
          <w:color w:val="auto"/>
        </w:rPr>
      </w:pPr>
      <w:r>
        <w:rPr>
          <w:rFonts w:ascii="Arial" w:cs="Arial" w:eastAsia="Arial" w:hAnsi="Arial"/>
          <w:sz w:val="20"/>
          <w:szCs w:val="20"/>
          <w:color w:val="auto"/>
        </w:rPr>
        <w:t>on sufficient income from the properties securing the loans to cover operating expenses and debt service. Economic events or governmental regulations outside of the control of the borrower could negatively impact the future cash flow and market values of the affected properties.</w:t>
      </w:r>
    </w:p>
    <w:p>
      <w:pPr>
        <w:spacing w:after="0" w:line="257" w:lineRule="exact"/>
        <w:rPr>
          <w:sz w:val="20"/>
          <w:szCs w:val="20"/>
          <w:color w:val="auto"/>
        </w:rPr>
      </w:pPr>
    </w:p>
    <w:p>
      <w:pPr>
        <w:jc w:val="both"/>
        <w:ind w:right="40"/>
        <w:spacing w:after="0" w:line="309" w:lineRule="auto"/>
        <w:rPr>
          <w:sz w:val="20"/>
          <w:szCs w:val="20"/>
          <w:color w:val="auto"/>
        </w:rPr>
      </w:pPr>
      <w:r>
        <w:rPr>
          <w:rFonts w:ascii="Arial" w:cs="Arial" w:eastAsia="Arial" w:hAnsi="Arial"/>
          <w:sz w:val="20"/>
          <w:szCs w:val="20"/>
          <w:color w:val="auto"/>
        </w:rPr>
        <w:t>If the loans that are collateralized by real estate become troubled during a time when market conditions are declining or have declined, then we may not be able to realize the amount of security that we anticipated at the time of originating the loan, which could cause us to increase our provision for credit losses and adversely affect our operating results and financial condition.</w:t>
      </w:r>
    </w:p>
    <w:p>
      <w:pPr>
        <w:spacing w:after="0" w:line="256"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Our real estate loans also include construction loans, including land acquisition and development. Construction, land acquisition and development lending involve additional risks because funds are advanced based upon estimates of costs and the estimated value of the completed project. Because of the uncertainties inherent in estimating construction costs, as well as the market value of the completed project and the effects of governmental regulation on real property, it is relatively difficult to evaluate accurately the total funds required to complete a project and the related loan-to-value ratio. As a result, commercial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we may have inadequate security for the repayment of the loan upon completion of construction of the project.</w:t>
      </w:r>
    </w:p>
    <w:p>
      <w:pPr>
        <w:spacing w:after="0" w:line="245" w:lineRule="exact"/>
        <w:rPr>
          <w:sz w:val="20"/>
          <w:szCs w:val="20"/>
          <w:color w:val="auto"/>
        </w:rPr>
      </w:pPr>
    </w:p>
    <w:p>
      <w:pPr>
        <w:jc w:val="both"/>
        <w:ind w:right="40"/>
        <w:spacing w:after="0" w:line="309" w:lineRule="auto"/>
        <w:rPr>
          <w:sz w:val="20"/>
          <w:szCs w:val="20"/>
          <w:color w:val="auto"/>
        </w:rPr>
      </w:pPr>
      <w:r>
        <w:rPr>
          <w:rFonts w:ascii="Arial" w:cs="Arial" w:eastAsia="Arial" w:hAnsi="Arial"/>
          <w:sz w:val="20"/>
          <w:szCs w:val="20"/>
          <w:color w:val="auto"/>
        </w:rPr>
        <w:t>Payments on agricultural real estate loans are dependent on the profitable operation or management of the farm property securing the loan. The success of the farm may be affected by many factors outside the control of the borrower, including adverse weather conditions that prevent the planting of a crop or limit crop yields (such as hail, drought and floods), loss of livestock due to</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 / 63</w:t>
      </w:r>
    </w:p>
    <w:p>
      <w:pPr>
        <w:sectPr>
          <w:pgSz w:w="11900" w:h="16838" w:orient="portrait"/>
          <w:cols w:equalWidth="0" w:num="1">
            <w:col w:w="9380"/>
          </w:cols>
          <w:pgMar w:left="1260" w:top="1173" w:right="1266" w:bottom="0"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disease or other factors, declines in market prices for agricultural products (both domestically and internationally) and the impact of government regulations (including changes in price supports, subsidies and environmental regulations). In addition, many farms are dependent on a limited number of key individuals whose injury or death may significantly affect the successful operation of the farm. If the cash flow from a farming operation is diminished, the borrower’s ability to repay the loan may be impaired. The primary crops in our market areas are corn, wheat and soybeans. Accordingly, adverse circumstances affecting these crops could have an adverse effect on our agricultural real estate loan portfolio segment.</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 Loans Make Up a Significant Portion of our Loan Portfolio</w:t>
      </w:r>
    </w:p>
    <w:p>
      <w:pPr>
        <w:spacing w:after="0" w:line="200"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Our commercial loans are primarily made based on the identified cash flow of the borrower and secondarily on the underlying collateral provided by the borrower. Repayment of our commercial loans is often dependent on the cash flows of the borrower, which may be unpredictable. Most often, this collateral is accounts receivable, inventory, machinery or real estate. In the case of loans secured by accounts receivable, the availability of funds for the repayment of these loans may be substantially dependent on the ability of the borrower to collect amounts due from its customers. The other types of collateral securing these loans may depreciate over time, may be difficult to appraise, and may fluctuate in value based on the success of the business.</w:t>
      </w:r>
    </w:p>
    <w:p>
      <w:pPr>
        <w:spacing w:after="0" w:line="243"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We also originate agricultural operating loans. As with agricultural real estate loans, the repayment of operating loans is dependent on the successful operation or management of the farm property. Likewise, agricultural operating loans involve a greater degree of risk than lending on residential properties, particularly in the case of loans that are unsecured or secured by rapidly depreciating assets such as farm equipment or assets such as livestock or crops. The primary livestock in our market areas is hogs and beef calves. In these cases, any repossessed collateral for a defaulted loan may not provide an adequate source of repayment of the outstanding loan balance as a result of the greater likelihood of damage, loss or depreciation. The majority of our agricultural customers utilize crop insurance to mitigate the possibility of a large loss within one year on their grain operations. Crop insurance can be structured to be triggered by different factors and claim payment may also be customized, such as based on harvest yields or income generation. Farmers may also use hedging techniques to lock in crop prices and input costs for future production.</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Susceptibility to Changes in Regulation</w:t>
      </w:r>
    </w:p>
    <w:p>
      <w:pPr>
        <w:spacing w:after="0" w:line="200" w:lineRule="exact"/>
        <w:rPr>
          <w:sz w:val="20"/>
          <w:szCs w:val="20"/>
          <w:color w:val="auto"/>
        </w:rPr>
      </w:pPr>
    </w:p>
    <w:p>
      <w:pPr>
        <w:jc w:val="both"/>
        <w:ind w:right="60"/>
        <w:spacing w:after="0" w:line="349" w:lineRule="auto"/>
        <w:rPr>
          <w:sz w:val="20"/>
          <w:szCs w:val="20"/>
          <w:color w:val="auto"/>
        </w:rPr>
      </w:pPr>
      <w:r>
        <w:rPr>
          <w:rFonts w:ascii="Arial" w:cs="Arial" w:eastAsia="Arial" w:hAnsi="Arial"/>
          <w:sz w:val="18"/>
          <w:szCs w:val="18"/>
          <w:color w:val="auto"/>
        </w:rPr>
        <w:t>Any changes to state and federal banking laws and regulations may negatively impact our ability to expand services and to increase the value of our business. We are subject to extensive state and federal regulation, supervision, and legislation that govern almost all aspects of our operations. These laws may change from time to time and are primarily intended for the protection of consumers, depositors and the deposit insurance funds. In addition, the Company’s earnings are affected by the monetary policies of the Board of Governors of the Federal Reserve. These policies, which include regulating the national supply of bank reserves and bank credit, can have a major effect upon the source and cost of funds and the rates of return earned on loans and investments. The Federal Reserve influences the size and distribution of bank reserves through its open market operations and changes in cash reserve requirements against member bank deposits. We cannot predict what effect any presently contemplated or future changes in the laws or regulations or their interpretations would have on us, but such changes could be materially adverse to our financial performance. For more information on this subject, see the section under Part I, Item 1 of this Form 10-K captioned “Supervision and Regulation.”</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63</w:t>
      </w:r>
    </w:p>
    <w:p>
      <w:pPr>
        <w:sectPr>
          <w:pgSz w:w="11900" w:h="16838" w:orient="portrait"/>
          <w:cols w:equalWidth="0" w:num="1">
            <w:col w:w="9400"/>
          </w:cols>
          <w:pgMar w:left="1260" w:top="1440" w:right="1246" w:bottom="0"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Liquidity Risk</w:t>
      </w:r>
    </w:p>
    <w:p>
      <w:pPr>
        <w:spacing w:after="0" w:line="200"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Liquidity measures the ability to meet current and future cash flow needs as they become due. The liquidity of a financial institution reflects its ability to meet loan requests, to accommodate possible outflows in deposits, and to take advantage of interest rate market opportunities. The ability of a financial institution to meet its current financial obligations is a function of its balance sheet structure, its ability to liquidate assets, and its access to alternative sources of funds. The bank failures in 2023 exemplify the potentially catastrophic results of the unexpected inability of insured depository institutions to obtain needed liquidity to satisfy deposit withdrawal requests, including how quickly such requests can accelerate once uninsured depositors lose confidence in an institution’s ability to satisfy its obligations to depositors. We continually strive to ensure our funding needs are met by maintaining a level of liquidity through asset and liability management. If we become unable to obtain funds when needed, it could have a material adverse effect on our business, financial condition, and results of operations.</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Quantitative Modeling Risk</w:t>
      </w:r>
    </w:p>
    <w:p>
      <w:pPr>
        <w:spacing w:after="0" w:line="200" w:lineRule="exact"/>
        <w:rPr>
          <w:sz w:val="20"/>
          <w:szCs w:val="20"/>
          <w:color w:val="auto"/>
        </w:rPr>
      </w:pPr>
    </w:p>
    <w:p>
      <w:pPr>
        <w:jc w:val="both"/>
        <w:ind w:right="20"/>
        <w:spacing w:after="0" w:line="350" w:lineRule="auto"/>
        <w:rPr>
          <w:sz w:val="20"/>
          <w:szCs w:val="20"/>
          <w:color w:val="auto"/>
        </w:rPr>
      </w:pPr>
      <w:r>
        <w:rPr>
          <w:rFonts w:ascii="Arial" w:cs="Arial" w:eastAsia="Arial" w:hAnsi="Arial"/>
          <w:sz w:val="18"/>
          <w:szCs w:val="18"/>
          <w:color w:val="auto"/>
        </w:rPr>
        <w:t>We rely on quantitative modeling to measure risks and to estimate certain financial values. Quantitative models may be used to help manage certain aspects of our business and to assist with certain business decisions, including estimating expected lifetime credit losses, measuring the fair value of financial instruments when reliable market prices are unavailable, estimating the effects of changing interest rates and other market measures on our financial condition and results of operations, managing risk, and for capital planning purposes. All models have certain limitations. For instance, these methodologies inherently rely on assumptions,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 / 63</w:t>
      </w:r>
    </w:p>
    <w:p>
      <w:pPr>
        <w:sectPr>
          <w:pgSz w:w="11900" w:h="16838" w:orient="portrait"/>
          <w:cols w:equalWidth="0" w:num="1">
            <w:col w:w="9360"/>
          </w:cols>
          <w:pgMar w:left="1260" w:top="1163" w:right="1286" w:bottom="0"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historical analyses, and correlations which may not capture or fully incorporate all relevant conditions and circumstances. As a consequence, such limitations may result in losses, particularly in times of market distress. Additionally, as businesses and markets continue to rapidly evolve, our measurements may not accurately reflect this evolution. Even if the underlying assumptions and historical correlations used in our models are adequate, our models may be deficient due to errors in computer code, inaccurate data, misuse of data, or the use of a model for a purpose outside the scope of the model’s design.</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Reliance on such models presents the risk that our resulting business decisions will be adversely affected due to incorrect, missing, or misleading information. If our models fail to produce reliable results on an ongoing basis, we may not make appropriate risk management, capital planning, or other business or financial decisions. Strategies that we employ to manage and govern the risks associated with our use of models may not be effective or fully reliable. Also, information that we provide to the public or regulators based on poorly designed models could be inaccurate or misleading.</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Uninsured Deposit Risk</w:t>
      </w:r>
    </w:p>
    <w:p>
      <w:pPr>
        <w:spacing w:after="0" w:line="200" w:lineRule="exact"/>
        <w:rPr>
          <w:sz w:val="20"/>
          <w:szCs w:val="20"/>
          <w:color w:val="auto"/>
        </w:rPr>
      </w:pPr>
    </w:p>
    <w:p>
      <w:pPr>
        <w:jc w:val="both"/>
        <w:ind w:right="20"/>
        <w:spacing w:after="0" w:line="348" w:lineRule="auto"/>
        <w:rPr>
          <w:sz w:val="20"/>
          <w:szCs w:val="20"/>
          <w:color w:val="auto"/>
        </w:rPr>
      </w:pPr>
      <w:r>
        <w:rPr>
          <w:rFonts w:ascii="Arial" w:cs="Arial" w:eastAsia="Arial" w:hAnsi="Arial"/>
          <w:sz w:val="18"/>
          <w:szCs w:val="18"/>
          <w:color w:val="auto"/>
        </w:rPr>
        <w:t>Uninsured deposits based on FDIC coverage as a percentage of total deposits was 20.6% as of December 31, 2025, and as of the same date, total uninsured deposits (includes public deposits with protection over FDIC) was 12.8%. The use of the financial network products, such as the Certificate of Deposit Account Registry (CDARS) and an Insured Cash Sweep which makes FDIC coverage available to larger depositors, contributes to the low uninsured percentage. Uninsured deposits historically have been viewed by the FDIC as less stable than insured deposits. According to statements made by the FDIC staff and the leadership of the federal banking agencies, customers with larger uninsured deposit account balances often are small- and mid-sized businesses that rely upon deposit funds for payment of operational expenses and, as a result, are more likely to closely monitor the financial condition and performance of their depository institutions. As a result, in the event of financial distress, uninsured depositors historically have been more likely to withdraw their deposits. If a significant portion of our deposits were to be withdrawn within a short period of time such that additional sources of funding would be required to meet withdrawal demands, we may be unable to obtain funding at favorable terms, which may have an adverse effect on our net interest margin. Moreover, our ability to attract core deposit funding during a time of actual or perceived distress or instability in the marketplace may also be severely limited, and interest rates paid for non-deposit borrowings generally exceed the interest rates paid on deposits.</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20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Changes in interest rates affect our operating performance and financial condition in diverse ways. Our profitability depends in substantial part on our “net interest spread,” which is the difference between the rates we receive on loans and investments and the rates we pay for deposits and other sources of funds. Our net interest spread will depend on many factors that are partly or entirely outside our control, including competition, federal economic, monetary and fiscal policies, and economic conditions generally. Net interest spreads have widened and narrowed in response to these and other factors, which are often collectively referred to as “interest rate risk.” The Federal Reserve began increasing the Federal Funds rate in 2022 and continued into 2023 in an effort to tame inflation. These rate increases totaling 550 basis points have negatively impacted our interest spread. Beginning in September of 2024, the Federal Reserve began decreasing the Federal Funds rate which totaled 100 basis points throughout the remainder of 2024 and 75 basis points in 2025. These rate decreases have increased our interest spread to 2.65% in 2025 from 2.05% in 2024.</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 / 63</w:t>
      </w:r>
    </w:p>
    <w:p>
      <w:pPr>
        <w:sectPr>
          <w:pgSz w:w="11900" w:h="16838" w:orient="portrait"/>
          <w:cols w:equalWidth="0" w:num="1">
            <w:col w:w="9360"/>
          </w:cols>
          <w:pgMar w:left="1260" w:top="1440" w:right="1286" w:bottom="0" w:gutter="0" w:footer="0" w:header="0"/>
          <w:type w:val="continuous"/>
        </w:sectPr>
      </w:pPr>
    </w:p>
    <w:bookmarkStart w:id="27" w:name="page28"/>
    <w:bookmarkEnd w:id="27"/>
    <w:p>
      <w:pPr>
        <w:jc w:val="both"/>
        <w:spacing w:after="0" w:line="329" w:lineRule="auto"/>
        <w:rPr>
          <w:sz w:val="20"/>
          <w:szCs w:val="20"/>
          <w:color w:val="auto"/>
        </w:rPr>
      </w:pPr>
      <w:r>
        <w:rPr>
          <w:rFonts w:ascii="Arial" w:cs="Arial" w:eastAsia="Arial" w:hAnsi="Arial"/>
          <w:sz w:val="19"/>
          <w:szCs w:val="19"/>
          <w:color w:val="auto"/>
        </w:rPr>
        <w:t>The Bank manages interest rate risk within an overall asset/liability management framework. The principal objectives of asset/liability management are to manage sensitivity of net interest spreads and net interest income to potential changes in interest rates. The Bank also utilizes the net interest margin to analyze the interest rate risk. While the net interest spread measures the asset yield compared to the cost of funds, the net interest margin is equivalent to net interest income divided by earning assets. Both net interest spread and net interest margin are presented in the interest charts within the Management's Discussion and Analysis on interest income and expense. Funding positions are kept within predetermined limits designed to ensure that risk-taking is not excessive and that liquidity is properly managed. In the event that our asset/liabilities management strategies are unsuccessful, our profitability may be adversely affected. For more information regarding the Company’s exposure to interest rate risk, see Part II, Item 7A of this Form 10-K.</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 with Respect to the Value of Our Securities Portfolio</w:t>
      </w:r>
    </w:p>
    <w:p>
      <w:pPr>
        <w:spacing w:after="0" w:line="20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As a result of inflationary pressures and the resulting rapid increases in interest rates over the prior two fiscal years, the trading value of previously issued government and other fixed income securities has declined significantly. These securities make up a majority of the securities portfolio of most banks in the U.S., including the Company’s, resulting in unrealized losses embedded in the available-for-sale portion of U.S. banks’ securities portfolios. While the Company does not currently intend to sell these securities, if the Company were required to sell such securities to meet liquidity needs, it may incur losses, which could impair the Company’s capital, financial condition, and results of operations and require the Company to raise additional capital 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 / 63</w:t>
      </w:r>
    </w:p>
    <w:p>
      <w:pPr>
        <w:sectPr>
          <w:pgSz w:w="11900" w:h="16838" w:orient="portrait"/>
          <w:cols w:equalWidth="0" w:num="1">
            <w:col w:w="9380"/>
          </w:cols>
          <w:pgMar w:left="1260" w:top="1173" w:right="1266" w:bottom="0"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unfavorable terms, thereby negatively impacting its profitability. While the Company has taken actions to maximize its funding sources, there is no guarantee that such actions will be successful or sufficient in the event of sudden liquidity needs.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 Risk</w:t>
      </w:r>
    </w:p>
    <w:p>
      <w:pPr>
        <w:spacing w:after="0" w:line="200" w:lineRule="exact"/>
        <w:rPr>
          <w:sz w:val="20"/>
          <w:szCs w:val="20"/>
          <w:color w:val="auto"/>
        </w:rPr>
      </w:pPr>
    </w:p>
    <w:p>
      <w:pPr>
        <w:jc w:val="both"/>
        <w:ind w:right="20"/>
        <w:spacing w:after="0" w:line="351" w:lineRule="auto"/>
        <w:rPr>
          <w:sz w:val="20"/>
          <w:szCs w:val="20"/>
          <w:color w:val="auto"/>
        </w:rPr>
      </w:pPr>
      <w:r>
        <w:rPr>
          <w:rFonts w:ascii="Arial" w:cs="Arial" w:eastAsia="Arial" w:hAnsi="Arial"/>
          <w:sz w:val="18"/>
          <w:szCs w:val="18"/>
          <w:color w:val="auto"/>
        </w:rPr>
        <w:t>Periods of inflation may impact our profitability by negatively impacting our fixed costs and expenses, including increasing funding costs and expense related to talent acquisition and retention. Additionally, inflation may lead to a decrease in our customers’ purchasing power and negatively affect the need or demand for our products and services. If significant inflation continues, our business could also be negatively affected by, among other things, increased default rates leading to credit losses which could decrease our appetite for new credit extensions.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Attraction and Retention of Key Personnel</w:t>
      </w:r>
    </w:p>
    <w:p>
      <w:pPr>
        <w:spacing w:after="0" w:line="200" w:lineRule="exact"/>
        <w:rPr>
          <w:sz w:val="20"/>
          <w:szCs w:val="20"/>
          <w:color w:val="auto"/>
        </w:rPr>
      </w:pPr>
    </w:p>
    <w:p>
      <w:pPr>
        <w:jc w:val="both"/>
        <w:ind w:right="40"/>
        <w:spacing w:after="0" w:line="351" w:lineRule="auto"/>
        <w:rPr>
          <w:sz w:val="20"/>
          <w:szCs w:val="20"/>
          <w:color w:val="auto"/>
        </w:rPr>
      </w:pPr>
      <w:r>
        <w:rPr>
          <w:rFonts w:ascii="Arial" w:cs="Arial" w:eastAsia="Arial" w:hAnsi="Arial"/>
          <w:sz w:val="18"/>
          <w:szCs w:val="18"/>
          <w:color w:val="auto"/>
        </w:rPr>
        <w:t>Our success depends upon the continued service of our senior management team and upon our ability to attract and retain qualified financial services personnel. Competition for qualified employees is intense. In our experience, it can take a significant period of time to identify and hire personnel with the combination of skills and attributes required in carrying out our strategy. If we lose the services of our key personnel or are unable to attract additional qualified personnel, our business, financial condition, results of operations and cash flows could be adversely affected.</w:t>
      </w:r>
    </w:p>
    <w:p>
      <w:pPr>
        <w:spacing w:after="0" w:line="226"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A key component of employee retention is providing a fair compensation base combined with the opportunity for additional compensation for above average performance. Compensation and incentive arrangements may not be sufficient to retain key personnel in a highly competitive labor market, and increased compensation costs or turnover could adversely affect our business, financial condition, and results of operations.</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Payout Restrictions</w:t>
      </w:r>
    </w:p>
    <w:p>
      <w:pPr>
        <w:spacing w:after="0" w:line="200" w:lineRule="exact"/>
        <w:rPr>
          <w:sz w:val="20"/>
          <w:szCs w:val="20"/>
          <w:color w:val="auto"/>
        </w:rPr>
      </w:pPr>
    </w:p>
    <w:p>
      <w:pPr>
        <w:jc w:val="both"/>
        <w:ind w:right="60"/>
        <w:spacing w:after="0" w:line="349" w:lineRule="auto"/>
        <w:rPr>
          <w:sz w:val="20"/>
          <w:szCs w:val="20"/>
          <w:color w:val="auto"/>
        </w:rPr>
      </w:pPr>
      <w:r>
        <w:rPr>
          <w:rFonts w:ascii="Arial" w:cs="Arial" w:eastAsia="Arial" w:hAnsi="Arial"/>
          <w:sz w:val="18"/>
          <w:szCs w:val="18"/>
          <w:color w:val="auto"/>
        </w:rPr>
        <w:t>We currently pay a quarterly dividend on our common shares. However, there is no assurance that we will be able to pay dividends in the future. Dividends are subject to determination and declaration by our Board, which takes into account many factors. The declaration of dividends by us on our common stock is subject to the discretion of our Board and to applicable state and federal regulatory limitations. The Company may receive dividends from the Bank which is subject to restrictions and limitations in the amount and timing of the dividends it may pay to the Company. The Bank declared additional dividends the fourth quarter to provide this liquidity to the Company. In prior years, the Captive upstreamed dividends to the Company when reserve levels were adequately provided for and did not exceed the net income of the prior twelve months. Please see Note 17 in the notes to consolidated financial statements for additional information on dividend payout restrictions.</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Maintaining Compliance with Regulatory Capital Requirements</w:t>
      </w:r>
    </w:p>
    <w:p>
      <w:pPr>
        <w:spacing w:after="0" w:line="200"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Under regulatory capital adequacy guidelines, we must meet guidelines that involve quantitative measures of assets, liabilities and certain off balance sheet items. Failure to meet minimum capital requirements could have a material effect on our financial condition and could subject us to a variety of enforcement actions, as well as certain restrictions on our business. Failure to maintain the status of “well-capitalized” under the regulatory framework could adversely affect the confidence that our customers have in us, which may lead to a decline in the demand for or a reduction in the prices that we are able to charge for our products and services. Failure to meet the guidelines could also limit our access to liquidity sources.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63</w:t>
      </w:r>
    </w:p>
    <w:p>
      <w:pPr>
        <w:sectPr>
          <w:pgSz w:w="11900" w:h="16838" w:orient="portrait"/>
          <w:cols w:equalWidth="0" w:num="1">
            <w:col w:w="9400"/>
          </w:cols>
          <w:pgMar w:left="1260" w:top="1440" w:right="1246" w:bottom="0" w:gutter="0" w:footer="0" w:header="0"/>
          <w:type w:val="continuous"/>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Compliance Obligations of Bank Holding Companies and Insured Depositories</w:t>
      </w:r>
    </w:p>
    <w:p>
      <w:pPr>
        <w:spacing w:after="0" w:line="200" w:lineRule="exact"/>
        <w:rPr>
          <w:sz w:val="20"/>
          <w:szCs w:val="20"/>
          <w:color w:val="auto"/>
        </w:rPr>
      </w:pPr>
    </w:p>
    <w:p>
      <w:pPr>
        <w:jc w:val="both"/>
        <w:ind w:right="40"/>
        <w:spacing w:after="0" w:line="329" w:lineRule="auto"/>
        <w:rPr>
          <w:sz w:val="20"/>
          <w:szCs w:val="20"/>
          <w:color w:val="auto"/>
        </w:rPr>
      </w:pPr>
      <w:r>
        <w:rPr>
          <w:rFonts w:ascii="Arial" w:cs="Arial" w:eastAsia="Arial" w:hAnsi="Arial"/>
          <w:sz w:val="19"/>
          <w:szCs w:val="19"/>
          <w:color w:val="auto"/>
        </w:rPr>
        <w:t>We and our bank subsidiary operate within an extensive and evolving framework of federal and state laws, regulations, and supervisory expectations that govern nearly all aspects of our operations. As a bank holding company, we are subject to the Bank Holding Company Act and related regulations, while our bank is overseen by federal and state regulators through examination and enforcement authority. We are also subject to numerous requirements under consumer protection, privacy, anti-money laundering, sanctions, community reinvestment, and securities laws, as well as payment system and third-party risk management standards.</w:t>
      </w:r>
    </w:p>
    <w:p>
      <w:pPr>
        <w:spacing w:after="0" w:line="243" w:lineRule="exact"/>
        <w:rPr>
          <w:sz w:val="20"/>
          <w:szCs w:val="20"/>
          <w:color w:val="auto"/>
        </w:rPr>
      </w:pPr>
    </w:p>
    <w:p>
      <w:pPr>
        <w:jc w:val="both"/>
        <w:ind w:right="80"/>
        <w:spacing w:after="0" w:line="309" w:lineRule="auto"/>
        <w:rPr>
          <w:sz w:val="20"/>
          <w:szCs w:val="20"/>
          <w:color w:val="auto"/>
        </w:rPr>
      </w:pPr>
      <w:r>
        <w:rPr>
          <w:rFonts w:ascii="Arial" w:cs="Arial" w:eastAsia="Arial" w:hAnsi="Arial"/>
          <w:sz w:val="20"/>
          <w:szCs w:val="20"/>
          <w:color w:val="auto"/>
        </w:rPr>
        <w:t>These obligations restrict permissible activities, affect capital, liquidity, and growth strategies, and impose significant compliance and operational costs. Examinations may result in Matters Requiring Attention or enforcement actions, and deficiencies in our risk, compliance, or governance programs could lead to penalties, remediation orders, restrictions on dividends or expansion, and reputational harm.</w:t>
      </w:r>
    </w:p>
    <w:p>
      <w:pPr>
        <w:spacing w:after="0" w:line="256"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The regulatory landscape continues to evolve through new legislation, rulemaking, and supervisory guidance in areas such as consumer protection, AML and sanctions, fintech partnerships, model risk, payments modernization, data privacy, and fair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 / 63</w:t>
      </w:r>
    </w:p>
    <w:p>
      <w:pPr>
        <w:sectPr>
          <w:pgSz w:w="11900" w:h="16838" w:orient="portrait"/>
          <w:cols w:equalWidth="0" w:num="1">
            <w:col w:w="9380"/>
          </w:cols>
          <w:pgMar w:left="1260" w:top="1163" w:right="1266" w:bottom="0"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40"/>
        <w:spacing w:after="0" w:line="363" w:lineRule="auto"/>
        <w:rPr>
          <w:sz w:val="20"/>
          <w:szCs w:val="20"/>
          <w:color w:val="auto"/>
        </w:rPr>
      </w:pPr>
      <w:r>
        <w:rPr>
          <w:rFonts w:ascii="Arial" w:cs="Arial" w:eastAsia="Arial" w:hAnsi="Arial"/>
          <w:sz w:val="18"/>
          <w:szCs w:val="18"/>
          <w:color w:val="auto"/>
        </w:rPr>
        <w:t>access. Future changes—or differing federal and state requirements—could increase compliance costs, limit product or service offerings, or otherwise adversely affect our business, financial condition, and results of operations.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Access to New Capital</w:t>
      </w:r>
    </w:p>
    <w:p>
      <w:pPr>
        <w:spacing w:after="0" w:line="200" w:lineRule="exact"/>
        <w:rPr>
          <w:sz w:val="20"/>
          <w:szCs w:val="20"/>
          <w:color w:val="auto"/>
        </w:rPr>
      </w:pPr>
    </w:p>
    <w:p>
      <w:pPr>
        <w:jc w:val="both"/>
        <w:ind w:right="40"/>
        <w:spacing w:after="0" w:line="310" w:lineRule="auto"/>
        <w:rPr>
          <w:sz w:val="20"/>
          <w:szCs w:val="20"/>
          <w:color w:val="auto"/>
        </w:rPr>
      </w:pPr>
      <w:r>
        <w:rPr>
          <w:rFonts w:ascii="Arial" w:cs="Arial" w:eastAsia="Arial" w:hAnsi="Arial"/>
          <w:sz w:val="20"/>
          <w:szCs w:val="20"/>
          <w:color w:val="auto"/>
        </w:rPr>
        <w:t>We may at some point need to raise additional capital to maintain our “well-capitalized” status. Any capital we obtain may result in the dilution of the interests of existing holders of our stock. Our ability to raise additional capital, if needed, will depend on conditions in the capital markets at that time, which are outside our control, and on our financial condition and performance. Accordingly, we cannot make assurances of our ability to raise additional capital if needed, or if the terms will be acceptable to us.</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Provisions</w:t>
      </w:r>
    </w:p>
    <w:p>
      <w:pPr>
        <w:spacing w:after="0" w:line="200" w:lineRule="exact"/>
        <w:rPr>
          <w:sz w:val="20"/>
          <w:szCs w:val="20"/>
          <w:color w:val="auto"/>
        </w:rPr>
      </w:pPr>
    </w:p>
    <w:p>
      <w:pPr>
        <w:jc w:val="both"/>
        <w:ind w:right="40"/>
        <w:spacing w:after="0" w:line="352" w:lineRule="auto"/>
        <w:rPr>
          <w:sz w:val="20"/>
          <w:szCs w:val="20"/>
          <w:color w:val="auto"/>
        </w:rPr>
      </w:pPr>
      <w:r>
        <w:rPr>
          <w:rFonts w:ascii="Arial" w:cs="Arial" w:eastAsia="Arial" w:hAnsi="Arial"/>
          <w:sz w:val="18"/>
          <w:szCs w:val="18"/>
          <w:color w:val="auto"/>
        </w:rPr>
        <w:t>Provisions of our Articles of Incorporation and Ohio law could have the effect of discouraging takeover attempts which certain stockholders might deem to be in their interest. These anti-takeover provisions may make us a less attractive target for a takeover bid or merger, potentially depriving shareholders of an opportunity to sell their shares of common stock at a premium over prevailing market prices as a result of a takeover bid or merger.</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Environmental Laws</w:t>
      </w:r>
    </w:p>
    <w:p>
      <w:pPr>
        <w:spacing w:after="0" w:line="200" w:lineRule="exact"/>
        <w:rPr>
          <w:sz w:val="20"/>
          <w:szCs w:val="20"/>
          <w:color w:val="auto"/>
        </w:rPr>
      </w:pPr>
    </w:p>
    <w:p>
      <w:pPr>
        <w:jc w:val="both"/>
        <w:ind w:right="40"/>
        <w:spacing w:after="0" w:line="311" w:lineRule="auto"/>
        <w:rPr>
          <w:sz w:val="20"/>
          <w:szCs w:val="20"/>
          <w:color w:val="auto"/>
        </w:rPr>
      </w:pPr>
      <w:r>
        <w:rPr>
          <w:rFonts w:ascii="Arial" w:cs="Arial" w:eastAsia="Arial" w:hAnsi="Arial"/>
          <w:sz w:val="20"/>
          <w:szCs w:val="20"/>
          <w:color w:val="auto"/>
        </w:rPr>
        <w:t>A significant portion of our loan portfolio is secured by real property. We may foreclose on and take title to certain real property. There is a risk that hazardous substances could be found on the property and we may be liable for remediation costs, personal injury and/or property damage. We may incur substantial expenses to comply with environmental laws which may materially reduce the property's value or limit our ability to dispose of the property. The remediation costs and any other financial liabilities associated with the property could have a material adverse effect on our financial condition and results of operations.</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Climate Change and Agricultural Sector Risk</w:t>
      </w:r>
    </w:p>
    <w:p>
      <w:pPr>
        <w:spacing w:after="0" w:line="200"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The Company operates in a region of the United States that is heavily reliant on the agricultural sector, which represents a significant portion of the local economy. The Company’s operations and loan portfolio are concentrated in northwest Ohio and northeast Indiana, regions that have been increasingly affected by extreme weather events such as heavy rainfall, flooding, tornadoes, and droughts. As climate change continues to impact weather patterns and environmental conditions in our geographic region, the agricultural sector faces increased risks associated with increased volatility in crop yields, more frequent and severe extreme weather events (such as droughts, floods, and storms), and changing agricultural growing seasons. Such climate-related factors may result in greater financial strain on the agricultural businesses and farming communities that form a substantial part of our customer base. This, in turn, could lead to higher default rates on loans, lower demand for agricultural credit, and decreased collateral values for agricultural loans. Additionally, disruptions to regional supply chains, rising insurance costs, and the potential for reduced investment in the area may exacerbate the overall economic instability in our market.</w:t>
      </w:r>
    </w:p>
    <w:p>
      <w:pPr>
        <w:spacing w:after="0" w:line="229" w:lineRule="exact"/>
        <w:rPr>
          <w:sz w:val="20"/>
          <w:szCs w:val="20"/>
          <w:color w:val="auto"/>
        </w:rPr>
      </w:pPr>
    </w:p>
    <w:p>
      <w:pPr>
        <w:jc w:val="both"/>
        <w:ind w:right="40"/>
        <w:spacing w:after="0" w:line="310" w:lineRule="auto"/>
        <w:rPr>
          <w:sz w:val="20"/>
          <w:szCs w:val="20"/>
          <w:color w:val="auto"/>
        </w:rPr>
      </w:pPr>
      <w:r>
        <w:rPr>
          <w:rFonts w:ascii="Arial" w:cs="Arial" w:eastAsia="Arial" w:hAnsi="Arial"/>
          <w:sz w:val="20"/>
          <w:szCs w:val="20"/>
          <w:color w:val="auto"/>
        </w:rPr>
        <w:t>While we have implemented practices to mitigate against these risks, including monitoring agricultural sector exposure and diversifying our loan portfolio, the long-term financial stability of the regional economy remains vulnerable to the potential impacts of climate change. As a result, our financial condition and results of operations could be materially adversely affected by the consequences of climate change on the agricultural sector and the broader regional economy.</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 / 63</w:t>
      </w:r>
    </w:p>
    <w:p>
      <w:pPr>
        <w:sectPr>
          <w:pgSz w:w="11900" w:h="16838" w:orient="portrait"/>
          <w:cols w:equalWidth="0" w:num="1">
            <w:col w:w="9380"/>
          </w:cols>
          <w:pgMar w:left="1260" w:top="1440" w:right="1266" w:bottom="0" w:gutter="0" w:footer="0" w:header="0"/>
          <w:type w:val="continuous"/>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Significant Competition from an Array of Financial Service Providers</w:t>
      </w:r>
    </w:p>
    <w:p>
      <w:pPr>
        <w:spacing w:after="0" w:line="200" w:lineRule="exact"/>
        <w:rPr>
          <w:sz w:val="20"/>
          <w:szCs w:val="20"/>
          <w:color w:val="auto"/>
        </w:rPr>
      </w:pPr>
    </w:p>
    <w:p>
      <w:pPr>
        <w:jc w:val="both"/>
        <w:ind w:right="40"/>
        <w:spacing w:after="0" w:line="329" w:lineRule="auto"/>
        <w:rPr>
          <w:sz w:val="20"/>
          <w:szCs w:val="20"/>
          <w:color w:val="auto"/>
        </w:rPr>
      </w:pPr>
      <w:r>
        <w:rPr>
          <w:rFonts w:ascii="Arial" w:cs="Arial" w:eastAsia="Arial" w:hAnsi="Arial"/>
          <w:sz w:val="19"/>
          <w:szCs w:val="19"/>
          <w:color w:val="auto"/>
        </w:rPr>
        <w:t>Our ability to achieve strong financial performance and a satisfactory return on investment to shareholders will depend in part on our ability to expand our available financial services. In addition to the challenge of attracting and retaining customers for traditional banking services, our competitors now include securities dealers, brokers, mortgage bankers, investment advisors and finance and insurance companies who seek to offer one-stop financial services to their customers that may include services that banks have not been able or allowed to offer to their customers in the past. The increasingly competitive environment is a result primarily of changes in regulation, changes in technology and product delivery systems and the accelerating pace of consolidation among financial services providers. If we fail to adequately address each of the competitive pressures in the banking industry, our financial condition and results of operations could be adversely affected.</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Technological Change</w:t>
      </w:r>
    </w:p>
    <w:p>
      <w:pPr>
        <w:spacing w:after="0" w:line="200"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Our industry is susceptible to significant technological changes in the future as there continue to be a high level of new technology driven products and services introduced. Technological advancement aids the Company in providing customer service and increases efficiency. Our national competitors have more resources to invest in technological changes and associated</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 / 63</w:t>
      </w:r>
    </w:p>
    <w:p>
      <w:pPr>
        <w:sectPr>
          <w:pgSz w:w="11900" w:h="16838" w:orient="portrait"/>
          <w:cols w:equalWidth="0" w:num="1">
            <w:col w:w="9380"/>
          </w:cols>
          <w:pgMar w:left="1260" w:top="1163" w:right="1266" w:bottom="0" w:gutter="0" w:footer="0" w:header="0"/>
          <w:type w:val="continuous"/>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80"/>
        <w:spacing w:after="0" w:line="330" w:lineRule="auto"/>
        <w:rPr>
          <w:sz w:val="20"/>
          <w:szCs w:val="20"/>
          <w:color w:val="auto"/>
        </w:rPr>
      </w:pPr>
      <w:r>
        <w:rPr>
          <w:rFonts w:ascii="Arial" w:cs="Arial" w:eastAsia="Arial" w:hAnsi="Arial"/>
          <w:sz w:val="19"/>
          <w:szCs w:val="19"/>
          <w:color w:val="auto"/>
        </w:rPr>
        <w:t>required resources. As a result, they may be able to offer products and services that are more technologically advanced and that may put us at a competitive disadvantage. Our future depends on our ability to analyze technological changes to determine the best course of action for our business, customers and shareholders.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Impact of Artificial Intelligence and Quantum Computing on Our Operations and Competitiveness</w:t>
      </w:r>
    </w:p>
    <w:p>
      <w:pPr>
        <w:spacing w:after="0" w:line="213" w:lineRule="exact"/>
        <w:rPr>
          <w:sz w:val="20"/>
          <w:szCs w:val="20"/>
          <w:color w:val="auto"/>
        </w:rPr>
      </w:pPr>
    </w:p>
    <w:p>
      <w:pPr>
        <w:jc w:val="both"/>
        <w:ind w:right="40"/>
        <w:spacing w:after="0" w:line="349" w:lineRule="auto"/>
        <w:rPr>
          <w:sz w:val="20"/>
          <w:szCs w:val="20"/>
          <w:color w:val="auto"/>
        </w:rPr>
      </w:pPr>
      <w:r>
        <w:rPr>
          <w:rFonts w:ascii="Arial" w:cs="Arial" w:eastAsia="Arial" w:hAnsi="Arial"/>
          <w:sz w:val="18"/>
          <w:szCs w:val="18"/>
          <w:color w:val="auto"/>
        </w:rPr>
        <w:t>The rapid development and implementation of advanced technologies, including artificial intelligence ("AI") and quantum computing, present both opportunities and risks to our business. AI technologies are being increasingly adopted across the financial services industry to enhance operational efficiencies, optimize decision-making, and improve customer experience. Similarly, quantum computing, though still in early stages, has the potential to revolutionize areas such as data encryption, portfolio optimization, and risk modeling. However, the pace at which competitors and other financial institutions adopt these technologies may create challenges for our ability to remain competitive. For instance, if we are unable to effectively implement or keep pace with advancements in AI and quantum computing, we may experience a competitive disadvantage, which could result in decreased market share, reduced profitability, and strained customer relationships. Furthermore, the integration of these technologies into banking operations may require significant investments in infrastructure, talent acquisition, and cybersecurity measures, which could have a material adverse effect on our financial performance and operations.</w:t>
      </w:r>
    </w:p>
    <w:p>
      <w:pPr>
        <w:spacing w:after="0" w:line="229"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In addition to competitive risks, there is also the potential for AI and quantum computing to be misused, including by malicious actors seeking to exploit these technologies for fraudulent activities. As a result, our systems could be targeted for exploitation by such actors, leading to risks such as unauthorized transactions, identity theft, and other forms of financial fraud. Similarly, quantum computing, when it matures, could potentially undermine the security of current encryption methods, exposing us and our customers to heightened cybersecurity risks. While we are actively monitoring and investing in security measures to address these emerging threats, there is no guarantee that we will be able to prevent all potential risks associated with the misuse of these technologies.</w:t>
      </w:r>
    </w:p>
    <w:p>
      <w:pPr>
        <w:spacing w:after="0" w:line="227" w:lineRule="exact"/>
        <w:rPr>
          <w:sz w:val="20"/>
          <w:szCs w:val="20"/>
          <w:color w:val="auto"/>
        </w:rPr>
      </w:pPr>
    </w:p>
    <w:p>
      <w:pPr>
        <w:jc w:val="both"/>
        <w:ind w:right="40"/>
        <w:spacing w:after="0" w:line="330" w:lineRule="auto"/>
        <w:rPr>
          <w:sz w:val="20"/>
          <w:szCs w:val="20"/>
          <w:color w:val="auto"/>
        </w:rPr>
      </w:pPr>
      <w:r>
        <w:rPr>
          <w:rFonts w:ascii="Arial" w:cs="Arial" w:eastAsia="Arial" w:hAnsi="Arial"/>
          <w:sz w:val="19"/>
          <w:szCs w:val="19"/>
          <w:color w:val="auto"/>
        </w:rPr>
        <w:t>As a result, the risks associated with the rapid evolution of AI and quantum computing may have an adverse effect on our ability to compete effectively, as well as expose us to new forms of fraud and cybersecurity threats, which could materially affect our business, financial condition, and results of operations.</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Emerging Financial Technologies</w:t>
      </w:r>
    </w:p>
    <w:p>
      <w:pPr>
        <w:spacing w:after="0" w:line="200" w:lineRule="exact"/>
        <w:rPr>
          <w:sz w:val="20"/>
          <w:szCs w:val="20"/>
          <w:color w:val="auto"/>
        </w:rPr>
      </w:pPr>
    </w:p>
    <w:p>
      <w:pPr>
        <w:jc w:val="both"/>
        <w:ind w:right="40"/>
        <w:spacing w:after="0" w:line="351" w:lineRule="auto"/>
        <w:rPr>
          <w:sz w:val="20"/>
          <w:szCs w:val="20"/>
          <w:color w:val="auto"/>
        </w:rPr>
      </w:pPr>
      <w:r>
        <w:rPr>
          <w:rFonts w:ascii="Arial" w:cs="Arial" w:eastAsia="Arial" w:hAnsi="Arial"/>
          <w:sz w:val="18"/>
          <w:szCs w:val="18"/>
          <w:color w:val="auto"/>
        </w:rPr>
        <w:t>Advances in payment technologies and other financial innovations—including offerings by non-bank financial service providers—may increase competitive pressures on traditional deposit, payment, and lending products. Even if we do not offer such products or services, changes in customer preferences and the growth of alternative payment mechanisms could reduce demand for certain traditional banking services, compress fee income or net interest margins, and adversely affect our business, financial condition, and 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“Debanking,” Fair Access and Supervisory Expectations</w:t>
      </w:r>
    </w:p>
    <w:p>
      <w:pPr>
        <w:spacing w:after="0" w:line="200" w:lineRule="exact"/>
        <w:rPr>
          <w:sz w:val="20"/>
          <w:szCs w:val="20"/>
          <w:color w:val="auto"/>
        </w:rPr>
      </w:pPr>
    </w:p>
    <w:p>
      <w:pPr>
        <w:jc w:val="both"/>
        <w:ind w:right="20"/>
        <w:spacing w:after="0" w:line="310" w:lineRule="auto"/>
        <w:rPr>
          <w:sz w:val="20"/>
          <w:szCs w:val="20"/>
          <w:color w:val="auto"/>
        </w:rPr>
      </w:pPr>
      <w:r>
        <w:rPr>
          <w:rFonts w:ascii="Arial" w:cs="Arial" w:eastAsia="Arial" w:hAnsi="Arial"/>
          <w:sz w:val="20"/>
          <w:szCs w:val="20"/>
          <w:color w:val="auto"/>
        </w:rPr>
        <w:t>Evolving federal and state scrutiny of account onboarding, offboarding, and access to banking services—often referred to as “debanking” or “fair access”—could increase our compliance, legal, and reputational risks. Policymakers and regulators are reconsidering the role of “reputation risk” in supervision and adopting laws that limit account decisions based on perceived political or non-risk factors. These measures may conflict with each other or with our obligations under existing law.</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 / 63</w:t>
      </w:r>
    </w:p>
    <w:p>
      <w:pPr>
        <w:sectPr>
          <w:pgSz w:w="11900" w:h="16838" w:orient="portrait"/>
          <w:cols w:equalWidth="0" w:num="1">
            <w:col w:w="9380"/>
          </w:cols>
          <w:pgMar w:left="1260" w:top="1440" w:right="1266" w:bottom="0" w:gutter="0" w:footer="0" w:header="0"/>
          <w:type w:val="continuous"/>
        </w:sectPr>
      </w:pPr>
    </w:p>
    <w:bookmarkStart w:id="33" w:name="page34"/>
    <w:bookmarkEnd w:id="33"/>
    <w:p>
      <w:pPr>
        <w:jc w:val="both"/>
        <w:spacing w:after="0" w:line="311" w:lineRule="auto"/>
        <w:rPr>
          <w:sz w:val="20"/>
          <w:szCs w:val="20"/>
          <w:color w:val="auto"/>
        </w:rPr>
      </w:pPr>
      <w:r>
        <w:rPr>
          <w:rFonts w:ascii="Arial" w:cs="Arial" w:eastAsia="Arial" w:hAnsi="Arial"/>
          <w:sz w:val="20"/>
          <w:szCs w:val="20"/>
          <w:color w:val="auto"/>
        </w:rPr>
        <w:t>Supervisory expectations emphasizing individualized, risk-based decisions and enhanced documentation may require policy and system changes and greater resources. We could face criticism or penalties if regulators find our account actions insufficiently supported or discriminatory, or if we must maintain accounts beyond our risk appetite. Conflicting standards and rising public attention to alleged “debanking” may increase complaint volume, compliance costs, and reputational exposure. Any of these developments could materially affect our business, financial condition, or results of operations.</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Cybersecurity, and Information Security Compliance</w:t>
      </w:r>
    </w:p>
    <w:p>
      <w:pPr>
        <w:spacing w:after="0" w:line="200" w:lineRule="exact"/>
        <w:rPr>
          <w:sz w:val="20"/>
          <w:szCs w:val="20"/>
          <w:color w:val="auto"/>
        </w:rPr>
      </w:pPr>
    </w:p>
    <w:p>
      <w:pPr>
        <w:jc w:val="both"/>
        <w:ind w:right="40"/>
        <w:spacing w:after="0" w:line="311" w:lineRule="auto"/>
        <w:rPr>
          <w:sz w:val="20"/>
          <w:szCs w:val="20"/>
          <w:color w:val="auto"/>
        </w:rPr>
      </w:pPr>
      <w:r>
        <w:rPr>
          <w:rFonts w:ascii="Arial" w:cs="Arial" w:eastAsia="Arial" w:hAnsi="Arial"/>
          <w:sz w:val="20"/>
          <w:szCs w:val="20"/>
          <w:color w:val="auto"/>
        </w:rPr>
        <w:t>We are subject to extensive federal and state data privacy, cybersecurity, and information security requirements. Expanding state privacy regimes, incident-notification rules, and vendor-oversight standards have increased the complexity and cost of compliance, particularly across multiple jurisdictions and third-party relationships. Failure to comply with applicable laws or to safeguard customer or confidential information could result in regulatory inquiries, penalties, litigation, remediation costs, and reputational harm. Ongoing changes in privacy and cybersecurity laws may require additional investment in systems, controls, and personnel, and could adversely affect our operations and financial results.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 / 63</w:t>
      </w:r>
    </w:p>
    <w:p>
      <w:pPr>
        <w:sectPr>
          <w:pgSz w:w="11900" w:h="16838" w:orient="portrait"/>
          <w:cols w:equalWidth="0" w:num="1">
            <w:col w:w="9380"/>
          </w:cols>
          <w:pgMar w:left="1260" w:top="1173" w:right="1266" w:bottom="0" w:gutter="0" w:footer="0" w:header="0"/>
          <w:type w:val="continuous"/>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Consumer Compliance, CRA Modernization, and Fair Lending</w:t>
      </w:r>
    </w:p>
    <w:p>
      <w:pPr>
        <w:spacing w:after="0" w:line="200"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We are subject to extensive consumer protection, fair lending, and Community Reinvestment Act (CRA) obligations. CRA modernization and evolving fair-lending expectations may require changes to our assessment areas, data collection, monitoring, product offerings, and governance. The use of models or analytics in pricing, marketing, or underwriting increases fair-lending and conduct risk if not properly controlled. Failure to meet supervisory expectations could result in criticism, penalties, remediation obligations, restrictions on growth or activities, or reputational harm.</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Payments, Fee Practices, and Operational Risk</w:t>
      </w:r>
    </w:p>
    <w:p>
      <w:pPr>
        <w:spacing w:after="0" w:line="200" w:lineRule="exact"/>
        <w:rPr>
          <w:sz w:val="20"/>
          <w:szCs w:val="20"/>
          <w:color w:val="auto"/>
        </w:rPr>
      </w:pPr>
    </w:p>
    <w:p>
      <w:pPr>
        <w:jc w:val="both"/>
        <w:ind w:right="40"/>
        <w:spacing w:after="0" w:line="311" w:lineRule="auto"/>
        <w:rPr>
          <w:sz w:val="20"/>
          <w:szCs w:val="20"/>
          <w:color w:val="auto"/>
        </w:rPr>
      </w:pPr>
      <w:r>
        <w:rPr>
          <w:rFonts w:ascii="Arial" w:cs="Arial" w:eastAsia="Arial" w:hAnsi="Arial"/>
          <w:sz w:val="20"/>
          <w:szCs w:val="20"/>
          <w:color w:val="auto"/>
        </w:rPr>
        <w:t>Regulatory and supervisory scrutiny of consumer fees—including overdraft and other service charges—continues to evolve. Changes to fee practices, disclosure requirements, or remediation obligations could reduce noninterest income and increase compliance costs. Adoption of faster payment systems and real-time networks heightens operational, fraud, and funds-availability risks, requiring ongoing enhancements to risk controls, vendor oversight, and reconciliation processes. Network rule changes or settlement obligations could further increase costs or operational complexity and adversely affect our results.</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Consumer Credit Normalization and Portfolio Risk</w:t>
      </w:r>
    </w:p>
    <w:p>
      <w:pPr>
        <w:spacing w:after="0" w:line="200" w:lineRule="exact"/>
        <w:rPr>
          <w:sz w:val="20"/>
          <w:szCs w:val="20"/>
          <w:color w:val="auto"/>
        </w:rPr>
      </w:pPr>
    </w:p>
    <w:p>
      <w:pPr>
        <w:jc w:val="both"/>
        <w:ind w:right="40"/>
        <w:spacing w:after="0" w:line="330" w:lineRule="auto"/>
        <w:rPr>
          <w:sz w:val="20"/>
          <w:szCs w:val="20"/>
          <w:color w:val="auto"/>
        </w:rPr>
      </w:pPr>
      <w:r>
        <w:rPr>
          <w:rFonts w:ascii="Arial" w:cs="Arial" w:eastAsia="Arial" w:hAnsi="Arial"/>
          <w:sz w:val="19"/>
          <w:szCs w:val="19"/>
          <w:color w:val="auto"/>
        </w:rPr>
        <w:t>Consumer credit performance is normalizing from historically strong conditions, reflecting higher interest rates, elevated prices, and reduced savings. Deterioration in borrower cash flows, labor-market weakness, or persistent inflation could increase delinquencies and charge-offs in our retail portfolios, including unsecured consumer loans. Higher loss emergence would increase our allowance for credit losses under CECL, potentially leading to earnings volatility, elevated provision levels and slower loan growth.</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Operational Risks</w:t>
      </w:r>
    </w:p>
    <w:p>
      <w:pPr>
        <w:spacing w:after="0" w:line="200" w:lineRule="exact"/>
        <w:rPr>
          <w:sz w:val="20"/>
          <w:szCs w:val="20"/>
          <w:color w:val="auto"/>
        </w:rPr>
      </w:pPr>
    </w:p>
    <w:p>
      <w:pPr>
        <w:jc w:val="both"/>
        <w:ind w:right="40"/>
        <w:spacing w:after="0" w:line="311" w:lineRule="auto"/>
        <w:rPr>
          <w:sz w:val="20"/>
          <w:szCs w:val="20"/>
          <w:color w:val="auto"/>
        </w:rPr>
      </w:pPr>
      <w:r>
        <w:rPr>
          <w:rFonts w:ascii="Arial" w:cs="Arial" w:eastAsia="Arial" w:hAnsi="Arial"/>
          <w:sz w:val="20"/>
          <w:szCs w:val="20"/>
          <w:color w:val="auto"/>
        </w:rPr>
        <w:t>We are subject to certain operational risks, including, but not limited to, data processing system failures and errors, customer or employee fraud and catastrophic failures resulting from terrorist acts or natural disasters. We maintain a system of internal controls to mitigate against such occurrences and maintain insurance coverage for such risks that are insurable, but should such an event occur that is not prevented or detected by our internal controls, uninsured or in excess of applicable insurance limits, it could have a significant adverse impact on our business, financial condition or results of operations.</w:t>
      </w:r>
    </w:p>
    <w:p>
      <w:pPr>
        <w:spacing w:after="0" w:line="252" w:lineRule="exact"/>
        <w:rPr>
          <w:sz w:val="20"/>
          <w:szCs w:val="20"/>
          <w:color w:val="auto"/>
        </w:rPr>
      </w:pPr>
    </w:p>
    <w:p>
      <w:pPr>
        <w:ind w:right="40"/>
        <w:spacing w:after="0" w:line="349" w:lineRule="auto"/>
        <w:rPr>
          <w:sz w:val="20"/>
          <w:szCs w:val="20"/>
          <w:color w:val="auto"/>
        </w:rPr>
      </w:pPr>
      <w:r>
        <w:rPr>
          <w:rFonts w:ascii="Arial" w:cs="Arial" w:eastAsia="Arial" w:hAnsi="Arial"/>
          <w:sz w:val="18"/>
          <w:szCs w:val="18"/>
          <w:color w:val="auto"/>
        </w:rPr>
        <w:t>Our operations are dependent on our ability to process financial transactions in a secure manner. Failure in or breach of our operational or security systems or infrastructure, or those of our third-party vendors and other service providers, could disrupt our business or the businesses of our customers, result in the disclosure or misuse of confidential or proprietary information, damage our reputation, increase our costs and cause losses. We must ensure that information is properly protected from a variety of threats such as cyber attacks, error, fraud, sabotage, terrorism, industrial espionage, privacy violation, service interruption, and natural disaster. These threats arise from numerous sources including human error, fraud on the part of employees or third parties, technological failure, telecommunication outages, and severe weather conditions. Information security risks for financial institutions like us have increased recently in part because of new technologies, the increased use of the internet and telecommunications technologies (including mobile devices and cloud computing) to conduct financial and other</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 / 63</w:t>
      </w:r>
    </w:p>
    <w:p>
      <w:pPr>
        <w:sectPr>
          <w:pgSz w:w="11900" w:h="16838" w:orient="portrait"/>
          <w:cols w:equalWidth="0" w:num="1">
            <w:col w:w="9380"/>
          </w:cols>
          <w:pgMar w:left="1260" w:top="1440" w:right="1266" w:bottom="0" w:gutter="0" w:footer="0" w:header="0"/>
          <w:type w:val="continuous"/>
        </w:sectPr>
      </w:pPr>
    </w:p>
    <w:bookmarkStart w:id="35" w:name="page36"/>
    <w:bookmarkEnd w:id="35"/>
    <w:p>
      <w:pPr>
        <w:jc w:val="both"/>
        <w:spacing w:after="0" w:line="330" w:lineRule="auto"/>
        <w:rPr>
          <w:sz w:val="20"/>
          <w:szCs w:val="20"/>
          <w:color w:val="auto"/>
        </w:rPr>
      </w:pPr>
      <w:r>
        <w:rPr>
          <w:rFonts w:ascii="Arial" w:cs="Arial" w:eastAsia="Arial" w:hAnsi="Arial"/>
          <w:sz w:val="19"/>
          <w:szCs w:val="19"/>
          <w:color w:val="auto"/>
        </w:rPr>
        <w:t>business transactions, political activism, and the increased sophistication and activities of organized crime. Although we employ detection and response mechanisms designed to contain and mitigate security incidents, early detection may be thwarted by persistent sophisticated attacks and malware designed to avoid detection.</w:t>
      </w:r>
    </w:p>
    <w:p>
      <w:pPr>
        <w:spacing w:after="0" w:line="239"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Any activity that jeopardizes our network and the security of the information stored thereon may result in significant cost and have a significant adverse effect on our reputation. We maintain insurance coverage that may, subject to policy terms and conditions, cover certain aspects of cyber risks. Such insurance coverage may be insufficient to cover all losses.</w:t>
      </w:r>
    </w:p>
    <w:p>
      <w:pPr>
        <w:spacing w:after="0" w:line="256"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Any successful cyber attack or other security breach involving the misappropriation or other unauthorized disclosure of confidential customer information or that compromises our ability to function could severely damage our reputation, erode confidence in the security of our systems, products and services, expose us to the risk of litigation and liability, disrupt our operations and have a material adverse effect on our business. Any successful cyber attack may also subject the Company to regulatory investigations, litigation or enforcement, or require the payment of regulatory fines or penalties or undertaking costly remediation efforts with respect to third parties affected by a cybersecurity incident, all or any of which could adversely affect the Company’s business, financial condition or results of operations and damage its reputation.</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36 / 63</w:t>
      </w:r>
    </w:p>
    <w:p>
      <w:pPr>
        <w:sectPr>
          <w:pgSz w:w="11900" w:h="16838" w:orient="portrait"/>
          <w:cols w:equalWidth="0" w:num="1">
            <w:col w:w="9340"/>
          </w:cols>
          <w:pgMar w:left="1260" w:top="1173" w:right="1306" w:bottom="0" w:gutter="0" w:footer="0" w:header="0"/>
          <w:type w:val="continuous"/>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Risk of Increased Losses from Fraud</w:t>
      </w:r>
    </w:p>
    <w:p>
      <w:pPr>
        <w:spacing w:after="0" w:line="200" w:lineRule="exact"/>
        <w:rPr>
          <w:sz w:val="20"/>
          <w:szCs w:val="20"/>
          <w:color w:val="auto"/>
        </w:rPr>
      </w:pPr>
    </w:p>
    <w:p>
      <w:pPr>
        <w:jc w:val="both"/>
        <w:ind w:left="6" w:right="40"/>
        <w:spacing w:after="0" w:line="329" w:lineRule="auto"/>
        <w:rPr>
          <w:sz w:val="20"/>
          <w:szCs w:val="20"/>
          <w:color w:val="auto"/>
        </w:rPr>
      </w:pPr>
      <w:r>
        <w:rPr>
          <w:rFonts w:ascii="Arial" w:cs="Arial" w:eastAsia="Arial" w:hAnsi="Arial"/>
          <w:sz w:val="19"/>
          <w:szCs w:val="19"/>
          <w:color w:val="auto"/>
        </w:rPr>
        <w:t>Criminals are committing fraud at an increasing rate and are using more sophisticated techniques. In some cases, these individuals are part of larger criminal rings, which allow them to be more effective. Such fraudulent activity has taken many forms, ranging from debit card fraud, check fraud, mechanical devices attached to ATM machines, social engineering and phishing attacks to obtain personal information, or impersonation of clients through the use of falsified or stolen credentials. Additionally, an individual or business entity may properly identify itself, yet seek to establish a business relationship for the purpose of perpetrating fraud. An emerging type of fraud even involves the creation of synthetic identification in which fraudsters "create" individuals for the purpose of perpetrating fraud. Further, in addition to fraud committed directly against us, the Company may suffer losses as a result of fraudulent activity committed against third parties. Increased deployment of technologies, such as chip card technology and dual authentication, defray and reduce certain aspects of fraud; however, criminals are turning to other sources to steal personally identifiable information, such as unaffiliated healthcare providers and government entities, in order to impersonate the consumer and thereby commit fraud.</w:t>
      </w:r>
    </w:p>
    <w:p>
      <w:pPr>
        <w:spacing w:after="0" w:line="356"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Potential Inadequacy of our Allowance for Credit Losses</w:t>
      </w:r>
    </w:p>
    <w:p>
      <w:pPr>
        <w:spacing w:after="0" w:line="200" w:lineRule="exact"/>
        <w:rPr>
          <w:sz w:val="20"/>
          <w:szCs w:val="20"/>
          <w:color w:val="auto"/>
        </w:rPr>
      </w:pPr>
    </w:p>
    <w:p>
      <w:pPr>
        <w:jc w:val="both"/>
        <w:ind w:left="6"/>
        <w:spacing w:after="0" w:line="329" w:lineRule="auto"/>
        <w:rPr>
          <w:sz w:val="20"/>
          <w:szCs w:val="20"/>
          <w:color w:val="auto"/>
        </w:rPr>
      </w:pPr>
      <w:r>
        <w:rPr>
          <w:rFonts w:ascii="Arial" w:cs="Arial" w:eastAsia="Arial" w:hAnsi="Arial"/>
          <w:sz w:val="19"/>
          <w:szCs w:val="19"/>
          <w:color w:val="auto"/>
        </w:rPr>
        <w:t>Like all financial institutions, we maintain an allowance for credit losses to provide for loan defaults and non-performance. Our allowance for credit losses is based on our historical loss experience and forward-looking data as well as an evaluation of the risks associated with our loan portfolio, including the size and composition of the loan portfolio, current economic conditions and concentrations within the portfolio. The determination of the appropriate level of the allowance for credit losses inherently involves a high degree of subjectivity and requires us to make significant estimates of current credit risks and future trends, all of which may undergo material changes. Economic conditions affecting borrowers, new information regarding existing loans, identification of additional problem loans and other factors, both within and outside of our control, may require an increase in the allowance for credit losses. In addition, bank regulatory agencies periodically review our allowance for credit losses and may require an increase in the provision for credit losses or the recognition of further loan charge-offs, based on judgments different than those of management. In addition, if charge-offs in future periods exceed expectations, we will need additional provisions to increase the allowance for credit losses. Any increases in the allowance for credit losses may result in a decrease in net income and capital and may have a material adverse effect on our financial condition and results of operations.</w:t>
      </w:r>
    </w:p>
    <w:p>
      <w:pPr>
        <w:spacing w:after="0" w:line="247"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Company accounts for the allowance for credit losses in accordance with ASU 2016-13, "Financial Instruments</w:t>
      </w:r>
    </w:p>
    <w:p>
      <w:pPr>
        <w:spacing w:after="0" w:line="93" w:lineRule="exact"/>
        <w:rPr>
          <w:sz w:val="20"/>
          <w:szCs w:val="20"/>
          <w:color w:val="auto"/>
        </w:rPr>
      </w:pPr>
    </w:p>
    <w:p>
      <w:pPr>
        <w:jc w:val="both"/>
        <w:ind w:left="6" w:hanging="6"/>
        <w:spacing w:after="0" w:line="311" w:lineRule="auto"/>
        <w:tabs>
          <w:tab w:leader="none" w:pos="134" w:val="left"/>
        </w:tabs>
        <w:numPr>
          <w:ilvl w:val="0"/>
          <w:numId w:val="10"/>
        </w:numPr>
        <w:rPr>
          <w:rFonts w:ascii="Arial" w:cs="Arial" w:eastAsia="Arial" w:hAnsi="Arial"/>
          <w:sz w:val="20"/>
          <w:szCs w:val="20"/>
          <w:color w:val="auto"/>
        </w:rPr>
      </w:pPr>
      <w:r>
        <w:rPr>
          <w:rFonts w:ascii="Arial" w:cs="Arial" w:eastAsia="Arial" w:hAnsi="Arial"/>
          <w:sz w:val="20"/>
          <w:szCs w:val="20"/>
          <w:color w:val="auto"/>
        </w:rPr>
        <w:t>Credit Losses (Topic 326), Measurement of Credit Losses on Financial Instruments," which utilizes an "expected loss" model referred to as the Current Expected Credit Loss model, or “CECL.” Under the CECL model, we are required to present certain financial assets carried at amortized cost, such as loans held for investment and held-to-maturity debt securities, at the net amount expected to be collected. The measurement of expected credit losses is based on information about past events, including historical experience, current conditions, and reasonable and supportable forecasts that affect the collectability of the reported amount. This measurement takes place at the time the financial asset is first added to the balance sheet and periodically thereafter. If we are required to increase our level of allowance for credit losses for any reason, such increase could adversely affect our business, financial condition and results of operations. Please see Note 1 in the notes to consolidated financial statements for additional information.</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37 / 63</w:t>
      </w:r>
    </w:p>
    <w:p>
      <w:pPr>
        <w:sectPr>
          <w:pgSz w:w="11900" w:h="16838" w:orient="portrait"/>
          <w:cols w:equalWidth="0" w:num="1">
            <w:col w:w="9406"/>
          </w:cols>
          <w:pgMar w:left="1254" w:top="1440" w:right="1246" w:bottom="0" w:gutter="0" w:footer="0" w:header="0"/>
          <w:type w:val="continuous"/>
        </w:sectPr>
      </w:pPr>
    </w:p>
    <w:bookmarkStart w:id="37" w:name="page38"/>
    <w:bookmarkEnd w:id="37"/>
    <w:p>
      <w:pPr>
        <w:spacing w:after="0"/>
        <w:rPr>
          <w:sz w:val="20"/>
          <w:szCs w:val="20"/>
          <w:color w:val="auto"/>
        </w:rPr>
      </w:pPr>
      <w:r>
        <w:rPr>
          <w:rFonts w:ascii="Arial" w:cs="Arial" w:eastAsia="Arial" w:hAnsi="Arial"/>
          <w:sz w:val="20"/>
          <w:szCs w:val="20"/>
          <w:b w:val="1"/>
          <w:bCs w:val="1"/>
          <w:color w:val="auto"/>
        </w:rPr>
        <w:t>Attraction of Deposits and other Short-term Funding</w:t>
      </w:r>
    </w:p>
    <w:p>
      <w:pPr>
        <w:spacing w:after="0" w:line="200" w:lineRule="exact"/>
        <w:rPr>
          <w:sz w:val="20"/>
          <w:szCs w:val="20"/>
          <w:color w:val="auto"/>
        </w:rPr>
      </w:pPr>
    </w:p>
    <w:p>
      <w:pPr>
        <w:jc w:val="both"/>
        <w:ind w:right="20"/>
        <w:spacing w:after="0" w:line="349" w:lineRule="auto"/>
        <w:rPr>
          <w:sz w:val="20"/>
          <w:szCs w:val="20"/>
          <w:color w:val="auto"/>
        </w:rPr>
      </w:pPr>
      <w:r>
        <w:rPr>
          <w:rFonts w:ascii="Arial" w:cs="Arial" w:eastAsia="Arial" w:hAnsi="Arial"/>
          <w:sz w:val="18"/>
          <w:szCs w:val="18"/>
          <w:color w:val="auto"/>
        </w:rPr>
        <w:t>In managing our liquidity, our primary source of short-term funding is customer deposits. Our ability to continue to attract these deposits, and other short-term funding sources, is subject to variability based upon a number of factors, including the relative interest rates we are prepared to pay for these liabilities and the perception of safety of those deposits or short-term obligations relative to alternative short-term investments. The availability and cost of credit in short-term markets depends upon market perceptions of our liquidity and creditworthiness. Our efforts to monitor and manage liquidity risk may not be successful or sufficient to deal with dramatic or unanticipated changes in event-driven reductions in liquidity. In such events, our cost of funds may increase, thereby reducing our net interest revenue, or we may need to dispose of a portion of our investment portfolio, which, depending on market conditions, could result in our realizing a loss or experiencing other adverse consequences.</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Global Economic and Geopolitical Instability Trade Policy, and Inflationary Risks</w:t>
      </w:r>
    </w:p>
    <w:p>
      <w:pPr>
        <w:spacing w:after="0" w:line="200"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Geopolitical conditions, terrorist attacks, military conflicts, natural disasters, severe weather, widespread health emergencies or pandemics, information security or cybersecurity incidents (including intrusion into or degradation or unavailability of systems or technology by cyberattacks), operational incidents and other catastrophic events can have a material adverse effect on our business. Political and social conditions, including actions upending geopolitical stability, such as from tensions involving China and the U.S., and other geopolitical tensions like the ongoing conflicts between Russia and Ukraine and Israel and Hamas, may escalate or result in additional conflicts. In addition, fiscal and monetary policies, trade wars and tariffs, labor shortages, regional or domestic hostilities, economic sanctions and the prospect or occurrence of more widespread conflicts could also negatively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 / 63</w:t>
      </w:r>
    </w:p>
    <w:p>
      <w:pPr>
        <w:sectPr>
          <w:pgSz w:w="11900" w:h="16838" w:orient="portrait"/>
          <w:cols w:equalWidth="0" w:num="1">
            <w:col w:w="9380"/>
          </w:cols>
          <w:pgMar w:left="1260" w:top="1163" w:right="1266" w:bottom="0"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302" w:lineRule="auto"/>
        <w:rPr>
          <w:sz w:val="20"/>
          <w:szCs w:val="20"/>
          <w:color w:val="auto"/>
        </w:rPr>
      </w:pPr>
      <w:r>
        <w:rPr>
          <w:rFonts w:ascii="Arial" w:cs="Arial" w:eastAsia="Arial" w:hAnsi="Arial"/>
          <w:sz w:val="20"/>
          <w:szCs w:val="20"/>
          <w:color w:val="auto"/>
        </w:rPr>
        <w:t>affect our business, operations and partners, consumer and business spending, including consumer spending patterns and business investment, and demand for credit.</w:t>
      </w:r>
    </w:p>
    <w:p>
      <w:pPr>
        <w:spacing w:after="0" w:line="261"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Many of our commercial borrowers operate in agriculture, food processing, and manufacturing; industries that are particularly sensitive to changes in trade policy and global supply chains. The imposition of tariffs on imported goods, the added potential for retaliatory tariffs by foreign governments, or other similar restrictions on international trade could increase costs for domestic manufacturers and consumers alike, as well as reduce demand abroad for U.S. exports, and disrupt supply chains. Any prolonged trade tensions could negatively impact the broader economic environment in the Midwest where the Bank operates, potentially leading to reduced consumer spending, lower economic growth, and decreased demand for other banking products and services. If these factors lead to financial strain on our borrowers, we may experience increased credit risk, higher loan delinquencies, and a potential decline in loan demand.</w:t>
      </w:r>
    </w:p>
    <w:p>
      <w:pPr>
        <w:spacing w:after="0" w:line="244" w:lineRule="exact"/>
        <w:rPr>
          <w:sz w:val="20"/>
          <w:szCs w:val="20"/>
          <w:color w:val="auto"/>
        </w:rPr>
      </w:pPr>
    </w:p>
    <w:p>
      <w:pPr>
        <w:jc w:val="both"/>
        <w:ind w:right="20"/>
        <w:spacing w:after="0" w:line="352" w:lineRule="auto"/>
        <w:rPr>
          <w:sz w:val="20"/>
          <w:szCs w:val="20"/>
          <w:color w:val="auto"/>
        </w:rPr>
      </w:pPr>
      <w:r>
        <w:rPr>
          <w:rFonts w:ascii="Arial" w:cs="Arial" w:eastAsia="Arial" w:hAnsi="Arial"/>
          <w:sz w:val="18"/>
          <w:szCs w:val="18"/>
          <w:color w:val="auto"/>
        </w:rPr>
        <w:t>As a result, our financial performance, including credit quality and loan growth, could be adversely affected by these policy changes. While we actively monitor these developments and work closely with our agricultural customers, there is no assurance that we can fully mitigate the risks posed by tariff initiatives or other trade-related disruptions. These factors could materially affect our business, financial condition, and results of operations.</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Pandemic, Public-Health, and Agricultural Disease Risks</w:t>
      </w:r>
    </w:p>
    <w:p>
      <w:pPr>
        <w:spacing w:after="0" w:line="200"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Future widespread health emergencies, pandemics, or agricultural disease outbreaks could adversely affect economic activity, disrupt supply chains, or impair the financial condition of industries operating in our markets.</w:t>
      </w:r>
    </w:p>
    <w:p>
      <w:pPr>
        <w:spacing w:after="0" w:line="237" w:lineRule="exact"/>
        <w:rPr>
          <w:sz w:val="20"/>
          <w:szCs w:val="20"/>
          <w:color w:val="auto"/>
        </w:rPr>
      </w:pPr>
    </w:p>
    <w:p>
      <w:pPr>
        <w:jc w:val="both"/>
        <w:ind w:right="20"/>
        <w:spacing w:after="0" w:line="349" w:lineRule="auto"/>
        <w:rPr>
          <w:sz w:val="20"/>
          <w:szCs w:val="20"/>
          <w:color w:val="auto"/>
        </w:rPr>
      </w:pPr>
      <w:r>
        <w:rPr>
          <w:rFonts w:ascii="Arial" w:cs="Arial" w:eastAsia="Arial" w:hAnsi="Arial"/>
          <w:sz w:val="18"/>
          <w:szCs w:val="18"/>
          <w:color w:val="auto"/>
        </w:rPr>
        <w:t>Indiana and Ohio are leading producers of poultry, eggs and poultry products, and rank at the top in the country in production of ducks, eggs, turkeys, and are significant producers of broilers. In January 2025, there was a documented regional increase in incidents of a highly contagious avian influenza known as H5N1 bird flu, which occurred in the Indiana counties of Jay, Allen and Adams, and the Ohio counties of Mercer and Van Wert. The Bank currently has loan customers in these counties who operate in the poultry industry and whose operations may be highly vulnerable to any significant outbreak of the virus, which could materially affect their ability to operate and therefore repay their loans. Similar future outbreaks or public-health events affecting key borrower industries could increase credit losses, reduce loan demand, or otherwise adversely affect our business, financial condition, and results of operations. The Bank continues to actively monitor flu outbreaks affecting our customers.</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Limited Trading Market</w:t>
      </w:r>
    </w:p>
    <w:p>
      <w:pPr>
        <w:spacing w:after="0" w:line="200" w:lineRule="exact"/>
        <w:rPr>
          <w:sz w:val="20"/>
          <w:szCs w:val="20"/>
          <w:color w:val="auto"/>
        </w:rPr>
      </w:pPr>
    </w:p>
    <w:p>
      <w:pPr>
        <w:jc w:val="both"/>
        <w:ind w:right="40"/>
        <w:spacing w:after="0" w:line="302" w:lineRule="auto"/>
        <w:rPr>
          <w:sz w:val="20"/>
          <w:szCs w:val="20"/>
          <w:color w:val="auto"/>
        </w:rPr>
      </w:pPr>
      <w:r>
        <w:rPr>
          <w:rFonts w:ascii="Arial" w:cs="Arial" w:eastAsia="Arial" w:hAnsi="Arial"/>
          <w:sz w:val="20"/>
          <w:szCs w:val="20"/>
          <w:color w:val="auto"/>
        </w:rPr>
        <w:t>The Company has its shares of stock listed and traded on the NASDAQ Capital Market. The Company’s trading symbol is “FMAO.”</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1b. UNRESOLVED STAFF COMMENTS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1c. CYBERSECURITY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Oversight Responsibilities</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 / 63</w:t>
      </w:r>
    </w:p>
    <w:p>
      <w:pPr>
        <w:sectPr>
          <w:pgSz w:w="11900" w:h="16838" w:orient="portrait"/>
          <w:cols w:equalWidth="0" w:num="1">
            <w:col w:w="9360"/>
          </w:cols>
          <w:pgMar w:left="1260" w:top="1440" w:right="1286" w:bottom="0" w:gutter="0" w:footer="0" w:header="0"/>
          <w:type w:val="continuous"/>
        </w:sectPr>
      </w:pPr>
    </w:p>
    <w:bookmarkStart w:id="39" w:name="page40"/>
    <w:bookmarkEnd w:id="39"/>
    <w:p>
      <w:pPr>
        <w:jc w:val="both"/>
        <w:ind w:right="20"/>
        <w:spacing w:after="0" w:line="350" w:lineRule="auto"/>
        <w:rPr>
          <w:sz w:val="20"/>
          <w:szCs w:val="20"/>
          <w:color w:val="auto"/>
        </w:rPr>
      </w:pPr>
      <w:r>
        <w:rPr>
          <w:rFonts w:ascii="Arial" w:cs="Arial" w:eastAsia="Arial" w:hAnsi="Arial"/>
          <w:sz w:val="18"/>
          <w:szCs w:val="18"/>
          <w:color w:val="auto"/>
        </w:rPr>
        <w:t>The Board of Directors bears the ultimate responsibility for ensuring that an adequate cyber and information technology risk (IT risk) management framework is in place and functioning as intended. IT risk focuses on information and information systems, especially the most critical and vital information assets. Without reliable and properly secured information systems, business operations could be severely disrupted. Likewise, the preservation and enhancement of the Company’s reputation is directly linked to the way in which both information and information systems are managed. Maintaining an adequate level of security is one of several important aspects of managing IT risk. The Board’s oversight responsibility in this respect includes oversight of the Company’s vendor management program and the periodic evaluation of the Company’s IT risk management controls.</w:t>
      </w:r>
    </w:p>
    <w:p>
      <w:pPr>
        <w:spacing w:after="0" w:line="225"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Board of Directors implements its IT risk oversight obligations primarily through the Board’s Enterprise Risk Management Committee (ERM Committee). The primary function of the ERM Committee is to advise the Board of Directors regarding the enterprise risk management framework of the Company and to provide oversight to assist the Board of Directors in supervising enterprise risk management activities. The ERM Committee reviews and defines risk exposure limits for each specified risk category, including IT risk, while taking into consideration strategic goals and objectives and current market conditions. The Board ERM Committee reviews and approves any necessary changes to risk exposure limits after careful consideration of any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 / 63</w:t>
      </w:r>
    </w:p>
    <w:p>
      <w:pPr>
        <w:sectPr>
          <w:pgSz w:w="11900" w:h="16838" w:orient="portrait"/>
          <w:cols w:equalWidth="0" w:num="1">
            <w:col w:w="9360"/>
          </w:cols>
          <w:pgMar w:left="1260" w:top="1173" w:right="1286" w:bottom="0" w:gutter="0" w:footer="0" w:header="0"/>
          <w:type w:val="continuous"/>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60"/>
        <w:spacing w:after="0" w:line="363" w:lineRule="auto"/>
        <w:rPr>
          <w:sz w:val="20"/>
          <w:szCs w:val="20"/>
          <w:color w:val="auto"/>
        </w:rPr>
      </w:pPr>
      <w:r>
        <w:rPr>
          <w:rFonts w:ascii="Arial" w:cs="Arial" w:eastAsia="Arial" w:hAnsi="Arial"/>
          <w:sz w:val="18"/>
          <w:szCs w:val="18"/>
          <w:color w:val="auto"/>
        </w:rPr>
        <w:t>changes in market conditions or corporate strategy and adopts guidelines, through the input of the Management Risk Committee’s analysis and discussion, regarding the maximum loss exposure the Bank is able and willing to assume.</w:t>
      </w:r>
    </w:p>
    <w:p>
      <w:pPr>
        <w:spacing w:after="0" w:line="214" w:lineRule="exact"/>
        <w:rPr>
          <w:sz w:val="20"/>
          <w:szCs w:val="20"/>
          <w:color w:val="auto"/>
        </w:rPr>
      </w:pPr>
    </w:p>
    <w:p>
      <w:pPr>
        <w:jc w:val="both"/>
        <w:ind w:right="60"/>
        <w:spacing w:after="0" w:line="311" w:lineRule="auto"/>
        <w:rPr>
          <w:sz w:val="20"/>
          <w:szCs w:val="20"/>
          <w:color w:val="auto"/>
        </w:rPr>
      </w:pPr>
      <w:r>
        <w:rPr>
          <w:rFonts w:ascii="Arial" w:cs="Arial" w:eastAsia="Arial" w:hAnsi="Arial"/>
          <w:sz w:val="20"/>
          <w:szCs w:val="20"/>
          <w:color w:val="auto"/>
        </w:rPr>
        <w:t>In addition, the Board of Directors has established a Cybersecurity Committee comprised of two outside members of the Board and select members of management to assist the Board in fulfilling its oversight responsibilities with respect to the Company’s information technology use and protection. Specifically, the Cybersecurity Committee oversees the effectiveness of the Company’s cybersecurity risk management program, including practices for identifying, assessing, and mitigating cybersecurity risks, monitoring the threat environment, vulnerability assessments, third-party cybersecurity risks, and the Company’s controls to prevent, detect, and respond to cybersecurity incidents. The Cybersecurity Committee also oversees cyber resiliency matters, including incident response planning, business continuity, and disaster recovery capabilities, and reviews investments in cybersecurity infrastructure and program needs. The Cybersecurity Committee meets at least quarterly and reports directly to the Board of Directors.</w:t>
      </w:r>
    </w:p>
    <w:p>
      <w:pPr>
        <w:spacing w:after="0" w:line="260" w:lineRule="exact"/>
        <w:rPr>
          <w:sz w:val="20"/>
          <w:szCs w:val="20"/>
          <w:color w:val="auto"/>
        </w:rPr>
      </w:pPr>
    </w:p>
    <w:p>
      <w:pPr>
        <w:jc w:val="both"/>
        <w:ind w:right="60"/>
        <w:spacing w:after="0" w:line="347" w:lineRule="auto"/>
        <w:rPr>
          <w:sz w:val="20"/>
          <w:szCs w:val="20"/>
          <w:color w:val="auto"/>
        </w:rPr>
      </w:pPr>
      <w:r>
        <w:rPr>
          <w:rFonts w:ascii="Arial" w:cs="Arial" w:eastAsia="Arial" w:hAnsi="Arial"/>
          <w:sz w:val="18"/>
          <w:szCs w:val="18"/>
          <w:color w:val="auto"/>
        </w:rPr>
        <w:t>The Management Risk Committee is comprised of various members of Senior Management, Department Leaders, Compliance, Internal Audit and Risk Management. The Management Risk Committee is responsible for loss control</w:t>
      </w:r>
    </w:p>
    <w:p>
      <w:pPr>
        <w:spacing w:after="0" w:line="1" w:lineRule="exact"/>
        <w:rPr>
          <w:sz w:val="20"/>
          <w:szCs w:val="20"/>
          <w:color w:val="auto"/>
        </w:rPr>
      </w:pPr>
    </w:p>
    <w:p>
      <w:pPr>
        <w:ind w:right="80"/>
        <w:spacing w:after="0" w:line="309" w:lineRule="auto"/>
        <w:rPr>
          <w:sz w:val="20"/>
          <w:szCs w:val="20"/>
          <w:color w:val="auto"/>
        </w:rPr>
      </w:pPr>
      <w:r>
        <w:rPr>
          <w:rFonts w:ascii="Arial" w:cs="Arial" w:eastAsia="Arial" w:hAnsi="Arial"/>
          <w:sz w:val="20"/>
          <w:szCs w:val="20"/>
          <w:color w:val="auto"/>
        </w:rPr>
        <w:t>and day-to-day oversight of the risk management function. Management Risk Committee meetings are held monthly. Results of the monthly review of risk categories are reported to the Board of Directors Enterprise Risk Management Committee (ERM) each quarter. In addition, the Company’s risk position is reported to the Board of Directors quarterly.</w:t>
      </w:r>
    </w:p>
    <w:p>
      <w:pPr>
        <w:spacing w:after="0" w:line="256" w:lineRule="exact"/>
        <w:rPr>
          <w:sz w:val="20"/>
          <w:szCs w:val="20"/>
          <w:color w:val="auto"/>
        </w:rPr>
      </w:pPr>
    </w:p>
    <w:p>
      <w:pPr>
        <w:ind w:right="60"/>
        <w:spacing w:after="0" w:line="363" w:lineRule="auto"/>
        <w:rPr>
          <w:sz w:val="20"/>
          <w:szCs w:val="20"/>
          <w:color w:val="auto"/>
        </w:rPr>
      </w:pPr>
      <w:r>
        <w:rPr>
          <w:rFonts w:ascii="Arial" w:cs="Arial" w:eastAsia="Arial" w:hAnsi="Arial"/>
          <w:sz w:val="18"/>
          <w:szCs w:val="18"/>
          <w:color w:val="auto"/>
        </w:rPr>
        <w:t>At least annually, the Board of Directors reviews and approves the risk management program and policies based on information presented throughout the year from the ERM Committee and the Management Risk Committee.</w:t>
      </w:r>
    </w:p>
    <w:p>
      <w:pPr>
        <w:spacing w:after="0" w:line="214"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In addition, the Information Systems (IS) Steering Committee, which is chaired by the Company’s Chief Information Officer, serves as an advisory group providing assistance and guidance to management regarding customer information security, information systems planning, systems management organization, systems performance, business continuity, information security, system related expenditures, vendor management, and related policies and procedures. The IS Steering Committee meets on a monthly basis. Formal meeting minutes serve to document decisions and recommendations by the IS Steering Committee and are reported to both the Management Risk Committee and the Board ERM Committee. Management has appointed the Chief Information Officer the responsibility for overall management of the Company’s “front line” IT risk. The Company’s Chief Information Officer, Chief Risk Officer, and other members of management responsible for cybersecurity risk management have experience in information security, technology operations, and risk management developed through prior work experience, professional training, and industry certifications.</w:t>
      </w:r>
    </w:p>
    <w:p>
      <w:pPr>
        <w:spacing w:after="0" w:line="245"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color w:val="auto"/>
        </w:rPr>
        <w:t>Despite these efforts, the Company’s cybersecurity measures may not be effective in preventing or detecting all cybersecurity incidents or breaches.</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Material Impact of Cyber Risk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As discussed more thoroughly below, the Company devotes significant resources to implement, maintain, monitor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and regularly upgrade its systems and networks with measures such as intrusion detection and prevention, access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controls, data encryption, and firewalls to safeguard critical business applications and customer information. The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additional cost to the Company of our cybersecurity monitoring and protection systems and controls includes the cost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41 / 63</w:t>
      </w:r>
    </w:p>
    <w:p>
      <w:pPr>
        <w:sectPr>
          <w:pgSz w:w="11900" w:h="16838" w:orient="portrait"/>
          <w:cols w:equalWidth="0" w:num="1">
            <w:col w:w="9400"/>
          </w:cols>
          <w:pgMar w:left="1260" w:top="1440" w:right="1246" w:bottom="0" w:gutter="0" w:footer="0" w:header="0"/>
          <w:type w:val="continuous"/>
        </w:sectPr>
      </w:pPr>
    </w:p>
    <w:bookmarkStart w:id="41" w:name="page42"/>
    <w:bookmarkEnd w:id="41"/>
    <w:p>
      <w:pPr>
        <w:jc w:val="both"/>
        <w:spacing w:after="0" w:line="349" w:lineRule="auto"/>
        <w:rPr>
          <w:sz w:val="20"/>
          <w:szCs w:val="20"/>
          <w:color w:val="auto"/>
        </w:rPr>
      </w:pPr>
      <w:r>
        <w:rPr>
          <w:rFonts w:ascii="Arial" w:cs="Arial" w:eastAsia="Arial" w:hAnsi="Arial"/>
          <w:sz w:val="18"/>
          <w:szCs w:val="18"/>
          <w:color w:val="auto"/>
        </w:rPr>
        <w:t>of hardware and software, third party technology providers, consulting, and legal fees, in addition to the incremental cost of personnel dedicated to cybersecurity. With the assistance of third-party service providers, the Company continues to implement security technology and establish procedures to maintain network security. As cyber threats continue to evolve, the Company may be subject to risks relevant to financial institutions, including unauthorized access to or disclosure of information, ransomware or other malware incidents, phishing and social engineering schemes, disruptions to online or payment systems, and vulnerabilities involving third-party service providers, any of which could result in financial loss, regulatory scrutiny, reputational harm, operational disruption, or remediation costs. The Company may be required to expend significant additional resources to continue to modify or enhance our protective measures or to investigate and remediate any information security vulnerabilities. In addition, we maintain insurance coverage that may, subject to policy terms and conditions, cover certain aspects of cyber risks, but such insurance coverage may not always be sufficient to cover all losses. To date, cybersecurity incidents have not materially affected the Company’s business strategy, results of operations, or financial condition. However, future cybersecurity threats or incidents could materially adversely affect the Company’s business strategy, results of operations, or financial condition.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 / 63</w:t>
      </w:r>
    </w:p>
    <w:p>
      <w:pPr>
        <w:sectPr>
          <w:pgSz w:w="11900" w:h="16838" w:orient="portrait"/>
          <w:cols w:equalWidth="0" w:num="1">
            <w:col w:w="9380"/>
          </w:cols>
          <w:pgMar w:left="1260" w:top="1173" w:right="1266" w:bottom="0" w:gutter="0" w:footer="0" w:header="0"/>
          <w:type w:val="continuous"/>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 Risk and Vendor Management</w:t>
      </w:r>
    </w:p>
    <w:p>
      <w:pPr>
        <w:spacing w:after="0" w:line="200" w:lineRule="exact"/>
        <w:rPr>
          <w:sz w:val="20"/>
          <w:szCs w:val="20"/>
          <w:color w:val="auto"/>
        </w:rPr>
      </w:pPr>
    </w:p>
    <w:p>
      <w:pPr>
        <w:jc w:val="both"/>
        <w:ind w:right="60"/>
        <w:spacing w:after="0" w:line="347" w:lineRule="auto"/>
        <w:rPr>
          <w:sz w:val="20"/>
          <w:szCs w:val="20"/>
          <w:color w:val="auto"/>
        </w:rPr>
      </w:pPr>
      <w:r>
        <w:rPr>
          <w:rFonts w:ascii="Arial" w:cs="Arial" w:eastAsia="Arial" w:hAnsi="Arial"/>
          <w:sz w:val="18"/>
          <w:szCs w:val="18"/>
          <w:color w:val="auto"/>
        </w:rPr>
        <w:t>We rely on third-party service providers to leverage subject matter expertise and industry best practice, provide enhanced products and services, and reduce costs. Although there are benefits in entering into third-party relationships with vendors and others, there are risks associated with such activities. When entering a third-party relationship, the risks associated with that activity are not passed to the third-party but remain our responsibility. At the direction of the Board and pursuant to its ultimate oversight, management is charged with the development and</w:t>
      </w:r>
    </w:p>
    <w:p>
      <w:pPr>
        <w:spacing w:after="0" w:line="4" w:lineRule="exact"/>
        <w:rPr>
          <w:sz w:val="20"/>
          <w:szCs w:val="20"/>
          <w:color w:val="auto"/>
        </w:rPr>
      </w:pPr>
    </w:p>
    <w:p>
      <w:pPr>
        <w:ind w:right="60"/>
        <w:spacing w:after="0" w:line="311" w:lineRule="auto"/>
        <w:rPr>
          <w:sz w:val="20"/>
          <w:szCs w:val="20"/>
          <w:color w:val="auto"/>
        </w:rPr>
      </w:pPr>
      <w:r>
        <w:rPr>
          <w:rFonts w:ascii="Arial" w:cs="Arial" w:eastAsia="Arial" w:hAnsi="Arial"/>
          <w:sz w:val="20"/>
          <w:szCs w:val="20"/>
          <w:color w:val="auto"/>
        </w:rPr>
        <w:t>maintenance of a comprehensive vendor management program. In that respect, Company management has appointed the IS Steering Committee, chaired by the Chief Information Officer, to oversee the Company’s vendor management program. The vendor management program is used to identify, measure, monitor, and control the risks associated with outsourcing arrangements. While focusing on information and operational risks, outsourced relationships are reviewed through structured assessments and addressed from an end-to-end perspective. While we have implemented a vendor management program to actively manage the risks associated with the use of third-party service providers, any problems caused by third-party service providers could adversely affect our ability to deliver products and services to our customers and to conduct our business. Replacing a third-party service provider could also take a long period of time and result in increased expenses.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Internal and External Risk Evaluations</w:t>
      </w:r>
    </w:p>
    <w:p>
      <w:pPr>
        <w:spacing w:after="0" w:line="200"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An annual Information Technology Audit, which is facilitated by the Audit Committee, is conducted via a co-sourcing agreement with a third-party auditor. The objective of the IT audit is to evaluate the effectiveness and efficiency of operations, test the reliability of data and IT controls, and ensure compliance with applicable laws, regulations, guidance, and industry best practices. The audit scope addresses IT Governance, IT Management, IT Operations, and IT Security. Testing of the internal network environment and external network perimeter are included in the Results of the IT Audit and are reviewed with the IS Steering Committee and Company management. For any exceptions identified, a responsible party is assigned, and action plans are developed to address corrective measures. The final results of the IT Audit are reviewed with the Board Audit Committee. The status of unresolved audit issues along with their priority ratings is reported to both Management's IS Steering Committee and the Board Audit Committee at each meeting.</w:t>
      </w:r>
    </w:p>
    <w:p>
      <w:pPr>
        <w:spacing w:after="0" w:line="245"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In addition, in accordance with Gramm-Leach-Bliley Act requirements regarding safeguarding and protecting customer information, an Information Security Risk Assessment is conducted at least annually by the Risk Department and reviewed with the Management Risk Committee, the ERM Committee, and the Board of Directors. A risk analysis is performed to evaluate current processes, identify information assets, and determine the adequacy of the safeguarding and protection of confidential customer information collected and maintained. For each information asset identified, the criticality of the asset, the threats to the defined asset, the likelihood of compromise of the asset, the business impact if an asset is compromised, and an overall risk rating for each asset are defined. The results of this assessment are reviewed with the IS Steering Committee and the Risk Committee and reported at least annually to the Board ERM Committee.</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2. PROPERTIES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Our principal office is located in Archbold, Ohio.</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43 / 63</w:t>
      </w:r>
    </w:p>
    <w:p>
      <w:pPr>
        <w:sectPr>
          <w:pgSz w:w="11900" w:h="16838" w:orient="portrait"/>
          <w:cols w:equalWidth="0" w:num="1">
            <w:col w:w="9400"/>
          </w:cols>
          <w:pgMar w:left="1260" w:top="1440" w:right="1246" w:bottom="0" w:gutter="0" w:footer="0" w:header="0"/>
          <w:type w:val="continuous"/>
        </w:sectPr>
      </w:pPr>
    </w:p>
    <w:bookmarkStart w:id="43" w:name="page44"/>
    <w:bookmarkEnd w:id="43"/>
    <w:p>
      <w:pPr>
        <w:jc w:val="both"/>
        <w:spacing w:after="0" w:line="311" w:lineRule="auto"/>
        <w:rPr>
          <w:sz w:val="20"/>
          <w:szCs w:val="20"/>
          <w:color w:val="auto"/>
        </w:rPr>
      </w:pPr>
      <w:r>
        <w:rPr>
          <w:rFonts w:ascii="Arial" w:cs="Arial" w:eastAsia="Arial" w:hAnsi="Arial"/>
          <w:sz w:val="20"/>
          <w:szCs w:val="20"/>
          <w:color w:val="auto"/>
        </w:rPr>
        <w:t>The Bank operates from its principal office located at 307 North Defiance Street, Archbold, Ohio. In addition, the Bank owns the property from 200 to 208 Ditto Street, Archbold, Ohio, which it uses for Bank parking and a community mini-park area. The Bank owns real estate at two locations, 207 Ditto Street and 209 Ditto Street in Archbold, Ohio upon which the bank built a commercial building to be used for storage, and a parking lot for company vehicles and employee parking. The Bank also owns real estate across from the main facilities to provide for parking.</w:t>
      </w:r>
    </w:p>
    <w:p>
      <w:pPr>
        <w:spacing w:after="0" w:line="252"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The Bank occupies an Operations Center at 620 S. Clyde’s Way in Archbold, Ohio to accommodate our growth over the years which includes drive-up services. The Bank owns a parking lot in downtown Montpelier which is provided for community use.</w:t>
      </w:r>
    </w:p>
    <w:p>
      <w:pPr>
        <w:spacing w:after="0" w:line="257" w:lineRule="exact"/>
        <w:rPr>
          <w:sz w:val="20"/>
          <w:szCs w:val="20"/>
          <w:color w:val="auto"/>
        </w:rPr>
      </w:pPr>
    </w:p>
    <w:p>
      <w:pPr>
        <w:ind w:right="20"/>
        <w:spacing w:after="0" w:line="302" w:lineRule="auto"/>
        <w:rPr>
          <w:sz w:val="20"/>
          <w:szCs w:val="20"/>
          <w:color w:val="auto"/>
        </w:rPr>
      </w:pPr>
      <w:r>
        <w:rPr>
          <w:rFonts w:ascii="Arial" w:cs="Arial" w:eastAsia="Arial" w:hAnsi="Arial"/>
          <w:sz w:val="20"/>
          <w:szCs w:val="20"/>
          <w:color w:val="auto"/>
        </w:rPr>
        <w:t>The Bank owns all of its office locations, with the exception of the asterisked offices below. These nine office locations are leased.</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44 / 63</w:t>
      </w:r>
    </w:p>
    <w:p>
      <w:pPr>
        <w:sectPr>
          <w:pgSz w:w="11900" w:h="16838" w:orient="portrait"/>
          <w:cols w:equalWidth="0" w:num="1">
            <w:col w:w="9340"/>
          </w:cols>
          <w:pgMar w:left="1260" w:top="1173" w:right="1306" w:bottom="0" w:gutter="0" w:footer="0" w:header="0"/>
          <w:type w:val="continuous"/>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The Bank currently maintains retail banking offices at the following locations:</w:t>
      </w:r>
    </w:p>
    <w:p>
      <w:pPr>
        <w:spacing w:after="0" w:line="380"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2200" w:type="dxa"/>
            <w:vAlign w:val="bottom"/>
            <w:gridSpan w:val="2"/>
          </w:tcPr>
          <w:p>
            <w:pPr>
              <w:spacing w:after="0"/>
              <w:rPr>
                <w:sz w:val="20"/>
                <w:szCs w:val="20"/>
                <w:color w:val="auto"/>
              </w:rPr>
            </w:pPr>
            <w:r>
              <w:rPr>
                <w:rFonts w:ascii="Arial" w:cs="Arial" w:eastAsia="Arial" w:hAnsi="Arial"/>
                <w:sz w:val="20"/>
                <w:szCs w:val="20"/>
                <w:color w:val="auto"/>
              </w:rPr>
              <w:t>Office</w:t>
            </w:r>
          </w:p>
        </w:tc>
        <w:tc>
          <w:tcPr>
            <w:tcW w:w="3360" w:type="dxa"/>
            <w:vAlign w:val="bottom"/>
            <w:gridSpan w:val="5"/>
          </w:tcPr>
          <w:p>
            <w:pPr>
              <w:ind w:left="220"/>
              <w:spacing w:after="0"/>
              <w:rPr>
                <w:sz w:val="20"/>
                <w:szCs w:val="20"/>
                <w:color w:val="auto"/>
              </w:rPr>
            </w:pPr>
            <w:r>
              <w:rPr>
                <w:rFonts w:ascii="Arial" w:cs="Arial" w:eastAsia="Arial" w:hAnsi="Arial"/>
                <w:sz w:val="20"/>
                <w:szCs w:val="20"/>
                <w:color w:val="auto"/>
              </w:rPr>
              <w:t>Location</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w w:val="85"/>
              </w:rPr>
              <w:t>Date Opened</w:t>
            </w: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Archbold, Ohio</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307</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N Defiance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04/1897</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Wauseon, Ohio</w:t>
            </w:r>
          </w:p>
        </w:tc>
        <w:tc>
          <w:tcPr>
            <w:tcW w:w="3360" w:type="dxa"/>
            <w:vAlign w:val="bottom"/>
            <w:gridSpan w:val="5"/>
          </w:tcPr>
          <w:p>
            <w:pPr>
              <w:ind w:left="220"/>
              <w:spacing w:after="0"/>
              <w:rPr>
                <w:sz w:val="20"/>
                <w:szCs w:val="20"/>
                <w:color w:val="auto"/>
              </w:rPr>
            </w:pPr>
            <w:r>
              <w:rPr>
                <w:rFonts w:ascii="Arial" w:cs="Arial" w:eastAsia="Arial" w:hAnsi="Arial"/>
                <w:sz w:val="20"/>
                <w:szCs w:val="20"/>
                <w:color w:val="auto"/>
              </w:rPr>
              <w:t>1130 N Shoop Avenue</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11/1973</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Stryker, Ohio</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300</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S Defiance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03/1981</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West Unity, Ohio</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200</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W Jackson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10/1981</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Delta, Ohio</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101</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Main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06/1985</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Bryan, Ohio</w:t>
            </w:r>
          </w:p>
        </w:tc>
        <w:tc>
          <w:tcPr>
            <w:tcW w:w="640" w:type="dxa"/>
            <w:vAlign w:val="bottom"/>
            <w:gridSpan w:val="3"/>
          </w:tcPr>
          <w:p>
            <w:pPr>
              <w:ind w:left="220"/>
              <w:spacing w:after="0"/>
              <w:rPr>
                <w:sz w:val="20"/>
                <w:szCs w:val="20"/>
                <w:color w:val="auto"/>
              </w:rPr>
            </w:pPr>
            <w:r>
              <w:rPr>
                <w:rFonts w:ascii="Arial" w:cs="Arial" w:eastAsia="Arial" w:hAnsi="Arial"/>
                <w:sz w:val="20"/>
                <w:szCs w:val="20"/>
                <w:color w:val="auto"/>
                <w:w w:val="89"/>
              </w:rPr>
              <w:t>1000</w:t>
            </w:r>
          </w:p>
        </w:tc>
        <w:tc>
          <w:tcPr>
            <w:tcW w:w="2720" w:type="dxa"/>
            <w:vAlign w:val="bottom"/>
            <w:gridSpan w:val="2"/>
          </w:tcPr>
          <w:p>
            <w:pPr>
              <w:ind w:left="40"/>
              <w:spacing w:after="0"/>
              <w:rPr>
                <w:sz w:val="20"/>
                <w:szCs w:val="20"/>
                <w:color w:val="auto"/>
              </w:rPr>
            </w:pPr>
            <w:r>
              <w:rPr>
                <w:rFonts w:ascii="Arial" w:cs="Arial" w:eastAsia="Arial" w:hAnsi="Arial"/>
                <w:sz w:val="20"/>
                <w:szCs w:val="20"/>
                <w:color w:val="auto"/>
              </w:rPr>
              <w:t>S Main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06/1992</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Napoleon, Ohio</w:t>
            </w:r>
          </w:p>
        </w:tc>
        <w:tc>
          <w:tcPr>
            <w:tcW w:w="640" w:type="dxa"/>
            <w:vAlign w:val="bottom"/>
            <w:gridSpan w:val="3"/>
          </w:tcPr>
          <w:p>
            <w:pPr>
              <w:ind w:left="220"/>
              <w:spacing w:after="0"/>
              <w:rPr>
                <w:sz w:val="20"/>
                <w:szCs w:val="20"/>
                <w:color w:val="auto"/>
              </w:rPr>
            </w:pPr>
            <w:r>
              <w:rPr>
                <w:rFonts w:ascii="Arial" w:cs="Arial" w:eastAsia="Arial" w:hAnsi="Arial"/>
                <w:sz w:val="20"/>
                <w:szCs w:val="20"/>
                <w:color w:val="auto"/>
                <w:w w:val="89"/>
              </w:rPr>
              <w:t>2255</w:t>
            </w:r>
          </w:p>
        </w:tc>
        <w:tc>
          <w:tcPr>
            <w:tcW w:w="2720" w:type="dxa"/>
            <w:vAlign w:val="bottom"/>
            <w:gridSpan w:val="2"/>
          </w:tcPr>
          <w:p>
            <w:pPr>
              <w:ind w:left="40"/>
              <w:spacing w:after="0"/>
              <w:rPr>
                <w:sz w:val="20"/>
                <w:szCs w:val="20"/>
                <w:color w:val="auto"/>
              </w:rPr>
            </w:pPr>
            <w:r>
              <w:rPr>
                <w:rFonts w:ascii="Arial" w:cs="Arial" w:eastAsia="Arial" w:hAnsi="Arial"/>
                <w:sz w:val="20"/>
                <w:szCs w:val="20"/>
                <w:color w:val="auto"/>
              </w:rPr>
              <w:t>Scott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02/1995</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Montpelier, Ohio</w:t>
            </w:r>
          </w:p>
        </w:tc>
        <w:tc>
          <w:tcPr>
            <w:tcW w:w="640" w:type="dxa"/>
            <w:vAlign w:val="bottom"/>
            <w:gridSpan w:val="3"/>
          </w:tcPr>
          <w:p>
            <w:pPr>
              <w:ind w:left="220"/>
              <w:spacing w:after="0"/>
              <w:rPr>
                <w:sz w:val="20"/>
                <w:szCs w:val="20"/>
                <w:color w:val="auto"/>
              </w:rPr>
            </w:pPr>
            <w:r>
              <w:rPr>
                <w:rFonts w:ascii="Arial" w:cs="Arial" w:eastAsia="Arial" w:hAnsi="Arial"/>
                <w:sz w:val="20"/>
                <w:szCs w:val="20"/>
                <w:color w:val="auto"/>
                <w:w w:val="89"/>
              </w:rPr>
              <w:t>1150</w:t>
            </w:r>
          </w:p>
        </w:tc>
        <w:tc>
          <w:tcPr>
            <w:tcW w:w="2720" w:type="dxa"/>
            <w:vAlign w:val="bottom"/>
            <w:gridSpan w:val="2"/>
          </w:tcPr>
          <w:p>
            <w:pPr>
              <w:ind w:left="40"/>
              <w:spacing w:after="0"/>
              <w:rPr>
                <w:sz w:val="20"/>
                <w:szCs w:val="20"/>
                <w:color w:val="auto"/>
              </w:rPr>
            </w:pPr>
            <w:r>
              <w:rPr>
                <w:rFonts w:ascii="Arial" w:cs="Arial" w:eastAsia="Arial" w:hAnsi="Arial"/>
                <w:sz w:val="20"/>
                <w:szCs w:val="20"/>
                <w:color w:val="auto"/>
              </w:rPr>
              <w:t>E Main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06/1998</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Swanton, Ohio</w:t>
            </w:r>
          </w:p>
        </w:tc>
        <w:tc>
          <w:tcPr>
            <w:tcW w:w="3360" w:type="dxa"/>
            <w:vAlign w:val="bottom"/>
            <w:gridSpan w:val="5"/>
          </w:tcPr>
          <w:p>
            <w:pPr>
              <w:ind w:left="220"/>
              <w:spacing w:after="0"/>
              <w:rPr>
                <w:sz w:val="20"/>
                <w:szCs w:val="20"/>
                <w:color w:val="auto"/>
              </w:rPr>
            </w:pPr>
            <w:r>
              <w:rPr>
                <w:rFonts w:ascii="Arial" w:cs="Arial" w:eastAsia="Arial" w:hAnsi="Arial"/>
                <w:sz w:val="20"/>
                <w:szCs w:val="20"/>
                <w:color w:val="auto"/>
              </w:rPr>
              <w:t>7 Turtle Creek Circle</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11/1999</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Defiance, Ohio</w:t>
            </w:r>
          </w:p>
        </w:tc>
        <w:tc>
          <w:tcPr>
            <w:tcW w:w="640" w:type="dxa"/>
            <w:vAlign w:val="bottom"/>
            <w:gridSpan w:val="3"/>
          </w:tcPr>
          <w:p>
            <w:pPr>
              <w:ind w:left="220"/>
              <w:spacing w:after="0"/>
              <w:rPr>
                <w:sz w:val="20"/>
                <w:szCs w:val="20"/>
                <w:color w:val="auto"/>
              </w:rPr>
            </w:pPr>
            <w:r>
              <w:rPr>
                <w:rFonts w:ascii="Arial" w:cs="Arial" w:eastAsia="Arial" w:hAnsi="Arial"/>
                <w:sz w:val="20"/>
                <w:szCs w:val="20"/>
                <w:color w:val="auto"/>
                <w:w w:val="89"/>
              </w:rPr>
              <w:t>1175</w:t>
            </w:r>
          </w:p>
        </w:tc>
        <w:tc>
          <w:tcPr>
            <w:tcW w:w="2720" w:type="dxa"/>
            <w:vAlign w:val="bottom"/>
            <w:gridSpan w:val="2"/>
          </w:tcPr>
          <w:p>
            <w:pPr>
              <w:ind w:left="40"/>
              <w:spacing w:after="0"/>
              <w:rPr>
                <w:sz w:val="20"/>
                <w:szCs w:val="20"/>
                <w:color w:val="auto"/>
              </w:rPr>
            </w:pPr>
            <w:r>
              <w:rPr>
                <w:rFonts w:ascii="Arial" w:cs="Arial" w:eastAsia="Arial" w:hAnsi="Arial"/>
                <w:sz w:val="20"/>
                <w:szCs w:val="20"/>
                <w:color w:val="auto"/>
              </w:rPr>
              <w:t>Hotel Drive</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07/2001</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Perrysburg, Ohio</w:t>
            </w:r>
          </w:p>
        </w:tc>
        <w:tc>
          <w:tcPr>
            <w:tcW w:w="640" w:type="dxa"/>
            <w:vAlign w:val="bottom"/>
            <w:gridSpan w:val="3"/>
          </w:tcPr>
          <w:p>
            <w:pPr>
              <w:ind w:left="220"/>
              <w:spacing w:after="0"/>
              <w:rPr>
                <w:sz w:val="20"/>
                <w:szCs w:val="20"/>
                <w:color w:val="auto"/>
              </w:rPr>
            </w:pPr>
            <w:r>
              <w:rPr>
                <w:rFonts w:ascii="Arial" w:cs="Arial" w:eastAsia="Arial" w:hAnsi="Arial"/>
                <w:sz w:val="20"/>
                <w:szCs w:val="20"/>
                <w:color w:val="auto"/>
                <w:w w:val="89"/>
              </w:rPr>
              <w:t>7001</w:t>
            </w:r>
          </w:p>
        </w:tc>
        <w:tc>
          <w:tcPr>
            <w:tcW w:w="2720" w:type="dxa"/>
            <w:vAlign w:val="bottom"/>
            <w:gridSpan w:val="2"/>
          </w:tcPr>
          <w:p>
            <w:pPr>
              <w:ind w:left="40"/>
              <w:spacing w:after="0"/>
              <w:rPr>
                <w:sz w:val="20"/>
                <w:szCs w:val="20"/>
                <w:color w:val="auto"/>
              </w:rPr>
            </w:pPr>
            <w:r>
              <w:rPr>
                <w:rFonts w:ascii="Arial" w:cs="Arial" w:eastAsia="Arial" w:hAnsi="Arial"/>
                <w:sz w:val="20"/>
                <w:szCs w:val="20"/>
                <w:color w:val="auto"/>
              </w:rPr>
              <w:t>Lighthouse Way</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11/2007</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Butler, Indiana</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200</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S Broadway</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12/2007</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Auburn, Indiana*</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406</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Smaltz Way</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12/2007</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Angola, Indiana*</w:t>
            </w:r>
          </w:p>
        </w:tc>
        <w:tc>
          <w:tcPr>
            <w:tcW w:w="640" w:type="dxa"/>
            <w:vAlign w:val="bottom"/>
            <w:gridSpan w:val="3"/>
          </w:tcPr>
          <w:p>
            <w:pPr>
              <w:ind w:left="220"/>
              <w:spacing w:after="0"/>
              <w:rPr>
                <w:sz w:val="20"/>
                <w:szCs w:val="20"/>
                <w:color w:val="auto"/>
              </w:rPr>
            </w:pPr>
            <w:r>
              <w:rPr>
                <w:rFonts w:ascii="Arial" w:cs="Arial" w:eastAsia="Arial" w:hAnsi="Arial"/>
                <w:sz w:val="20"/>
                <w:szCs w:val="20"/>
                <w:color w:val="auto"/>
                <w:w w:val="89"/>
              </w:rPr>
              <w:t>2310</w:t>
            </w:r>
          </w:p>
        </w:tc>
        <w:tc>
          <w:tcPr>
            <w:tcW w:w="2720" w:type="dxa"/>
            <w:vAlign w:val="bottom"/>
            <w:gridSpan w:val="2"/>
          </w:tcPr>
          <w:p>
            <w:pPr>
              <w:ind w:left="40"/>
              <w:spacing w:after="0"/>
              <w:rPr>
                <w:sz w:val="20"/>
                <w:szCs w:val="20"/>
                <w:color w:val="auto"/>
              </w:rPr>
            </w:pPr>
            <w:r>
              <w:rPr>
                <w:rFonts w:ascii="Arial" w:cs="Arial" w:eastAsia="Arial" w:hAnsi="Arial"/>
                <w:sz w:val="20"/>
                <w:szCs w:val="20"/>
                <w:color w:val="auto"/>
              </w:rPr>
              <w:t>N Wayne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08/2008</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Hicksville, Ohio</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100</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N Main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07/2010</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Waterville, Ohio</w:t>
            </w:r>
          </w:p>
        </w:tc>
        <w:tc>
          <w:tcPr>
            <w:tcW w:w="640" w:type="dxa"/>
            <w:vAlign w:val="bottom"/>
            <w:gridSpan w:val="3"/>
          </w:tcPr>
          <w:p>
            <w:pPr>
              <w:ind w:left="220"/>
              <w:spacing w:after="0"/>
              <w:rPr>
                <w:sz w:val="20"/>
                <w:szCs w:val="20"/>
                <w:color w:val="auto"/>
              </w:rPr>
            </w:pPr>
            <w:r>
              <w:rPr>
                <w:rFonts w:ascii="Arial" w:cs="Arial" w:eastAsia="Arial" w:hAnsi="Arial"/>
                <w:sz w:val="20"/>
                <w:szCs w:val="20"/>
                <w:color w:val="auto"/>
                <w:w w:val="89"/>
              </w:rPr>
              <w:t>8720</w:t>
            </w:r>
          </w:p>
        </w:tc>
        <w:tc>
          <w:tcPr>
            <w:tcW w:w="2720" w:type="dxa"/>
            <w:vAlign w:val="bottom"/>
            <w:gridSpan w:val="2"/>
          </w:tcPr>
          <w:p>
            <w:pPr>
              <w:ind w:left="40"/>
              <w:spacing w:after="0"/>
              <w:rPr>
                <w:sz w:val="20"/>
                <w:szCs w:val="20"/>
                <w:color w:val="auto"/>
              </w:rPr>
            </w:pPr>
            <w:r>
              <w:rPr>
                <w:rFonts w:ascii="Arial" w:cs="Arial" w:eastAsia="Arial" w:hAnsi="Arial"/>
                <w:sz w:val="20"/>
                <w:szCs w:val="20"/>
                <w:color w:val="auto"/>
              </w:rPr>
              <w:t>Waterville-Swanton Road</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05/2013</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Custar, Ohio</w:t>
            </w:r>
          </w:p>
        </w:tc>
        <w:tc>
          <w:tcPr>
            <w:tcW w:w="3360" w:type="dxa"/>
            <w:vAlign w:val="bottom"/>
            <w:gridSpan w:val="5"/>
          </w:tcPr>
          <w:p>
            <w:pPr>
              <w:ind w:left="220"/>
              <w:spacing w:after="0"/>
              <w:rPr>
                <w:sz w:val="20"/>
                <w:szCs w:val="20"/>
                <w:color w:val="auto"/>
              </w:rPr>
            </w:pPr>
            <w:r>
              <w:rPr>
                <w:rFonts w:ascii="Arial" w:cs="Arial" w:eastAsia="Arial" w:hAnsi="Arial"/>
                <w:sz w:val="20"/>
                <w:szCs w:val="20"/>
                <w:color w:val="auto"/>
              </w:rPr>
              <w:t>22973 Defiance Pike</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12/2013</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Sylvania, Ohio</w:t>
            </w:r>
          </w:p>
        </w:tc>
        <w:tc>
          <w:tcPr>
            <w:tcW w:w="640" w:type="dxa"/>
            <w:vAlign w:val="bottom"/>
            <w:gridSpan w:val="3"/>
          </w:tcPr>
          <w:p>
            <w:pPr>
              <w:ind w:left="220"/>
              <w:spacing w:after="0"/>
              <w:rPr>
                <w:sz w:val="20"/>
                <w:szCs w:val="20"/>
                <w:color w:val="auto"/>
              </w:rPr>
            </w:pPr>
            <w:r>
              <w:rPr>
                <w:rFonts w:ascii="Arial" w:cs="Arial" w:eastAsia="Arial" w:hAnsi="Arial"/>
                <w:sz w:val="20"/>
                <w:szCs w:val="20"/>
                <w:color w:val="auto"/>
                <w:w w:val="89"/>
              </w:rPr>
              <w:t>5830</w:t>
            </w:r>
          </w:p>
        </w:tc>
        <w:tc>
          <w:tcPr>
            <w:tcW w:w="2720" w:type="dxa"/>
            <w:vAlign w:val="bottom"/>
            <w:gridSpan w:val="2"/>
          </w:tcPr>
          <w:p>
            <w:pPr>
              <w:ind w:left="40"/>
              <w:spacing w:after="0"/>
              <w:rPr>
                <w:sz w:val="20"/>
                <w:szCs w:val="20"/>
                <w:color w:val="auto"/>
              </w:rPr>
            </w:pPr>
            <w:r>
              <w:rPr>
                <w:rFonts w:ascii="Arial" w:cs="Arial" w:eastAsia="Arial" w:hAnsi="Arial"/>
                <w:sz w:val="20"/>
                <w:szCs w:val="20"/>
                <w:color w:val="auto"/>
              </w:rPr>
              <w:t>Monroe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08/2014</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Fort Wayne, Indiana</w:t>
            </w:r>
          </w:p>
        </w:tc>
        <w:tc>
          <w:tcPr>
            <w:tcW w:w="3360" w:type="dxa"/>
            <w:vAlign w:val="bottom"/>
            <w:gridSpan w:val="5"/>
          </w:tcPr>
          <w:p>
            <w:pPr>
              <w:ind w:left="220"/>
              <w:spacing w:after="0"/>
              <w:rPr>
                <w:sz w:val="20"/>
                <w:szCs w:val="20"/>
                <w:color w:val="auto"/>
              </w:rPr>
            </w:pPr>
            <w:r>
              <w:rPr>
                <w:rFonts w:ascii="Arial" w:cs="Arial" w:eastAsia="Arial" w:hAnsi="Arial"/>
                <w:sz w:val="20"/>
                <w:szCs w:val="20"/>
                <w:color w:val="auto"/>
              </w:rPr>
              <w:t>12106 Lima Road</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04/2016</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Bowling Green, Ohio*</w:t>
            </w:r>
          </w:p>
        </w:tc>
        <w:tc>
          <w:tcPr>
            <w:tcW w:w="640" w:type="dxa"/>
            <w:vAlign w:val="bottom"/>
            <w:gridSpan w:val="3"/>
          </w:tcPr>
          <w:p>
            <w:pPr>
              <w:ind w:left="220"/>
              <w:spacing w:after="0"/>
              <w:rPr>
                <w:sz w:val="20"/>
                <w:szCs w:val="20"/>
                <w:color w:val="auto"/>
              </w:rPr>
            </w:pPr>
            <w:r>
              <w:rPr>
                <w:rFonts w:ascii="Arial" w:cs="Arial" w:eastAsia="Arial" w:hAnsi="Arial"/>
                <w:sz w:val="20"/>
                <w:szCs w:val="20"/>
                <w:color w:val="auto"/>
                <w:w w:val="89"/>
              </w:rPr>
              <w:t>1072</w:t>
            </w:r>
          </w:p>
        </w:tc>
        <w:tc>
          <w:tcPr>
            <w:tcW w:w="2720" w:type="dxa"/>
            <w:vAlign w:val="bottom"/>
            <w:gridSpan w:val="2"/>
          </w:tcPr>
          <w:p>
            <w:pPr>
              <w:ind w:left="40"/>
              <w:spacing w:after="0"/>
              <w:rPr>
                <w:sz w:val="20"/>
                <w:szCs w:val="20"/>
                <w:color w:val="auto"/>
              </w:rPr>
            </w:pPr>
            <w:r>
              <w:rPr>
                <w:rFonts w:ascii="Arial" w:cs="Arial" w:eastAsia="Arial" w:hAnsi="Arial"/>
                <w:sz w:val="20"/>
                <w:szCs w:val="20"/>
                <w:color w:val="auto"/>
              </w:rPr>
              <w:t>N Main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10/2016</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Findlay, Ohio</w:t>
            </w:r>
          </w:p>
        </w:tc>
        <w:tc>
          <w:tcPr>
            <w:tcW w:w="640" w:type="dxa"/>
            <w:vAlign w:val="bottom"/>
            <w:gridSpan w:val="3"/>
          </w:tcPr>
          <w:p>
            <w:pPr>
              <w:ind w:left="220"/>
              <w:spacing w:after="0"/>
              <w:rPr>
                <w:sz w:val="20"/>
                <w:szCs w:val="20"/>
                <w:color w:val="auto"/>
              </w:rPr>
            </w:pPr>
            <w:r>
              <w:rPr>
                <w:rFonts w:ascii="Arial" w:cs="Arial" w:eastAsia="Arial" w:hAnsi="Arial"/>
                <w:sz w:val="20"/>
                <w:szCs w:val="20"/>
                <w:color w:val="auto"/>
                <w:w w:val="89"/>
              </w:rPr>
              <w:t>1660</w:t>
            </w:r>
          </w:p>
        </w:tc>
        <w:tc>
          <w:tcPr>
            <w:tcW w:w="2720" w:type="dxa"/>
            <w:vAlign w:val="bottom"/>
            <w:gridSpan w:val="2"/>
          </w:tcPr>
          <w:p>
            <w:pPr>
              <w:ind w:left="40"/>
              <w:spacing w:after="0"/>
              <w:rPr>
                <w:sz w:val="20"/>
                <w:szCs w:val="20"/>
                <w:color w:val="auto"/>
              </w:rPr>
            </w:pPr>
            <w:r>
              <w:rPr>
                <w:rFonts w:ascii="Arial" w:cs="Arial" w:eastAsia="Arial" w:hAnsi="Arial"/>
                <w:sz w:val="20"/>
                <w:szCs w:val="20"/>
                <w:color w:val="auto"/>
              </w:rPr>
              <w:t>Tiffin Avenue</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01/2018</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Geneva, Indiana</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215</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E Line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01/2019</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Monroe, Indiana</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150</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W Washington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01/2019</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Berne, Indiana</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718</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US Highway 27 N</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01/2019</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Portland, Indiana</w:t>
            </w:r>
          </w:p>
        </w:tc>
        <w:tc>
          <w:tcPr>
            <w:tcW w:w="640" w:type="dxa"/>
            <w:vAlign w:val="bottom"/>
            <w:gridSpan w:val="3"/>
          </w:tcPr>
          <w:p>
            <w:pPr>
              <w:ind w:left="220"/>
              <w:spacing w:after="0"/>
              <w:rPr>
                <w:sz w:val="20"/>
                <w:szCs w:val="20"/>
                <w:color w:val="auto"/>
              </w:rPr>
            </w:pPr>
            <w:r>
              <w:rPr>
                <w:rFonts w:ascii="Arial" w:cs="Arial" w:eastAsia="Arial" w:hAnsi="Arial"/>
                <w:sz w:val="20"/>
                <w:szCs w:val="20"/>
                <w:color w:val="auto"/>
                <w:w w:val="89"/>
              </w:rPr>
              <w:t>1451</w:t>
            </w:r>
          </w:p>
        </w:tc>
        <w:tc>
          <w:tcPr>
            <w:tcW w:w="2720" w:type="dxa"/>
            <w:vAlign w:val="bottom"/>
            <w:gridSpan w:val="2"/>
          </w:tcPr>
          <w:p>
            <w:pPr>
              <w:ind w:left="40"/>
              <w:spacing w:after="0"/>
              <w:rPr>
                <w:sz w:val="20"/>
                <w:szCs w:val="20"/>
                <w:color w:val="auto"/>
              </w:rPr>
            </w:pPr>
            <w:r>
              <w:rPr>
                <w:rFonts w:ascii="Arial" w:cs="Arial" w:eastAsia="Arial" w:hAnsi="Arial"/>
                <w:sz w:val="20"/>
                <w:szCs w:val="20"/>
                <w:color w:val="auto"/>
              </w:rPr>
              <w:t>N Meridian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01/2019</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Decatur, Indiana</w:t>
            </w:r>
          </w:p>
        </w:tc>
        <w:tc>
          <w:tcPr>
            <w:tcW w:w="640" w:type="dxa"/>
            <w:vAlign w:val="bottom"/>
            <w:gridSpan w:val="3"/>
          </w:tcPr>
          <w:p>
            <w:pPr>
              <w:ind w:left="220"/>
              <w:spacing w:after="0"/>
              <w:rPr>
                <w:sz w:val="20"/>
                <w:szCs w:val="20"/>
                <w:color w:val="auto"/>
              </w:rPr>
            </w:pPr>
            <w:r>
              <w:rPr>
                <w:rFonts w:ascii="Arial" w:cs="Arial" w:eastAsia="Arial" w:hAnsi="Arial"/>
                <w:sz w:val="20"/>
                <w:szCs w:val="20"/>
                <w:color w:val="auto"/>
                <w:w w:val="89"/>
              </w:rPr>
              <w:t>1118</w:t>
            </w:r>
          </w:p>
        </w:tc>
        <w:tc>
          <w:tcPr>
            <w:tcW w:w="2720" w:type="dxa"/>
            <w:vAlign w:val="bottom"/>
            <w:gridSpan w:val="2"/>
          </w:tcPr>
          <w:p>
            <w:pPr>
              <w:ind w:left="40"/>
              <w:spacing w:after="0"/>
              <w:rPr>
                <w:sz w:val="20"/>
                <w:szCs w:val="20"/>
                <w:color w:val="auto"/>
              </w:rPr>
            </w:pPr>
            <w:r>
              <w:rPr>
                <w:rFonts w:ascii="Arial" w:cs="Arial" w:eastAsia="Arial" w:hAnsi="Arial"/>
                <w:sz w:val="20"/>
                <w:szCs w:val="20"/>
                <w:color w:val="auto"/>
              </w:rPr>
              <w:t>S 13th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01/2019</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Fort Wayne, Indiana</w:t>
            </w:r>
          </w:p>
        </w:tc>
        <w:tc>
          <w:tcPr>
            <w:tcW w:w="640" w:type="dxa"/>
            <w:vAlign w:val="bottom"/>
            <w:gridSpan w:val="3"/>
          </w:tcPr>
          <w:p>
            <w:pPr>
              <w:ind w:left="220"/>
              <w:spacing w:after="0"/>
              <w:rPr>
                <w:sz w:val="20"/>
                <w:szCs w:val="20"/>
                <w:color w:val="auto"/>
              </w:rPr>
            </w:pPr>
            <w:r>
              <w:rPr>
                <w:rFonts w:ascii="Arial" w:cs="Arial" w:eastAsia="Arial" w:hAnsi="Arial"/>
                <w:sz w:val="20"/>
                <w:szCs w:val="20"/>
                <w:color w:val="auto"/>
                <w:w w:val="89"/>
              </w:rPr>
              <w:t>7370</w:t>
            </w:r>
          </w:p>
        </w:tc>
        <w:tc>
          <w:tcPr>
            <w:tcW w:w="2720" w:type="dxa"/>
            <w:vAlign w:val="bottom"/>
            <w:gridSpan w:val="2"/>
          </w:tcPr>
          <w:p>
            <w:pPr>
              <w:ind w:left="40"/>
              <w:spacing w:after="0"/>
              <w:rPr>
                <w:sz w:val="20"/>
                <w:szCs w:val="20"/>
                <w:color w:val="auto"/>
              </w:rPr>
            </w:pPr>
            <w:r>
              <w:rPr>
                <w:rFonts w:ascii="Arial" w:cs="Arial" w:eastAsia="Arial" w:hAnsi="Arial"/>
                <w:sz w:val="20"/>
                <w:szCs w:val="20"/>
                <w:color w:val="auto"/>
              </w:rPr>
              <w:t>Illinois Road</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04/2021</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Ossian, Indiana</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102</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N Jefferson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04/2021</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Bluffton, Indiana*</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111</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E Oak Forest Drive</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04/2021</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Urbana, Ohio</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120</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N Main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10/2021</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Sidney, Ohio</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101</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E Court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10/2022</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Anna, Ohio</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403</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S Pike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10/2022</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Jackson Center, Ohio</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115</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E Pike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10/2022</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Oxford, Ohio*</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335</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S College Avenue</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04/2023</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Toledo, Ohio*</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120</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N Summit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06/2023</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Birmingham, Michigan*</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220</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Park Street, Suite 104</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10/2023</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Fort Wayne, Indiana*</w:t>
            </w:r>
          </w:p>
        </w:tc>
        <w:tc>
          <w:tcPr>
            <w:tcW w:w="540" w:type="dxa"/>
            <w:vAlign w:val="bottom"/>
            <w:gridSpan w:val="2"/>
          </w:tcPr>
          <w:p>
            <w:pPr>
              <w:ind w:left="220"/>
              <w:spacing w:after="0"/>
              <w:rPr>
                <w:sz w:val="20"/>
                <w:szCs w:val="20"/>
                <w:color w:val="auto"/>
              </w:rPr>
            </w:pPr>
            <w:r>
              <w:rPr>
                <w:rFonts w:ascii="Arial" w:cs="Arial" w:eastAsia="Arial" w:hAnsi="Arial"/>
                <w:sz w:val="20"/>
                <w:szCs w:val="20"/>
                <w:color w:val="auto"/>
                <w:w w:val="89"/>
              </w:rPr>
              <w:t>128</w:t>
            </w:r>
          </w:p>
        </w:tc>
        <w:tc>
          <w:tcPr>
            <w:tcW w:w="2820" w:type="dxa"/>
            <w:vAlign w:val="bottom"/>
            <w:gridSpan w:val="3"/>
          </w:tcPr>
          <w:p>
            <w:pPr>
              <w:ind w:left="40"/>
              <w:spacing w:after="0"/>
              <w:rPr>
                <w:sz w:val="20"/>
                <w:szCs w:val="20"/>
                <w:color w:val="auto"/>
              </w:rPr>
            </w:pPr>
            <w:r>
              <w:rPr>
                <w:rFonts w:ascii="Arial" w:cs="Arial" w:eastAsia="Arial" w:hAnsi="Arial"/>
                <w:sz w:val="20"/>
                <w:szCs w:val="20"/>
                <w:color w:val="auto"/>
              </w:rPr>
              <w:t>W Wayne Street</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10/2023</w:t>
            </w:r>
          </w:p>
        </w:tc>
      </w:tr>
      <w:tr>
        <w:trPr>
          <w:trHeight w:val="300"/>
        </w:trPr>
        <w:tc>
          <w:tcPr>
            <w:tcW w:w="2200" w:type="dxa"/>
            <w:vAlign w:val="bottom"/>
            <w:gridSpan w:val="2"/>
          </w:tcPr>
          <w:p>
            <w:pPr>
              <w:spacing w:after="0"/>
              <w:rPr>
                <w:sz w:val="20"/>
                <w:szCs w:val="20"/>
                <w:color w:val="auto"/>
              </w:rPr>
            </w:pPr>
            <w:r>
              <w:rPr>
                <w:rFonts w:ascii="Arial" w:cs="Arial" w:eastAsia="Arial" w:hAnsi="Arial"/>
                <w:sz w:val="20"/>
                <w:szCs w:val="20"/>
                <w:color w:val="auto"/>
              </w:rPr>
              <w:t>Troy, Michigan*</w:t>
            </w:r>
          </w:p>
        </w:tc>
        <w:tc>
          <w:tcPr>
            <w:tcW w:w="640" w:type="dxa"/>
            <w:vAlign w:val="bottom"/>
            <w:gridSpan w:val="3"/>
          </w:tcPr>
          <w:p>
            <w:pPr>
              <w:ind w:left="220"/>
              <w:spacing w:after="0"/>
              <w:rPr>
                <w:sz w:val="20"/>
                <w:szCs w:val="20"/>
                <w:color w:val="auto"/>
              </w:rPr>
            </w:pPr>
            <w:r>
              <w:rPr>
                <w:rFonts w:ascii="Arial" w:cs="Arial" w:eastAsia="Arial" w:hAnsi="Arial"/>
                <w:sz w:val="20"/>
                <w:szCs w:val="20"/>
                <w:color w:val="auto"/>
                <w:w w:val="89"/>
              </w:rPr>
              <w:t>3001</w:t>
            </w:r>
          </w:p>
        </w:tc>
        <w:tc>
          <w:tcPr>
            <w:tcW w:w="2720" w:type="dxa"/>
            <w:vAlign w:val="bottom"/>
            <w:gridSpan w:val="2"/>
          </w:tcPr>
          <w:p>
            <w:pPr>
              <w:ind w:left="40"/>
              <w:spacing w:after="0"/>
              <w:rPr>
                <w:sz w:val="20"/>
                <w:szCs w:val="20"/>
                <w:color w:val="auto"/>
              </w:rPr>
            </w:pPr>
            <w:r>
              <w:rPr>
                <w:rFonts w:ascii="Arial" w:cs="Arial" w:eastAsia="Arial" w:hAnsi="Arial"/>
                <w:sz w:val="20"/>
                <w:szCs w:val="20"/>
                <w:color w:val="auto"/>
              </w:rPr>
              <w:t>West Big Beaver Road</w:t>
            </w:r>
          </w:p>
        </w:tc>
        <w:tc>
          <w:tcPr>
            <w:tcW w:w="1640" w:type="dxa"/>
            <w:vAlign w:val="bottom"/>
            <w:gridSpan w:val="2"/>
          </w:tcPr>
          <w:p>
            <w:pPr>
              <w:ind w:left="600"/>
              <w:spacing w:after="0"/>
              <w:rPr>
                <w:sz w:val="20"/>
                <w:szCs w:val="20"/>
                <w:color w:val="auto"/>
              </w:rPr>
            </w:pPr>
            <w:r>
              <w:rPr>
                <w:rFonts w:ascii="Arial" w:cs="Arial" w:eastAsia="Arial" w:hAnsi="Arial"/>
                <w:sz w:val="20"/>
                <w:szCs w:val="20"/>
                <w:color w:val="auto"/>
              </w:rPr>
              <w:t>10/2025</w:t>
            </w:r>
          </w:p>
        </w:tc>
      </w:tr>
    </w:tbl>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All offices except the Butler, Indiana location have onsite ATM services.</w:t>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45 / 63</w:t>
      </w:r>
    </w:p>
    <w:p>
      <w:pPr>
        <w:sectPr>
          <w:pgSz w:w="11900" w:h="16838" w:orient="portrait"/>
          <w:cols w:equalWidth="0" w:num="1">
            <w:col w:w="9206"/>
          </w:cols>
          <w:pgMar w:left="1260" w:top="1440" w:right="1440" w:bottom="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20"/>
                <w:szCs w:val="20"/>
                <w:color w:val="auto"/>
                <w:w w:val="93"/>
              </w:rPr>
              <w:t>The Bank’s LPOs at the following locations are all leased:</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610"/>
        </w:trPr>
        <w:tc>
          <w:tcPr>
            <w:tcW w:w="136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w w:val="89"/>
              </w:rPr>
              <w:t>LPO</w:t>
            </w:r>
          </w:p>
        </w:tc>
        <w:tc>
          <w:tcPr>
            <w:tcW w:w="3040" w:type="dxa"/>
            <w:vAlign w:val="bottom"/>
          </w:tcPr>
          <w:p>
            <w:pPr>
              <w:spacing w:after="0"/>
              <w:rPr>
                <w:sz w:val="24"/>
                <w:szCs w:val="24"/>
                <w:color w:val="auto"/>
              </w:rPr>
            </w:pPr>
          </w:p>
        </w:tc>
        <w:tc>
          <w:tcPr>
            <w:tcW w:w="2740" w:type="dxa"/>
            <w:vAlign w:val="bottom"/>
            <w:gridSpan w:val="4"/>
          </w:tcPr>
          <w:p>
            <w:pPr>
              <w:ind w:left="100"/>
              <w:spacing w:after="0"/>
              <w:rPr>
                <w:sz w:val="20"/>
                <w:szCs w:val="20"/>
                <w:color w:val="auto"/>
              </w:rPr>
            </w:pPr>
            <w:r>
              <w:rPr>
                <w:rFonts w:ascii="Arial" w:cs="Arial" w:eastAsia="Arial" w:hAnsi="Arial"/>
                <w:sz w:val="20"/>
                <w:szCs w:val="20"/>
                <w:color w:val="auto"/>
              </w:rPr>
              <w:t>Location</w:t>
            </w:r>
          </w:p>
        </w:tc>
      </w:tr>
      <w:tr>
        <w:trPr>
          <w:trHeight w:val="20"/>
        </w:trPr>
        <w:tc>
          <w:tcPr>
            <w:tcW w:w="1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0"/>
        </w:trPr>
        <w:tc>
          <w:tcPr>
            <w:tcW w:w="136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20"/>
                <w:szCs w:val="20"/>
                <w:color w:val="auto"/>
              </w:rPr>
              <w:t>Muncie, Indiana</w:t>
            </w:r>
          </w:p>
        </w:tc>
        <w:tc>
          <w:tcPr>
            <w:tcW w:w="520" w:type="dxa"/>
            <w:vAlign w:val="bottom"/>
            <w:gridSpan w:val="2"/>
          </w:tcPr>
          <w:p>
            <w:pPr>
              <w:ind w:left="100"/>
              <w:spacing w:after="0"/>
              <w:rPr>
                <w:sz w:val="20"/>
                <w:szCs w:val="20"/>
                <w:color w:val="auto"/>
              </w:rPr>
            </w:pPr>
            <w:r>
              <w:rPr>
                <w:rFonts w:ascii="Arial" w:cs="Arial" w:eastAsia="Arial" w:hAnsi="Arial"/>
                <w:sz w:val="20"/>
                <w:szCs w:val="20"/>
                <w:color w:val="auto"/>
                <w:w w:val="89"/>
              </w:rPr>
              <w:t>1208</w:t>
            </w:r>
          </w:p>
        </w:tc>
        <w:tc>
          <w:tcPr>
            <w:tcW w:w="2220" w:type="dxa"/>
            <w:vAlign w:val="bottom"/>
            <w:gridSpan w:val="2"/>
          </w:tcPr>
          <w:p>
            <w:pPr>
              <w:ind w:left="20"/>
              <w:spacing w:after="0"/>
              <w:rPr>
                <w:sz w:val="20"/>
                <w:szCs w:val="20"/>
                <w:color w:val="auto"/>
              </w:rPr>
            </w:pPr>
            <w:r>
              <w:rPr>
                <w:rFonts w:ascii="Arial" w:cs="Arial" w:eastAsia="Arial" w:hAnsi="Arial"/>
                <w:sz w:val="20"/>
                <w:szCs w:val="20"/>
                <w:color w:val="auto"/>
                <w:w w:val="97"/>
              </w:rPr>
              <w:t>W White River Boulevard</w:t>
            </w:r>
          </w:p>
        </w:tc>
      </w:tr>
      <w:tr>
        <w:trPr>
          <w:trHeight w:val="300"/>
        </w:trPr>
        <w:tc>
          <w:tcPr>
            <w:tcW w:w="136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20"/>
                <w:szCs w:val="20"/>
                <w:color w:val="auto"/>
              </w:rPr>
              <w:t>Bryan, Ohio</w:t>
            </w:r>
          </w:p>
        </w:tc>
        <w:tc>
          <w:tcPr>
            <w:tcW w:w="2740" w:type="dxa"/>
            <w:vAlign w:val="bottom"/>
            <w:gridSpan w:val="4"/>
          </w:tcPr>
          <w:p>
            <w:pPr>
              <w:ind w:left="100"/>
              <w:spacing w:after="0"/>
              <w:rPr>
                <w:sz w:val="20"/>
                <w:szCs w:val="20"/>
                <w:color w:val="auto"/>
              </w:rPr>
            </w:pPr>
            <w:r>
              <w:rPr>
                <w:rFonts w:ascii="Arial" w:cs="Arial" w:eastAsia="Arial" w:hAnsi="Arial"/>
                <w:sz w:val="20"/>
                <w:szCs w:val="20"/>
                <w:color w:val="auto"/>
              </w:rPr>
              <w:t>206 W High Street</w:t>
            </w:r>
          </w:p>
        </w:tc>
      </w:tr>
      <w:tr>
        <w:trPr>
          <w:trHeight w:val="300"/>
        </w:trPr>
        <w:tc>
          <w:tcPr>
            <w:tcW w:w="136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20"/>
                <w:szCs w:val="20"/>
                <w:color w:val="auto"/>
              </w:rPr>
              <w:t>Perrysburg, Ohio</w:t>
            </w:r>
          </w:p>
        </w:tc>
        <w:tc>
          <w:tcPr>
            <w:tcW w:w="520" w:type="dxa"/>
            <w:vAlign w:val="bottom"/>
            <w:gridSpan w:val="2"/>
          </w:tcPr>
          <w:p>
            <w:pPr>
              <w:ind w:left="100"/>
              <w:spacing w:after="0"/>
              <w:rPr>
                <w:sz w:val="20"/>
                <w:szCs w:val="20"/>
                <w:color w:val="auto"/>
              </w:rPr>
            </w:pPr>
            <w:r>
              <w:rPr>
                <w:rFonts w:ascii="Arial" w:cs="Arial" w:eastAsia="Arial" w:hAnsi="Arial"/>
                <w:sz w:val="20"/>
                <w:szCs w:val="20"/>
                <w:color w:val="auto"/>
                <w:w w:val="89"/>
              </w:rPr>
              <w:t>5203</w:t>
            </w:r>
          </w:p>
        </w:tc>
        <w:tc>
          <w:tcPr>
            <w:tcW w:w="2220" w:type="dxa"/>
            <w:vAlign w:val="bottom"/>
            <w:gridSpan w:val="2"/>
          </w:tcPr>
          <w:p>
            <w:pPr>
              <w:ind w:left="20"/>
              <w:spacing w:after="0"/>
              <w:rPr>
                <w:sz w:val="20"/>
                <w:szCs w:val="20"/>
                <w:color w:val="auto"/>
              </w:rPr>
            </w:pPr>
            <w:r>
              <w:rPr>
                <w:rFonts w:ascii="Arial" w:cs="Arial" w:eastAsia="Arial" w:hAnsi="Arial"/>
                <w:sz w:val="20"/>
                <w:szCs w:val="20"/>
                <w:color w:val="auto"/>
                <w:w w:val="91"/>
              </w:rPr>
              <w:t>Levis Commons Boulevard</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F&amp;M Insurance Agency, LLC operates from our principal office at 307 North Defiance Street; Archbold, OH 43502.</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3. LEGAL PROCEEDINGS</w:t>
      </w:r>
    </w:p>
    <w:p>
      <w:pPr>
        <w:spacing w:after="0" w:line="200" w:lineRule="exact"/>
        <w:rPr>
          <w:sz w:val="20"/>
          <w:szCs w:val="20"/>
          <w:color w:val="auto"/>
        </w:rPr>
      </w:pPr>
    </w:p>
    <w:p>
      <w:pPr>
        <w:ind w:right="20"/>
        <w:spacing w:after="0" w:line="363" w:lineRule="auto"/>
        <w:rPr>
          <w:sz w:val="20"/>
          <w:szCs w:val="20"/>
          <w:color w:val="auto"/>
        </w:rPr>
      </w:pPr>
      <w:r>
        <w:rPr>
          <w:rFonts w:ascii="Arial" w:cs="Arial" w:eastAsia="Arial" w:hAnsi="Arial"/>
          <w:sz w:val="18"/>
          <w:szCs w:val="18"/>
          <w:color w:val="auto"/>
        </w:rPr>
        <w:t>There are no material pending legal proceedings, other than ordinary routine proceedings incidental to the business of the Company or its subsidiaries, to which we are a party or of which any of our properties are the subject.</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4. MINE SAFETY DISCLOSURES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 / 63</w:t>
      </w:r>
    </w:p>
    <w:p>
      <w:pPr>
        <w:sectPr>
          <w:pgSz w:w="11900" w:h="16838" w:orient="portrait"/>
          <w:cols w:equalWidth="0" w:num="1">
            <w:col w:w="9360"/>
          </w:cols>
          <w:pgMar w:left="1260" w:top="1163" w:right="1286" w:bottom="0" w:gutter="0" w:footer="0" w:header="0"/>
          <w:type w:val="continuous"/>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320" w:lineRule="exact"/>
        <w:rPr>
          <w:sz w:val="20"/>
          <w:szCs w:val="20"/>
          <w:color w:val="auto"/>
        </w:rPr>
      </w:pPr>
    </w:p>
    <w:p>
      <w:pPr>
        <w:ind w:right="120"/>
        <w:spacing w:after="0" w:line="302" w:lineRule="auto"/>
        <w:rPr>
          <w:sz w:val="20"/>
          <w:szCs w:val="20"/>
          <w:color w:val="auto"/>
        </w:rPr>
      </w:pPr>
      <w:r>
        <w:rPr>
          <w:rFonts w:ascii="Arial" w:cs="Arial" w:eastAsia="Arial" w:hAnsi="Arial"/>
          <w:sz w:val="20"/>
          <w:szCs w:val="20"/>
          <w:b w:val="1"/>
          <w:bCs w:val="1"/>
          <w:color w:val="auto"/>
        </w:rPr>
        <w:t xml:space="preserve">ITEM 5. MARKET FOR REGISTRANT'S COMMON EQUITY AND RELATED STOCKHOLDER </w:t>
      </w:r>
      <w:r>
        <w:rPr>
          <w:rFonts w:ascii="Arial" w:cs="Arial" w:eastAsia="Arial" w:hAnsi="Arial"/>
          <w:sz w:val="20"/>
          <w:szCs w:val="20"/>
          <w:b w:val="1"/>
          <w:bCs w:val="1"/>
          <w:u w:val="single" w:color="auto"/>
          <w:color w:val="auto"/>
        </w:rPr>
        <w:t>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-234315</wp:posOffset>
                </wp:positionV>
                <wp:extent cx="596709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7095" cy="4763"/>
                        </a:xfrm>
                        <a:prstGeom prst="line">
                          <a:avLst/>
                        </a:prstGeom>
                        <a:solidFill>
                          <a:srgbClr val="FFFFFF"/>
                        </a:solidFill>
                        <a:ln w="12092">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8.4499pt" to="469.55pt,-18.4499pt" o:allowincell="f" strokecolor="#000000" strokeweight="0.9521pt"/>
            </w:pict>
          </mc:Fallback>
        </mc:AlternateConten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The Company’s common stock is listed on the NASDAQ Stock Market LLC under the trading symbol “FMAO.”</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The Company utilizes Broadridge Corporate Issuer Solutions, LLC as its transfer agent.</w:t>
      </w:r>
    </w:p>
    <w:p>
      <w:pPr>
        <w:spacing w:after="0" w:line="320" w:lineRule="exact"/>
        <w:rPr>
          <w:sz w:val="20"/>
          <w:szCs w:val="20"/>
          <w:color w:val="auto"/>
        </w:rPr>
      </w:pPr>
    </w:p>
    <w:p>
      <w:pPr>
        <w:jc w:val="both"/>
        <w:ind w:right="40"/>
        <w:spacing w:after="0" w:line="363" w:lineRule="auto"/>
        <w:rPr>
          <w:sz w:val="20"/>
          <w:szCs w:val="20"/>
          <w:color w:val="auto"/>
        </w:rPr>
      </w:pPr>
      <w:r>
        <w:rPr>
          <w:rFonts w:ascii="Arial" w:cs="Arial" w:eastAsia="Arial" w:hAnsi="Arial"/>
          <w:sz w:val="18"/>
          <w:szCs w:val="18"/>
          <w:color w:val="auto"/>
        </w:rPr>
        <w:t>As of December 31, 2025, there were 1,909 record holders of our common stock of which 64.29% of the outstanding shares are being held in brokerage accounts or “street name” and only considered as one record holder.</w:t>
      </w:r>
    </w:p>
    <w:p>
      <w:pPr>
        <w:spacing w:after="0" w:line="214" w:lineRule="exact"/>
        <w:rPr>
          <w:sz w:val="20"/>
          <w:szCs w:val="20"/>
          <w:color w:val="auto"/>
        </w:rPr>
      </w:pPr>
    </w:p>
    <w:p>
      <w:pPr>
        <w:jc w:val="both"/>
        <w:ind w:right="40"/>
        <w:spacing w:after="0" w:line="310" w:lineRule="auto"/>
        <w:rPr>
          <w:sz w:val="20"/>
          <w:szCs w:val="20"/>
          <w:color w:val="auto"/>
        </w:rPr>
      </w:pPr>
      <w:r>
        <w:rPr>
          <w:rFonts w:ascii="Arial" w:cs="Arial" w:eastAsia="Arial" w:hAnsi="Arial"/>
          <w:sz w:val="20"/>
          <w:szCs w:val="20"/>
          <w:color w:val="auto"/>
        </w:rPr>
        <w:t>Below is a line-graph presentation comparing the cumulative total shareholder returns for the Company, an index for NASDAQ Stock Market (U.S. Companies) comprised of all domestic common shares traded on the NASDAQ National Market System and the NASDAQ Bank Index for the five-year period ended December 31, 2025. The chart compares the value of $100 invested in the Company and each of the indices and assumes investment on December 31, 2020 with all dividends reinvested.</w:t>
      </w:r>
    </w:p>
    <w:p>
      <w:pPr>
        <w:spacing w:after="0" w:line="255" w:lineRule="exact"/>
        <w:rPr>
          <w:sz w:val="20"/>
          <w:szCs w:val="20"/>
          <w:color w:val="auto"/>
        </w:rPr>
      </w:pPr>
    </w:p>
    <w:p>
      <w:pPr>
        <w:ind w:right="60"/>
        <w:spacing w:after="0" w:line="363" w:lineRule="auto"/>
        <w:rPr>
          <w:sz w:val="20"/>
          <w:szCs w:val="20"/>
          <w:color w:val="auto"/>
        </w:rPr>
      </w:pPr>
      <w:r>
        <w:rPr>
          <w:rFonts w:ascii="Arial" w:cs="Arial" w:eastAsia="Arial" w:hAnsi="Arial"/>
          <w:sz w:val="18"/>
          <w:szCs w:val="18"/>
          <w:color w:val="auto"/>
        </w:rPr>
        <w:t>The Board of Directors recognizes that the market price of stock is influenced by many factors, only one of which is performance. The stock price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5967730" cy="21240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extLst>
                    </a:blip>
                    <a:srcRect/>
                    <a:stretch>
                      <a:fillRect/>
                    </a:stretch>
                  </pic:blipFill>
                  <pic:spPr bwMode="auto">
                    <a:xfrm>
                      <a:off x="0" y="0"/>
                      <a:ext cx="5967730" cy="212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19"/>
                <w:szCs w:val="19"/>
                <w:color w:val="auto"/>
              </w:rPr>
            </w:pPr>
          </w:p>
        </w:tc>
        <w:tc>
          <w:tcPr>
            <w:tcW w:w="1960" w:type="dxa"/>
            <w:vAlign w:val="bottom"/>
          </w:tcPr>
          <w:p>
            <w:pPr>
              <w:jc w:val="right"/>
              <w:ind w:right="340"/>
              <w:spacing w:after="0"/>
              <w:rPr>
                <w:sz w:val="20"/>
                <w:szCs w:val="20"/>
                <w:color w:val="auto"/>
              </w:rPr>
            </w:pPr>
            <w:r>
              <w:rPr>
                <w:rFonts w:ascii="Arial" w:cs="Arial" w:eastAsia="Arial" w:hAnsi="Arial"/>
                <w:sz w:val="20"/>
                <w:szCs w:val="20"/>
                <w:color w:val="auto"/>
              </w:rPr>
              <w:t>2021</w:t>
            </w:r>
          </w:p>
        </w:tc>
        <w:tc>
          <w:tcPr>
            <w:tcW w:w="1040" w:type="dxa"/>
            <w:vAlign w:val="bottom"/>
          </w:tcPr>
          <w:p>
            <w:pPr>
              <w:jc w:val="right"/>
              <w:ind w:right="340"/>
              <w:spacing w:after="0"/>
              <w:rPr>
                <w:sz w:val="20"/>
                <w:szCs w:val="20"/>
                <w:color w:val="auto"/>
              </w:rPr>
            </w:pPr>
            <w:r>
              <w:rPr>
                <w:rFonts w:ascii="Arial" w:cs="Arial" w:eastAsia="Arial" w:hAnsi="Arial"/>
                <w:sz w:val="20"/>
                <w:szCs w:val="20"/>
                <w:color w:val="auto"/>
              </w:rPr>
              <w:t>2022</w:t>
            </w:r>
          </w:p>
        </w:tc>
        <w:tc>
          <w:tcPr>
            <w:tcW w:w="1040" w:type="dxa"/>
            <w:vAlign w:val="bottom"/>
          </w:tcPr>
          <w:p>
            <w:pPr>
              <w:jc w:val="right"/>
              <w:ind w:right="340"/>
              <w:spacing w:after="0"/>
              <w:rPr>
                <w:sz w:val="20"/>
                <w:szCs w:val="20"/>
                <w:color w:val="auto"/>
              </w:rPr>
            </w:pPr>
            <w:r>
              <w:rPr>
                <w:rFonts w:ascii="Arial" w:cs="Arial" w:eastAsia="Arial" w:hAnsi="Arial"/>
                <w:sz w:val="20"/>
                <w:szCs w:val="20"/>
                <w:color w:val="auto"/>
              </w:rPr>
              <w:t>2023</w:t>
            </w:r>
          </w:p>
        </w:tc>
        <w:tc>
          <w:tcPr>
            <w:tcW w:w="1040" w:type="dxa"/>
            <w:vAlign w:val="bottom"/>
          </w:tcPr>
          <w:p>
            <w:pPr>
              <w:jc w:val="right"/>
              <w:ind w:right="340"/>
              <w:spacing w:after="0"/>
              <w:rPr>
                <w:sz w:val="20"/>
                <w:szCs w:val="20"/>
                <w:color w:val="auto"/>
              </w:rPr>
            </w:pPr>
            <w:r>
              <w:rPr>
                <w:rFonts w:ascii="Arial" w:cs="Arial" w:eastAsia="Arial" w:hAnsi="Arial"/>
                <w:sz w:val="20"/>
                <w:szCs w:val="20"/>
                <w:color w:val="auto"/>
              </w:rPr>
              <w:t>2024</w:t>
            </w:r>
          </w:p>
        </w:tc>
        <w:tc>
          <w:tcPr>
            <w:tcW w:w="980" w:type="dxa"/>
            <w:vAlign w:val="bottom"/>
          </w:tcPr>
          <w:p>
            <w:pPr>
              <w:jc w:val="right"/>
              <w:ind w:right="260"/>
              <w:spacing w:after="0"/>
              <w:rPr>
                <w:sz w:val="20"/>
                <w:szCs w:val="20"/>
                <w:color w:val="auto"/>
              </w:rPr>
            </w:pPr>
            <w:r>
              <w:rPr>
                <w:rFonts w:ascii="Arial" w:cs="Arial" w:eastAsia="Arial" w:hAnsi="Arial"/>
                <w:sz w:val="20"/>
                <w:szCs w:val="20"/>
                <w:color w:val="auto"/>
              </w:rPr>
              <w:t>2025</w:t>
            </w:r>
          </w:p>
        </w:tc>
      </w:tr>
      <w:tr>
        <w:trPr>
          <w:trHeight w:val="51"/>
        </w:trPr>
        <w:tc>
          <w:tcPr>
            <w:tcW w:w="33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94"/>
        </w:trPr>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FMAO</w:t>
            </w:r>
          </w:p>
        </w:tc>
        <w:tc>
          <w:tcPr>
            <w:tcW w:w="19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145.83</w:t>
            </w:r>
          </w:p>
        </w:tc>
        <w:tc>
          <w:tcPr>
            <w:tcW w:w="10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124.79</w:t>
            </w:r>
          </w:p>
        </w:tc>
        <w:tc>
          <w:tcPr>
            <w:tcW w:w="10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118.14</w:t>
            </w:r>
          </w:p>
        </w:tc>
        <w:tc>
          <w:tcPr>
            <w:tcW w:w="10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142.20</w:t>
            </w: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125.54</w:t>
            </w:r>
          </w:p>
        </w:tc>
      </w:tr>
      <w:tr>
        <w:trPr>
          <w:trHeight w:val="274"/>
        </w:trPr>
        <w:tc>
          <w:tcPr>
            <w:tcW w:w="3340" w:type="dxa"/>
            <w:vAlign w:val="bottom"/>
          </w:tcPr>
          <w:p>
            <w:pPr>
              <w:spacing w:after="0"/>
              <w:rPr>
                <w:sz w:val="20"/>
                <w:szCs w:val="20"/>
                <w:color w:val="auto"/>
              </w:rPr>
            </w:pPr>
            <w:r>
              <w:rPr>
                <w:rFonts w:ascii="Arial" w:cs="Arial" w:eastAsia="Arial" w:hAnsi="Arial"/>
                <w:sz w:val="20"/>
                <w:szCs w:val="20"/>
                <w:color w:val="auto"/>
              </w:rPr>
              <w:t>NASDAQ - COMPOSITE</w:t>
            </w:r>
          </w:p>
        </w:tc>
        <w:tc>
          <w:tcPr>
            <w:tcW w:w="1960" w:type="dxa"/>
            <w:vAlign w:val="bottom"/>
          </w:tcPr>
          <w:p>
            <w:pPr>
              <w:jc w:val="right"/>
              <w:ind w:right="120"/>
              <w:spacing w:after="0"/>
              <w:rPr>
                <w:sz w:val="20"/>
                <w:szCs w:val="20"/>
                <w:color w:val="auto"/>
              </w:rPr>
            </w:pPr>
            <w:r>
              <w:rPr>
                <w:rFonts w:ascii="Arial" w:cs="Arial" w:eastAsia="Arial" w:hAnsi="Arial"/>
                <w:sz w:val="20"/>
                <w:szCs w:val="20"/>
                <w:color w:val="auto"/>
              </w:rPr>
              <w:t>122.15</w:t>
            </w:r>
          </w:p>
        </w:tc>
        <w:tc>
          <w:tcPr>
            <w:tcW w:w="1040" w:type="dxa"/>
            <w:vAlign w:val="bottom"/>
          </w:tcPr>
          <w:p>
            <w:pPr>
              <w:jc w:val="right"/>
              <w:ind w:right="120"/>
              <w:spacing w:after="0"/>
              <w:rPr>
                <w:sz w:val="20"/>
                <w:szCs w:val="20"/>
                <w:color w:val="auto"/>
              </w:rPr>
            </w:pPr>
            <w:r>
              <w:rPr>
                <w:rFonts w:ascii="Arial" w:cs="Arial" w:eastAsia="Arial" w:hAnsi="Arial"/>
                <w:sz w:val="20"/>
                <w:szCs w:val="20"/>
                <w:color w:val="auto"/>
              </w:rPr>
              <w:t>82.78</w:t>
            </w:r>
          </w:p>
        </w:tc>
        <w:tc>
          <w:tcPr>
            <w:tcW w:w="1040" w:type="dxa"/>
            <w:vAlign w:val="bottom"/>
          </w:tcPr>
          <w:p>
            <w:pPr>
              <w:jc w:val="right"/>
              <w:ind w:right="120"/>
              <w:spacing w:after="0"/>
              <w:rPr>
                <w:sz w:val="20"/>
                <w:szCs w:val="20"/>
                <w:color w:val="auto"/>
              </w:rPr>
            </w:pPr>
            <w:r>
              <w:rPr>
                <w:rFonts w:ascii="Arial" w:cs="Arial" w:eastAsia="Arial" w:hAnsi="Arial"/>
                <w:sz w:val="20"/>
                <w:szCs w:val="20"/>
                <w:color w:val="auto"/>
              </w:rPr>
              <w:t>118.95</w:t>
            </w:r>
          </w:p>
        </w:tc>
        <w:tc>
          <w:tcPr>
            <w:tcW w:w="1040" w:type="dxa"/>
            <w:vAlign w:val="bottom"/>
          </w:tcPr>
          <w:p>
            <w:pPr>
              <w:jc w:val="right"/>
              <w:ind w:right="100"/>
              <w:spacing w:after="0"/>
              <w:rPr>
                <w:sz w:val="20"/>
                <w:szCs w:val="20"/>
                <w:color w:val="auto"/>
              </w:rPr>
            </w:pPr>
            <w:r>
              <w:rPr>
                <w:rFonts w:ascii="Arial" w:cs="Arial" w:eastAsia="Arial" w:hAnsi="Arial"/>
                <w:sz w:val="20"/>
                <w:szCs w:val="20"/>
                <w:color w:val="auto"/>
              </w:rPr>
              <w:t>153.30</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184.87</w:t>
            </w:r>
          </w:p>
        </w:tc>
      </w:tr>
      <w:tr>
        <w:trPr>
          <w:trHeight w:val="41"/>
        </w:trPr>
        <w:tc>
          <w:tcPr>
            <w:tcW w:w="33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4"/>
        </w:trPr>
        <w:tc>
          <w:tcPr>
            <w:tcW w:w="3340" w:type="dxa"/>
            <w:vAlign w:val="bottom"/>
            <w:shd w:val="clear" w:color="auto" w:fill="CFF0FC"/>
          </w:tcPr>
          <w:p>
            <w:pPr>
              <w:spacing w:after="0"/>
              <w:rPr>
                <w:sz w:val="20"/>
                <w:szCs w:val="20"/>
                <w:color w:val="auto"/>
              </w:rPr>
            </w:pPr>
            <w:r>
              <w:rPr>
                <w:rFonts w:ascii="Arial" w:cs="Arial" w:eastAsia="Arial" w:hAnsi="Arial"/>
                <w:sz w:val="20"/>
                <w:szCs w:val="20"/>
                <w:color w:val="auto"/>
              </w:rPr>
              <w:t>NASDAQ - BANK INDEX</w:t>
            </w:r>
          </w:p>
        </w:tc>
        <w:tc>
          <w:tcPr>
            <w:tcW w:w="196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142.65</w:t>
            </w:r>
          </w:p>
        </w:tc>
        <w:tc>
          <w:tcPr>
            <w:tcW w:w="104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120.10</w:t>
            </w:r>
          </w:p>
        </w:tc>
        <w:tc>
          <w:tcPr>
            <w:tcW w:w="104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115.65</w:t>
            </w:r>
          </w:p>
        </w:tc>
        <w:tc>
          <w:tcPr>
            <w:tcW w:w="104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137.06</w:t>
            </w:r>
          </w:p>
        </w:tc>
        <w:tc>
          <w:tcPr>
            <w:tcW w:w="9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145.62</w:t>
            </w:r>
          </w:p>
        </w:tc>
      </w:tr>
      <w:tr>
        <w:trPr>
          <w:trHeight w:val="41"/>
        </w:trPr>
        <w:tc>
          <w:tcPr>
            <w:tcW w:w="3340" w:type="dxa"/>
            <w:vAlign w:val="bottom"/>
            <w:shd w:val="clear" w:color="auto" w:fill="CFF0FC"/>
          </w:tcPr>
          <w:p>
            <w:pPr>
              <w:spacing w:after="0"/>
              <w:rPr>
                <w:sz w:val="3"/>
                <w:szCs w:val="3"/>
                <w:color w:val="auto"/>
              </w:rPr>
            </w:pPr>
          </w:p>
        </w:tc>
        <w:tc>
          <w:tcPr>
            <w:tcW w:w="196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2692400</wp:posOffset>
            </wp:positionH>
            <wp:positionV relativeFrom="paragraph">
              <wp:posOffset>-604520</wp:posOffset>
            </wp:positionV>
            <wp:extent cx="321183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extLst>
                    </a:blip>
                    <a:srcRect/>
                    <a:stretch>
                      <a:fillRect/>
                    </a:stretch>
                  </pic:blipFill>
                  <pic:spPr bwMode="auto">
                    <a:xfrm>
                      <a:off x="0" y="0"/>
                      <a:ext cx="3211830" cy="6350"/>
                    </a:xfrm>
                    <a:prstGeom prst="rect">
                      <a:avLst/>
                    </a:prstGeom>
                    <a:noFill/>
                  </pic:spPr>
                </pic:pic>
              </a:graphicData>
            </a:graphic>
          </wp:anchor>
        </w:drawing>
      </w:r>
    </w:p>
    <w:p>
      <w:pPr>
        <w:spacing w:after="0" w:line="319"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color w:val="auto"/>
        </w:rPr>
        <w:t>Dividends are declared and paid quarterly. Per share dividends declared for the years ended 2025 and 2024 are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19"/>
                <w:szCs w:val="19"/>
                <w:color w:val="auto"/>
              </w:rPr>
            </w:pPr>
          </w:p>
        </w:tc>
        <w:tc>
          <w:tcPr>
            <w:tcW w:w="2500" w:type="dxa"/>
            <w:vAlign w:val="bottom"/>
            <w:gridSpan w:val="2"/>
          </w:tcPr>
          <w:p>
            <w:pPr>
              <w:jc w:val="right"/>
              <w:ind w:right="80"/>
              <w:spacing w:after="0"/>
              <w:rPr>
                <w:sz w:val="20"/>
                <w:szCs w:val="20"/>
                <w:color w:val="auto"/>
              </w:rPr>
            </w:pPr>
            <w:r>
              <w:rPr>
                <w:rFonts w:ascii="Arial" w:cs="Arial" w:eastAsia="Arial" w:hAnsi="Arial"/>
                <w:sz w:val="20"/>
                <w:szCs w:val="20"/>
                <w:color w:val="auto"/>
              </w:rPr>
              <w:t>1st Quarter</w:t>
            </w: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auto"/>
              </w:rPr>
              <w:t>2nd Quarter</w:t>
            </w:r>
          </w:p>
        </w:tc>
        <w:tc>
          <w:tcPr>
            <w:tcW w:w="1280" w:type="dxa"/>
            <w:vAlign w:val="bottom"/>
            <w:gridSpan w:val="2"/>
          </w:tcPr>
          <w:p>
            <w:pPr>
              <w:jc w:val="right"/>
              <w:ind w:right="80"/>
              <w:spacing w:after="0"/>
              <w:rPr>
                <w:sz w:val="20"/>
                <w:szCs w:val="20"/>
                <w:color w:val="auto"/>
              </w:rPr>
            </w:pPr>
            <w:r>
              <w:rPr>
                <w:rFonts w:ascii="Arial" w:cs="Arial" w:eastAsia="Arial" w:hAnsi="Arial"/>
                <w:sz w:val="20"/>
                <w:szCs w:val="20"/>
                <w:color w:val="auto"/>
              </w:rPr>
              <w:t>3rd Quarter</w:t>
            </w:r>
          </w:p>
        </w:tc>
        <w:tc>
          <w:tcPr>
            <w:tcW w:w="1300" w:type="dxa"/>
            <w:vAlign w:val="bottom"/>
            <w:gridSpan w:val="2"/>
          </w:tcPr>
          <w:p>
            <w:pPr>
              <w:jc w:val="right"/>
              <w:ind w:right="100"/>
              <w:spacing w:after="0"/>
              <w:rPr>
                <w:sz w:val="20"/>
                <w:szCs w:val="20"/>
                <w:color w:val="auto"/>
              </w:rPr>
            </w:pPr>
            <w:r>
              <w:rPr>
                <w:rFonts w:ascii="Arial" w:cs="Arial" w:eastAsia="Arial" w:hAnsi="Arial"/>
                <w:sz w:val="20"/>
                <w:szCs w:val="20"/>
                <w:color w:val="auto"/>
              </w:rPr>
              <w:t>4th Quarter</w:t>
            </w:r>
          </w:p>
        </w:tc>
        <w:tc>
          <w:tcPr>
            <w:tcW w:w="320" w:type="dxa"/>
            <w:vAlign w:val="bottom"/>
          </w:tcPr>
          <w:p>
            <w:pPr>
              <w:spacing w:after="0"/>
              <w:rPr>
                <w:sz w:val="19"/>
                <w:szCs w:val="19"/>
                <w:color w:val="auto"/>
              </w:rPr>
            </w:pPr>
          </w:p>
        </w:tc>
        <w:tc>
          <w:tcPr>
            <w:tcW w:w="960" w:type="dxa"/>
            <w:vAlign w:val="bottom"/>
          </w:tcPr>
          <w:p>
            <w:pPr>
              <w:jc w:val="right"/>
              <w:ind w:right="320"/>
              <w:spacing w:after="0"/>
              <w:rPr>
                <w:sz w:val="20"/>
                <w:szCs w:val="20"/>
                <w:color w:val="auto"/>
              </w:rPr>
            </w:pPr>
            <w:r>
              <w:rPr>
                <w:rFonts w:ascii="Arial" w:cs="Arial" w:eastAsia="Arial" w:hAnsi="Arial"/>
                <w:sz w:val="20"/>
                <w:szCs w:val="20"/>
                <w:color w:val="auto"/>
              </w:rPr>
              <w:t>Total</w:t>
            </w:r>
          </w:p>
        </w:tc>
      </w:tr>
      <w:tr>
        <w:trPr>
          <w:trHeight w:val="51"/>
        </w:trPr>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94"/>
        </w:trPr>
        <w:tc>
          <w:tcPr>
            <w:tcW w:w="1740" w:type="dxa"/>
            <w:vAlign w:val="bottom"/>
            <w:tcBorders>
              <w:bottom w:val="single" w:sz="8" w:color="CFF0FC"/>
            </w:tcBorders>
            <w:shd w:val="clear" w:color="auto" w:fill="CFF0FC"/>
          </w:tcPr>
          <w:p>
            <w:pPr>
              <w:jc w:val="right"/>
              <w:ind w:right="1240"/>
              <w:spacing w:after="0"/>
              <w:rPr>
                <w:sz w:val="20"/>
                <w:szCs w:val="20"/>
                <w:color w:val="auto"/>
              </w:rPr>
            </w:pPr>
            <w:r>
              <w:rPr>
                <w:rFonts w:ascii="Arial" w:cs="Arial" w:eastAsia="Arial" w:hAnsi="Arial"/>
                <w:sz w:val="20"/>
                <w:szCs w:val="20"/>
                <w:color w:val="auto"/>
                <w:w w:val="85"/>
              </w:rPr>
              <w:t>2025</w:t>
            </w:r>
          </w:p>
        </w:tc>
        <w:tc>
          <w:tcPr>
            <w:tcW w:w="15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0.22125</w:t>
            </w:r>
          </w:p>
        </w:tc>
        <w:tc>
          <w:tcPr>
            <w:tcW w:w="3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0.22125</w:t>
            </w:r>
          </w:p>
        </w:tc>
        <w:tc>
          <w:tcPr>
            <w:tcW w:w="3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0.22750</w:t>
            </w:r>
          </w:p>
        </w:tc>
        <w:tc>
          <w:tcPr>
            <w:tcW w:w="3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0.23000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0.90000</w:t>
            </w:r>
          </w:p>
        </w:tc>
      </w:tr>
      <w:tr>
        <w:trPr>
          <w:trHeight w:val="274"/>
        </w:trPr>
        <w:tc>
          <w:tcPr>
            <w:tcW w:w="1740" w:type="dxa"/>
            <w:vAlign w:val="bottom"/>
          </w:tcPr>
          <w:p>
            <w:pPr>
              <w:jc w:val="right"/>
              <w:ind w:right="1240"/>
              <w:spacing w:after="0"/>
              <w:rPr>
                <w:sz w:val="20"/>
                <w:szCs w:val="20"/>
                <w:color w:val="auto"/>
              </w:rPr>
            </w:pPr>
            <w:r>
              <w:rPr>
                <w:rFonts w:ascii="Arial" w:cs="Arial" w:eastAsia="Arial" w:hAnsi="Arial"/>
                <w:sz w:val="20"/>
                <w:szCs w:val="20"/>
                <w:color w:val="auto"/>
                <w:w w:val="85"/>
              </w:rPr>
              <w:t>2024</w:t>
            </w:r>
          </w:p>
        </w:tc>
        <w:tc>
          <w:tcPr>
            <w:tcW w:w="15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0.22000</w:t>
            </w:r>
          </w:p>
        </w:tc>
        <w:tc>
          <w:tcPr>
            <w:tcW w:w="3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0.22000</w:t>
            </w:r>
          </w:p>
        </w:tc>
        <w:tc>
          <w:tcPr>
            <w:tcW w:w="3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0.22125</w:t>
            </w:r>
          </w:p>
        </w:tc>
        <w:tc>
          <w:tcPr>
            <w:tcW w:w="3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0.22125</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0.88250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-379095</wp:posOffset>
            </wp:positionV>
            <wp:extent cx="3949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extLst>
                    </a:blip>
                    <a:srcRect/>
                    <a:stretch>
                      <a:fillRect/>
                    </a:stretch>
                  </pic:blipFill>
                  <pic:spPr bwMode="auto">
                    <a:xfrm>
                      <a:off x="0" y="0"/>
                      <a:ext cx="394970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47 / 63</w:t>
      </w:r>
    </w:p>
    <w:p>
      <w:pPr>
        <w:sectPr>
          <w:pgSz w:w="11900" w:h="16838" w:orient="portrait"/>
          <w:cols w:equalWidth="0" w:num="1">
            <w:col w:w="9400"/>
          </w:cols>
          <w:pgMar w:left="1260" w:top="1440" w:right="1246" w:bottom="0" w:gutter="0" w:footer="0" w:header="0"/>
          <w:type w:val="continuous"/>
        </w:sectPr>
      </w:pPr>
    </w:p>
    <w:bookmarkStart w:id="47" w:name="page48"/>
    <w:bookmarkEnd w:id="47"/>
    <w:p>
      <w:pPr>
        <w:spacing w:after="0" w:line="63" w:lineRule="exact"/>
        <w:rPr>
          <w:sz w:val="20"/>
          <w:szCs w:val="20"/>
          <w:color w:val="auto"/>
        </w:rPr>
      </w:pPr>
    </w:p>
    <w:p>
      <w:pPr>
        <w:jc w:val="both"/>
        <w:ind w:right="40"/>
        <w:spacing w:after="0" w:line="309" w:lineRule="auto"/>
        <w:rPr>
          <w:sz w:val="20"/>
          <w:szCs w:val="20"/>
          <w:color w:val="auto"/>
        </w:rPr>
      </w:pPr>
      <w:r>
        <w:rPr>
          <w:rFonts w:ascii="Arial" w:cs="Arial" w:eastAsia="Arial" w:hAnsi="Arial"/>
          <w:sz w:val="20"/>
          <w:szCs w:val="20"/>
          <w:color w:val="auto"/>
        </w:rPr>
        <w:t>Dividends declared during 2025 were $0.90 per share totaling $12.2 million, 2.0% higher than 2024 declared dividends of $0.8825 per share. During 2025, the Company awarded 60,673 shares to 131 employees and 6,707 shares were forfeited under its long term incentive plan. At year-end 2025, the Company held 816,351 shares in Treasury stock and 164,667 in unearned stock awards.</w:t>
      </w:r>
    </w:p>
    <w:p>
      <w:pPr>
        <w:spacing w:after="0" w:line="256" w:lineRule="exact"/>
        <w:rPr>
          <w:sz w:val="20"/>
          <w:szCs w:val="20"/>
          <w:color w:val="auto"/>
        </w:rPr>
      </w:pPr>
    </w:p>
    <w:p>
      <w:pPr>
        <w:jc w:val="both"/>
        <w:ind w:right="20"/>
        <w:spacing w:after="0" w:line="309" w:lineRule="auto"/>
        <w:rPr>
          <w:sz w:val="20"/>
          <w:szCs w:val="20"/>
          <w:color w:val="auto"/>
        </w:rPr>
      </w:pPr>
      <w:r>
        <w:rPr>
          <w:rFonts w:ascii="Arial" w:cs="Arial" w:eastAsia="Arial" w:hAnsi="Arial"/>
          <w:sz w:val="20"/>
          <w:szCs w:val="20"/>
          <w:color w:val="auto"/>
        </w:rPr>
        <w:t>Dividends declared during 2024 were $0.8825 per share totaling $11.9 million, 3.8% higher than 2023 declared dividends of $0.85 per share. During 2024, the Company awarded 60,169 shares to 111 employees and 5,811 shares were forfeited under its long term incentive plan. At year-end 2024, the Company held 864,889 shares in Treasury stock and 158,183 in unearned stock awards.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The Company currently expects to continue to maintain the payment of its quarterly dividend consistent with its past practices.</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48 / 63</w:t>
      </w:r>
    </w:p>
    <w:p>
      <w:pPr>
        <w:sectPr>
          <w:pgSz w:w="11900" w:h="16838" w:orient="portrait"/>
          <w:cols w:equalWidth="0" w:num="1">
            <w:col w:w="9340"/>
          </w:cols>
          <w:pgMar w:left="1260" w:top="1440" w:right="1306" w:bottom="0" w:gutter="0" w:footer="0" w:header="0"/>
          <w:type w:val="continuous"/>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gridSpan w:val="2"/>
          </w:tcPr>
          <w:p>
            <w:pPr>
              <w:spacing w:after="0"/>
              <w:rPr>
                <w:sz w:val="20"/>
                <w:szCs w:val="20"/>
                <w:color w:val="auto"/>
              </w:rPr>
            </w:pPr>
            <w:r>
              <w:rPr>
                <w:rFonts w:ascii="Arial" w:cs="Arial" w:eastAsia="Arial" w:hAnsi="Arial"/>
                <w:sz w:val="20"/>
                <w:szCs w:val="20"/>
                <w:color w:val="auto"/>
              </w:rPr>
              <w:t>The Company continues to have a strong capital base.</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644"/>
        </w:trPr>
        <w:tc>
          <w:tcPr>
            <w:tcW w:w="18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40" w:type="dxa"/>
            <w:vAlign w:val="bottom"/>
          </w:tcPr>
          <w:p>
            <w:pPr>
              <w:jc w:val="right"/>
              <w:ind w:right="400"/>
              <w:spacing w:after="0"/>
              <w:rPr>
                <w:sz w:val="20"/>
                <w:szCs w:val="20"/>
                <w:color w:val="auto"/>
              </w:rPr>
            </w:pPr>
            <w:r>
              <w:rPr>
                <w:rFonts w:ascii="Arial" w:cs="Arial" w:eastAsia="Arial" w:hAnsi="Arial"/>
                <w:sz w:val="20"/>
                <w:szCs w:val="20"/>
                <w:color w:val="auto"/>
              </w:rPr>
              <w:t>2025</w:t>
            </w:r>
          </w:p>
        </w:tc>
        <w:tc>
          <w:tcPr>
            <w:tcW w:w="940" w:type="dxa"/>
            <w:vAlign w:val="bottom"/>
          </w:tcPr>
          <w:p>
            <w:pPr>
              <w:jc w:val="right"/>
              <w:ind w:right="300"/>
              <w:spacing w:after="0"/>
              <w:rPr>
                <w:sz w:val="20"/>
                <w:szCs w:val="20"/>
                <w:color w:val="auto"/>
              </w:rPr>
            </w:pPr>
            <w:r>
              <w:rPr>
                <w:rFonts w:ascii="Arial" w:cs="Arial" w:eastAsia="Arial" w:hAnsi="Arial"/>
                <w:sz w:val="20"/>
                <w:szCs w:val="20"/>
                <w:color w:val="auto"/>
              </w:rPr>
              <w:t>2024</w:t>
            </w:r>
          </w:p>
        </w:tc>
      </w:tr>
      <w:tr>
        <w:trPr>
          <w:trHeight w:val="51"/>
        </w:trPr>
        <w:tc>
          <w:tcPr>
            <w:tcW w:w="5140" w:type="dxa"/>
            <w:vAlign w:val="bottom"/>
            <w:gridSpan w:val="2"/>
          </w:tcPr>
          <w:p>
            <w:pPr>
              <w:spacing w:after="0"/>
              <w:rPr>
                <w:sz w:val="4"/>
                <w:szCs w:val="4"/>
                <w:color w:val="auto"/>
              </w:rPr>
            </w:pPr>
          </w:p>
        </w:tc>
        <w:tc>
          <w:tcPr>
            <w:tcW w:w="144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94"/>
        </w:trPr>
        <w:tc>
          <w:tcPr>
            <w:tcW w:w="1880" w:type="dxa"/>
            <w:vAlign w:val="bottom"/>
          </w:tcPr>
          <w:p>
            <w:pPr>
              <w:spacing w:after="0"/>
              <w:rPr>
                <w:sz w:val="24"/>
                <w:szCs w:val="24"/>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Tier I Leverage Ratio</w:t>
            </w:r>
          </w:p>
        </w:tc>
        <w:tc>
          <w:tcPr>
            <w:tcW w:w="14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8.81%</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8.12%</w:t>
            </w:r>
          </w:p>
        </w:tc>
      </w:tr>
      <w:tr>
        <w:trPr>
          <w:trHeight w:val="274"/>
        </w:trPr>
        <w:tc>
          <w:tcPr>
            <w:tcW w:w="5140" w:type="dxa"/>
            <w:vAlign w:val="bottom"/>
            <w:gridSpan w:val="2"/>
          </w:tcPr>
          <w:p>
            <w:pPr>
              <w:ind w:left="1880"/>
              <w:spacing w:after="0"/>
              <w:rPr>
                <w:sz w:val="20"/>
                <w:szCs w:val="20"/>
                <w:color w:val="auto"/>
              </w:rPr>
            </w:pPr>
            <w:r>
              <w:rPr>
                <w:rFonts w:ascii="Arial" w:cs="Arial" w:eastAsia="Arial" w:hAnsi="Arial"/>
                <w:sz w:val="20"/>
                <w:szCs w:val="20"/>
                <w:color w:val="auto"/>
              </w:rPr>
              <w:t>Risk Based Capital Tier I</w:t>
            </w:r>
          </w:p>
        </w:tc>
        <w:tc>
          <w:tcPr>
            <w:tcW w:w="1440" w:type="dxa"/>
            <w:vAlign w:val="bottom"/>
          </w:tcPr>
          <w:p>
            <w:pPr>
              <w:jc w:val="right"/>
              <w:ind w:right="20"/>
              <w:spacing w:after="0"/>
              <w:rPr>
                <w:sz w:val="20"/>
                <w:szCs w:val="20"/>
                <w:color w:val="auto"/>
              </w:rPr>
            </w:pPr>
            <w:r>
              <w:rPr>
                <w:rFonts w:ascii="Arial" w:cs="Arial" w:eastAsia="Arial" w:hAnsi="Arial"/>
                <w:sz w:val="20"/>
                <w:szCs w:val="20"/>
                <w:color w:val="auto"/>
              </w:rPr>
              <w:t>10.68%</w:t>
            </w:r>
          </w:p>
        </w:tc>
        <w:tc>
          <w:tcPr>
            <w:tcW w:w="940" w:type="dxa"/>
            <w:vAlign w:val="bottom"/>
          </w:tcPr>
          <w:p>
            <w:pPr>
              <w:jc w:val="right"/>
              <w:spacing w:after="0"/>
              <w:rPr>
                <w:sz w:val="20"/>
                <w:szCs w:val="20"/>
                <w:color w:val="auto"/>
              </w:rPr>
            </w:pPr>
            <w:r>
              <w:rPr>
                <w:rFonts w:ascii="Arial" w:cs="Arial" w:eastAsia="Arial" w:hAnsi="Arial"/>
                <w:sz w:val="20"/>
                <w:szCs w:val="20"/>
                <w:color w:val="auto"/>
              </w:rPr>
              <w:t>10.44%</w:t>
            </w:r>
          </w:p>
        </w:tc>
      </w:tr>
      <w:tr>
        <w:trPr>
          <w:trHeight w:val="41"/>
        </w:trPr>
        <w:tc>
          <w:tcPr>
            <w:tcW w:w="514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1880" w:type="dxa"/>
            <w:vAlign w:val="bottom"/>
          </w:tcPr>
          <w:p>
            <w:pPr>
              <w:spacing w:after="0"/>
              <w:rPr>
                <w:sz w:val="24"/>
                <w:szCs w:val="24"/>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Risk Based Capital</w:t>
            </w:r>
          </w:p>
        </w:tc>
        <w:tc>
          <w:tcPr>
            <w:tcW w:w="14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12.97%</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12.80%</w:t>
            </w:r>
          </w:p>
        </w:tc>
      </w:tr>
      <w:tr>
        <w:trPr>
          <w:trHeight w:val="274"/>
        </w:trPr>
        <w:tc>
          <w:tcPr>
            <w:tcW w:w="5140" w:type="dxa"/>
            <w:vAlign w:val="bottom"/>
            <w:gridSpan w:val="2"/>
          </w:tcPr>
          <w:p>
            <w:pPr>
              <w:ind w:left="1880"/>
              <w:spacing w:after="0"/>
              <w:rPr>
                <w:sz w:val="20"/>
                <w:szCs w:val="20"/>
                <w:color w:val="auto"/>
              </w:rPr>
            </w:pPr>
            <w:r>
              <w:rPr>
                <w:rFonts w:ascii="Arial" w:cs="Arial" w:eastAsia="Arial" w:hAnsi="Arial"/>
                <w:sz w:val="20"/>
                <w:szCs w:val="20"/>
                <w:color w:val="auto"/>
              </w:rPr>
              <w:t>Stockholders' Equity/Total Assets</w:t>
            </w:r>
          </w:p>
        </w:tc>
        <w:tc>
          <w:tcPr>
            <w:tcW w:w="1440" w:type="dxa"/>
            <w:vAlign w:val="bottom"/>
          </w:tcPr>
          <w:p>
            <w:pPr>
              <w:jc w:val="right"/>
              <w:ind w:right="20"/>
              <w:spacing w:after="0"/>
              <w:rPr>
                <w:sz w:val="20"/>
                <w:szCs w:val="20"/>
                <w:color w:val="auto"/>
              </w:rPr>
            </w:pPr>
            <w:r>
              <w:rPr>
                <w:rFonts w:ascii="Arial" w:cs="Arial" w:eastAsia="Arial" w:hAnsi="Arial"/>
                <w:sz w:val="20"/>
                <w:szCs w:val="20"/>
                <w:color w:val="auto"/>
              </w:rPr>
              <w:t>10.80%</w:t>
            </w:r>
          </w:p>
        </w:tc>
        <w:tc>
          <w:tcPr>
            <w:tcW w:w="940" w:type="dxa"/>
            <w:vAlign w:val="bottom"/>
          </w:tcPr>
          <w:p>
            <w:pPr>
              <w:jc w:val="right"/>
              <w:spacing w:after="0"/>
              <w:rPr>
                <w:sz w:val="20"/>
                <w:szCs w:val="20"/>
                <w:color w:val="auto"/>
              </w:rPr>
            </w:pPr>
            <w:r>
              <w:rPr>
                <w:rFonts w:ascii="Arial" w:cs="Arial" w:eastAsia="Arial" w:hAnsi="Arial"/>
                <w:sz w:val="20"/>
                <w:szCs w:val="20"/>
                <w:color w:val="auto"/>
              </w:rPr>
              <w:t>9.96%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-778510</wp:posOffset>
            </wp:positionV>
            <wp:extent cx="116903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extLst>
                    </a:blip>
                    <a:srcRect/>
                    <a:stretch>
                      <a:fillRect/>
                    </a:stretch>
                  </pic:blipFill>
                  <pic:spPr bwMode="auto">
                    <a:xfrm>
                      <a:off x="0" y="0"/>
                      <a:ext cx="1169035" cy="6350"/>
                    </a:xfrm>
                    <a:prstGeom prst="rect">
                      <a:avLst/>
                    </a:prstGeom>
                    <a:noFill/>
                  </pic:spPr>
                </pic:pic>
              </a:graphicData>
            </a:graphic>
          </wp:anchor>
        </w:drawing>
      </w:r>
    </w:p>
    <w:p>
      <w:pPr>
        <w:spacing w:after="0" w:line="35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20" w:type="dxa"/>
            <w:vAlign w:val="bottom"/>
            <w:gridSpan w:val="3"/>
          </w:tcPr>
          <w:p>
            <w:pPr>
              <w:jc w:val="right"/>
              <w:ind w:right="460"/>
              <w:spacing w:after="0"/>
              <w:rPr>
                <w:sz w:val="20"/>
                <w:szCs w:val="20"/>
                <w:color w:val="auto"/>
              </w:rPr>
            </w:pPr>
            <w:r>
              <w:rPr>
                <w:rFonts w:ascii="Arial" w:cs="Arial" w:eastAsia="Arial" w:hAnsi="Arial"/>
                <w:sz w:val="20"/>
                <w:szCs w:val="20"/>
                <w:b w:val="1"/>
                <w:bCs w:val="1"/>
                <w:color w:val="auto"/>
              </w:rPr>
              <w:t>ISSUER PURCHASES OF EQUITY SECURITIES</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4"/>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auto"/>
                <w:w w:val="92"/>
              </w:rPr>
              <w:t>Total Number</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auto"/>
                <w:w w:val="86"/>
              </w:rPr>
              <w:t>of Shares</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auto"/>
                <w:w w:val="85"/>
              </w:rPr>
              <w:t>Purchased as</w:t>
            </w:r>
          </w:p>
        </w:tc>
        <w:tc>
          <w:tcPr>
            <w:tcW w:w="1460" w:type="dxa"/>
            <w:vAlign w:val="bottom"/>
          </w:tcPr>
          <w:p>
            <w:pPr>
              <w:jc w:val="center"/>
              <w:spacing w:after="0"/>
              <w:rPr>
                <w:sz w:val="20"/>
                <w:szCs w:val="20"/>
                <w:color w:val="auto"/>
              </w:rPr>
            </w:pPr>
            <w:r>
              <w:rPr>
                <w:rFonts w:ascii="Arial" w:cs="Arial" w:eastAsia="Arial" w:hAnsi="Arial"/>
                <w:sz w:val="20"/>
                <w:szCs w:val="20"/>
                <w:color w:val="auto"/>
                <w:w w:val="89"/>
              </w:rPr>
              <w:t>Remaining</w:t>
            </w:r>
          </w:p>
        </w:tc>
        <w:tc>
          <w:tcPr>
            <w:tcW w:w="0" w:type="dxa"/>
            <w:vAlign w:val="bottom"/>
          </w:tcPr>
          <w:p>
            <w:pPr>
              <w:spacing w:after="0"/>
              <w:rPr>
                <w:sz w:val="1"/>
                <w:szCs w:val="1"/>
                <w:color w:val="auto"/>
              </w:rPr>
            </w:pPr>
          </w:p>
        </w:tc>
      </w:tr>
      <w:tr>
        <w:trPr>
          <w:trHeight w:val="300"/>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auto"/>
                <w:w w:val="92"/>
              </w:rPr>
              <w:t>Part of Publicly</w:t>
            </w:r>
          </w:p>
        </w:tc>
        <w:tc>
          <w:tcPr>
            <w:tcW w:w="1460" w:type="dxa"/>
            <w:vAlign w:val="bottom"/>
          </w:tcPr>
          <w:p>
            <w:pPr>
              <w:jc w:val="center"/>
              <w:spacing w:after="0"/>
              <w:rPr>
                <w:sz w:val="20"/>
                <w:szCs w:val="20"/>
                <w:color w:val="auto"/>
              </w:rPr>
            </w:pPr>
            <w:r>
              <w:rPr>
                <w:rFonts w:ascii="Arial" w:cs="Arial" w:eastAsia="Arial" w:hAnsi="Arial"/>
                <w:sz w:val="20"/>
                <w:szCs w:val="20"/>
                <w:color w:val="auto"/>
                <w:w w:val="86"/>
              </w:rPr>
              <w:t>Share</w:t>
            </w:r>
          </w:p>
        </w:tc>
        <w:tc>
          <w:tcPr>
            <w:tcW w:w="0" w:type="dxa"/>
            <w:vAlign w:val="bottom"/>
          </w:tcPr>
          <w:p>
            <w:pPr>
              <w:spacing w:after="0"/>
              <w:rPr>
                <w:sz w:val="1"/>
                <w:szCs w:val="1"/>
                <w:color w:val="auto"/>
              </w:rPr>
            </w:pPr>
          </w:p>
        </w:tc>
      </w:tr>
      <w:tr>
        <w:trPr>
          <w:trHeight w:val="300"/>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0" w:type="dxa"/>
            <w:vAlign w:val="bottom"/>
          </w:tcPr>
          <w:p>
            <w:pPr>
              <w:jc w:val="center"/>
              <w:ind w:left="664"/>
              <w:spacing w:after="0"/>
              <w:rPr>
                <w:sz w:val="20"/>
                <w:szCs w:val="20"/>
                <w:color w:val="auto"/>
              </w:rPr>
            </w:pPr>
            <w:r>
              <w:rPr>
                <w:rFonts w:ascii="Arial" w:cs="Arial" w:eastAsia="Arial" w:hAnsi="Arial"/>
                <w:sz w:val="20"/>
                <w:szCs w:val="20"/>
                <w:color w:val="auto"/>
                <w:w w:val="92"/>
              </w:rPr>
              <w:t>Total Number</w:t>
            </w:r>
          </w:p>
        </w:tc>
        <w:tc>
          <w:tcPr>
            <w:tcW w:w="13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auto"/>
                <w:w w:val="90"/>
              </w:rPr>
              <w:t>Announced</w:t>
            </w:r>
          </w:p>
        </w:tc>
        <w:tc>
          <w:tcPr>
            <w:tcW w:w="1460" w:type="dxa"/>
            <w:vAlign w:val="bottom"/>
          </w:tcPr>
          <w:p>
            <w:pPr>
              <w:jc w:val="center"/>
              <w:spacing w:after="0"/>
              <w:rPr>
                <w:sz w:val="20"/>
                <w:szCs w:val="20"/>
                <w:color w:val="auto"/>
              </w:rPr>
            </w:pPr>
            <w:r>
              <w:rPr>
                <w:rFonts w:ascii="Arial" w:cs="Arial" w:eastAsia="Arial" w:hAnsi="Arial"/>
                <w:sz w:val="20"/>
                <w:szCs w:val="20"/>
                <w:color w:val="auto"/>
                <w:w w:val="86"/>
              </w:rPr>
              <w:t>Repurchases</w:t>
            </w:r>
          </w:p>
        </w:tc>
        <w:tc>
          <w:tcPr>
            <w:tcW w:w="0" w:type="dxa"/>
            <w:vAlign w:val="bottom"/>
          </w:tcPr>
          <w:p>
            <w:pPr>
              <w:spacing w:after="0"/>
              <w:rPr>
                <w:sz w:val="1"/>
                <w:szCs w:val="1"/>
                <w:color w:val="auto"/>
              </w:rPr>
            </w:pPr>
          </w:p>
        </w:tc>
      </w:tr>
      <w:tr>
        <w:trPr>
          <w:trHeight w:val="300"/>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0" w:type="dxa"/>
            <w:vAlign w:val="bottom"/>
          </w:tcPr>
          <w:p>
            <w:pPr>
              <w:jc w:val="center"/>
              <w:ind w:left="644"/>
              <w:spacing w:after="0"/>
              <w:rPr>
                <w:sz w:val="20"/>
                <w:szCs w:val="20"/>
                <w:color w:val="auto"/>
              </w:rPr>
            </w:pPr>
            <w:r>
              <w:rPr>
                <w:rFonts w:ascii="Arial" w:cs="Arial" w:eastAsia="Arial" w:hAnsi="Arial"/>
                <w:sz w:val="20"/>
                <w:szCs w:val="20"/>
                <w:color w:val="auto"/>
                <w:w w:val="86"/>
              </w:rPr>
              <w:t>of Shares</w:t>
            </w:r>
          </w:p>
        </w:tc>
        <w:tc>
          <w:tcPr>
            <w:tcW w:w="1360" w:type="dxa"/>
            <w:vAlign w:val="bottom"/>
          </w:tcPr>
          <w:p>
            <w:pPr>
              <w:jc w:val="right"/>
              <w:ind w:right="100"/>
              <w:spacing w:after="0"/>
              <w:rPr>
                <w:sz w:val="20"/>
                <w:szCs w:val="20"/>
                <w:color w:val="auto"/>
              </w:rPr>
            </w:pPr>
            <w:r>
              <w:rPr>
                <w:rFonts w:ascii="Arial" w:cs="Arial" w:eastAsia="Arial" w:hAnsi="Arial"/>
                <w:sz w:val="20"/>
                <w:szCs w:val="20"/>
                <w:color w:val="auto"/>
                <w:w w:val="90"/>
              </w:rPr>
              <w:t>Average Price</w:t>
            </w:r>
          </w:p>
        </w:tc>
        <w:tc>
          <w:tcPr>
            <w:tcW w:w="1560" w:type="dxa"/>
            <w:vAlign w:val="bottom"/>
          </w:tcPr>
          <w:p>
            <w:pPr>
              <w:jc w:val="center"/>
              <w:spacing w:after="0"/>
              <w:rPr>
                <w:sz w:val="20"/>
                <w:szCs w:val="20"/>
                <w:color w:val="auto"/>
              </w:rPr>
            </w:pPr>
            <w:r>
              <w:rPr>
                <w:rFonts w:ascii="Arial" w:cs="Arial" w:eastAsia="Arial" w:hAnsi="Arial"/>
                <w:sz w:val="20"/>
                <w:szCs w:val="20"/>
                <w:color w:val="auto"/>
                <w:w w:val="91"/>
              </w:rPr>
              <w:t>Plan or</w:t>
            </w:r>
          </w:p>
        </w:tc>
        <w:tc>
          <w:tcPr>
            <w:tcW w:w="1460" w:type="dxa"/>
            <w:vAlign w:val="bottom"/>
          </w:tcPr>
          <w:p>
            <w:pPr>
              <w:jc w:val="center"/>
              <w:spacing w:after="0"/>
              <w:rPr>
                <w:sz w:val="20"/>
                <w:szCs w:val="20"/>
                <w:color w:val="auto"/>
              </w:rPr>
            </w:pPr>
            <w:r>
              <w:rPr>
                <w:rFonts w:ascii="Arial" w:cs="Arial" w:eastAsia="Arial" w:hAnsi="Arial"/>
                <w:sz w:val="20"/>
                <w:szCs w:val="20"/>
                <w:color w:val="auto"/>
                <w:w w:val="94"/>
              </w:rPr>
              <w:t>Authorization</w:t>
            </w:r>
          </w:p>
        </w:tc>
        <w:tc>
          <w:tcPr>
            <w:tcW w:w="0" w:type="dxa"/>
            <w:vAlign w:val="bottom"/>
          </w:tcPr>
          <w:p>
            <w:pPr>
              <w:spacing w:after="0"/>
              <w:rPr>
                <w:sz w:val="1"/>
                <w:szCs w:val="1"/>
                <w:color w:val="auto"/>
              </w:rPr>
            </w:pPr>
          </w:p>
        </w:tc>
      </w:tr>
      <w:tr>
        <w:trPr>
          <w:trHeight w:val="192"/>
        </w:trPr>
        <w:tc>
          <w:tcPr>
            <w:tcW w:w="1480" w:type="dxa"/>
            <w:vAlign w:val="bottom"/>
            <w:gridSpan w:val="2"/>
            <w:vMerge w:val="restart"/>
          </w:tcPr>
          <w:p>
            <w:pPr>
              <w:spacing w:after="0"/>
              <w:rPr>
                <w:sz w:val="20"/>
                <w:szCs w:val="20"/>
                <w:color w:val="auto"/>
              </w:rPr>
            </w:pPr>
            <w:r>
              <w:rPr>
                <w:rFonts w:ascii="Arial" w:cs="Arial" w:eastAsia="Arial" w:hAnsi="Arial"/>
                <w:sz w:val="20"/>
                <w:szCs w:val="20"/>
                <w:color w:val="auto"/>
              </w:rPr>
              <w:t>Period</w:t>
            </w:r>
          </w:p>
        </w:tc>
        <w:tc>
          <w:tcPr>
            <w:tcW w:w="2600" w:type="dxa"/>
            <w:vAlign w:val="bottom"/>
            <w:vMerge w:val="restart"/>
          </w:tcPr>
          <w:p>
            <w:pPr>
              <w:jc w:val="center"/>
              <w:ind w:left="704"/>
              <w:spacing w:after="0"/>
              <w:rPr>
                <w:sz w:val="20"/>
                <w:szCs w:val="20"/>
                <w:color w:val="auto"/>
              </w:rPr>
            </w:pPr>
            <w:r>
              <w:rPr>
                <w:rFonts w:ascii="Arial" w:cs="Arial" w:eastAsia="Arial" w:hAnsi="Arial"/>
                <w:sz w:val="20"/>
                <w:szCs w:val="20"/>
                <w:color w:val="auto"/>
                <w:w w:val="87"/>
              </w:rPr>
              <w:t>Purchased</w:t>
            </w:r>
          </w:p>
        </w:tc>
        <w:tc>
          <w:tcPr>
            <w:tcW w:w="1360" w:type="dxa"/>
            <w:vAlign w:val="bottom"/>
            <w:vMerge w:val="restart"/>
          </w:tcPr>
          <w:p>
            <w:pPr>
              <w:jc w:val="right"/>
              <w:ind w:right="60"/>
              <w:spacing w:after="0"/>
              <w:rPr>
                <w:sz w:val="20"/>
                <w:szCs w:val="20"/>
                <w:color w:val="auto"/>
              </w:rPr>
            </w:pPr>
            <w:r>
              <w:rPr>
                <w:rFonts w:ascii="Arial" w:cs="Arial" w:eastAsia="Arial" w:hAnsi="Arial"/>
                <w:sz w:val="20"/>
                <w:szCs w:val="20"/>
                <w:color w:val="auto"/>
                <w:w w:val="88"/>
              </w:rPr>
              <w:t>Paid per Share</w:t>
            </w:r>
          </w:p>
        </w:tc>
        <w:tc>
          <w:tcPr>
            <w:tcW w:w="1560" w:type="dxa"/>
            <w:vAlign w:val="bottom"/>
            <w:vMerge w:val="restart"/>
          </w:tcPr>
          <w:p>
            <w:pPr>
              <w:jc w:val="center"/>
              <w:spacing w:after="0"/>
              <w:rPr>
                <w:sz w:val="20"/>
                <w:szCs w:val="20"/>
                <w:color w:val="auto"/>
              </w:rPr>
            </w:pPr>
            <w:r>
              <w:rPr>
                <w:rFonts w:ascii="Arial" w:cs="Arial" w:eastAsia="Arial" w:hAnsi="Arial"/>
                <w:sz w:val="20"/>
                <w:szCs w:val="20"/>
                <w:color w:val="auto"/>
                <w:w w:val="89"/>
              </w:rPr>
              <w:t>Programs</w:t>
            </w:r>
          </w:p>
        </w:tc>
        <w:tc>
          <w:tcPr>
            <w:tcW w:w="1460" w:type="dxa"/>
            <w:vAlign w:val="bottom"/>
          </w:tcPr>
          <w:p>
            <w:pPr>
              <w:jc w:val="center"/>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98"/>
        </w:trPr>
        <w:tc>
          <w:tcPr>
            <w:tcW w:w="1480" w:type="dxa"/>
            <w:vAlign w:val="bottom"/>
            <w:gridSpan w:val="2"/>
            <w:vMerge w:val="continue"/>
          </w:tcPr>
          <w:p>
            <w:pPr>
              <w:spacing w:after="0"/>
              <w:rPr>
                <w:sz w:val="8"/>
                <w:szCs w:val="8"/>
                <w:color w:val="auto"/>
              </w:rPr>
            </w:pPr>
          </w:p>
        </w:tc>
        <w:tc>
          <w:tcPr>
            <w:tcW w:w="260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520" w:type="dxa"/>
            <w:vAlign w:val="bottom"/>
            <w:tcBorders>
              <w:top w:val="single" w:sz="8" w:color="auto"/>
            </w:tcBorders>
          </w:tcPr>
          <w:p>
            <w:pPr>
              <w:spacing w:after="0"/>
              <w:rPr>
                <w:sz w:val="3"/>
                <w:szCs w:val="3"/>
                <w:color w:val="auto"/>
              </w:rPr>
            </w:pPr>
          </w:p>
        </w:tc>
        <w:tc>
          <w:tcPr>
            <w:tcW w:w="9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1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10/1/2025</w:t>
            </w:r>
          </w:p>
        </w:tc>
        <w:tc>
          <w:tcPr>
            <w:tcW w:w="26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480" w:type="dxa"/>
            <w:vAlign w:val="bottom"/>
            <w:gridSpan w:val="2"/>
          </w:tcPr>
          <w:p>
            <w:pPr>
              <w:spacing w:after="0"/>
              <w:rPr>
                <w:sz w:val="20"/>
                <w:szCs w:val="20"/>
                <w:color w:val="auto"/>
              </w:rPr>
            </w:pPr>
            <w:r>
              <w:rPr>
                <w:rFonts w:ascii="Arial" w:cs="Arial" w:eastAsia="Arial" w:hAnsi="Arial"/>
                <w:sz w:val="20"/>
                <w:szCs w:val="20"/>
                <w:color w:val="auto"/>
              </w:rPr>
              <w:t>to</w:t>
            </w:r>
          </w:p>
        </w:tc>
        <w:tc>
          <w:tcPr>
            <w:tcW w:w="2600" w:type="dxa"/>
            <w:vAlign w:val="bottom"/>
          </w:tcPr>
          <w:p>
            <w:pPr>
              <w:jc w:val="right"/>
              <w:ind w:right="184"/>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650,000</w:t>
            </w:r>
          </w:p>
        </w:tc>
        <w:tc>
          <w:tcPr>
            <w:tcW w:w="0" w:type="dxa"/>
            <w:vAlign w:val="bottom"/>
          </w:tcPr>
          <w:p>
            <w:pPr>
              <w:spacing w:after="0"/>
              <w:rPr>
                <w:sz w:val="1"/>
                <w:szCs w:val="1"/>
                <w:color w:val="auto"/>
              </w:rPr>
            </w:pPr>
          </w:p>
        </w:tc>
      </w:tr>
      <w:tr>
        <w:trPr>
          <w:trHeight w:val="41"/>
        </w:trPr>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1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10/31/2025</w:t>
            </w:r>
          </w:p>
        </w:tc>
        <w:tc>
          <w:tcPr>
            <w:tcW w:w="26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11/1/2025</w:t>
            </w:r>
          </w:p>
        </w:tc>
        <w:tc>
          <w:tcPr>
            <w:tcW w:w="26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480" w:type="dxa"/>
            <w:vAlign w:val="bottom"/>
            <w:gridSpan w:val="2"/>
          </w:tcPr>
          <w:p>
            <w:pPr>
              <w:spacing w:after="0"/>
              <w:rPr>
                <w:sz w:val="20"/>
                <w:szCs w:val="20"/>
                <w:color w:val="auto"/>
              </w:rPr>
            </w:pPr>
            <w:r>
              <w:rPr>
                <w:rFonts w:ascii="Arial" w:cs="Arial" w:eastAsia="Arial" w:hAnsi="Arial"/>
                <w:sz w:val="20"/>
                <w:szCs w:val="20"/>
                <w:color w:val="auto"/>
              </w:rPr>
              <w:t>to</w:t>
            </w:r>
          </w:p>
        </w:tc>
        <w:tc>
          <w:tcPr>
            <w:tcW w:w="2600" w:type="dxa"/>
            <w:vAlign w:val="bottom"/>
          </w:tcPr>
          <w:p>
            <w:pPr>
              <w:jc w:val="right"/>
              <w:ind w:right="184"/>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650,000</w:t>
            </w:r>
          </w:p>
        </w:tc>
        <w:tc>
          <w:tcPr>
            <w:tcW w:w="0" w:type="dxa"/>
            <w:vAlign w:val="bottom"/>
          </w:tcPr>
          <w:p>
            <w:pPr>
              <w:spacing w:after="0"/>
              <w:rPr>
                <w:sz w:val="1"/>
                <w:szCs w:val="1"/>
                <w:color w:val="auto"/>
              </w:rPr>
            </w:pPr>
          </w:p>
        </w:tc>
      </w:tr>
      <w:tr>
        <w:trPr>
          <w:trHeight w:val="41"/>
        </w:trPr>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1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11/30/2025</w:t>
            </w:r>
          </w:p>
        </w:tc>
        <w:tc>
          <w:tcPr>
            <w:tcW w:w="26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12/1/2025</w:t>
            </w:r>
          </w:p>
        </w:tc>
        <w:tc>
          <w:tcPr>
            <w:tcW w:w="26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480" w:type="dxa"/>
            <w:vAlign w:val="bottom"/>
            <w:gridSpan w:val="2"/>
          </w:tcPr>
          <w:p>
            <w:pPr>
              <w:spacing w:after="0"/>
              <w:rPr>
                <w:sz w:val="20"/>
                <w:szCs w:val="20"/>
                <w:color w:val="auto"/>
              </w:rPr>
            </w:pPr>
            <w:r>
              <w:rPr>
                <w:rFonts w:ascii="Arial" w:cs="Arial" w:eastAsia="Arial" w:hAnsi="Arial"/>
                <w:sz w:val="20"/>
                <w:szCs w:val="20"/>
                <w:color w:val="auto"/>
              </w:rPr>
              <w:t>to</w:t>
            </w:r>
          </w:p>
        </w:tc>
        <w:tc>
          <w:tcPr>
            <w:tcW w:w="2600" w:type="dxa"/>
            <w:vAlign w:val="bottom"/>
          </w:tcPr>
          <w:p>
            <w:pPr>
              <w:jc w:val="right"/>
              <w:spacing w:after="0" w:line="314" w:lineRule="exact"/>
              <w:rPr>
                <w:sz w:val="20"/>
                <w:szCs w:val="20"/>
                <w:color w:val="auto"/>
              </w:rPr>
            </w:pPr>
            <w:r>
              <w:rPr>
                <w:rFonts w:ascii="Arial" w:cs="Arial" w:eastAsia="Arial" w:hAnsi="Arial"/>
                <w:sz w:val="36"/>
                <w:szCs w:val="36"/>
                <w:color w:val="auto"/>
                <w:vertAlign w:val="subscript"/>
              </w:rPr>
              <w:t>63</w:t>
            </w:r>
            <w:r>
              <w:rPr>
                <w:rFonts w:ascii="Arial" w:cs="Arial" w:eastAsia="Arial" w:hAnsi="Arial"/>
                <w:sz w:val="13"/>
                <w:szCs w:val="13"/>
                <w:color w:val="auto"/>
              </w:rPr>
              <w:t xml:space="preserve"> (2)</w:t>
            </w:r>
          </w:p>
        </w:tc>
        <w:tc>
          <w:tcPr>
            <w:tcW w:w="1360" w:type="dxa"/>
            <w:vAlign w:val="bottom"/>
          </w:tcPr>
          <w:p>
            <w:pPr>
              <w:jc w:val="right"/>
              <w:ind w:right="20"/>
              <w:spacing w:after="0"/>
              <w:rPr>
                <w:sz w:val="20"/>
                <w:szCs w:val="20"/>
                <w:color w:val="auto"/>
              </w:rPr>
            </w:pPr>
            <w:r>
              <w:rPr>
                <w:rFonts w:ascii="Arial" w:cs="Arial" w:eastAsia="Arial" w:hAnsi="Arial"/>
                <w:sz w:val="20"/>
                <w:szCs w:val="20"/>
                <w:color w:val="auto"/>
              </w:rPr>
              <w:t>26.74</w:t>
            </w:r>
          </w:p>
        </w:tc>
        <w:tc>
          <w:tcPr>
            <w:tcW w:w="15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650,000</w:t>
            </w:r>
          </w:p>
        </w:tc>
        <w:tc>
          <w:tcPr>
            <w:tcW w:w="0" w:type="dxa"/>
            <w:vAlign w:val="bottom"/>
          </w:tcPr>
          <w:p>
            <w:pPr>
              <w:spacing w:after="0"/>
              <w:rPr>
                <w:sz w:val="1"/>
                <w:szCs w:val="1"/>
                <w:color w:val="auto"/>
              </w:rPr>
            </w:pPr>
          </w:p>
        </w:tc>
      </w:tr>
      <w:tr>
        <w:trPr>
          <w:trHeight w:val="304"/>
        </w:trPr>
        <w:tc>
          <w:tcPr>
            <w:tcW w:w="1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12/31/2025</w:t>
            </w:r>
          </w:p>
        </w:tc>
        <w:tc>
          <w:tcPr>
            <w:tcW w:w="26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480" w:type="dxa"/>
            <w:vAlign w:val="bottom"/>
            <w:gridSpan w:val="2"/>
          </w:tcPr>
          <w:p>
            <w:pPr>
              <w:spacing w:after="0"/>
              <w:rPr>
                <w:sz w:val="20"/>
                <w:szCs w:val="20"/>
                <w:color w:val="auto"/>
              </w:rPr>
            </w:pPr>
            <w:r>
              <w:rPr>
                <w:rFonts w:ascii="Arial" w:cs="Arial" w:eastAsia="Arial" w:hAnsi="Arial"/>
                <w:sz w:val="20"/>
                <w:szCs w:val="20"/>
                <w:color w:val="auto"/>
              </w:rPr>
              <w:t>Total</w:t>
            </w:r>
          </w:p>
        </w:tc>
        <w:tc>
          <w:tcPr>
            <w:tcW w:w="2600" w:type="dxa"/>
            <w:vAlign w:val="bottom"/>
          </w:tcPr>
          <w:p>
            <w:pPr>
              <w:jc w:val="right"/>
              <w:ind w:right="184"/>
              <w:spacing w:after="0"/>
              <w:rPr>
                <w:sz w:val="20"/>
                <w:szCs w:val="20"/>
                <w:color w:val="auto"/>
              </w:rPr>
            </w:pPr>
            <w:r>
              <w:rPr>
                <w:rFonts w:ascii="Arial" w:cs="Arial" w:eastAsia="Arial" w:hAnsi="Arial"/>
                <w:sz w:val="20"/>
                <w:szCs w:val="20"/>
                <w:color w:val="auto"/>
              </w:rPr>
              <w:t>63</w:t>
            </w:r>
          </w:p>
        </w:tc>
        <w:tc>
          <w:tcPr>
            <w:tcW w:w="1360" w:type="dxa"/>
            <w:vAlign w:val="bottom"/>
          </w:tcPr>
          <w:p>
            <w:pPr>
              <w:jc w:val="right"/>
              <w:ind w:right="20"/>
              <w:spacing w:after="0"/>
              <w:rPr>
                <w:sz w:val="20"/>
                <w:szCs w:val="20"/>
                <w:color w:val="auto"/>
              </w:rPr>
            </w:pPr>
            <w:r>
              <w:rPr>
                <w:rFonts w:ascii="Arial" w:cs="Arial" w:eastAsia="Arial" w:hAnsi="Arial"/>
                <w:sz w:val="20"/>
                <w:szCs w:val="20"/>
                <w:color w:val="auto"/>
              </w:rPr>
              <w:t>26.74</w:t>
            </w:r>
          </w:p>
        </w:tc>
        <w:tc>
          <w:tcPr>
            <w:tcW w:w="15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650,000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-2381885</wp:posOffset>
            </wp:positionV>
            <wp:extent cx="370014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extLst>
                        <a:ext uri="{28A0092B-C50C-407E-A947-70E740481C1C}"/>
                      </a:extLst>
                    </a:blip>
                    <a:srcRect/>
                    <a:stretch>
                      <a:fillRect/>
                    </a:stretch>
                  </pic:blipFill>
                  <pic:spPr bwMode="auto">
                    <a:xfrm>
                      <a:off x="0" y="0"/>
                      <a:ext cx="3700145" cy="63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-179705</wp:posOffset>
            </wp:positionV>
            <wp:extent cx="375348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extLst>
                        <a:ext uri="{28A0092B-C50C-407E-A947-70E740481C1C}"/>
                      </a:extLst>
                    </a:blip>
                    <a:srcRect/>
                    <a:stretch>
                      <a:fillRect/>
                    </a:stretch>
                  </pic:blipFill>
                  <pic:spPr bwMode="auto">
                    <a:xfrm>
                      <a:off x="0" y="0"/>
                      <a:ext cx="3753485" cy="63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26035</wp:posOffset>
            </wp:positionV>
            <wp:extent cx="370014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extLst>
                    </a:blip>
                    <a:srcRect/>
                    <a:stretch>
                      <a:fillRect/>
                    </a:stretch>
                  </pic:blipFill>
                  <pic:spPr bwMode="auto">
                    <a:xfrm>
                      <a:off x="0" y="0"/>
                      <a:ext cx="3700145" cy="635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24" w:lineRule="exact"/>
        <w:rPr>
          <w:sz w:val="20"/>
          <w:szCs w:val="20"/>
          <w:color w:val="auto"/>
        </w:rPr>
      </w:pPr>
    </w:p>
    <w:p>
      <w:pPr>
        <w:jc w:val="both"/>
        <w:ind w:left="420" w:right="40"/>
        <w:spacing w:after="0" w:line="350" w:lineRule="auto"/>
        <w:rPr>
          <w:sz w:val="20"/>
          <w:szCs w:val="20"/>
          <w:color w:val="auto"/>
        </w:rPr>
      </w:pPr>
      <w:r>
        <w:rPr>
          <w:rFonts w:ascii="Arial" w:cs="Arial" w:eastAsia="Arial" w:hAnsi="Arial"/>
          <w:sz w:val="19"/>
          <w:szCs w:val="19"/>
          <w:color w:val="auto"/>
        </w:rPr>
        <w:t>From time to time, the Company purchases shares in the market pursuant to a stock repurchase program publicly announced on January 28, 2025. On that date, the Board of Directors authorized the repurchase of up to 650,000 common shares between January 28, 2025 and December 31, 2025.</w:t>
      </w:r>
    </w:p>
    <w:p>
      <w:pPr>
        <w:spacing w:after="0" w:line="232" w:lineRule="auto"/>
        <w:rPr>
          <w:sz w:val="20"/>
          <w:szCs w:val="20"/>
          <w:color w:val="auto"/>
        </w:rPr>
      </w:pPr>
      <w:r>
        <w:rPr>
          <w:rFonts w:ascii="Arial" w:cs="Arial" w:eastAsia="Arial" w:hAnsi="Arial"/>
          <w:sz w:val="9"/>
          <w:szCs w:val="9"/>
          <w:color w:val="auto"/>
        </w:rPr>
        <w:t>(2)</w:t>
      </w:r>
    </w:p>
    <w:p>
      <w:pPr>
        <w:spacing w:after="0" w:line="24" w:lineRule="exact"/>
        <w:rPr>
          <w:sz w:val="20"/>
          <w:szCs w:val="20"/>
          <w:color w:val="auto"/>
        </w:rPr>
      </w:pPr>
    </w:p>
    <w:p>
      <w:pPr>
        <w:ind w:left="420"/>
        <w:spacing w:after="0" w:line="365" w:lineRule="auto"/>
        <w:rPr>
          <w:sz w:val="20"/>
          <w:szCs w:val="20"/>
          <w:color w:val="auto"/>
        </w:rPr>
      </w:pPr>
      <w:r>
        <w:rPr>
          <w:rFonts w:ascii="Arial" w:cs="Arial" w:eastAsia="Arial" w:hAnsi="Arial"/>
          <w:sz w:val="20"/>
          <w:szCs w:val="20"/>
          <w:color w:val="auto"/>
        </w:rPr>
        <w:t>Shares which are returned to account for tax payable on vested stock awards are outside of the Company's stock repurchase program.</w:t>
      </w:r>
    </w:p>
    <w:p>
      <w:pPr>
        <w:spacing w:after="0" w:line="160" w:lineRule="exact"/>
        <w:rPr>
          <w:sz w:val="20"/>
          <w:szCs w:val="20"/>
          <w:color w:val="auto"/>
        </w:rPr>
      </w:pPr>
    </w:p>
    <w:p>
      <w:pPr>
        <w:jc w:val="both"/>
        <w:ind w:right="80"/>
        <w:spacing w:after="0" w:line="330" w:lineRule="auto"/>
        <w:rPr>
          <w:sz w:val="20"/>
          <w:szCs w:val="20"/>
          <w:color w:val="auto"/>
        </w:rPr>
      </w:pPr>
      <w:r>
        <w:rPr>
          <w:rFonts w:ascii="Arial" w:cs="Arial" w:eastAsia="Arial" w:hAnsi="Arial"/>
          <w:sz w:val="19"/>
          <w:szCs w:val="19"/>
          <w:color w:val="auto"/>
        </w:rPr>
        <w:t>On January 27, 2026, the Company announced the authorization by its Board of Directors for the Company’s repurchase, either on the open market, or in privately negotiated transactions, of up to 650,000 shares of its outstanding common stock commencing January 27, 2026 and ending December 31, 2026.</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6. RESERVED</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 / 63</w:t>
      </w:r>
    </w:p>
    <w:p>
      <w:pPr>
        <w:sectPr>
          <w:pgSz w:w="11900" w:h="16838" w:orient="portrait"/>
          <w:cols w:equalWidth="0" w:num="1">
            <w:col w:w="9380"/>
          </w:cols>
          <w:pgMar w:left="1260" w:top="1440" w:right="1266" w:bottom="0" w:gutter="0" w:footer="0" w:header="0"/>
          <w:type w:val="continuous"/>
        </w:sectPr>
      </w:pPr>
    </w:p>
    <w:bookmarkStart w:id="49" w:name="page50"/>
    <w:bookmarkEnd w:id="49"/>
    <w:p>
      <w:pPr>
        <w:ind w:right="840"/>
        <w:spacing w:after="0" w:line="302" w:lineRule="auto"/>
        <w:rPr>
          <w:sz w:val="20"/>
          <w:szCs w:val="20"/>
          <w:color w:val="auto"/>
        </w:rPr>
      </w:pPr>
      <w:r>
        <w:rPr>
          <w:rFonts w:ascii="Arial" w:cs="Arial" w:eastAsia="Arial" w:hAnsi="Arial"/>
          <w:sz w:val="20"/>
          <w:szCs w:val="20"/>
          <w:b w:val="1"/>
          <w:bCs w:val="1"/>
          <w:u w:val="single" w:color="auto"/>
          <w:color w:val="auto"/>
        </w:rPr>
        <w:t>ITEM 7.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Reclassification</w:t>
      </w:r>
    </w:p>
    <w:p>
      <w:pPr>
        <w:spacing w:after="0" w:line="200"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Certain 2024 and 2023 amounts within the loans disclosure (Note 4) and the loan section of Management's Discussion and Analysis have been reclassified to conform with current year presentation to provide additional information to the reader. The reclassifications had no effect on income.</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00"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 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50 / 63</w:t>
      </w:r>
    </w:p>
    <w:p>
      <w:pPr>
        <w:sectPr>
          <w:pgSz w:w="11900" w:h="16838" w:orient="portrait"/>
          <w:cols w:equalWidth="0" w:num="1">
            <w:col w:w="9340"/>
          </w:cols>
          <w:pgMar w:left="1260" w:top="1173" w:right="1306" w:bottom="0" w:gutter="0" w:footer="0" w:header="0"/>
          <w:type w:val="continuous"/>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40"/>
        <w:spacing w:after="0" w:line="309" w:lineRule="auto"/>
        <w:rPr>
          <w:sz w:val="20"/>
          <w:szCs w:val="20"/>
          <w:color w:val="auto"/>
        </w:rPr>
      </w:pPr>
      <w:r>
        <w:rPr>
          <w:rFonts w:ascii="Arial" w:cs="Arial" w:eastAsia="Arial" w:hAnsi="Arial"/>
          <w:sz w:val="20"/>
          <w:szCs w:val="20"/>
          <w:color w:val="auto"/>
        </w:rPr>
        <w:t>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w:t>
      </w:r>
    </w:p>
    <w:p>
      <w:pPr>
        <w:spacing w:after="0" w:line="256"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All significant accounting policies followed by the Company are presented in Note 1 to the consolidated financial statements. These policies, along with the disclosures presented in the notes to the consolidated financial statements and in the management's discussion and analysis of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Allowance for Credit Losses (ACL) as the accounting area that requires the most subjective or complex judgments, and as such could be the most subject to revision as new information becomes available.</w:t>
      </w:r>
    </w:p>
    <w:p>
      <w:pPr>
        <w:spacing w:after="0" w:line="244"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The total allowance for credit losses represents management's estimate of credit losses inherent in the Bank's loan portfolio and unfunded loan commitments at the report date. The estimate is a composite of a variety of factors including experience, collateral value, and the general economy. The collection and ultimate recovery of the book value of the collateral, in most cases, is beyond our control.</w:t>
      </w:r>
    </w:p>
    <w:p>
      <w:pPr>
        <w:spacing w:after="0" w:line="256"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color w:val="auto"/>
        </w:rPr>
        <w:t>For more information regarding the estimate and calculation used to establish the ACL, please see Note 1 to the consolidated financial statements provided herewith.</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 / 63</w:t>
      </w:r>
    </w:p>
    <w:p>
      <w:pPr>
        <w:sectPr>
          <w:pgSz w:w="11900" w:h="16838" w:orient="portrait"/>
          <w:cols w:equalWidth="0" w:num="1">
            <w:col w:w="9380"/>
          </w:cols>
          <w:pgMar w:left="1260" w:top="1440" w:right="1266" w:bottom="0"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in Review</w:t>
      </w:r>
    </w:p>
    <w:p>
      <w:pPr>
        <w:spacing w:after="0" w:line="200" w:lineRule="exact"/>
        <w:rPr>
          <w:sz w:val="20"/>
          <w:szCs w:val="20"/>
          <w:color w:val="auto"/>
        </w:rPr>
      </w:pPr>
    </w:p>
    <w:p>
      <w:pPr>
        <w:jc w:val="both"/>
        <w:ind w:right="40"/>
        <w:spacing w:after="0" w:line="351" w:lineRule="auto"/>
        <w:rPr>
          <w:sz w:val="20"/>
          <w:szCs w:val="20"/>
          <w:color w:val="auto"/>
        </w:rPr>
      </w:pPr>
      <w:r>
        <w:rPr>
          <w:rFonts w:ascii="Arial" w:cs="Arial" w:eastAsia="Arial" w:hAnsi="Arial"/>
          <w:sz w:val="18"/>
          <w:szCs w:val="18"/>
          <w:color w:val="242424"/>
        </w:rPr>
        <w:t>The focus for 2025 was to improve profitability through the control of loan growth and improvement in the customer gathering of core deposits to fund loans. Cost control, balance sheet management and overall revenue enhancement were included. The Bank strove to reduce dependency on high-cost deposits and expand our contingent liability funding options. As the numbers show, we have been successful in all these areas and begin 2026 with a continuing focus on strong core deposit growth, moderate loan growth and controlling costs.</w:t>
      </w:r>
    </w:p>
    <w:p>
      <w:pPr>
        <w:spacing w:after="0" w:line="226" w:lineRule="exact"/>
        <w:rPr>
          <w:sz w:val="20"/>
          <w:szCs w:val="20"/>
          <w:color w:val="auto"/>
        </w:rPr>
      </w:pPr>
    </w:p>
    <w:p>
      <w:pPr>
        <w:spacing w:after="0" w:line="329" w:lineRule="auto"/>
        <w:rPr>
          <w:sz w:val="20"/>
          <w:szCs w:val="20"/>
          <w:color w:val="auto"/>
        </w:rPr>
      </w:pPr>
      <w:r>
        <w:rPr>
          <w:rFonts w:ascii="Arial" w:cs="Arial" w:eastAsia="Arial" w:hAnsi="Arial"/>
          <w:sz w:val="19"/>
          <w:szCs w:val="19"/>
          <w:color w:val="242424"/>
        </w:rPr>
        <w:t>The largest contributor to better profitability was the increase in the net interest margin from 2.72% to 3.28%, a 56-basis point increase and net interest spread increasing 60 basis points in comparing year-end 2024 to year-end 2025. Loan growth at just under 6%, was funded by a decreased cash position by 44.6%, a 1.6% increase in deposits and a slight 1.3% decrease in investments. Most importantly, both sides of the balance sheet showed improved profitability. The asset yield improved from 5.17% for 2024 to 5.45% for 2025, a nice 28 basis point increase in a declining interest rate environment. The cost of interest-bearing liabilities decreased by 32 basis points for the year, 2024 at 3.12% and 2025 at 2.80%, respectively. In terms of dollars, net interest income increased $18.4 million year over year, easily surpassing the $4.5 million gain in 2024 over 2023.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credit losses related to loans increased by $1.65 million, predominately resultant from loan growth</w:t>
      </w:r>
    </w:p>
    <w:p>
      <w:pPr>
        <w:spacing w:after="0" w:line="83" w:lineRule="exact"/>
        <w:rPr>
          <w:sz w:val="20"/>
          <w:szCs w:val="20"/>
          <w:color w:val="auto"/>
        </w:rPr>
      </w:pPr>
    </w:p>
    <w:p>
      <w:pPr>
        <w:spacing w:after="0"/>
        <w:tabs>
          <w:tab w:leader="none" w:pos="1000" w:val="left"/>
          <w:tab w:leader="none" w:pos="1840" w:val="left"/>
          <w:tab w:leader="none" w:pos="2620" w:val="left"/>
          <w:tab w:leader="none" w:pos="3760" w:val="left"/>
          <w:tab w:leader="none" w:pos="4980" w:val="left"/>
          <w:tab w:leader="none" w:pos="6080" w:val="left"/>
          <w:tab w:leader="none" w:pos="7340" w:val="left"/>
        </w:tabs>
        <w:rPr>
          <w:sz w:val="20"/>
          <w:szCs w:val="20"/>
          <w:color w:val="auto"/>
        </w:rPr>
      </w:pPr>
      <w:r>
        <w:rPr>
          <w:rFonts w:ascii="Arial" w:cs="Arial" w:eastAsia="Arial" w:hAnsi="Arial"/>
          <w:sz w:val="20"/>
          <w:szCs w:val="20"/>
          <w:color w:val="auto"/>
        </w:rPr>
        <w:t>and,</w:t>
      </w:r>
      <w:r>
        <w:rPr>
          <w:sz w:val="20"/>
          <w:szCs w:val="20"/>
          <w:color w:val="auto"/>
        </w:rPr>
        <w:tab/>
      </w: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lesser</w:t>
      </w:r>
      <w:r>
        <w:rPr>
          <w:sz w:val="20"/>
          <w:szCs w:val="20"/>
          <w:color w:val="auto"/>
        </w:rPr>
        <w:tab/>
      </w:r>
      <w:r>
        <w:rPr>
          <w:rFonts w:ascii="Arial" w:cs="Arial" w:eastAsia="Arial" w:hAnsi="Arial"/>
          <w:sz w:val="20"/>
          <w:szCs w:val="20"/>
          <w:color w:val="auto"/>
        </w:rPr>
        <w:t>extent,</w:t>
      </w:r>
      <w:r>
        <w:rPr>
          <w:sz w:val="20"/>
          <w:szCs w:val="20"/>
          <w:color w:val="auto"/>
        </w:rPr>
        <w:tab/>
      </w:r>
      <w:r>
        <w:rPr>
          <w:rFonts w:ascii="Arial" w:cs="Arial" w:eastAsia="Arial" w:hAnsi="Arial"/>
          <w:sz w:val="20"/>
          <w:szCs w:val="20"/>
          <w:color w:val="auto"/>
        </w:rPr>
        <w:t>some</w:t>
      </w:r>
      <w:r>
        <w:rPr>
          <w:sz w:val="20"/>
          <w:szCs w:val="20"/>
          <w:color w:val="auto"/>
        </w:rPr>
        <w:tab/>
      </w:r>
      <w:r>
        <w:rPr>
          <w:rFonts w:ascii="Arial" w:cs="Arial" w:eastAsia="Arial" w:hAnsi="Arial"/>
          <w:sz w:val="20"/>
          <w:szCs w:val="20"/>
          <w:color w:val="auto"/>
        </w:rPr>
        <w:t>weaker</w:t>
      </w:r>
      <w:r>
        <w:rPr>
          <w:sz w:val="20"/>
          <w:szCs w:val="20"/>
          <w:color w:val="auto"/>
        </w:rPr>
        <w:tab/>
      </w:r>
      <w:r>
        <w:rPr>
          <w:rFonts w:ascii="Arial" w:cs="Arial" w:eastAsia="Arial" w:hAnsi="Arial"/>
          <w:sz w:val="18"/>
          <w:szCs w:val="18"/>
          <w:color w:val="auto"/>
        </w:rPr>
        <w:t>macro-economic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data</w:t>
      </w:r>
      <w:r>
        <w:rPr>
          <w:rFonts w:ascii="Arial" w:cs="Arial" w:eastAsia="Arial" w:hAnsi="Arial"/>
          <w:sz w:val="18"/>
          <w:szCs w:val="18"/>
          <w:color w:val="242424"/>
        </w:rPr>
        <w:t>. Please refer to Note 4 for further analysis of both our loan portfolio and the associated allowance for credit loss.</w:t>
      </w:r>
    </w:p>
    <w:p>
      <w:pPr>
        <w:spacing w:after="0" w:line="333"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242424"/>
        </w:rPr>
        <w:t>The loan growth mentioned previously occurred mostly in the commercial and agricultural portfolios. F&amp;M Commercial Banking Division had increased demand in the fourth quarter 2025 and overall solid growth for 2025. The commercial and the commercial real estate portfolios, combined, grew $84.0 million in outstandings year over year. Solid loan growth in the Commercial &amp; Industrial sector was $17.9 million, or 6% in the last quarter of 2025 and $37.2 million for the year or 12%. We saw overall higher line of credit utilization as well as some new customers were added in the fourth quarter in the transportation sector. Lending rates and terms remained consistent with the previous quarter and an overall downward trend for 2025. Economic factors, inflation, and the impact on potential tariffs remained the largest concerns to commercial business in the F&amp;M footprint in 2025. The commercial team continues to monitor the portfolio and borrowing bases closely for the impact from credit and inflationary pressures. Credit quality and past dues remained sound and collateral values and auction values are still holding consistent with previous quarters and 2024.</w:t>
      </w:r>
    </w:p>
    <w:p>
      <w:pPr>
        <w:spacing w:after="0" w:line="245" w:lineRule="exact"/>
        <w:rPr>
          <w:sz w:val="20"/>
          <w:szCs w:val="20"/>
          <w:color w:val="auto"/>
        </w:rPr>
      </w:pPr>
    </w:p>
    <w:p>
      <w:pPr>
        <w:jc w:val="both"/>
        <w:ind w:right="40"/>
        <w:spacing w:after="0" w:line="336" w:lineRule="auto"/>
        <w:rPr>
          <w:sz w:val="20"/>
          <w:szCs w:val="20"/>
          <w:color w:val="auto"/>
        </w:rPr>
      </w:pPr>
      <w:r>
        <w:rPr>
          <w:rFonts w:ascii="Arial" w:cs="Arial" w:eastAsia="Arial" w:hAnsi="Arial"/>
          <w:sz w:val="18"/>
          <w:szCs w:val="18"/>
          <w:color w:val="242424"/>
        </w:rPr>
        <w:t>The largest single portfolio growth occurred in Agricultural, increasing 44% or $66.2 million in 2025 as compared to 2024. The Agricultural and Elevator portfolio saw increased usage in the 4</w:t>
      </w:r>
      <w:r>
        <w:rPr>
          <w:rFonts w:ascii="Arial" w:cs="Arial" w:eastAsia="Arial" w:hAnsi="Arial"/>
          <w:sz w:val="23"/>
          <w:szCs w:val="23"/>
          <w:color w:val="242424"/>
          <w:vertAlign w:val="superscript"/>
        </w:rPr>
        <w:t>th</w:t>
      </w:r>
      <w:r>
        <w:rPr>
          <w:rFonts w:ascii="Arial" w:cs="Arial" w:eastAsia="Arial" w:hAnsi="Arial"/>
          <w:sz w:val="18"/>
          <w:szCs w:val="18"/>
          <w:color w:val="242424"/>
        </w:rPr>
        <w:t xml:space="preserve"> quarter of 2025, as our clients managed through the harvest season. Elevator line of credit usage increased from 29% at December 31, 2024 to 61% at December 31, 2025, and resulted in balances outstanding of $37.5 million at year-end 2025 compared to $14.1 million at year-end 2024. </w:t>
      </w:r>
      <w:r>
        <w:rPr>
          <w:rFonts w:ascii="Arial" w:cs="Arial" w:eastAsia="Arial" w:hAnsi="Arial"/>
          <w:sz w:val="18"/>
          <w:szCs w:val="18"/>
          <w:color w:val="000000"/>
        </w:rPr>
        <w:t>Throughout our market area grain farmers were affected by the late season drought, but</w:t>
      </w:r>
      <w:r>
        <w:rPr>
          <w:rFonts w:ascii="Arial" w:cs="Arial" w:eastAsia="Arial" w:hAnsi="Arial"/>
          <w:sz w:val="18"/>
          <w:szCs w:val="18"/>
          <w:color w:val="242424"/>
        </w:rPr>
        <w:t xml:space="preserve"> </w:t>
      </w:r>
      <w:r>
        <w:rPr>
          <w:rFonts w:ascii="Arial" w:cs="Arial" w:eastAsia="Arial" w:hAnsi="Arial"/>
          <w:sz w:val="18"/>
          <w:szCs w:val="18"/>
          <w:color w:val="000000"/>
        </w:rPr>
        <w:t xml:space="preserve">overall yields were better than anticipated. Margins continue to be tight for grain farmers as commodity prices have remained lower due to ample supply. Crop insurance and government payments will provide support. </w:t>
      </w:r>
      <w:r>
        <w:rPr>
          <w:rFonts w:ascii="Arial" w:cs="Arial" w:eastAsia="Arial" w:hAnsi="Arial"/>
          <w:sz w:val="18"/>
          <w:szCs w:val="18"/>
          <w:color w:val="242424"/>
        </w:rPr>
        <w:t>Agricultural</w:t>
      </w:r>
      <w:r>
        <w:rPr>
          <w:rFonts w:ascii="Arial" w:cs="Arial" w:eastAsia="Arial" w:hAnsi="Arial"/>
          <w:sz w:val="18"/>
          <w:szCs w:val="18"/>
          <w:color w:val="000000"/>
        </w:rPr>
        <w:t xml:space="preserve"> businesses have performed well, but the decline in net farm income has had the greatest impact on those in</w:t>
      </w:r>
    </w:p>
    <w:p>
      <w:pPr>
        <w:spacing w:after="0" w:line="231" w:lineRule="auto"/>
        <w:tabs>
          <w:tab w:leader="none" w:pos="2640" w:val="left"/>
          <w:tab w:leader="none" w:pos="4860" w:val="left"/>
          <w:tab w:leader="none" w:pos="7380" w:val="left"/>
        </w:tabs>
        <w:rPr>
          <w:sz w:val="20"/>
          <w:szCs w:val="20"/>
          <w:color w:val="auto"/>
        </w:rPr>
      </w:pPr>
      <w:r>
        <w:rPr>
          <w:rFonts w:ascii="Arial" w:cs="Arial" w:eastAsia="Arial" w:hAnsi="Arial"/>
          <w:sz w:val="20"/>
          <w:szCs w:val="20"/>
          <w:color w:val="auto"/>
        </w:rPr>
        <w:t>equipment</w:t>
      </w:r>
      <w:r>
        <w:rPr>
          <w:sz w:val="20"/>
          <w:szCs w:val="20"/>
          <w:color w:val="auto"/>
        </w:rPr>
        <w:tab/>
      </w:r>
      <w:r>
        <w:rPr>
          <w:rFonts w:ascii="Arial" w:cs="Arial" w:eastAsia="Arial" w:hAnsi="Arial"/>
          <w:sz w:val="20"/>
          <w:szCs w:val="20"/>
          <w:color w:val="auto"/>
        </w:rPr>
        <w:t>sales</w:t>
      </w:r>
      <w:r>
        <w:rPr>
          <w:sz w:val="20"/>
          <w:szCs w:val="20"/>
          <w:color w:val="auto"/>
        </w:rPr>
        <w:tab/>
      </w:r>
      <w:r>
        <w:rPr>
          <w:rFonts w:ascii="Arial" w:cs="Arial" w:eastAsia="Arial" w:hAnsi="Arial"/>
          <w:sz w:val="20"/>
          <w:szCs w:val="20"/>
          <w:color w:val="auto"/>
        </w:rPr>
        <w:t>resulting</w:t>
      </w:r>
      <w:r>
        <w:rPr>
          <w:sz w:val="20"/>
          <w:szCs w:val="20"/>
          <w:color w:val="auto"/>
        </w:rPr>
        <w:tab/>
      </w:r>
      <w:r>
        <w:rPr>
          <w:rFonts w:ascii="Arial" w:cs="Arial" w:eastAsia="Arial" w:hAnsi="Arial"/>
          <w:sz w:val="20"/>
          <w:szCs w:val="20"/>
          <w:color w:val="auto"/>
        </w:rPr>
        <w:t>in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242424"/>
        </w:rPr>
        <w:t>higher Agricultural equipment dealer line utilization from additional usage from existing customers as well as new</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52 / 63</w:t>
      </w:r>
    </w:p>
    <w:p>
      <w:pPr>
        <w:sectPr>
          <w:pgSz w:w="11900" w:h="16838" w:orient="portrait"/>
          <w:cols w:equalWidth="0" w:num="1">
            <w:col w:w="9400"/>
          </w:cols>
          <w:pgMar w:left="1260" w:top="1440" w:right="1246" w:bottom="0" w:gutter="0" w:footer="0" w:header="0"/>
          <w:type w:val="continuous"/>
        </w:sectPr>
      </w:pPr>
    </w:p>
    <w:bookmarkStart w:id="52" w:name="page53"/>
    <w:bookmarkEnd w:id="52"/>
    <w:p>
      <w:pPr>
        <w:jc w:val="both"/>
        <w:ind w:right="80"/>
        <w:spacing w:after="0" w:line="307" w:lineRule="auto"/>
        <w:rPr>
          <w:sz w:val="20"/>
          <w:szCs w:val="20"/>
          <w:color w:val="auto"/>
        </w:rPr>
      </w:pPr>
      <w:r>
        <w:rPr>
          <w:rFonts w:ascii="Arial" w:cs="Arial" w:eastAsia="Arial" w:hAnsi="Arial"/>
          <w:sz w:val="20"/>
          <w:szCs w:val="20"/>
          <w:color w:val="242424"/>
        </w:rPr>
        <w:t xml:space="preserve">business with new customers. </w:t>
      </w:r>
      <w:r>
        <w:rPr>
          <w:rFonts w:ascii="Arial" w:cs="Arial" w:eastAsia="Arial" w:hAnsi="Arial"/>
          <w:sz w:val="20"/>
          <w:szCs w:val="20"/>
          <w:color w:val="000000"/>
        </w:rPr>
        <w:t>Seasonal demand of short-term borrowings was strong in last quarter of 2025 but</w:t>
      </w:r>
      <w:r>
        <w:rPr>
          <w:rFonts w:ascii="Arial" w:cs="Arial" w:eastAsia="Arial" w:hAnsi="Arial"/>
          <w:sz w:val="20"/>
          <w:szCs w:val="20"/>
          <w:color w:val="242424"/>
        </w:rPr>
        <w:t xml:space="preserve"> </w:t>
      </w:r>
      <w:r>
        <w:rPr>
          <w:rFonts w:ascii="Arial" w:cs="Arial" w:eastAsia="Arial" w:hAnsi="Arial"/>
          <w:sz w:val="20"/>
          <w:szCs w:val="20"/>
          <w:color w:val="000000"/>
        </w:rPr>
        <w:t xml:space="preserve">moving forward is anticipated to be flat. Delinquencies continue to be low with positive performance within the </w:t>
      </w:r>
      <w:r>
        <w:rPr>
          <w:rFonts w:ascii="Arial" w:cs="Arial" w:eastAsia="Arial" w:hAnsi="Arial"/>
          <w:sz w:val="20"/>
          <w:szCs w:val="20"/>
          <w:color w:val="242424"/>
        </w:rPr>
        <w:t xml:space="preserve">Agricultural </w:t>
      </w:r>
      <w:r>
        <w:rPr>
          <w:rFonts w:ascii="Arial" w:cs="Arial" w:eastAsia="Arial" w:hAnsi="Arial"/>
          <w:sz w:val="20"/>
          <w:szCs w:val="20"/>
          <w:color w:val="000000"/>
        </w:rPr>
        <w:t>portfolio.</w:t>
      </w:r>
    </w:p>
    <w:p>
      <w:pPr>
        <w:spacing w:after="0" w:line="257" w:lineRule="exact"/>
        <w:rPr>
          <w:sz w:val="20"/>
          <w:szCs w:val="20"/>
          <w:color w:val="auto"/>
        </w:rPr>
      </w:pPr>
    </w:p>
    <w:p>
      <w:pPr>
        <w:spacing w:after="0" w:line="318" w:lineRule="auto"/>
        <w:rPr>
          <w:sz w:val="20"/>
          <w:szCs w:val="20"/>
          <w:color w:val="auto"/>
        </w:rPr>
      </w:pPr>
      <w:r>
        <w:rPr>
          <w:rFonts w:ascii="Arial" w:cs="Arial" w:eastAsia="Arial" w:hAnsi="Arial"/>
          <w:sz w:val="19"/>
          <w:szCs w:val="19"/>
          <w:color w:val="242424"/>
        </w:rPr>
        <w:t>The Home Loan Division saw an increase to our production but predominantly in our HELOC balances. This growth was $21.7 million for the year or a 34% increase over 2024. We saw overall higher line of credit utilization, up from 40% on December 31, 2024, to 45% on December 31, 2025, as well as additional new customer growth. This is due to mortgage rates still being higher than what most borrowers have on their current mortgages thus making home equities the best option for borrowers in most cases. We did see a slight increase in construction loans which is a sign of communities looking to increase housing inventory. Fixed mortgage rates started declining in the 3</w:t>
      </w:r>
      <w:r>
        <w:rPr>
          <w:rFonts w:ascii="Arial" w:cs="Arial" w:eastAsia="Arial" w:hAnsi="Arial"/>
          <w:sz w:val="25"/>
          <w:szCs w:val="25"/>
          <w:color w:val="242424"/>
          <w:vertAlign w:val="superscript"/>
        </w:rPr>
        <w:t>rd</w:t>
      </w:r>
      <w:r>
        <w:rPr>
          <w:rFonts w:ascii="Arial" w:cs="Arial" w:eastAsia="Arial" w:hAnsi="Arial"/>
          <w:sz w:val="19"/>
          <w:szCs w:val="19"/>
          <w:color w:val="242424"/>
        </w:rPr>
        <w:t xml:space="preserve"> quarter of 2025 which increased refinance opportunities. Limited inventory, while better than previous years, was still prevalent in most of the communities F&amp;M Bank serves.</w:t>
      </w:r>
    </w:p>
    <w:p>
      <w:pPr>
        <w:spacing w:after="0" w:line="233" w:lineRule="exact"/>
        <w:rPr>
          <w:sz w:val="20"/>
          <w:szCs w:val="20"/>
          <w:color w:val="auto"/>
        </w:rPr>
      </w:pPr>
    </w:p>
    <w:p>
      <w:pPr>
        <w:jc w:val="both"/>
        <w:ind w:right="20"/>
        <w:spacing w:after="0" w:line="309" w:lineRule="auto"/>
        <w:rPr>
          <w:sz w:val="20"/>
          <w:szCs w:val="20"/>
          <w:color w:val="auto"/>
        </w:rPr>
      </w:pPr>
      <w:r>
        <w:rPr>
          <w:rFonts w:ascii="Arial" w:cs="Arial" w:eastAsia="Arial" w:hAnsi="Arial"/>
          <w:sz w:val="20"/>
          <w:szCs w:val="20"/>
          <w:color w:val="242424"/>
        </w:rPr>
        <w:t>The aforementioned growth in the other portfolio sectors has reduced the Bank’s overall relative concentration in Commercial Real Estate (CRE) and Development, and our growth rate in non-owner-occupied CRE has decreased. The largest sector increases within CRE were hospitality and retail. The largest geographic increase with CRE was in the state of Michigan.</w:t>
      </w:r>
    </w:p>
    <w:p>
      <w:pPr>
        <w:spacing w:after="0" w:line="256" w:lineRule="exact"/>
        <w:rPr>
          <w:sz w:val="20"/>
          <w:szCs w:val="20"/>
          <w:color w:val="auto"/>
        </w:rPr>
      </w:pPr>
    </w:p>
    <w:p>
      <w:pPr>
        <w:jc w:val="both"/>
        <w:ind w:right="60"/>
        <w:spacing w:after="0" w:line="310" w:lineRule="auto"/>
        <w:rPr>
          <w:sz w:val="20"/>
          <w:szCs w:val="20"/>
          <w:color w:val="auto"/>
        </w:rPr>
      </w:pPr>
      <w:r>
        <w:rPr>
          <w:rFonts w:ascii="Arial" w:cs="Arial" w:eastAsia="Arial" w:hAnsi="Arial"/>
          <w:sz w:val="20"/>
          <w:szCs w:val="20"/>
          <w:color w:val="242424"/>
        </w:rPr>
        <w:t>Overall, past due loans remain low, though increasing slightly, with some increase in Agriculture and Farmland portfolio. Non-accruals remain low, though increasing, with the larger increase in the Agriculture and Farmland portfolio. Special Mention and Substandard loans rose again in the fourth quarter and were up significantly for the year. While we have experienced migration to more criticized and classified assets, our adversely classified loans as a percentage of capital remain sound. We have also</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53 / 63</w:t>
      </w:r>
    </w:p>
    <w:p>
      <w:pPr>
        <w:sectPr>
          <w:pgSz w:w="11900" w:h="16838" w:orient="portrait"/>
          <w:cols w:equalWidth="0" w:num="1">
            <w:col w:w="9400"/>
          </w:cols>
          <w:pgMar w:left="1260" w:top="1173" w:right="1246" w:bottom="0" w:gutter="0" w:footer="0" w:header="0"/>
          <w:type w:val="continuous"/>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242424"/>
        </w:rPr>
        <w:t>experienced a migration to our less risky grades (2- and 3-grades) that increased $156 million in 2025 from 35% of the Commercial/Agricultural portfolio to 40%, which has resulted in a much lower concentration of baseline 4-grade loans. There was some further migration within the Criticized assets from Special Mention to Substandard in the fourth quarter, but we don’t expect to incur any losses at this time.</w:t>
      </w:r>
    </w:p>
    <w:p>
      <w:pPr>
        <w:spacing w:after="0" w:line="238"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242424"/>
        </w:rPr>
        <w:t>The Bank continues to see the benefit of originating higher yielding loans and having our longer duration loans amortize down. The Bank has much more floating-rate loans today than at this time last year and the concentration of longer-term, fixed-rate loans is decreasing.</w:t>
      </w:r>
    </w:p>
    <w:p>
      <w:pPr>
        <w:spacing w:after="0" w:line="257" w:lineRule="exact"/>
        <w:rPr>
          <w:sz w:val="20"/>
          <w:szCs w:val="20"/>
          <w:color w:val="auto"/>
        </w:rPr>
      </w:pPr>
    </w:p>
    <w:p>
      <w:pPr>
        <w:jc w:val="both"/>
        <w:ind w:right="60"/>
        <w:spacing w:after="0" w:line="349" w:lineRule="auto"/>
        <w:rPr>
          <w:sz w:val="20"/>
          <w:szCs w:val="20"/>
          <w:color w:val="auto"/>
        </w:rPr>
      </w:pPr>
      <w:r>
        <w:rPr>
          <w:rFonts w:ascii="Arial" w:cs="Arial" w:eastAsia="Arial" w:hAnsi="Arial"/>
          <w:sz w:val="18"/>
          <w:szCs w:val="18"/>
          <w:color w:val="242424"/>
        </w:rPr>
        <w:t>A $1.5 million improvement occurred in noninterest income items for 2025 as compared 2024. Apart from net gain (loss) on sale of other assets owned and interchange income, all other line-item components experienced increased revenue over prior year. Items of note are the increase in cash surrender values in the Bank Owned Life Insurance due to the additional purchase of $18 million and the approximately $6.8 million surrender of policies. This improvement is expected to continue through 2026 with additional surrenders over the next 2 years. Loan servicing income and net gain on sale of loans increased reflecting the additional sale of loans both in the home loan portfolio and in the agricultural real estate partial sales. The Bank continues to earn servicing income as those managed portfolio balances continue to increase. Lastly, the additional revenue from our Treasury management team and the FM Investments division are evident in the other service charges and fees increase over 2024. The Bank also leased out a portion of our excess office space in Hicksville to medical providers. The Bank will continue to look for other opportunities to turn excess space at our offices into revenue opportunities.</w:t>
      </w:r>
    </w:p>
    <w:p>
      <w:pPr>
        <w:spacing w:after="0" w:line="229" w:lineRule="exact"/>
        <w:rPr>
          <w:sz w:val="20"/>
          <w:szCs w:val="20"/>
          <w:color w:val="auto"/>
        </w:rPr>
      </w:pPr>
    </w:p>
    <w:p>
      <w:pPr>
        <w:jc w:val="both"/>
        <w:ind w:right="60"/>
        <w:spacing w:after="0" w:line="339" w:lineRule="auto"/>
        <w:rPr>
          <w:sz w:val="20"/>
          <w:szCs w:val="20"/>
          <w:color w:val="auto"/>
        </w:rPr>
      </w:pPr>
      <w:r>
        <w:rPr>
          <w:rFonts w:ascii="Arial" w:cs="Arial" w:eastAsia="Arial" w:hAnsi="Arial"/>
          <w:sz w:val="18"/>
          <w:szCs w:val="18"/>
          <w:color w:val="242424"/>
        </w:rPr>
        <w:t>In 2024, we focused on investing in our infrastructure and technology. These investments, along with a higher incentive expense (due to improved performance) for 2025, are much of the reason for the increase in noninterest expense of $8.1 million for 2025 as compared to 2024. The Bank also opened an additional office in the 3</w:t>
      </w:r>
      <w:r>
        <w:rPr>
          <w:rFonts w:ascii="Arial" w:cs="Arial" w:eastAsia="Arial" w:hAnsi="Arial"/>
          <w:sz w:val="23"/>
          <w:szCs w:val="23"/>
          <w:color w:val="242424"/>
          <w:vertAlign w:val="superscript"/>
        </w:rPr>
        <w:t>rd</w:t>
      </w:r>
      <w:r>
        <w:rPr>
          <w:rFonts w:ascii="Arial" w:cs="Arial" w:eastAsia="Arial" w:hAnsi="Arial"/>
          <w:sz w:val="18"/>
          <w:szCs w:val="18"/>
          <w:color w:val="242424"/>
        </w:rPr>
        <w:t xml:space="preserve"> quarter of 2025 in Troy, Michigan. This office brings our total to 2 located in Michigan. Those offices manage over $514 million in loans and $64.6 million in deposits. ATM expense reports a significant increase of $923 thousand due to 2024 being lower from contract credits having been applied. It is in line with 2023 at $18 thousand lower than 2023. Data processing has the same experience and for the same reason as the ATM expense. 2025 is $2.24 million higher than 2024 though $540 thousand higher than 2023. The only noninterest expense that did not increase was in the FDIC assessments. This is a regulatory fee imposed by the FDIC. It fluctuates quarterly and the decrease reflects improved metrics at the Bank upon which they base the charges along with deposit balances.</w:t>
      </w:r>
    </w:p>
    <w:p>
      <w:pPr>
        <w:spacing w:after="0" w:line="235" w:lineRule="exact"/>
        <w:rPr>
          <w:sz w:val="20"/>
          <w:szCs w:val="20"/>
          <w:color w:val="auto"/>
        </w:rPr>
      </w:pPr>
    </w:p>
    <w:p>
      <w:pPr>
        <w:jc w:val="both"/>
        <w:ind w:right="20"/>
        <w:spacing w:after="0" w:line="310" w:lineRule="auto"/>
        <w:rPr>
          <w:sz w:val="20"/>
          <w:szCs w:val="20"/>
          <w:color w:val="auto"/>
        </w:rPr>
      </w:pPr>
      <w:r>
        <w:rPr>
          <w:rFonts w:ascii="Arial" w:cs="Arial" w:eastAsia="Arial" w:hAnsi="Arial"/>
          <w:sz w:val="20"/>
          <w:szCs w:val="20"/>
          <w:color w:val="242424"/>
        </w:rPr>
        <w:t>Overall, a strong last quarter helped to complete the strong year for F&amp;M. Improvement in the bottom line of $7.4 million or a 28.4% increase over year-end 2024. Declared dividends per share were increased in the last two quarters of the year to reflect the improved profitability. Capital increased 10.6% or $35.7 million. The Company’s previous 3-year strategic plan has closed, and the next 3-year plan is being finalized. The Company has laid a framework from which to build continued improvement.</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Material Changes in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Interest Income</w:t>
      </w:r>
    </w:p>
    <w:p>
      <w:pPr>
        <w:spacing w:after="0" w:line="200"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The discussion now centers on the individual line items of the Company's consolidated statement of income and their effect on net income. This section will focus on the most traditional and impactful source of revenue contributing to the profitability of the Company which is net interest income.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54 / 63</w:t>
      </w:r>
    </w:p>
    <w:p>
      <w:pPr>
        <w:sectPr>
          <w:pgSz w:w="11900" w:h="16838" w:orient="portrait"/>
          <w:cols w:equalWidth="0" w:num="1">
            <w:col w:w="9400"/>
          </w:cols>
          <w:pgMar w:left="1260" w:top="1440" w:right="1246" w:bottom="0" w:gutter="0" w:footer="0" w:header="0"/>
          <w:type w:val="continuous"/>
        </w:sectPr>
      </w:pPr>
    </w:p>
    <w:bookmarkStart w:id="54" w:name="page55"/>
    <w:bookmarkEnd w:id="54"/>
    <w:p>
      <w:pPr>
        <w:jc w:val="both"/>
        <w:spacing w:after="0" w:line="349" w:lineRule="auto"/>
        <w:rPr>
          <w:sz w:val="20"/>
          <w:szCs w:val="20"/>
          <w:color w:val="auto"/>
        </w:rPr>
      </w:pPr>
      <w:r>
        <w:rPr>
          <w:rFonts w:ascii="Arial" w:cs="Arial" w:eastAsia="Arial" w:hAnsi="Arial"/>
          <w:sz w:val="18"/>
          <w:szCs w:val="18"/>
          <w:color w:val="auto"/>
        </w:rPr>
        <w:t>Net interest income is the difference between interest income earned on interest earning assets, such as loans and securities, and interest expense paid on interest-bearing liabilities used to fund those assets, such as interest-bearing deposits and other borrowings. Net interest income is affected by changes in both interest rates and the amount and composition of earning assets and liabilities. The change in net interest income is most often measured by two statistics – interest spread and net interest margin. The difference between the yields earned on earning assets and the rates paid for interest-bearing liabilities represents the interest spread. The net interest margin is the difference of funds (interest expense) between the yield on earning assets and the cost as a percentage of earning assets. Because noninterest-bearing sources of funds such as demand deposits and stockholders’ equity also support earning assets, the net interest margin exceeds the net interest spread.</w:t>
      </w:r>
    </w:p>
    <w:p>
      <w:pPr>
        <w:spacing w:after="0" w:line="231"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The work began in 2024 to focus on increasing profitability through management of the balance sheet and thereby improving our net interest margin and spread. The success of that strategy became apparent in 2024 and expanded in 2025. The Company utilized new pricing models in both loans and deposits that worked in tandem with each other. Introduced in mid-2024, the models continue to be tweaked to improve effectiveness and are updated collaboratively within multiple divisions of the Bank. The goal is to keep the models simple for ease of use and to remain focused on improving profitability.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 / 63</w:t>
      </w:r>
    </w:p>
    <w:p>
      <w:pPr>
        <w:sectPr>
          <w:pgSz w:w="11900" w:h="16838" w:orient="portrait"/>
          <w:cols w:equalWidth="0" w:num="1">
            <w:col w:w="9380"/>
          </w:cols>
          <w:pgMar w:left="1260" w:top="1173" w:right="1266" w:bottom="0" w:gutter="0" w:footer="0" w:header="0"/>
          <w:type w:val="continuous"/>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60"/>
        <w:spacing w:after="0" w:line="292" w:lineRule="auto"/>
        <w:rPr>
          <w:sz w:val="20"/>
          <w:szCs w:val="20"/>
          <w:color w:val="auto"/>
        </w:rPr>
      </w:pPr>
      <w:r>
        <w:rPr>
          <w:rFonts w:ascii="Arial" w:cs="Arial" w:eastAsia="Arial" w:hAnsi="Arial"/>
          <w:sz w:val="20"/>
          <w:szCs w:val="20"/>
          <w:color w:val="auto"/>
        </w:rPr>
        <w:t>Following the rapid rise of interest rates from March of 2020 to July of 2023, to the cuts beginning in September 2024, the Company has experienced the most volatile interest rate environment in decades. The Federal Reserve decreased rates three times during 2025 by 25 basis points each time on September 17th, October 29</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and December 10</w:t>
      </w:r>
      <w:r>
        <w:rPr>
          <w:rFonts w:ascii="Arial" w:cs="Arial" w:eastAsia="Arial" w:hAnsi="Arial"/>
          <w:sz w:val="26"/>
          <w:szCs w:val="26"/>
          <w:color w:val="auto"/>
          <w:vertAlign w:val="superscript"/>
        </w:rPr>
        <w:t>th</w:t>
      </w:r>
      <w:r>
        <w:rPr>
          <w:rFonts w:ascii="Arial" w:cs="Arial" w:eastAsia="Arial" w:hAnsi="Arial"/>
          <w:sz w:val="20"/>
          <w:szCs w:val="20"/>
          <w:color w:val="auto"/>
        </w:rPr>
        <w:t>. The charts to follow will emphasize how well we managed the switch in rate positions from 2023.</w:t>
      </w:r>
    </w:p>
    <w:p>
      <w:pPr>
        <w:spacing w:after="0" w:line="257" w:lineRule="exact"/>
        <w:rPr>
          <w:sz w:val="20"/>
          <w:szCs w:val="20"/>
          <w:color w:val="auto"/>
        </w:rPr>
      </w:pPr>
    </w:p>
    <w:p>
      <w:pPr>
        <w:jc w:val="both"/>
        <w:ind w:right="40"/>
        <w:spacing w:after="0" w:line="329" w:lineRule="auto"/>
        <w:rPr>
          <w:sz w:val="20"/>
          <w:szCs w:val="20"/>
          <w:color w:val="auto"/>
        </w:rPr>
      </w:pPr>
      <w:r>
        <w:rPr>
          <w:rFonts w:ascii="Arial" w:cs="Arial" w:eastAsia="Arial" w:hAnsi="Arial"/>
          <w:sz w:val="19"/>
          <w:szCs w:val="19"/>
          <w:color w:val="auto"/>
        </w:rPr>
        <w:t>For 2025, net interest income grew 21.4% or almost $18.4 million over 2024’s. The growth was split almost equally between interest income improvement and interest expense. 54.3% of the improvement was in interest income, increasing by nearly $10 million. Interest expense decreased by $8.4 million when comparing 2025 to 2024. The next step in reviewing the improvement is to determine what drove the improvement. Our goal for 2025 was to hold the loan portfolio mostly flat and increase core deposits, especially in transaction accounts. The following charts show in totality, interest income improvement was due to rate improvement exclusively. The only category impacted negatively in both volume and rate change was Federal Funds sold and other, as would be expected with the Fed rate drops and putting excess cash to better use in loans. Average balances in loans grew $75.2 million which is basically flat considering the overall portfolio is over $2.6 billion. Security activity for the year was limited to replacement purchases and for CRA investments. Both loans and investments’ profitability benefited more due to rate changes than due to growth. Increasing rates in a falling rate environment is a feat and credit goes to both lenders and use of the loan pricing model.</w:t>
      </w:r>
    </w:p>
    <w:p>
      <w:pPr>
        <w:spacing w:after="0" w:line="246"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In 2024, the focus was on increasing profitability while also repositioning the balance sheet. The effects of which can be seen in the improvement of $4.5 million to net interest income as compared to 2023. Total interest income increased $23.8 million which was offset by increased interest expense of approximately $19.3 million. Interest and fee income from loans were responsible for $16.0 million of the improved interest income with rate accounting for 78.6% of this increase. Average loan balances increased $65.7 million from the prior year and accounted for 21.4% of the increased loan interest income. As of December 31, 2024, the Company’s loan portfolio was 36.0% variable with 31.4% of total loans subject to repricing within the next twelve months. The Company’s loan portfolio on December 31, 2023, was 31.6% variable with 24.9% of total loans repricing within the next twelve months. The security portfolio, used for purposes of liquidity and contingency planning as a means of balance sheet gap management, increased $11.8 million in average during 2024 as compared to 2023 with associated interest income increasing $1.9 million over 2023. Average federal funds sold and interest-bearing deposit balances increased $91.3 million as compared to the prior year and generated an additional $5.9 million in interest income. During 2024, the prime rate decreased 50 basis points in September and 25 basis points in both November and December to end the year at 7.50%.</w:t>
      </w:r>
    </w:p>
    <w:p>
      <w:pPr>
        <w:spacing w:after="0" w:line="247" w:lineRule="exact"/>
        <w:rPr>
          <w:sz w:val="20"/>
          <w:szCs w:val="20"/>
          <w:color w:val="auto"/>
        </w:rPr>
      </w:pPr>
    </w:p>
    <w:p>
      <w:pPr>
        <w:jc w:val="both"/>
        <w:ind w:right="60"/>
        <w:spacing w:after="0" w:line="352" w:lineRule="auto"/>
        <w:rPr>
          <w:sz w:val="20"/>
          <w:szCs w:val="20"/>
          <w:color w:val="auto"/>
        </w:rPr>
      </w:pPr>
      <w:r>
        <w:rPr>
          <w:rFonts w:ascii="Arial" w:cs="Arial" w:eastAsia="Arial" w:hAnsi="Arial"/>
          <w:sz w:val="18"/>
          <w:szCs w:val="18"/>
          <w:color w:val="auto"/>
        </w:rPr>
        <w:t>During the first quarter of 2023, securities of $21.6 million with an annual yield of $274 thousand were swapped at a loss of $891 thousand with securities with an annual yield of $1.6 million. In 2023, there were four additional 25 basis point increases in February, March, May and July to end the year at 8.50%. Overall, total interest income was $23.8 million higher for 2024 than 2023 on an additional $168.8 million in total average earning assets.</w:t>
      </w:r>
    </w:p>
    <w:p>
      <w:pPr>
        <w:spacing w:after="0" w:line="226"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Interest expense (which includes deposits, federal funds purchased, securities sold under agreement to repurchase, borrowed funds and subordinated notes) all decreased in 2025 as compared to 2024, while for 2024 as compared to 2023, they all increased from all interest-bearing funding sources with the exception of federal funds purchased and securities sold under agreement to repurchase. Interest expense decreased $8.4 million on lower average balances from interest-bearing liabilities of $18.6 million in 2025 versus 2024. Average interest-bearing balances decreased in 2025 in all areas except for NOW accounts and savings deposits and subordinated notes. Borrowed funds decreased</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56 / 63</w:t>
      </w:r>
    </w:p>
    <w:p>
      <w:pPr>
        <w:sectPr>
          <w:pgSz w:w="11900" w:h="16838" w:orient="portrait"/>
          <w:cols w:equalWidth="0" w:num="1">
            <w:col w:w="9400"/>
          </w:cols>
          <w:pgMar w:left="1260" w:top="1440" w:right="1246" w:bottom="0" w:gutter="0" w:footer="0" w:header="0"/>
          <w:type w:val="continuous"/>
        </w:sectPr>
      </w:pPr>
    </w:p>
    <w:bookmarkStart w:id="56" w:name="page57"/>
    <w:bookmarkEnd w:id="56"/>
    <w:p>
      <w:pPr>
        <w:jc w:val="both"/>
        <w:spacing w:after="0" w:line="350" w:lineRule="auto"/>
        <w:rPr>
          <w:sz w:val="20"/>
          <w:szCs w:val="20"/>
          <w:color w:val="auto"/>
        </w:rPr>
      </w:pPr>
      <w:r>
        <w:rPr>
          <w:rFonts w:ascii="Arial" w:cs="Arial" w:eastAsia="Arial" w:hAnsi="Arial"/>
          <w:sz w:val="18"/>
          <w:szCs w:val="18"/>
          <w:color w:val="auto"/>
        </w:rPr>
        <w:t>$49.4 million as maturing prior year borrowings were able to be paid off and not replaced with new borrowings during 2025. The best result is the increase in noninterest-bearing demand deposits, average balances increased $22.4 million in the core deposit gathering efforts in 2025. Time deposits decreased in average balances during 2025 as compared to 2024 with the impact being a decrease of interest expense of $3.8 million. The lower interest expense was driven more by changing rates than in decreased average balances. The largest interest expense decrease due to changes in rate, was in NOW accounts and savings deposits. The decrease attributed to rate was $4.5 million while volume change drove an increase in interest expense of $2.0 million. The net result being a decrease of interest expense due to NOW accounts and savings deposits of over $2.4 million.</w:t>
      </w:r>
    </w:p>
    <w:p>
      <w:pPr>
        <w:spacing w:after="0" w:line="225" w:lineRule="exact"/>
        <w:rPr>
          <w:sz w:val="20"/>
          <w:szCs w:val="20"/>
          <w:color w:val="auto"/>
        </w:rPr>
      </w:pPr>
    </w:p>
    <w:p>
      <w:pPr>
        <w:jc w:val="both"/>
        <w:ind w:right="20"/>
        <w:spacing w:after="0" w:line="349" w:lineRule="auto"/>
        <w:rPr>
          <w:sz w:val="20"/>
          <w:szCs w:val="20"/>
          <w:color w:val="auto"/>
        </w:rPr>
      </w:pPr>
      <w:r>
        <w:rPr>
          <w:rFonts w:ascii="Arial" w:cs="Arial" w:eastAsia="Arial" w:hAnsi="Arial"/>
          <w:sz w:val="18"/>
          <w:szCs w:val="18"/>
          <w:color w:val="auto"/>
        </w:rPr>
        <w:t>For 2024, average interest-bearing liabilities increased $183.3 million over 2023 with approximately $19.3 million additional interest expense. Overall, the funding goal the last three years has been to grow core deposits. Two strategies have been employed through the years, one of allowing expensive time deposits to run off until needed for funding and secondly to offer new noninterest-bearing deposit products. Both strategies were designed to assist in controlling interest expense while also providing funding for loan growth. In 2024 and 2023, liquidity needs and loan growth created the need to quickly generate deposits. Competition within the market areas forced us to increase rates for deposits during the prior two years. In 2024, average interest-bearing deposits increased $149.0 million compared to 2023. During 2024, interest expense from deposits increased by $17.5 million from 2023. The majority, 81.7%, of the increased deposit expense of 2024 and 95.5%, of the increased expense of 2023 was influenced by rates rather than due to additional cost associated with deposit growth. Borrowed fund balances increased in 2024 $41.9 million as a means to provide liquidity which resulted in an additional interest expense of $2.1 million.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57 / 63</w:t>
      </w:r>
    </w:p>
    <w:p>
      <w:pPr>
        <w:sectPr>
          <w:pgSz w:w="11900" w:h="16838" w:orient="portrait"/>
          <w:cols w:equalWidth="0" w:num="1">
            <w:col w:w="9400"/>
          </w:cols>
          <w:pgMar w:left="1260" w:top="1173" w:right="1246" w:bottom="0" w:gutter="0" w:footer="0" w:header="0"/>
          <w:type w:val="continuous"/>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Total interest expense equaled $69.3, $77.7, and $58.4 million for 2025, 2024, and 2023, respectively. The decreased expense for 2025 as compared to 2024 was 79.1% due to change in rates being paid in a falling rate environment. The increased expense was approximately 76.2% attributable to the higher interest rate environment in 2024 as compared to 2023.</w:t>
      </w:r>
    </w:p>
    <w:p>
      <w:pPr>
        <w:spacing w:after="0" w:line="256"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This concludes the discussion by the independent components of the ratios. Now the discussion moves on to the percentages and the change in the net interest margin and spread.</w:t>
      </w:r>
    </w:p>
    <w:p>
      <w:pPr>
        <w:spacing w:after="0" w:line="261"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For 2025, we saw a reversal of the trend of a declining net interest margin and spread comparing 2023 to 2024. The improved interest income and reduced interest expense for 2025 resulted in a 56 and 60 basis points improvement in net interest margin and spread, respectively. The asset yield for 2025 improved 28 basis points as compared to 2024 and the interest expense/cost decreased 32 basis points in the same comparison. Net interest margin for 2025 was 3.28% compared to 2024’s 2.72%. Net interest spread was 2.65% for 2025 versus 2.05% for 2024. Disciplined loan growth, payoffs of expensive borrowings and using excess liquidity to accomplish those improvements were the primary factors. The Company had predicted improved profitability in a declining rate environment.</w:t>
      </w:r>
    </w:p>
    <w:p>
      <w:pPr>
        <w:spacing w:after="0" w:line="227" w:lineRule="exact"/>
        <w:rPr>
          <w:sz w:val="20"/>
          <w:szCs w:val="20"/>
          <w:color w:val="auto"/>
        </w:rPr>
      </w:pPr>
    </w:p>
    <w:p>
      <w:pPr>
        <w:jc w:val="both"/>
        <w:ind w:right="40"/>
        <w:spacing w:after="0" w:line="311" w:lineRule="auto"/>
        <w:rPr>
          <w:sz w:val="20"/>
          <w:szCs w:val="20"/>
          <w:color w:val="auto"/>
        </w:rPr>
      </w:pPr>
      <w:r>
        <w:rPr>
          <w:rFonts w:ascii="Arial" w:cs="Arial" w:eastAsia="Arial" w:hAnsi="Arial"/>
          <w:sz w:val="20"/>
          <w:szCs w:val="20"/>
          <w:color w:val="auto"/>
        </w:rPr>
        <w:t>The increased interest expense of 2024 resulted in the net interest margin remaining flat while interest spread decreased 9 basis points compared to 2023 due to the cost of funds increasing more than the increase in asset yield. For 2024, average loan balances increased $65.7 million over the prior year with increased interest income of $16.0 million. In 2024, the Bank was able to see the impact of a higher rate environment with 78.6% of the increased interest income related to rate changes as presented in the charts below. Average balances of federal funds sold and interest-bearing deposits with other institutions increased $91.3 million and increased interest rates generated an additional $5.9 million in interest income over 2023. The overall asset yield for 2024 increased 50 basis points as compared to 2023.</w:t>
      </w:r>
    </w:p>
    <w:p>
      <w:pPr>
        <w:spacing w:after="0" w:line="256" w:lineRule="exact"/>
        <w:rPr>
          <w:sz w:val="20"/>
          <w:szCs w:val="20"/>
          <w:color w:val="auto"/>
        </w:rPr>
      </w:pPr>
    </w:p>
    <w:p>
      <w:pPr>
        <w:jc w:val="both"/>
        <w:ind w:right="40"/>
        <w:spacing w:after="0" w:line="310" w:lineRule="auto"/>
        <w:rPr>
          <w:sz w:val="20"/>
          <w:szCs w:val="20"/>
          <w:color w:val="auto"/>
        </w:rPr>
      </w:pPr>
      <w:r>
        <w:rPr>
          <w:rFonts w:ascii="Arial" w:cs="Arial" w:eastAsia="Arial" w:hAnsi="Arial"/>
          <w:sz w:val="20"/>
          <w:szCs w:val="20"/>
          <w:color w:val="auto"/>
        </w:rPr>
        <w:t>Interest expense for 2025 was lower by $8.4 million than 2024. In comparing interest expense/cost, 2025 was lower by 32 basis points compared to 2024, capturing back some of the higher 2024 increase in cost. 2024 was 59 basis points higher than 2023. 2.80%, 3.12% and 2.53% was the interest expense/cost for 2025, 2024 and 2023, respectively. 2025 improvement was driven 79.1% by changes in interest rates and the other 20.9% by volume changes in the portfolio.</w:t>
      </w:r>
    </w:p>
    <w:p>
      <w:pPr>
        <w:spacing w:after="0" w:line="255"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For 2024, interest expense continued to increase and was 33.0% higher than 2023 and was 76.2% impacted by changes in interest rates. Competition for deposits continued to be extremely high and rate shopping between financial institutions was apparent. The Company’s goal was to increase core deposits, including savings deposits, which increased $126.0 million while noninterest-bearing demand deposits decreased $14.8 million in average balances, respectively as compared to 2023. In 2024, time deposits increased $41.9 million in average balances year over year. The increased interest expense in 2024 for savings deposits and time deposits accounted for 91.1% of the total interest expense increase. Overall, cost of funds increased 59 basis points or 23.3% over 2023 with only 23.8% due to volume increases. The remaining 76.2% was related to changes in interest rates.</w:t>
      </w:r>
    </w:p>
    <w:p>
      <w:pPr>
        <w:spacing w:after="0" w:line="225"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The Company will always prefer to see improvement in real dollars over percentages. The strategy for increasing core deposits, to mitigate the higher cost of funds and to continue the opportunity for fee dollars from services provided, continues to be a top focus for 2026.</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 / 63</w:t>
      </w:r>
    </w:p>
    <w:p>
      <w:pPr>
        <w:sectPr>
          <w:pgSz w:w="11900" w:h="16838" w:orient="portrait"/>
          <w:cols w:equalWidth="0" w:num="1">
            <w:col w:w="9380"/>
          </w:cols>
          <w:pgMar w:left="1260" w:top="1440" w:right="1266" w:bottom="0" w:gutter="0" w:footer="0" w:header="0"/>
          <w:type w:val="continuous"/>
        </w:sectPr>
      </w:pPr>
    </w:p>
    <w:bookmarkStart w:id="58" w:name="page59"/>
    <w:bookmarkEnd w:id="58"/>
    <w:p>
      <w:pPr>
        <w:jc w:val="both"/>
        <w:spacing w:after="0" w:line="359" w:lineRule="auto"/>
        <w:rPr>
          <w:sz w:val="20"/>
          <w:szCs w:val="20"/>
          <w:color w:val="auto"/>
        </w:rPr>
      </w:pPr>
      <w:r>
        <w:rPr>
          <w:rFonts w:ascii="Arial" w:cs="Arial" w:eastAsia="Arial" w:hAnsi="Arial"/>
          <w:sz w:val="17"/>
          <w:szCs w:val="17"/>
          <w:color w:val="auto"/>
        </w:rPr>
        <w:t>Total assets of the Company increased overall as did the earning assets in both average and year-end during 2025 and 2024. This matched the increase in interest dollars. The percentage of average earning assets to total average assets reflects the best utilization of funds. The total increase in average earning assets was $19.1 million with the ratio of earning assets to assets decreasing to 94.63% versus 95.06% for 2024. The ratio was 93.81% for 2023. For 2023 and 2025, the addition of new offices increased the non-earning assets with cash balances held at the new offices and the investment in the capital assets of their building and furniture. One office in Troy, MI was added in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quarter 2025. One of the areas that has helped to improve the profitability over the years was the percentage of average loans to total assets. For 2025, the average balance of loans to total average assets was 78.25%, 76.82% for 2024 and 78.02% for 2023. Overall yield improves when the balances of the highest yielding asset, which is loans, increases. The goal is, as always, to improve the net interest margin and spread and thereby improve profitability.</w:t>
      </w:r>
    </w:p>
    <w:p>
      <w:pPr>
        <w:spacing w:after="0" w:line="230"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Net interest spread is the difference between what the Company earns on its assets and what it pays on its liabilities. It is generally from this spread that the Company must fund its operations and generate profit. When the asset yield decreases so must funding costs in order to maintain the same profitability. It becomes increasingly challenging as the asset yield gets closer to the prime lending rate, or the break-even point, of operations. In a rising rate environment, the challenge is to hold the cost steady while allowing time for the asset portfolio to rise. Floors and ceilings on variable products also impact the level of increase in either scenario. The floors provide yield protection in a lower rate environment while the rising rates will not benefit the asset yield until the spread plus prime is higher than the floor. The challenge is to increase the spread during renewals and on new loans.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59 / 63</w:t>
      </w:r>
    </w:p>
    <w:p>
      <w:pPr>
        <w:sectPr>
          <w:pgSz w:w="11900" w:h="16838" w:orient="portrait"/>
          <w:cols w:equalWidth="0" w:num="1">
            <w:col w:w="9340"/>
          </w:cols>
          <w:pgMar w:left="1260" w:top="1173" w:right="1306" w:bottom="0" w:gutter="0" w:footer="0" w:header="0"/>
          <w:type w:val="continuous"/>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After the rate hikes in 2022 and 2023, most loans had increased over the floors in 2024 and the falling rates in 2025 now puts the spotlight on this key factor to profitability.</w:t>
      </w:r>
    </w:p>
    <w:p>
      <w:pPr>
        <w:spacing w:after="0" w:line="261"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following tables present net interest income, interest spread and net interest margin for the three years 2023 through 2025, comparing average outstanding balances of earning assets and interest-bearing liabilities with the associated interest income and expense. The tables show the corresponding average rates of interest earned and paid. Average outstanding loan balances include non-performing loans, real estate loans held for sale and carrying value adjustments related to interest rate swaps of $1.7, $1.1, and $2.7 million for 2025, 2024 and 2023, respectively. Average outstanding security balances are computed based on carrying values including unrealized gains and losses on available-for-sale securities.</w:t>
      </w:r>
    </w:p>
    <w:p>
      <w:pPr>
        <w:spacing w:after="0" w:line="243"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yield on tax-exempt investment securities shown in the following charts were computed on a tax equivalent basis. The yield on loans has also been tax adjusted for the portion of tax-exempt IDB loans included in the total. Total interest earning assets is therefore also reflecting a tax equivalent yield in both line items, also within the net interest spread and margin. The adjustments were based on a 21% tax rate for all years. The tax-exempt interest income was $697, $503, and $590 thousand for 2025, 2024 and 2023, respectively which resulted in a federal income tax savings of $121, $106, and $124 thousand, respectively.</w:t>
      </w:r>
    </w:p>
    <w:p>
      <w:pPr>
        <w:spacing w:after="0" w:line="365"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2025</w:t>
            </w:r>
          </w:p>
        </w:tc>
        <w:tc>
          <w:tcPr>
            <w:tcW w:w="1140" w:type="dxa"/>
            <w:vAlign w:val="bottom"/>
          </w:tcPr>
          <w:p>
            <w:pPr>
              <w:spacing w:after="0"/>
              <w:rPr>
                <w:sz w:val="18"/>
                <w:szCs w:val="18"/>
                <w:color w:val="auto"/>
              </w:rPr>
            </w:pPr>
          </w:p>
        </w:tc>
      </w:tr>
      <w:tr>
        <w:trPr>
          <w:trHeight w:val="294"/>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3"/>
          </w:tcPr>
          <w:p>
            <w:pPr>
              <w:jc w:val="right"/>
              <w:ind w:right="470"/>
              <w:spacing w:after="0"/>
              <w:rPr>
                <w:sz w:val="20"/>
                <w:szCs w:val="20"/>
                <w:color w:val="auto"/>
              </w:rPr>
            </w:pPr>
            <w:r>
              <w:rPr>
                <w:rFonts w:ascii="Arial" w:cs="Arial" w:eastAsia="Arial" w:hAnsi="Arial"/>
                <w:sz w:val="18"/>
                <w:szCs w:val="18"/>
                <w:color w:val="auto"/>
              </w:rPr>
              <w:t>(In Thousands)</w:t>
            </w:r>
          </w:p>
        </w:tc>
        <w:tc>
          <w:tcPr>
            <w:tcW w:w="1140" w:type="dxa"/>
            <w:vAlign w:val="bottom"/>
          </w:tcPr>
          <w:p>
            <w:pPr>
              <w:spacing w:after="0"/>
              <w:rPr>
                <w:sz w:val="24"/>
                <w:szCs w:val="24"/>
                <w:color w:val="auto"/>
              </w:rPr>
            </w:pPr>
          </w:p>
        </w:tc>
      </w:tr>
      <w:tr>
        <w:trPr>
          <w:trHeight w:val="294"/>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2"/>
              </w:rPr>
              <w:t>Average</w:t>
            </w:r>
          </w:p>
        </w:tc>
        <w:tc>
          <w:tcPr>
            <w:tcW w:w="220" w:type="dxa"/>
            <w:vAlign w:val="bottom"/>
          </w:tcPr>
          <w:p>
            <w:pPr>
              <w:spacing w:after="0"/>
              <w:rPr>
                <w:sz w:val="24"/>
                <w:szCs w:val="24"/>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color w:val="auto"/>
                <w:w w:val="89"/>
              </w:rPr>
              <w:t>Interest/</w:t>
            </w:r>
          </w:p>
        </w:tc>
        <w:tc>
          <w:tcPr>
            <w:tcW w:w="1140" w:type="dxa"/>
            <w:vAlign w:val="bottom"/>
          </w:tcPr>
          <w:p>
            <w:pPr>
              <w:spacing w:after="0"/>
              <w:rPr>
                <w:sz w:val="24"/>
                <w:szCs w:val="24"/>
                <w:color w:val="auto"/>
              </w:rPr>
            </w:pPr>
          </w:p>
        </w:tc>
      </w:tr>
      <w:tr>
        <w:trPr>
          <w:trHeight w:val="284"/>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w w:val="92"/>
              </w:rPr>
              <w:t>Balance</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3"/>
              </w:rPr>
              <w:t>Dividends</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Yield/Rate</w:t>
            </w:r>
          </w:p>
        </w:tc>
      </w:tr>
      <w:tr>
        <w:trPr>
          <w:trHeight w:val="46"/>
        </w:trPr>
        <w:tc>
          <w:tcPr>
            <w:tcW w:w="4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4"/>
        </w:trPr>
        <w:tc>
          <w:tcPr>
            <w:tcW w:w="4160" w:type="dxa"/>
            <w:vAlign w:val="bottom"/>
            <w:tcBorders>
              <w:bottom w:val="single" w:sz="8" w:color="CFF0FC"/>
            </w:tcBorders>
            <w:shd w:val="clear" w:color="auto" w:fill="CFF0FC"/>
          </w:tcPr>
          <w:p>
            <w:pPr>
              <w:ind w:left="17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r>
      <w:tr>
        <w:trPr>
          <w:trHeight w:val="248"/>
        </w:trPr>
        <w:tc>
          <w:tcPr>
            <w:tcW w:w="416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6"/>
        </w:trPr>
        <w:tc>
          <w:tcPr>
            <w:tcW w:w="4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Loans</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4"/>
              </w:rPr>
              <w:t>2,632,363</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158,614</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6.03%</w:t>
            </w:r>
          </w:p>
        </w:tc>
      </w:tr>
      <w:tr>
        <w:trPr>
          <w:trHeight w:val="248"/>
        </w:trPr>
        <w:tc>
          <w:tcPr>
            <w:tcW w:w="4160" w:type="dxa"/>
            <w:vAlign w:val="bottom"/>
          </w:tcPr>
          <w:p>
            <w:pPr>
              <w:ind w:left="80"/>
              <w:spacing w:after="0"/>
              <w:rPr>
                <w:sz w:val="20"/>
                <w:szCs w:val="20"/>
                <w:color w:val="auto"/>
              </w:rPr>
            </w:pPr>
            <w:r>
              <w:rPr>
                <w:rFonts w:ascii="Arial" w:cs="Arial" w:eastAsia="Arial" w:hAnsi="Arial"/>
                <w:sz w:val="18"/>
                <w:szCs w:val="18"/>
                <w:color w:val="auto"/>
              </w:rPr>
              <w:t>Taxable investment securities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450,636</w:t>
            </w: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11,202</w:t>
            </w:r>
          </w:p>
        </w:tc>
        <w:tc>
          <w:tcPr>
            <w:tcW w:w="114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36"/>
        </w:trPr>
        <w:tc>
          <w:tcPr>
            <w:tcW w:w="4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Tax-exempt investment securities</w:t>
            </w:r>
          </w:p>
        </w:tc>
        <w:tc>
          <w:tcPr>
            <w:tcW w:w="2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16,473</w:t>
            </w:r>
          </w:p>
        </w:tc>
        <w:tc>
          <w:tcPr>
            <w:tcW w:w="2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296</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2.27%</w:t>
            </w:r>
          </w:p>
        </w:tc>
      </w:tr>
      <w:tr>
        <w:trPr>
          <w:trHeight w:val="258"/>
        </w:trPr>
        <w:tc>
          <w:tcPr>
            <w:tcW w:w="4160" w:type="dxa"/>
            <w:vAlign w:val="bottom"/>
          </w:tcPr>
          <w:p>
            <w:pPr>
              <w:ind w:left="80"/>
              <w:spacing w:after="0"/>
              <w:rPr>
                <w:sz w:val="20"/>
                <w:szCs w:val="20"/>
                <w:color w:val="auto"/>
              </w:rPr>
            </w:pPr>
            <w:r>
              <w:rPr>
                <w:rFonts w:ascii="Arial" w:cs="Arial" w:eastAsia="Arial" w:hAnsi="Arial"/>
                <w:sz w:val="18"/>
                <w:szCs w:val="18"/>
                <w:color w:val="auto"/>
              </w:rPr>
              <w:t>Federal funds sold and other</w:t>
            </w:r>
          </w:p>
        </w:tc>
        <w:tc>
          <w:tcPr>
            <w:tcW w:w="24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84,017</w:t>
            </w:r>
          </w:p>
        </w:tc>
        <w:tc>
          <w:tcPr>
            <w:tcW w:w="22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3,432</w:t>
            </w:r>
          </w:p>
        </w:tc>
        <w:tc>
          <w:tcPr>
            <w:tcW w:w="114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36"/>
        </w:trPr>
        <w:tc>
          <w:tcPr>
            <w:tcW w:w="4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9"/>
        </w:trPr>
        <w:tc>
          <w:tcPr>
            <w:tcW w:w="41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b w:val="1"/>
                <w:bCs w:val="1"/>
                <w:color w:val="auto"/>
              </w:rPr>
              <w:t>Total Interest Earning Assets</w:t>
            </w:r>
          </w:p>
        </w:tc>
        <w:tc>
          <w:tcPr>
            <w:tcW w:w="2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4"/>
              </w:rPr>
              <w:t>3,183,489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173,544</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5.45%</w:t>
            </w:r>
          </w:p>
        </w:tc>
      </w:tr>
      <w:tr>
        <w:trPr>
          <w:trHeight w:val="248"/>
        </w:trPr>
        <w:tc>
          <w:tcPr>
            <w:tcW w:w="4160" w:type="dxa"/>
            <w:vAlign w:val="bottom"/>
          </w:tcPr>
          <w:p>
            <w:pPr>
              <w:spacing w:after="0"/>
              <w:rPr>
                <w:sz w:val="20"/>
                <w:szCs w:val="20"/>
                <w:color w:val="auto"/>
              </w:rPr>
            </w:pPr>
            <w:r>
              <w:rPr>
                <w:rFonts w:ascii="Arial" w:cs="Arial" w:eastAsia="Arial" w:hAnsi="Arial"/>
                <w:sz w:val="18"/>
                <w:szCs w:val="18"/>
                <w:b w:val="1"/>
                <w:bCs w:val="1"/>
                <w:color w:val="auto"/>
              </w:rPr>
              <w:t>Noninterest Earning Assets: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6"/>
        </w:trPr>
        <w:tc>
          <w:tcPr>
            <w:tcW w:w="4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47,096</w:t>
            </w:r>
          </w:p>
        </w:tc>
        <w:tc>
          <w:tcPr>
            <w:tcW w:w="2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r>
      <w:tr>
        <w:trPr>
          <w:trHeight w:val="248"/>
        </w:trPr>
        <w:tc>
          <w:tcPr>
            <w:tcW w:w="4160" w:type="dxa"/>
            <w:vAlign w:val="bottom"/>
          </w:tcPr>
          <w:p>
            <w:pPr>
              <w:ind w:left="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133,462</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6"/>
        </w:trPr>
        <w:tc>
          <w:tcPr>
            <w:tcW w:w="4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48"/>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4"/>
              </w:rPr>
              <w:t>3,364,047</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81"/>
        </w:trPr>
        <w:tc>
          <w:tcPr>
            <w:tcW w:w="41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r>
      <w:tr>
        <w:trPr>
          <w:trHeight w:val="248"/>
        </w:trPr>
        <w:tc>
          <w:tcPr>
            <w:tcW w:w="4160" w:type="dxa"/>
            <w:vAlign w:val="bottom"/>
          </w:tcPr>
          <w:p>
            <w:pPr>
              <w:ind w:left="1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6"/>
        </w:trPr>
        <w:tc>
          <w:tcPr>
            <w:tcW w:w="4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Interest-Bearing Liabilities:</w:t>
            </w:r>
          </w:p>
        </w:tc>
        <w:tc>
          <w:tcPr>
            <w:tcW w:w="2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r>
      <w:tr>
        <w:trPr>
          <w:trHeight w:val="248"/>
        </w:trPr>
        <w:tc>
          <w:tcPr>
            <w:tcW w:w="4160" w:type="dxa"/>
            <w:vAlign w:val="bottom"/>
          </w:tcPr>
          <w:p>
            <w:pPr>
              <w:ind w:left="80"/>
              <w:spacing w:after="0"/>
              <w:rPr>
                <w:sz w:val="20"/>
                <w:szCs w:val="20"/>
                <w:color w:val="auto"/>
              </w:rPr>
            </w:pPr>
            <w:r>
              <w:rPr>
                <w:rFonts w:ascii="Arial" w:cs="Arial" w:eastAsia="Arial" w:hAnsi="Arial"/>
                <w:sz w:val="18"/>
                <w:szCs w:val="18"/>
                <w:color w:val="auto"/>
              </w:rPr>
              <w:t>NOW accounts and savings deposits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1,579,552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37,314</w:t>
            </w:r>
          </w:p>
        </w:tc>
        <w:tc>
          <w:tcPr>
            <w:tcW w:w="114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36"/>
        </w:trPr>
        <w:tc>
          <w:tcPr>
            <w:tcW w:w="4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Time deposits</w:t>
            </w:r>
          </w:p>
        </w:tc>
        <w:tc>
          <w:tcPr>
            <w:tcW w:w="2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618,230</w:t>
            </w:r>
          </w:p>
        </w:tc>
        <w:tc>
          <w:tcPr>
            <w:tcW w:w="2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20,865</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3.37%</w:t>
            </w:r>
          </w:p>
        </w:tc>
      </w:tr>
      <w:tr>
        <w:trPr>
          <w:trHeight w:val="248"/>
        </w:trPr>
        <w:tc>
          <w:tcPr>
            <w:tcW w:w="4160" w:type="dxa"/>
            <w:vAlign w:val="bottom"/>
          </w:tcPr>
          <w:p>
            <w:pPr>
              <w:ind w:left="80"/>
              <w:spacing w:after="0"/>
              <w:rPr>
                <w:sz w:val="20"/>
                <w:szCs w:val="20"/>
                <w:color w:val="auto"/>
              </w:rPr>
            </w:pPr>
            <w:r>
              <w:rPr>
                <w:rFonts w:ascii="Arial" w:cs="Arial" w:eastAsia="Arial" w:hAnsi="Arial"/>
                <w:sz w:val="18"/>
                <w:szCs w:val="18"/>
                <w:color w:val="auto"/>
              </w:rPr>
              <w:t>Borrowed funds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212,720</w:t>
            </w: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8,893</w:t>
            </w:r>
          </w:p>
        </w:tc>
        <w:tc>
          <w:tcPr>
            <w:tcW w:w="114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36"/>
        </w:trPr>
        <w:tc>
          <w:tcPr>
            <w:tcW w:w="4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8"/>
        </w:trPr>
        <w:tc>
          <w:tcPr>
            <w:tcW w:w="4160" w:type="dxa"/>
            <w:vAlign w:val="bottom"/>
            <w:shd w:val="clear" w:color="auto" w:fill="CFF0FC"/>
          </w:tcPr>
          <w:p>
            <w:pPr>
              <w:ind w:left="80"/>
              <w:spacing w:after="0"/>
              <w:rPr>
                <w:sz w:val="20"/>
                <w:szCs w:val="20"/>
                <w:color w:val="auto"/>
              </w:rPr>
            </w:pPr>
            <w:r>
              <w:rPr>
                <w:rFonts w:ascii="Arial" w:cs="Arial" w:eastAsia="Arial" w:hAnsi="Arial"/>
                <w:sz w:val="18"/>
                <w:szCs w:val="18"/>
                <w:color w:val="auto"/>
              </w:rPr>
              <w:t>Federal funds purchased and securities sold under</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86"/>
        </w:trPr>
        <w:tc>
          <w:tcPr>
            <w:tcW w:w="4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agreement to repurchase</w:t>
            </w:r>
          </w:p>
        </w:tc>
        <w:tc>
          <w:tcPr>
            <w:tcW w:w="2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26,263</w:t>
            </w:r>
          </w:p>
        </w:tc>
        <w:tc>
          <w:tcPr>
            <w:tcW w:w="2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1,042</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3.97%</w:t>
            </w:r>
          </w:p>
        </w:tc>
      </w:tr>
      <w:tr>
        <w:trPr>
          <w:trHeight w:val="258"/>
        </w:trPr>
        <w:tc>
          <w:tcPr>
            <w:tcW w:w="4160" w:type="dxa"/>
            <w:vAlign w:val="bottom"/>
          </w:tcPr>
          <w:p>
            <w:pPr>
              <w:ind w:left="80"/>
              <w:spacing w:after="0"/>
              <w:rPr>
                <w:sz w:val="20"/>
                <w:szCs w:val="20"/>
                <w:color w:val="auto"/>
              </w:rPr>
            </w:pPr>
            <w:r>
              <w:rPr>
                <w:rFonts w:ascii="Arial" w:cs="Arial" w:eastAsia="Arial" w:hAnsi="Arial"/>
                <w:sz w:val="18"/>
                <w:szCs w:val="18"/>
                <w:color w:val="auto"/>
              </w:rPr>
              <w:t>Subordinated notes</w:t>
            </w:r>
          </w:p>
        </w:tc>
        <w:tc>
          <w:tcPr>
            <w:tcW w:w="24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34,871</w:t>
            </w:r>
          </w:p>
        </w:tc>
        <w:tc>
          <w:tcPr>
            <w:tcW w:w="22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1,138</w:t>
            </w:r>
          </w:p>
        </w:tc>
        <w:tc>
          <w:tcPr>
            <w:tcW w:w="114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36"/>
        </w:trPr>
        <w:tc>
          <w:tcPr>
            <w:tcW w:w="4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9"/>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Interest-Bearing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4"/>
              </w:rPr>
              <w:t>2,471,636</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69,252</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2.80%</w:t>
            </w:r>
          </w:p>
        </w:tc>
      </w:tr>
      <w:tr>
        <w:trPr>
          <w:trHeight w:val="248"/>
        </w:trPr>
        <w:tc>
          <w:tcPr>
            <w:tcW w:w="4160" w:type="dxa"/>
            <w:vAlign w:val="bottom"/>
          </w:tcPr>
          <w:p>
            <w:pPr>
              <w:spacing w:after="0"/>
              <w:rPr>
                <w:sz w:val="20"/>
                <w:szCs w:val="20"/>
                <w:color w:val="auto"/>
              </w:rPr>
            </w:pPr>
            <w:r>
              <w:rPr>
                <w:rFonts w:ascii="Arial" w:cs="Arial" w:eastAsia="Arial" w:hAnsi="Arial"/>
                <w:sz w:val="18"/>
                <w:szCs w:val="18"/>
                <w:b w:val="1"/>
                <w:bCs w:val="1"/>
                <w:color w:val="auto"/>
              </w:rPr>
              <w:t>Noninterest-Bearing Liabilities: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6"/>
        </w:trPr>
        <w:tc>
          <w:tcPr>
            <w:tcW w:w="4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Noninterest-bearing demand deposits</w:t>
            </w:r>
          </w:p>
        </w:tc>
        <w:tc>
          <w:tcPr>
            <w:tcW w:w="2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501,423</w:t>
            </w:r>
          </w:p>
        </w:tc>
        <w:tc>
          <w:tcPr>
            <w:tcW w:w="2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r>
      <w:tr>
        <w:trPr>
          <w:trHeight w:val="248"/>
        </w:trPr>
        <w:tc>
          <w:tcPr>
            <w:tcW w:w="4160" w:type="dxa"/>
            <w:vAlign w:val="bottom"/>
          </w:tcPr>
          <w:p>
            <w:pPr>
              <w:ind w:left="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37,688</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-4786630</wp:posOffset>
            </wp:positionV>
            <wp:extent cx="194564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4">
                      <a:extLst>
                        <a:ext uri="{28A0092B-C50C-407E-A947-70E740481C1C}"/>
                      </a:extLst>
                    </a:blip>
                    <a:srcRect/>
                    <a:stretch>
                      <a:fillRect/>
                    </a:stretch>
                  </pic:blipFill>
                  <pic:spPr bwMode="auto">
                    <a:xfrm>
                      <a:off x="0" y="0"/>
                      <a:ext cx="1945640" cy="6350"/>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-4599305</wp:posOffset>
            </wp:positionV>
            <wp:extent cx="127508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5">
                      <a:extLst>
                        <a:ext uri="{28A0092B-C50C-407E-A947-70E740481C1C}"/>
                      </a:extLst>
                    </a:blip>
                    <a:srcRect/>
                    <a:stretch>
                      <a:fillRect/>
                    </a:stretch>
                  </pic:blipFill>
                  <pic:spPr bwMode="auto">
                    <a:xfrm>
                      <a:off x="0" y="0"/>
                      <a:ext cx="1275080" cy="6350"/>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-4232275</wp:posOffset>
            </wp:positionV>
            <wp:extent cx="194564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a:extLst>
                        <a:ext uri="{28A0092B-C50C-407E-A947-70E740481C1C}"/>
                      </a:extLst>
                    </a:blip>
                    <a:srcRect/>
                    <a:stretch>
                      <a:fillRect/>
                    </a:stretch>
                  </pic:blipFill>
                  <pic:spPr bwMode="auto">
                    <a:xfrm>
                      <a:off x="0" y="0"/>
                      <a:ext cx="1945640" cy="6350"/>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-3141980</wp:posOffset>
            </wp:positionV>
            <wp:extent cx="127508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7">
                      <a:extLst>
                        <a:ext uri="{28A0092B-C50C-407E-A947-70E740481C1C}"/>
                      </a:extLst>
                    </a:blip>
                    <a:srcRect/>
                    <a:stretch>
                      <a:fillRect/>
                    </a:stretch>
                  </pic:blipFill>
                  <pic:spPr bwMode="auto">
                    <a:xfrm>
                      <a:off x="0" y="0"/>
                      <a:ext cx="1275080" cy="6350"/>
                    </a:xfrm>
                    <a:prstGeom prst="rect">
                      <a:avLst/>
                    </a:prstGeom>
                    <a:noFill/>
                  </pic:spPr>
                </pic:pic>
              </a:graphicData>
            </a:graphic>
          </wp:anchor>
        </w:drawing>
        <w:drawing>
          <wp:anchor simplePos="0" relativeHeight="251657728" behindDoc="1" locked="0" layoutInCell="0" allowOverlap="1">
            <wp:simplePos x="0" y="0"/>
            <wp:positionH relativeFrom="column">
              <wp:posOffset>4013200</wp:posOffset>
            </wp:positionH>
            <wp:positionV relativeFrom="paragraph">
              <wp:posOffset>-2955290</wp:posOffset>
            </wp:positionV>
            <wp:extent cx="1353820" cy="28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8">
                      <a:extLst>
                        <a:ext uri="{28A0092B-C50C-407E-A947-70E740481C1C}"/>
                      </a:extLst>
                    </a:blip>
                    <a:srcRect/>
                    <a:stretch>
                      <a:fillRect/>
                    </a:stretch>
                  </pic:blipFill>
                  <pic:spPr bwMode="auto">
                    <a:xfrm>
                      <a:off x="0" y="0"/>
                      <a:ext cx="1353820" cy="2857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-2385060</wp:posOffset>
            </wp:positionV>
            <wp:extent cx="58166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9">
                      <a:extLst>
                        <a:ext uri="{28A0092B-C50C-407E-A947-70E740481C1C}"/>
                      </a:extLst>
                    </a:blip>
                    <a:srcRect/>
                    <a:stretch>
                      <a:fillRect/>
                    </a:stretch>
                  </pic:blipFill>
                  <pic:spPr bwMode="auto">
                    <a:xfrm>
                      <a:off x="0" y="0"/>
                      <a:ext cx="581660" cy="6350"/>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-2197735</wp:posOffset>
            </wp:positionV>
            <wp:extent cx="628650" cy="28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a:extLst>
                        <a:ext uri="{28A0092B-C50C-407E-A947-70E740481C1C}"/>
                      </a:extLst>
                    </a:blip>
                    <a:srcRect/>
                    <a:stretch>
                      <a:fillRect/>
                    </a:stretch>
                  </pic:blipFill>
                  <pic:spPr bwMode="auto">
                    <a:xfrm>
                      <a:off x="0" y="0"/>
                      <a:ext cx="628650" cy="2857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-733425</wp:posOffset>
            </wp:positionV>
            <wp:extent cx="127508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1">
                      <a:extLst>
                        <a:ext uri="{28A0092B-C50C-407E-A947-70E740481C1C}"/>
                      </a:extLst>
                    </a:blip>
                    <a:srcRect/>
                    <a:stretch>
                      <a:fillRect/>
                    </a:stretch>
                  </pic:blipFill>
                  <pic:spPr bwMode="auto">
                    <a:xfrm>
                      <a:off x="0" y="0"/>
                      <a:ext cx="1275080" cy="6350"/>
                    </a:xfrm>
                    <a:prstGeom prst="rect">
                      <a:avLst/>
                    </a:prstGeom>
                    <a:noFill/>
                  </pic:spPr>
                </pic:pic>
              </a:graphicData>
            </a:graphic>
          </wp:anchor>
        </w:drawing>
        <w:drawing>
          <wp:anchor simplePos="0" relativeHeight="251657728" behindDoc="1" locked="0" layoutInCell="0" allowOverlap="1">
            <wp:simplePos x="0" y="0"/>
            <wp:positionH relativeFrom="column">
              <wp:posOffset>4013200</wp:posOffset>
            </wp:positionH>
            <wp:positionV relativeFrom="paragraph">
              <wp:posOffset>-546735</wp:posOffset>
            </wp:positionV>
            <wp:extent cx="1353820" cy="28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2">
                      <a:extLst>
                        <a:ext uri="{28A0092B-C50C-407E-A947-70E740481C1C}"/>
                      </a:extLst>
                    </a:blip>
                    <a:srcRect/>
                    <a:stretch>
                      <a:fillRect/>
                    </a:stretch>
                  </pic:blipFill>
                  <pic:spPr bwMode="auto">
                    <a:xfrm>
                      <a:off x="0" y="0"/>
                      <a:ext cx="1353820" cy="2857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22860</wp:posOffset>
            </wp:positionV>
            <wp:extent cx="58166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3">
                      <a:extLst>
                        <a:ext uri="{28A0092B-C50C-407E-A947-70E740481C1C}"/>
                      </a:extLst>
                    </a:blip>
                    <a:srcRect/>
                    <a:stretch>
                      <a:fillRect/>
                    </a:stretch>
                  </pic:blipFill>
                  <pic:spPr bwMode="auto">
                    <a:xfrm>
                      <a:off x="0" y="0"/>
                      <a:ext cx="581660" cy="63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60 / 63</w:t>
      </w:r>
    </w:p>
    <w:p>
      <w:pPr>
        <w:sectPr>
          <w:pgSz w:w="11900" w:h="16838" w:orient="portrait"/>
          <w:cols w:equalWidth="0" w:num="1">
            <w:col w:w="9340"/>
          </w:cols>
          <w:pgMar w:left="1260" w:top="1440" w:right="1306" w:bottom="0" w:gutter="0" w:footer="0" w:header="0"/>
          <w:type w:val="continuous"/>
        </w:sectPr>
      </w:pPr>
    </w:p>
    <w:bookmarkStart w:id="60" w:name="page61"/>
    <w:bookmarkEnd w:id="60"/>
    <w:tbl>
      <w:tblPr>
        <w:tblLayout w:type="fixed"/>
        <w:tblInd w:w="760" w:type="dxa"/>
        <w:tblCellMar>
          <w:top w:w="0" w:type="dxa"/>
          <w:left w:w="0" w:type="dxa"/>
          <w:bottom w:w="0" w:type="dxa"/>
          <w:right w:w="0" w:type="dxa"/>
        </w:tblCellMar>
      </w:tblPr>
      <w:tr>
        <w:trPr>
          <w:trHeight w:val="274"/>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3760" w:type="dxa"/>
            <w:vAlign w:val="bottom"/>
            <w:tcBorders>
              <w:bottom w:val="single" w:sz="8" w:color="CFF0FC"/>
            </w:tcBorders>
            <w:shd w:val="clear" w:color="auto" w:fill="CFF0FC"/>
          </w:tcPr>
          <w:p>
            <w:pPr>
              <w:jc w:val="right"/>
              <w:ind w:right="2250"/>
              <w:spacing w:after="0"/>
              <w:rPr>
                <w:sz w:val="20"/>
                <w:szCs w:val="20"/>
                <w:color w:val="auto"/>
              </w:rPr>
            </w:pPr>
            <w:r>
              <w:rPr>
                <w:rFonts w:ascii="Arial" w:cs="Arial" w:eastAsia="Arial" w:hAnsi="Arial"/>
                <w:sz w:val="18"/>
                <w:szCs w:val="18"/>
                <w:color w:val="auto"/>
              </w:rPr>
              <w:t>3,010,747</w:t>
            </w:r>
          </w:p>
        </w:tc>
      </w:tr>
      <w:tr>
        <w:trPr>
          <w:trHeight w:val="248"/>
        </w:trPr>
        <w:tc>
          <w:tcPr>
            <w:tcW w:w="37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760" w:type="dxa"/>
            <w:vAlign w:val="bottom"/>
          </w:tcPr>
          <w:p>
            <w:pPr>
              <w:jc w:val="right"/>
              <w:ind w:right="2250"/>
              <w:spacing w:after="0"/>
              <w:rPr>
                <w:sz w:val="20"/>
                <w:szCs w:val="20"/>
                <w:color w:val="auto"/>
              </w:rPr>
            </w:pPr>
            <w:r>
              <w:rPr>
                <w:rFonts w:ascii="Arial" w:cs="Arial" w:eastAsia="Arial" w:hAnsi="Arial"/>
                <w:sz w:val="18"/>
                <w:szCs w:val="18"/>
                <w:color w:val="auto"/>
              </w:rPr>
              <w:t>353,300</w:t>
            </w:r>
          </w:p>
        </w:tc>
      </w:tr>
      <w:tr>
        <w:trPr>
          <w:trHeight w:val="46"/>
        </w:trPr>
        <w:tc>
          <w:tcPr>
            <w:tcW w:w="376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48"/>
        </w:trPr>
        <w:tc>
          <w:tcPr>
            <w:tcW w:w="3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760" w:type="dxa"/>
            <w:vAlign w:val="bottom"/>
            <w:shd w:val="clear" w:color="auto" w:fill="CFF0FC"/>
          </w:tcPr>
          <w:p>
            <w:pPr>
              <w:jc w:val="right"/>
              <w:ind w:right="2250"/>
              <w:spacing w:after="0"/>
              <w:rPr>
                <w:sz w:val="20"/>
                <w:szCs w:val="20"/>
                <w:color w:val="auto"/>
              </w:rPr>
            </w:pPr>
            <w:r>
              <w:rPr>
                <w:rFonts w:ascii="Arial" w:cs="Arial" w:eastAsia="Arial" w:hAnsi="Arial"/>
                <w:sz w:val="18"/>
                <w:szCs w:val="18"/>
                <w:color w:val="auto"/>
              </w:rPr>
              <w:t>$ 3,364,047</w:t>
            </w:r>
          </w:p>
        </w:tc>
      </w:tr>
      <w:tr>
        <w:trPr>
          <w:trHeight w:val="81"/>
        </w:trPr>
        <w:tc>
          <w:tcPr>
            <w:tcW w:w="3760" w:type="dxa"/>
            <w:vAlign w:val="bottom"/>
            <w:shd w:val="clear" w:color="auto" w:fill="CFF0FC"/>
          </w:tcPr>
          <w:p>
            <w:pPr>
              <w:spacing w:after="0"/>
              <w:rPr>
                <w:sz w:val="7"/>
                <w:szCs w:val="7"/>
                <w:color w:val="auto"/>
              </w:rPr>
            </w:pPr>
          </w:p>
        </w:tc>
        <w:tc>
          <w:tcPr>
            <w:tcW w:w="376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-401955</wp:posOffset>
            </wp:positionV>
            <wp:extent cx="62865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4">
                      <a:extLst>
                        <a:ext uri="{28A0092B-C50C-407E-A947-70E740481C1C}"/>
                      </a:extLst>
                    </a:blip>
                    <a:srcRect/>
                    <a:stretch>
                      <a:fillRect/>
                    </a:stretch>
                  </pic:blipFill>
                  <pic:spPr bwMode="auto">
                    <a:xfrm>
                      <a:off x="0" y="0"/>
                      <a:ext cx="628650" cy="635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-214630</wp:posOffset>
            </wp:positionV>
            <wp:extent cx="58166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5">
                      <a:extLst>
                        <a:ext uri="{28A0092B-C50C-407E-A947-70E740481C1C}"/>
                      </a:extLst>
                    </a:blip>
                    <a:srcRect/>
                    <a:stretch>
                      <a:fillRect/>
                    </a:stretch>
                  </pic:blipFill>
                  <pic:spPr bwMode="auto">
                    <a:xfrm>
                      <a:off x="0" y="0"/>
                      <a:ext cx="581660" cy="635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-27940</wp:posOffset>
            </wp:positionV>
            <wp:extent cx="628650" cy="28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6">
                      <a:extLst>
                        <a:ext uri="{28A0092B-C50C-407E-A947-70E740481C1C}"/>
                      </a:extLst>
                    </a:blip>
                    <a:srcRect/>
                    <a:stretch>
                      <a:fillRect/>
                    </a:stretch>
                  </pic:blipFill>
                  <pic:spPr bwMode="auto">
                    <a:xfrm>
                      <a:off x="0" y="0"/>
                      <a:ext cx="628650" cy="28575"/>
                    </a:xfrm>
                    <a:prstGeom prst="rect">
                      <a:avLst/>
                    </a:prstGeom>
                    <a:noFill/>
                  </pic:spPr>
                </pic:pic>
              </a:graphicData>
            </a:graphic>
          </wp:anchor>
        </w:drawing>
      </w:r>
    </w:p>
    <w:p>
      <w:pPr>
        <w:spacing w:after="0" w:line="21"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Arial" w:cs="Arial" w:eastAsia="Arial" w:hAnsi="Arial"/>
                <w:sz w:val="18"/>
                <w:szCs w:val="18"/>
                <w:color w:val="auto"/>
              </w:rPr>
              <w:t>Interest/Dividend income/yield</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173,544</w:t>
            </w:r>
          </w:p>
        </w:tc>
        <w:tc>
          <w:tcPr>
            <w:tcW w:w="88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36"/>
        </w:trPr>
        <w:tc>
          <w:tcPr>
            <w:tcW w:w="38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74"/>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Expense/cost</w:t>
            </w:r>
          </w:p>
        </w:tc>
        <w:tc>
          <w:tcPr>
            <w:tcW w:w="178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rPr>
              <w:t>69,252</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2.80%</w:t>
            </w:r>
          </w:p>
        </w:tc>
      </w:tr>
      <w:tr>
        <w:trPr>
          <w:trHeight w:val="248"/>
        </w:trPr>
        <w:tc>
          <w:tcPr>
            <w:tcW w:w="3800" w:type="dxa"/>
            <w:vAlign w:val="bottom"/>
          </w:tcPr>
          <w:p>
            <w:pPr>
              <w:spacing w:after="0"/>
              <w:rPr>
                <w:sz w:val="20"/>
                <w:szCs w:val="20"/>
                <w:color w:val="auto"/>
              </w:rPr>
            </w:pPr>
            <w:r>
              <w:rPr>
                <w:rFonts w:ascii="Arial" w:cs="Arial" w:eastAsia="Arial" w:hAnsi="Arial"/>
                <w:sz w:val="18"/>
                <w:szCs w:val="18"/>
                <w:color w:val="auto"/>
              </w:rPr>
              <w:t>Net Interest Spread</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104,292</w:t>
            </w:r>
          </w:p>
        </w:tc>
        <w:tc>
          <w:tcPr>
            <w:tcW w:w="8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81"/>
        </w:trPr>
        <w:tc>
          <w:tcPr>
            <w:tcW w:w="38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48"/>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Interest Margin</w:t>
            </w:r>
          </w:p>
        </w:tc>
        <w:tc>
          <w:tcPr>
            <w:tcW w:w="17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r>
      <w:tr>
        <w:trPr>
          <w:trHeight w:val="81"/>
        </w:trPr>
        <w:tc>
          <w:tcPr>
            <w:tcW w:w="3800" w:type="dxa"/>
            <w:vAlign w:val="bottom"/>
            <w:shd w:val="clear" w:color="auto" w:fill="CFF0FC"/>
          </w:tcPr>
          <w:p>
            <w:pPr>
              <w:spacing w:after="0"/>
              <w:rPr>
                <w:sz w:val="7"/>
                <w:szCs w:val="7"/>
                <w:color w:val="auto"/>
              </w:rPr>
            </w:pPr>
          </w:p>
        </w:tc>
        <w:tc>
          <w:tcPr>
            <w:tcW w:w="178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-424180</wp:posOffset>
            </wp:positionV>
            <wp:extent cx="135382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7">
                      <a:extLst>
                        <a:ext uri="{28A0092B-C50C-407E-A947-70E740481C1C}"/>
                      </a:extLst>
                    </a:blip>
                    <a:srcRect/>
                    <a:stretch>
                      <a:fillRect/>
                    </a:stretch>
                  </pic:blipFill>
                  <pic:spPr bwMode="auto">
                    <a:xfrm>
                      <a:off x="0" y="0"/>
                      <a:ext cx="1353820" cy="635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-236855</wp:posOffset>
            </wp:positionV>
            <wp:extent cx="1249045" cy="28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8">
                      <a:extLst>
                        <a:ext uri="{28A0092B-C50C-407E-A947-70E740481C1C}"/>
                      </a:extLst>
                    </a:blip>
                    <a:srcRect/>
                    <a:stretch>
                      <a:fillRect/>
                    </a:stretch>
                  </pic:blipFill>
                  <pic:spPr bwMode="auto">
                    <a:xfrm>
                      <a:off x="0" y="0"/>
                      <a:ext cx="1249045" cy="2857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-27940</wp:posOffset>
            </wp:positionV>
            <wp:extent cx="680085" cy="28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9">
                      <a:extLst>
                        <a:ext uri="{28A0092B-C50C-407E-A947-70E740481C1C}"/>
                      </a:extLst>
                    </a:blip>
                    <a:srcRect/>
                    <a:stretch>
                      <a:fillRect/>
                    </a:stretch>
                  </pic:blipFill>
                  <pic:spPr bwMode="auto">
                    <a:xfrm>
                      <a:off x="0" y="0"/>
                      <a:ext cx="680085" cy="2857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3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61 / 63</w:t>
      </w:r>
    </w:p>
    <w:p>
      <w:pPr>
        <w:sectPr>
          <w:pgSz w:w="11900" w:h="16838" w:orient="portrait"/>
          <w:cols w:equalWidth="0" w:num="1">
            <w:col w:w="9026"/>
          </w:cols>
          <w:pgMar w:left="1440" w:top="1133" w:right="1440" w:bottom="0" w:gutter="0" w:footer="0" w:header="0"/>
          <w:type w:val="continuous"/>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2024</w:t>
            </w:r>
          </w:p>
        </w:tc>
        <w:tc>
          <w:tcPr>
            <w:tcW w:w="1180" w:type="dxa"/>
            <w:vAlign w:val="bottom"/>
          </w:tcPr>
          <w:p>
            <w:pPr>
              <w:spacing w:after="0"/>
              <w:rPr>
                <w:sz w:val="17"/>
                <w:szCs w:val="17"/>
                <w:color w:val="auto"/>
              </w:rPr>
            </w:pPr>
          </w:p>
        </w:tc>
      </w:tr>
      <w:tr>
        <w:trPr>
          <w:trHeight w:val="28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3"/>
          </w:tcPr>
          <w:p>
            <w:pPr>
              <w:jc w:val="right"/>
              <w:ind w:right="530"/>
              <w:spacing w:after="0"/>
              <w:rPr>
                <w:sz w:val="20"/>
                <w:szCs w:val="20"/>
                <w:color w:val="auto"/>
              </w:rPr>
            </w:pPr>
            <w:r>
              <w:rPr>
                <w:rFonts w:ascii="Arial" w:cs="Arial" w:eastAsia="Arial" w:hAnsi="Arial"/>
                <w:sz w:val="18"/>
                <w:szCs w:val="18"/>
                <w:color w:val="auto"/>
              </w:rPr>
              <w:t>(In Thousands)</w:t>
            </w:r>
          </w:p>
        </w:tc>
        <w:tc>
          <w:tcPr>
            <w:tcW w:w="1180" w:type="dxa"/>
            <w:vAlign w:val="bottom"/>
          </w:tcPr>
          <w:p>
            <w:pPr>
              <w:spacing w:after="0"/>
              <w:rPr>
                <w:sz w:val="24"/>
                <w:szCs w:val="24"/>
                <w:color w:val="auto"/>
              </w:rPr>
            </w:pPr>
          </w:p>
        </w:tc>
      </w:tr>
      <w:tr>
        <w:trPr>
          <w:trHeight w:val="28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5"/>
              </w:rPr>
              <w:t>Average</w:t>
            </w:r>
          </w:p>
        </w:tc>
        <w:tc>
          <w:tcPr>
            <w:tcW w:w="200" w:type="dxa"/>
            <w:vAlign w:val="bottom"/>
          </w:tcPr>
          <w:p>
            <w:pPr>
              <w:spacing w:after="0"/>
              <w:rPr>
                <w:sz w:val="24"/>
                <w:szCs w:val="24"/>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2"/>
              </w:rPr>
              <w:t>Interest/</w:t>
            </w:r>
          </w:p>
        </w:tc>
        <w:tc>
          <w:tcPr>
            <w:tcW w:w="1180" w:type="dxa"/>
            <w:vAlign w:val="bottom"/>
          </w:tcPr>
          <w:p>
            <w:pPr>
              <w:spacing w:after="0"/>
              <w:rPr>
                <w:sz w:val="24"/>
                <w:szCs w:val="24"/>
                <w:color w:val="auto"/>
              </w:rPr>
            </w:pPr>
          </w:p>
        </w:tc>
      </w:tr>
      <w:tr>
        <w:trPr>
          <w:trHeight w:val="270"/>
        </w:trPr>
        <w:tc>
          <w:tcPr>
            <w:tcW w:w="4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8"/>
              </w:rPr>
              <w:t>Balance</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3"/>
              </w:rPr>
              <w:t>Dividends</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Yield/Rate</w:t>
            </w:r>
          </w:p>
        </w:tc>
      </w:tr>
      <w:tr>
        <w:trPr>
          <w:trHeight w:val="46"/>
        </w:trPr>
        <w:tc>
          <w:tcPr>
            <w:tcW w:w="4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4060" w:type="dxa"/>
            <w:vAlign w:val="bottom"/>
            <w:tcBorders>
              <w:bottom w:val="single" w:sz="8" w:color="CFF0FC"/>
            </w:tcBorders>
            <w:shd w:val="clear" w:color="auto" w:fill="CFF0FC"/>
          </w:tcPr>
          <w:p>
            <w:pPr>
              <w:ind w:left="168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
        </w:trPr>
        <w:tc>
          <w:tcPr>
            <w:tcW w:w="4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40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Loans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2,557,213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145,329</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5.68%</w:t>
            </w:r>
          </w:p>
        </w:tc>
      </w:tr>
      <w:tr>
        <w:trPr>
          <w:trHeight w:val="234"/>
        </w:trPr>
        <w:tc>
          <w:tcPr>
            <w:tcW w:w="4060" w:type="dxa"/>
            <w:vAlign w:val="bottom"/>
          </w:tcPr>
          <w:p>
            <w:pPr>
              <w:ind w:left="60"/>
              <w:spacing w:after="0"/>
              <w:rPr>
                <w:sz w:val="20"/>
                <w:szCs w:val="20"/>
                <w:color w:val="auto"/>
              </w:rPr>
            </w:pPr>
            <w:r>
              <w:rPr>
                <w:rFonts w:ascii="Arial" w:cs="Arial" w:eastAsia="Arial" w:hAnsi="Arial"/>
                <w:sz w:val="18"/>
                <w:szCs w:val="18"/>
                <w:color w:val="auto"/>
              </w:rPr>
              <w:t>Taxable investment securities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410,764</w:t>
            </w: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8,129</w:t>
            </w:r>
          </w:p>
        </w:tc>
        <w:tc>
          <w:tcPr>
            <w:tcW w:w="11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36"/>
        </w:trPr>
        <w:tc>
          <w:tcPr>
            <w:tcW w:w="4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40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Tax-exempt investment securities</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20,154</w:t>
            </w: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328</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2.06%</w:t>
            </w:r>
          </w:p>
        </w:tc>
      </w:tr>
      <w:tr>
        <w:trPr>
          <w:trHeight w:val="244"/>
        </w:trPr>
        <w:tc>
          <w:tcPr>
            <w:tcW w:w="4060" w:type="dxa"/>
            <w:vAlign w:val="bottom"/>
          </w:tcPr>
          <w:p>
            <w:pPr>
              <w:ind w:left="60"/>
              <w:spacing w:after="0"/>
              <w:rPr>
                <w:sz w:val="20"/>
                <w:szCs w:val="20"/>
                <w:color w:val="auto"/>
              </w:rPr>
            </w:pPr>
            <w:r>
              <w:rPr>
                <w:rFonts w:ascii="Arial" w:cs="Arial" w:eastAsia="Arial" w:hAnsi="Arial"/>
                <w:sz w:val="18"/>
                <w:szCs w:val="18"/>
                <w:color w:val="auto"/>
              </w:rPr>
              <w:t>Federal funds sold and other</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176,307</w:t>
            </w: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9,786</w:t>
            </w:r>
          </w:p>
        </w:tc>
        <w:tc>
          <w:tcPr>
            <w:tcW w:w="118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36"/>
        </w:trPr>
        <w:tc>
          <w:tcPr>
            <w:tcW w:w="4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5"/>
        </w:trPr>
        <w:tc>
          <w:tcPr>
            <w:tcW w:w="40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b w:val="1"/>
                <w:bCs w:val="1"/>
                <w:color w:val="auto"/>
              </w:rPr>
              <w:t>Total Interest Earning Assets</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3,164,438</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163,572</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5.17%</w:t>
            </w:r>
          </w:p>
        </w:tc>
      </w:t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Noninterest Earning Assets: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
        </w:trPr>
        <w:tc>
          <w:tcPr>
            <w:tcW w:w="4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40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47,223</w:t>
            </w: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r>
      <w:tr>
        <w:trPr>
          <w:trHeight w:val="234"/>
        </w:trPr>
        <w:tc>
          <w:tcPr>
            <w:tcW w:w="4060" w:type="dxa"/>
            <w:vAlign w:val="bottom"/>
          </w:tcPr>
          <w:p>
            <w:pPr>
              <w:ind w:left="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117,241</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6"/>
        </w:trPr>
        <w:tc>
          <w:tcPr>
            <w:tcW w:w="4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34"/>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3,328,902</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r>
      <w:tr>
        <w:trPr>
          <w:trHeight w:val="81"/>
        </w:trPr>
        <w:tc>
          <w:tcPr>
            <w:tcW w:w="40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r>
      <w:tr>
        <w:trPr>
          <w:trHeight w:val="234"/>
        </w:trPr>
        <w:tc>
          <w:tcPr>
            <w:tcW w:w="4060" w:type="dxa"/>
            <w:vAlign w:val="bottom"/>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
        </w:trPr>
        <w:tc>
          <w:tcPr>
            <w:tcW w:w="4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Interest-Bearing Liabilities:</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r>
      <w:tr>
        <w:trPr>
          <w:trHeight w:val="234"/>
        </w:trPr>
        <w:tc>
          <w:tcPr>
            <w:tcW w:w="4060" w:type="dxa"/>
            <w:vAlign w:val="bottom"/>
          </w:tcPr>
          <w:p>
            <w:pPr>
              <w:ind w:left="60"/>
              <w:spacing w:after="0"/>
              <w:rPr>
                <w:sz w:val="20"/>
                <w:szCs w:val="20"/>
                <w:color w:val="auto"/>
              </w:rPr>
            </w:pPr>
            <w:r>
              <w:rPr>
                <w:rFonts w:ascii="Arial" w:cs="Arial" w:eastAsia="Arial" w:hAnsi="Arial"/>
                <w:sz w:val="18"/>
                <w:szCs w:val="18"/>
                <w:color w:val="auto"/>
              </w:rPr>
              <w:t>NOW accounts and savings deposits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1,502,365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39,750</w:t>
            </w:r>
          </w:p>
        </w:tc>
        <w:tc>
          <w:tcPr>
            <w:tcW w:w="11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36"/>
        </w:trPr>
        <w:tc>
          <w:tcPr>
            <w:tcW w:w="4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40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Time deposits</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663,320</w:t>
            </w: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24,713</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3.73%</w:t>
            </w:r>
          </w:p>
        </w:tc>
      </w:tr>
      <w:tr>
        <w:trPr>
          <w:trHeight w:val="234"/>
        </w:trPr>
        <w:tc>
          <w:tcPr>
            <w:tcW w:w="4060" w:type="dxa"/>
            <w:vAlign w:val="bottom"/>
          </w:tcPr>
          <w:p>
            <w:pPr>
              <w:ind w:left="60"/>
              <w:spacing w:after="0"/>
              <w:rPr>
                <w:sz w:val="20"/>
                <w:szCs w:val="20"/>
                <w:color w:val="auto"/>
              </w:rPr>
            </w:pPr>
            <w:r>
              <w:rPr>
                <w:rFonts w:ascii="Arial" w:cs="Arial" w:eastAsia="Arial" w:hAnsi="Arial"/>
                <w:sz w:val="18"/>
                <w:szCs w:val="18"/>
                <w:color w:val="auto"/>
              </w:rPr>
              <w:t>Borrowed funds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262,094</w:t>
            </w: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10,948</w:t>
            </w:r>
          </w:p>
        </w:tc>
        <w:tc>
          <w:tcPr>
            <w:tcW w:w="118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36"/>
        </w:trPr>
        <w:tc>
          <w:tcPr>
            <w:tcW w:w="4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4"/>
        </w:trPr>
        <w:tc>
          <w:tcPr>
            <w:tcW w:w="40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8"/>
              </w:rPr>
              <w:t>Federal funds purchased and securities sold under</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r>
      <w:tr>
        <w:trPr>
          <w:trHeight w:val="286"/>
        </w:trPr>
        <w:tc>
          <w:tcPr>
            <w:tcW w:w="4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agreement to repurchase</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27,750</w:t>
            </w:r>
          </w:p>
        </w:tc>
        <w:tc>
          <w:tcPr>
            <w:tcW w:w="2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1,111</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4.00%</w:t>
            </w:r>
          </w:p>
        </w:tc>
      </w:tr>
      <w:tr>
        <w:trPr>
          <w:trHeight w:val="244"/>
        </w:trPr>
        <w:tc>
          <w:tcPr>
            <w:tcW w:w="4060" w:type="dxa"/>
            <w:vAlign w:val="bottom"/>
          </w:tcPr>
          <w:p>
            <w:pPr>
              <w:ind w:left="60"/>
              <w:spacing w:after="0"/>
              <w:rPr>
                <w:sz w:val="20"/>
                <w:szCs w:val="20"/>
                <w:color w:val="auto"/>
              </w:rPr>
            </w:pPr>
            <w:r>
              <w:rPr>
                <w:rFonts w:ascii="Arial" w:cs="Arial" w:eastAsia="Arial" w:hAnsi="Arial"/>
                <w:sz w:val="18"/>
                <w:szCs w:val="18"/>
                <w:color w:val="auto"/>
              </w:rPr>
              <w:t>Subordinated notes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34,755</w:t>
            </w: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1,138</w:t>
            </w:r>
          </w:p>
        </w:tc>
        <w:tc>
          <w:tcPr>
            <w:tcW w:w="118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36"/>
        </w:trPr>
        <w:tc>
          <w:tcPr>
            <w:tcW w:w="4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5"/>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Interest-Bearing Liabilities</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2,490,284</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77,660</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3.12%</w:t>
            </w:r>
          </w:p>
        </w:tc>
      </w:t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Noninterest-Bearing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
        </w:trPr>
        <w:tc>
          <w:tcPr>
            <w:tcW w:w="4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40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Noninterest-bearing demand deposits</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479,059</w:t>
            </w: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r>
      <w:tr>
        <w:trPr>
          <w:trHeight w:val="234"/>
        </w:trPr>
        <w:tc>
          <w:tcPr>
            <w:tcW w:w="4060" w:type="dxa"/>
            <w:vAlign w:val="bottom"/>
          </w:tcPr>
          <w:p>
            <w:pPr>
              <w:ind w:left="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34,529</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6"/>
        </w:trPr>
        <w:tc>
          <w:tcPr>
            <w:tcW w:w="4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60"/>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3,003,872</w:t>
            </w:r>
          </w:p>
        </w:tc>
        <w:tc>
          <w:tcPr>
            <w:tcW w:w="2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325,030</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6"/>
        </w:trPr>
        <w:tc>
          <w:tcPr>
            <w:tcW w:w="4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34"/>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3,328,902</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r>
      <w:tr>
        <w:trPr>
          <w:trHeight w:val="81"/>
        </w:trPr>
        <w:tc>
          <w:tcPr>
            <w:tcW w:w="40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Interest/Dividend income/yield</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163,572</w:t>
            </w:r>
          </w:p>
        </w:tc>
        <w:tc>
          <w:tcPr>
            <w:tcW w:w="118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36"/>
        </w:trPr>
        <w:tc>
          <w:tcPr>
            <w:tcW w:w="4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0"/>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Expense/cost</w:t>
            </w:r>
          </w:p>
        </w:tc>
        <w:tc>
          <w:tcPr>
            <w:tcW w:w="2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77,660</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3.12%</w:t>
            </w:r>
          </w:p>
        </w:tc>
      </w:tr>
      <w:tr>
        <w:trPr>
          <w:trHeight w:val="234"/>
        </w:trPr>
        <w:tc>
          <w:tcPr>
            <w:tcW w:w="4060" w:type="dxa"/>
            <w:vAlign w:val="bottom"/>
          </w:tcPr>
          <w:p>
            <w:pPr>
              <w:spacing w:after="0"/>
              <w:rPr>
                <w:sz w:val="20"/>
                <w:szCs w:val="20"/>
                <w:color w:val="auto"/>
              </w:rPr>
            </w:pPr>
            <w:r>
              <w:rPr>
                <w:rFonts w:ascii="Arial" w:cs="Arial" w:eastAsia="Arial" w:hAnsi="Arial"/>
                <w:sz w:val="18"/>
                <w:szCs w:val="18"/>
                <w:color w:val="auto"/>
              </w:rPr>
              <w:t>Net Interest Spread</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85,912</w:t>
            </w:r>
          </w:p>
        </w:tc>
        <w:tc>
          <w:tcPr>
            <w:tcW w:w="11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81"/>
        </w:trPr>
        <w:tc>
          <w:tcPr>
            <w:tcW w:w="4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234"/>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Net Interest Margin</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r>
      <w:tr>
        <w:trPr>
          <w:trHeight w:val="81"/>
        </w:trPr>
        <w:tc>
          <w:tcPr>
            <w:tcW w:w="40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-5892165</wp:posOffset>
            </wp:positionV>
            <wp:extent cx="204343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1">
                      <a:extLst>
                        <a:ext uri="{28A0092B-C50C-407E-A947-70E740481C1C}"/>
                      </a:extLst>
                    </a:blip>
                    <a:srcRect/>
                    <a:stretch>
                      <a:fillRect/>
                    </a:stretch>
                  </pic:blipFill>
                  <pic:spPr bwMode="auto">
                    <a:xfrm>
                      <a:off x="0" y="0"/>
                      <a:ext cx="2043430" cy="635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-5714365</wp:posOffset>
            </wp:positionV>
            <wp:extent cx="131191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2">
                      <a:extLst>
                        <a:ext uri="{28A0092B-C50C-407E-A947-70E740481C1C}"/>
                      </a:extLst>
                    </a:blip>
                    <a:srcRect/>
                    <a:stretch>
                      <a:fillRect/>
                    </a:stretch>
                  </pic:blipFill>
                  <pic:spPr bwMode="auto">
                    <a:xfrm>
                      <a:off x="0" y="0"/>
                      <a:ext cx="1311910" cy="635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-5365115</wp:posOffset>
            </wp:positionV>
            <wp:extent cx="204343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3">
                      <a:extLst>
                        <a:ext uri="{28A0092B-C50C-407E-A947-70E740481C1C}"/>
                      </a:extLst>
                    </a:blip>
                    <a:srcRect/>
                    <a:stretch>
                      <a:fillRect/>
                    </a:stretch>
                  </pic:blipFill>
                  <pic:spPr bwMode="auto">
                    <a:xfrm>
                      <a:off x="0" y="0"/>
                      <a:ext cx="2043430" cy="635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-4330065</wp:posOffset>
            </wp:positionV>
            <wp:extent cx="131191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4">
                      <a:extLst>
                        <a:ext uri="{28A0092B-C50C-407E-A947-70E740481C1C}"/>
                      </a:extLst>
                    </a:blip>
                    <a:srcRect/>
                    <a:stretch>
                      <a:fillRect/>
                    </a:stretch>
                  </pic:blipFill>
                  <pic:spPr bwMode="auto">
                    <a:xfrm>
                      <a:off x="0" y="0"/>
                      <a:ext cx="1311910" cy="6350"/>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-4152265</wp:posOffset>
            </wp:positionV>
            <wp:extent cx="1402080" cy="28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5">
                      <a:extLst>
                        <a:ext uri="{28A0092B-C50C-407E-A947-70E740481C1C}"/>
                      </a:extLst>
                    </a:blip>
                    <a:srcRect/>
                    <a:stretch>
                      <a:fillRect/>
                    </a:stretch>
                  </pic:blipFill>
                  <pic:spPr bwMode="auto">
                    <a:xfrm>
                      <a:off x="0" y="0"/>
                      <a:ext cx="1402080" cy="28575"/>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-3609340</wp:posOffset>
            </wp:positionV>
            <wp:extent cx="63119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6">
                      <a:extLst>
                        <a:ext uri="{28A0092B-C50C-407E-A947-70E740481C1C}"/>
                      </a:extLst>
                    </a:blip>
                    <a:srcRect/>
                    <a:stretch>
                      <a:fillRect/>
                    </a:stretch>
                  </pic:blipFill>
                  <pic:spPr bwMode="auto">
                    <a:xfrm>
                      <a:off x="0" y="0"/>
                      <a:ext cx="631190" cy="635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-3431540</wp:posOffset>
            </wp:positionV>
            <wp:extent cx="678180" cy="28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7">
                      <a:extLst>
                        <a:ext uri="{28A0092B-C50C-407E-A947-70E740481C1C}"/>
                      </a:extLst>
                    </a:blip>
                    <a:srcRect/>
                    <a:stretch>
                      <a:fillRect/>
                    </a:stretch>
                  </pic:blipFill>
                  <pic:spPr bwMode="auto">
                    <a:xfrm>
                      <a:off x="0" y="0"/>
                      <a:ext cx="678180" cy="28575"/>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-2031365</wp:posOffset>
            </wp:positionV>
            <wp:extent cx="131191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8">
                      <a:extLst>
                        <a:ext uri="{28A0092B-C50C-407E-A947-70E740481C1C}"/>
                      </a:extLst>
                    </a:blip>
                    <a:srcRect/>
                    <a:stretch>
                      <a:fillRect/>
                    </a:stretch>
                  </pic:blipFill>
                  <pic:spPr bwMode="auto">
                    <a:xfrm>
                      <a:off x="0" y="0"/>
                      <a:ext cx="1311910" cy="6350"/>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-1853565</wp:posOffset>
            </wp:positionV>
            <wp:extent cx="1402080" cy="28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9">
                      <a:extLst>
                        <a:ext uri="{28A0092B-C50C-407E-A947-70E740481C1C}"/>
                      </a:extLst>
                    </a:blip>
                    <a:srcRect/>
                    <a:stretch>
                      <a:fillRect/>
                    </a:stretch>
                  </pic:blipFill>
                  <pic:spPr bwMode="auto">
                    <a:xfrm>
                      <a:off x="0" y="0"/>
                      <a:ext cx="1402080" cy="28575"/>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-1310640</wp:posOffset>
            </wp:positionV>
            <wp:extent cx="63119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0">
                      <a:extLst>
                        <a:ext uri="{28A0092B-C50C-407E-A947-70E740481C1C}"/>
                      </a:extLst>
                    </a:blip>
                    <a:srcRect/>
                    <a:stretch>
                      <a:fillRect/>
                    </a:stretch>
                  </pic:blipFill>
                  <pic:spPr bwMode="auto">
                    <a:xfrm>
                      <a:off x="0" y="0"/>
                      <a:ext cx="631190" cy="635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-1132840</wp:posOffset>
            </wp:positionV>
            <wp:extent cx="67818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1">
                      <a:extLst>
                        <a:ext uri="{28A0092B-C50C-407E-A947-70E740481C1C}"/>
                      </a:extLst>
                    </a:blip>
                    <a:srcRect/>
                    <a:stretch>
                      <a:fillRect/>
                    </a:stretch>
                  </pic:blipFill>
                  <pic:spPr bwMode="auto">
                    <a:xfrm>
                      <a:off x="0" y="0"/>
                      <a:ext cx="678180" cy="635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-955040</wp:posOffset>
            </wp:positionV>
            <wp:extent cx="63119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2">
                      <a:extLst>
                        <a:ext uri="{28A0092B-C50C-407E-A947-70E740481C1C}"/>
                      </a:extLst>
                    </a:blip>
                    <a:srcRect/>
                    <a:stretch>
                      <a:fillRect/>
                    </a:stretch>
                  </pic:blipFill>
                  <pic:spPr bwMode="auto">
                    <a:xfrm>
                      <a:off x="0" y="0"/>
                      <a:ext cx="631190" cy="635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-777240</wp:posOffset>
            </wp:positionV>
            <wp:extent cx="678180" cy="285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3">
                      <a:extLst>
                        <a:ext uri="{28A0092B-C50C-407E-A947-70E740481C1C}"/>
                      </a:extLst>
                    </a:blip>
                    <a:srcRect/>
                    <a:stretch>
                      <a:fillRect/>
                    </a:stretch>
                  </pic:blipFill>
                  <pic:spPr bwMode="auto">
                    <a:xfrm>
                      <a:off x="0" y="0"/>
                      <a:ext cx="678180" cy="2857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-405765</wp:posOffset>
            </wp:positionV>
            <wp:extent cx="140208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4">
                      <a:extLst>
                        <a:ext uri="{28A0092B-C50C-407E-A947-70E740481C1C}"/>
                      </a:extLst>
                    </a:blip>
                    <a:srcRect/>
                    <a:stretch>
                      <a:fillRect/>
                    </a:stretch>
                  </pic:blipFill>
                  <pic:spPr bwMode="auto">
                    <a:xfrm>
                      <a:off x="0" y="0"/>
                      <a:ext cx="1402080" cy="6350"/>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-227965</wp:posOffset>
            </wp:positionV>
            <wp:extent cx="1306830" cy="28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5">
                      <a:extLst>
                        <a:ext uri="{28A0092B-C50C-407E-A947-70E740481C1C}"/>
                      </a:extLst>
                    </a:blip>
                    <a:srcRect/>
                    <a:stretch>
                      <a:fillRect/>
                    </a:stretch>
                  </pic:blipFill>
                  <pic:spPr bwMode="auto">
                    <a:xfrm>
                      <a:off x="0" y="0"/>
                      <a:ext cx="1306830" cy="2857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-27940</wp:posOffset>
            </wp:positionV>
            <wp:extent cx="720725" cy="28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6">
                      <a:extLst>
                        <a:ext uri="{28A0092B-C50C-407E-A947-70E740481C1C}"/>
                      </a:extLst>
                    </a:blip>
                    <a:srcRect/>
                    <a:stretch>
                      <a:fillRect/>
                    </a:stretch>
                  </pic:blipFill>
                  <pic:spPr bwMode="auto">
                    <a:xfrm>
                      <a:off x="0" y="0"/>
                      <a:ext cx="720725" cy="2857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62 / 63</w:t>
      </w:r>
    </w:p>
    <w:p>
      <w:pPr>
        <w:sectPr>
          <w:pgSz w:w="11900" w:h="16838" w:orient="portrait"/>
          <w:cols w:equalWidth="0" w:num="1">
            <w:col w:w="9026"/>
          </w:cols>
          <w:pgMar w:left="1440" w:top="1440" w:right="1440" w:bottom="0" w:gutter="0" w:footer="0" w:header="0"/>
          <w:type w:val="continuous"/>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2023</w:t>
            </w:r>
          </w:p>
        </w:tc>
        <w:tc>
          <w:tcPr>
            <w:tcW w:w="1180" w:type="dxa"/>
            <w:vAlign w:val="bottom"/>
          </w:tcPr>
          <w:p>
            <w:pPr>
              <w:spacing w:after="0"/>
              <w:rPr>
                <w:sz w:val="17"/>
                <w:szCs w:val="17"/>
                <w:color w:val="auto"/>
              </w:rPr>
            </w:pPr>
          </w:p>
        </w:tc>
      </w:tr>
      <w:tr>
        <w:trPr>
          <w:trHeight w:val="28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3"/>
          </w:tcPr>
          <w:p>
            <w:pPr>
              <w:jc w:val="right"/>
              <w:ind w:right="530"/>
              <w:spacing w:after="0"/>
              <w:rPr>
                <w:sz w:val="20"/>
                <w:szCs w:val="20"/>
                <w:color w:val="auto"/>
              </w:rPr>
            </w:pPr>
            <w:r>
              <w:rPr>
                <w:rFonts w:ascii="Arial" w:cs="Arial" w:eastAsia="Arial" w:hAnsi="Arial"/>
                <w:sz w:val="18"/>
                <w:szCs w:val="18"/>
                <w:color w:val="auto"/>
              </w:rPr>
              <w:t>(In Thousands)</w:t>
            </w:r>
          </w:p>
        </w:tc>
        <w:tc>
          <w:tcPr>
            <w:tcW w:w="1180" w:type="dxa"/>
            <w:vAlign w:val="bottom"/>
          </w:tcPr>
          <w:p>
            <w:pPr>
              <w:spacing w:after="0"/>
              <w:rPr>
                <w:sz w:val="24"/>
                <w:szCs w:val="24"/>
                <w:color w:val="auto"/>
              </w:rPr>
            </w:pPr>
          </w:p>
        </w:tc>
      </w:tr>
      <w:tr>
        <w:trPr>
          <w:trHeight w:val="28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5"/>
              </w:rPr>
              <w:t>Average</w:t>
            </w:r>
          </w:p>
        </w:tc>
        <w:tc>
          <w:tcPr>
            <w:tcW w:w="200" w:type="dxa"/>
            <w:vAlign w:val="bottom"/>
          </w:tcPr>
          <w:p>
            <w:pPr>
              <w:spacing w:after="0"/>
              <w:rPr>
                <w:sz w:val="24"/>
                <w:szCs w:val="24"/>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2"/>
              </w:rPr>
              <w:t>Interest/</w:t>
            </w:r>
          </w:p>
        </w:tc>
        <w:tc>
          <w:tcPr>
            <w:tcW w:w="1180" w:type="dxa"/>
            <w:vAlign w:val="bottom"/>
          </w:tcPr>
          <w:p>
            <w:pPr>
              <w:spacing w:after="0"/>
              <w:rPr>
                <w:sz w:val="24"/>
                <w:szCs w:val="24"/>
                <w:color w:val="auto"/>
              </w:rPr>
            </w:pPr>
          </w:p>
        </w:tc>
      </w:tr>
      <w:tr>
        <w:trPr>
          <w:trHeight w:val="270"/>
        </w:trPr>
        <w:tc>
          <w:tcPr>
            <w:tcW w:w="4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8"/>
              </w:rPr>
              <w:t>Balance</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3"/>
              </w:rPr>
              <w:t>Dividends</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Yield/Rate</w:t>
            </w:r>
          </w:p>
        </w:tc>
      </w:tr>
      <w:tr>
        <w:trPr>
          <w:trHeight w:val="46"/>
        </w:trPr>
        <w:tc>
          <w:tcPr>
            <w:tcW w:w="4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4060" w:type="dxa"/>
            <w:vAlign w:val="bottom"/>
            <w:tcBorders>
              <w:bottom w:val="single" w:sz="8" w:color="CFF0FC"/>
            </w:tcBorders>
            <w:shd w:val="clear" w:color="auto" w:fill="CFF0FC"/>
          </w:tcPr>
          <w:p>
            <w:pPr>
              <w:ind w:left="168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
        </w:trPr>
        <w:tc>
          <w:tcPr>
            <w:tcW w:w="4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40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Loans</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2,491,502</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129,344</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5.19%</w:t>
            </w:r>
          </w:p>
        </w:tc>
      </w:tr>
      <w:tr>
        <w:trPr>
          <w:trHeight w:val="234"/>
        </w:trPr>
        <w:tc>
          <w:tcPr>
            <w:tcW w:w="4060" w:type="dxa"/>
            <w:vAlign w:val="bottom"/>
          </w:tcPr>
          <w:p>
            <w:pPr>
              <w:ind w:left="60"/>
              <w:spacing w:after="0"/>
              <w:rPr>
                <w:sz w:val="20"/>
                <w:szCs w:val="20"/>
                <w:color w:val="auto"/>
              </w:rPr>
            </w:pPr>
            <w:r>
              <w:rPr>
                <w:rFonts w:ascii="Arial" w:cs="Arial" w:eastAsia="Arial" w:hAnsi="Arial"/>
                <w:sz w:val="18"/>
                <w:szCs w:val="18"/>
                <w:color w:val="auto"/>
              </w:rPr>
              <w:t>Taxable investment securities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394,424</w:t>
            </w: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6,204</w:t>
            </w: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36"/>
        </w:trPr>
        <w:tc>
          <w:tcPr>
            <w:tcW w:w="4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40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Tax-exempt investment securities</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24,686</w:t>
            </w: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366</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1.88%</w:t>
            </w:r>
          </w:p>
        </w:tc>
      </w:tr>
      <w:tr>
        <w:trPr>
          <w:trHeight w:val="244"/>
        </w:trPr>
        <w:tc>
          <w:tcPr>
            <w:tcW w:w="4060" w:type="dxa"/>
            <w:vAlign w:val="bottom"/>
          </w:tcPr>
          <w:p>
            <w:pPr>
              <w:ind w:left="60"/>
              <w:spacing w:after="0"/>
              <w:rPr>
                <w:sz w:val="20"/>
                <w:szCs w:val="20"/>
                <w:color w:val="auto"/>
              </w:rPr>
            </w:pPr>
            <w:r>
              <w:rPr>
                <w:rFonts w:ascii="Arial" w:cs="Arial" w:eastAsia="Arial" w:hAnsi="Arial"/>
                <w:sz w:val="18"/>
                <w:szCs w:val="18"/>
                <w:color w:val="auto"/>
              </w:rPr>
              <w:t>Federal funds sold and other</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85,018</w:t>
            </w: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3,894</w:t>
            </w:r>
          </w:p>
        </w:tc>
        <w:tc>
          <w:tcPr>
            <w:tcW w:w="118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36"/>
        </w:trPr>
        <w:tc>
          <w:tcPr>
            <w:tcW w:w="4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5"/>
        </w:trPr>
        <w:tc>
          <w:tcPr>
            <w:tcW w:w="40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b w:val="1"/>
                <w:bCs w:val="1"/>
                <w:color w:val="auto"/>
              </w:rPr>
              <w:t>Total Interest Earning Assets</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2,995,630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139,808</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4.67%</w:t>
            </w:r>
          </w:p>
        </w:tc>
      </w:t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Noninterest Earning Assets: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
        </w:trPr>
        <w:tc>
          <w:tcPr>
            <w:tcW w:w="4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40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40,021</w:t>
            </w: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r>
      <w:tr>
        <w:trPr>
          <w:trHeight w:val="234"/>
        </w:trPr>
        <w:tc>
          <w:tcPr>
            <w:tcW w:w="4060" w:type="dxa"/>
            <w:vAlign w:val="bottom"/>
          </w:tcPr>
          <w:p>
            <w:pPr>
              <w:ind w:left="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157,705</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6"/>
        </w:trPr>
        <w:tc>
          <w:tcPr>
            <w:tcW w:w="4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34"/>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3,193,356</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r>
      <w:tr>
        <w:trPr>
          <w:trHeight w:val="81"/>
        </w:trPr>
        <w:tc>
          <w:tcPr>
            <w:tcW w:w="40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r>
      <w:tr>
        <w:trPr>
          <w:trHeight w:val="234"/>
        </w:trPr>
        <w:tc>
          <w:tcPr>
            <w:tcW w:w="4060" w:type="dxa"/>
            <w:vAlign w:val="bottom"/>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-2637155</wp:posOffset>
            </wp:positionV>
            <wp:extent cx="204343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8">
                      <a:extLst>
                        <a:ext uri="{28A0092B-C50C-407E-A947-70E740481C1C}"/>
                      </a:extLst>
                    </a:blip>
                    <a:srcRect/>
                    <a:stretch>
                      <a:fillRect/>
                    </a:stretch>
                  </pic:blipFill>
                  <pic:spPr bwMode="auto">
                    <a:xfrm>
                      <a:off x="0" y="0"/>
                      <a:ext cx="2043430" cy="635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-2459355</wp:posOffset>
            </wp:positionV>
            <wp:extent cx="131191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9">
                      <a:extLst>
                        <a:ext uri="{28A0092B-C50C-407E-A947-70E740481C1C}"/>
                      </a:extLst>
                    </a:blip>
                    <a:srcRect/>
                    <a:stretch>
                      <a:fillRect/>
                    </a:stretch>
                  </pic:blipFill>
                  <pic:spPr bwMode="auto">
                    <a:xfrm>
                      <a:off x="0" y="0"/>
                      <a:ext cx="1311910" cy="635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-2110105</wp:posOffset>
            </wp:positionV>
            <wp:extent cx="204343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0">
                      <a:extLst>
                        <a:ext uri="{28A0092B-C50C-407E-A947-70E740481C1C}"/>
                      </a:extLst>
                    </a:blip>
                    <a:srcRect/>
                    <a:stretch>
                      <a:fillRect/>
                    </a:stretch>
                  </pic:blipFill>
                  <pic:spPr bwMode="auto">
                    <a:xfrm>
                      <a:off x="0" y="0"/>
                      <a:ext cx="2043430" cy="635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-1075055</wp:posOffset>
            </wp:positionV>
            <wp:extent cx="131191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1">
                      <a:extLst>
                        <a:ext uri="{28A0092B-C50C-407E-A947-70E740481C1C}"/>
                      </a:extLst>
                    </a:blip>
                    <a:srcRect/>
                    <a:stretch>
                      <a:fillRect/>
                    </a:stretch>
                  </pic:blipFill>
                  <pic:spPr bwMode="auto">
                    <a:xfrm>
                      <a:off x="0" y="0"/>
                      <a:ext cx="1311910" cy="6350"/>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-897255</wp:posOffset>
            </wp:positionV>
            <wp:extent cx="1402080" cy="285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2">
                      <a:extLst>
                        <a:ext uri="{28A0092B-C50C-407E-A947-70E740481C1C}"/>
                      </a:extLst>
                    </a:blip>
                    <a:srcRect/>
                    <a:stretch>
                      <a:fillRect/>
                    </a:stretch>
                  </pic:blipFill>
                  <pic:spPr bwMode="auto">
                    <a:xfrm>
                      <a:off x="0" y="0"/>
                      <a:ext cx="1402080" cy="28575"/>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-354330</wp:posOffset>
            </wp:positionV>
            <wp:extent cx="63119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3">
                      <a:extLst>
                        <a:ext uri="{28A0092B-C50C-407E-A947-70E740481C1C}"/>
                      </a:extLst>
                    </a:blip>
                    <a:srcRect/>
                    <a:stretch>
                      <a:fillRect/>
                    </a:stretch>
                  </pic:blipFill>
                  <pic:spPr bwMode="auto">
                    <a:xfrm>
                      <a:off x="0" y="0"/>
                      <a:ext cx="631190" cy="635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-176530</wp:posOffset>
            </wp:positionV>
            <wp:extent cx="678180" cy="285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4">
                      <a:extLst>
                        <a:ext uri="{28A0092B-C50C-407E-A947-70E740481C1C}"/>
                      </a:extLst>
                    </a:blip>
                    <a:srcRect/>
                    <a:stretch>
                      <a:fillRect/>
                    </a:stretch>
                  </pic:blipFill>
                  <pic:spPr bwMode="auto">
                    <a:xfrm>
                      <a:off x="0" y="0"/>
                      <a:ext cx="678180" cy="28575"/>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63 / 63</w:t>
      </w:r>
    </w:p>
    <w:p>
      <w:pPr>
        <w:sectPr>
          <w:pgSz w:w="11900" w:h="16838" w:orient="portrait"/>
          <w:cols w:equalWidth="0" w:num="1">
            <w:col w:w="9026"/>
          </w:cols>
          <w:pgMar w:left="1440" w:top="1440" w:right="1440" w:bottom="0" w:gutter="0" w:footer="0" w:header="0"/>
          <w:type w:val="continuous"/>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Interest-Bearing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NOW accounts and savings deposits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1,376,318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Time deposits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640,390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Borrowed funds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220,175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4.03</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25</w:t>
      </w:r>
    </w:p>
    <w:p>
      <w:pPr>
        <w:sectPr>
          <w:pgSz w:w="11900" w:h="16838" w:orient="portrait"/>
          <w:cols w:equalWidth="0" w:num="1">
            <w:col w:w="9400"/>
          </w:cols>
          <w:pgMar w:left="1260" w:top="1440" w:right="1246" w:bottom="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Federal funds purchased and securities sold under</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agreement to repurchase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35,421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Subordinated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34,640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Interest-Bearing Liabilities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2,306,944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Noninterest-Bearing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Noninterest-bearing demand deposits</w:t>
      </w:r>
    </w:p>
    <w:p>
      <w:pPr>
        <w:sectPr>
          <w:pgSz w:w="11900" w:h="16838" w:orient="portrait"/>
          <w:cols w:equalWidth="0" w:num="1">
            <w:col w:w="9400"/>
          </w:cols>
          <w:pgMar w:left="1260" w:top="116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25</w:t>
      </w:r>
    </w:p>
    <w:p>
      <w:pPr>
        <w:sectPr>
          <w:pgSz w:w="11900" w:h="16838" w:orient="portrait"/>
          <w:cols w:equalWidth="0" w:num="1">
            <w:col w:w="9400"/>
          </w:cols>
          <w:pgMar w:left="1260" w:top="1160" w:right="1246" w:bottom="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8"/>
          <w:szCs w:val="18"/>
          <w:color w:val="auto"/>
        </w:rPr>
        <w:t>493,820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2,887,875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305,481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Shareholders' Equity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3,193,356</w:t>
      </w:r>
    </w:p>
    <w:p>
      <w:pPr>
        <w:sectPr>
          <w:pgSz w:w="11900" w:h="16838" w:orient="portrait"/>
          <w:cols w:equalWidth="0" w:num="1">
            <w:col w:w="9400"/>
          </w:cols>
          <w:pgMar w:left="1260" w:top="143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25</w:t>
      </w:r>
    </w:p>
    <w:p>
      <w:pPr>
        <w:sectPr>
          <w:pgSz w:w="11900" w:h="16838" w:orient="portrait"/>
          <w:cols w:equalWidth="0" w:num="1">
            <w:col w:w="9400"/>
          </w:cols>
          <w:pgMar w:left="1260" w:top="1430" w:right="1246" w:bottom="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color w:val="auto"/>
        </w:rPr>
        <w:t>Interest/Dividend income/yield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139,808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 Interest Spread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81,397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 Interest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right="80"/>
        <w:spacing w:after="0" w:line="331" w:lineRule="auto"/>
        <w:rPr>
          <w:sz w:val="20"/>
          <w:szCs w:val="20"/>
          <w:color w:val="auto"/>
        </w:rPr>
      </w:pPr>
      <w:r>
        <w:rPr>
          <w:rFonts w:ascii="Arial" w:cs="Arial" w:eastAsia="Arial" w:hAnsi="Arial"/>
          <w:sz w:val="19"/>
          <w:szCs w:val="19"/>
          <w:color w:val="auto"/>
        </w:rPr>
        <w:t>The following tables show changes in interest income, interest expense and net interest resulting from changes in volume and rate variances for major categories of earnings assets and interest-bearing liabilities.</w:t>
      </w:r>
    </w:p>
    <w:p>
      <w:pPr>
        <w:spacing w:after="0" w:line="362"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2025 vs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3325495</wp:posOffset>
            </wp:positionH>
            <wp:positionV relativeFrom="paragraph">
              <wp:posOffset>26035</wp:posOffset>
            </wp:positionV>
            <wp:extent cx="199009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5">
                      <a:extLst>
                        <a:ext uri="{28A0092B-C50C-407E-A947-70E740481C1C}"/>
                      </a:extLst>
                    </a:blip>
                    <a:srcRect/>
                    <a:stretch>
                      <a:fillRect/>
                    </a:stretch>
                  </pic:blipFill>
                  <pic:spPr bwMode="auto">
                    <a:xfrm>
                      <a:off x="0" y="0"/>
                      <a:ext cx="1990090" cy="6350"/>
                    </a:xfrm>
                    <a:prstGeom prst="rect">
                      <a:avLst/>
                    </a:prstGeom>
                    <a:noFill/>
                  </pic:spPr>
                </pic:pic>
              </a:graphicData>
            </a:graphic>
          </wp:anchor>
        </w:drawing>
      </w:r>
    </w:p>
    <w:p>
      <w:pPr>
        <w:sectPr>
          <w:pgSz w:w="11900" w:h="16838" w:orient="portrait"/>
          <w:cols w:equalWidth="0" w:num="1">
            <w:col w:w="9400"/>
          </w:cols>
          <w:pgMar w:left="1260" w:top="116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25</w:t>
      </w:r>
    </w:p>
    <w:p>
      <w:pPr>
        <w:sectPr>
          <w:pgSz w:w="11900" w:h="16838" w:orient="portrait"/>
          <w:cols w:equalWidth="0" w:num="1">
            <w:col w:w="9400"/>
          </w:cols>
          <w:pgMar w:left="1260" w:top="1160" w:right="1246" w:bottom="0" w:gutter="0" w:footer="0" w:header="0"/>
          <w:type w:val="continuous"/>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1393190</wp:posOffset>
            </wp:positionH>
            <wp:positionV relativeFrom="page">
              <wp:posOffset>1522095</wp:posOffset>
            </wp:positionV>
            <wp:extent cx="4773930" cy="1993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6">
                      <a:extLst>
                        <a:ext uri="{28A0092B-C50C-407E-A947-70E740481C1C}"/>
                      </a:extLst>
                    </a:blip>
                    <a:srcRect/>
                    <a:stretch>
                      <a:fillRect/>
                    </a:stretch>
                  </pic:blipFill>
                  <pic:spPr bwMode="auto">
                    <a:xfrm>
                      <a:off x="0" y="0"/>
                      <a:ext cx="4773930" cy="199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Interest Earning Assets:</w:t>
      </w:r>
    </w:p>
    <w:p>
      <w:pPr>
        <w:spacing w:after="0" w:line="8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26035</wp:posOffset>
            </wp:positionV>
            <wp:extent cx="4773930" cy="1993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7">
                      <a:extLst>
                        <a:ext uri="{28A0092B-C50C-407E-A947-70E740481C1C}"/>
                      </a:extLst>
                    </a:blip>
                    <a:srcRect/>
                    <a:stretch>
                      <a:fillRect/>
                    </a:stretch>
                  </pic:blipFill>
                  <pic:spPr bwMode="auto">
                    <a:xfrm>
                      <a:off x="0" y="0"/>
                      <a:ext cx="4773930" cy="199390"/>
                    </a:xfrm>
                    <a:prstGeom prst="rect">
                      <a:avLst/>
                    </a:prstGeom>
                    <a:noFill/>
                  </pic:spPr>
                </pic:pic>
              </a:graphicData>
            </a:graphic>
          </wp:anchor>
        </w:drawing>
      </w:r>
    </w:p>
    <w:p>
      <w:pPr>
        <w:spacing w:after="0" w:line="6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Taxable investment securities</w:t>
      </w:r>
    </w:p>
    <w:p>
      <w:pPr>
        <w:spacing w:after="0" w:line="8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Tax-exempt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26035</wp:posOffset>
            </wp:positionV>
            <wp:extent cx="4773930"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8">
                      <a:extLst>
                        <a:ext uri="{28A0092B-C50C-407E-A947-70E740481C1C}"/>
                      </a:extLst>
                    </a:blip>
                    <a:srcRect/>
                    <a:stretch>
                      <a:fillRect/>
                    </a:stretch>
                  </pic:blipFill>
                  <pic:spPr bwMode="auto">
                    <a:xfrm>
                      <a:off x="0" y="0"/>
                      <a:ext cx="4773930" cy="205740"/>
                    </a:xfrm>
                    <a:prstGeom prst="rect">
                      <a:avLst/>
                    </a:prstGeom>
                    <a:noFill/>
                  </pic:spPr>
                </pic:pic>
              </a:graphicData>
            </a:graphic>
          </wp:anchor>
        </w:drawing>
      </w:r>
    </w:p>
    <w:p>
      <w:pPr>
        <w:spacing w:after="0" w:line="7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Federal funds sold and other</w:t>
      </w:r>
    </w:p>
    <w:p>
      <w:pPr>
        <w:spacing w:after="0" w:line="129"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Total Interest 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26035</wp:posOffset>
            </wp:positionV>
            <wp:extent cx="4773930" cy="1993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9">
                      <a:extLst>
                        <a:ext uri="{28A0092B-C50C-407E-A947-70E740481C1C}"/>
                      </a:extLst>
                    </a:blip>
                    <a:srcRect/>
                    <a:stretch>
                      <a:fillRect/>
                    </a:stretch>
                  </pic:blipFill>
                  <pic:spPr bwMode="auto">
                    <a:xfrm>
                      <a:off x="0" y="0"/>
                      <a:ext cx="4773930" cy="199390"/>
                    </a:xfrm>
                    <a:prstGeom prst="rect">
                      <a:avLst/>
                    </a:prstGeom>
                    <a:noFill/>
                  </pic:spPr>
                </pic:pic>
              </a:graphicData>
            </a:graphic>
          </wp:anchor>
        </w:drawing>
      </w:r>
    </w:p>
    <w:p>
      <w:pPr>
        <w:spacing w:after="0" w:line="37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Interest-Bearing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26035</wp:posOffset>
            </wp:positionV>
            <wp:extent cx="4773930" cy="1993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0">
                      <a:extLst>
                        <a:ext uri="{28A0092B-C50C-407E-A947-70E740481C1C}"/>
                      </a:extLst>
                    </a:blip>
                    <a:srcRect/>
                    <a:stretch>
                      <a:fillRect/>
                    </a:stretch>
                  </pic:blipFill>
                  <pic:spPr bwMode="auto">
                    <a:xfrm>
                      <a:off x="0" y="0"/>
                      <a:ext cx="4773930" cy="199390"/>
                    </a:xfrm>
                    <a:prstGeom prst="rect">
                      <a:avLst/>
                    </a:prstGeom>
                    <a:noFill/>
                  </pic:spPr>
                </pic:pic>
              </a:graphicData>
            </a:graphic>
          </wp:anchor>
        </w:drawing>
      </w:r>
    </w:p>
    <w:p>
      <w:pPr>
        <w:spacing w:after="0" w:line="6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NOW accounts and savings deposits</w:t>
      </w:r>
    </w:p>
    <w:p>
      <w:pPr>
        <w:spacing w:after="0" w:line="8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Time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26035</wp:posOffset>
            </wp:positionV>
            <wp:extent cx="4773930" cy="1993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1">
                      <a:extLst>
                        <a:ext uri="{28A0092B-C50C-407E-A947-70E740481C1C}"/>
                      </a:extLst>
                    </a:blip>
                    <a:srcRect/>
                    <a:stretch>
                      <a:fillRect/>
                    </a:stretch>
                  </pic:blipFill>
                  <pic:spPr bwMode="auto">
                    <a:xfrm>
                      <a:off x="0" y="0"/>
                      <a:ext cx="4773930" cy="199390"/>
                    </a:xfrm>
                    <a:prstGeom prst="rect">
                      <a:avLst/>
                    </a:prstGeom>
                    <a:noFill/>
                  </pic:spPr>
                </pic:pic>
              </a:graphicData>
            </a:graphic>
          </wp:anchor>
        </w:drawing>
      </w:r>
    </w:p>
    <w:p>
      <w:pPr>
        <w:spacing w:after="0" w:line="6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Borrowed funds</w:t>
      </w:r>
    </w:p>
    <w:p>
      <w:pPr>
        <w:spacing w:after="0" w:line="94" w:lineRule="exact"/>
        <w:rPr>
          <w:sz w:val="20"/>
          <w:szCs w:val="20"/>
          <w:color w:val="auto"/>
        </w:rPr>
      </w:pPr>
    </w:p>
    <w:p>
      <w:pPr>
        <w:ind w:left="980" w:right="300" w:hanging="149"/>
        <w:spacing w:after="0" w:line="331" w:lineRule="auto"/>
        <w:rPr>
          <w:sz w:val="20"/>
          <w:szCs w:val="20"/>
          <w:color w:val="auto"/>
        </w:rPr>
      </w:pPr>
      <w:r>
        <w:rPr>
          <w:rFonts w:ascii="Arial" w:cs="Arial" w:eastAsia="Arial" w:hAnsi="Arial"/>
          <w:sz w:val="19"/>
          <w:szCs w:val="19"/>
          <w:color w:val="auto"/>
        </w:rPr>
        <w:t>Federal funds purchased and securities sold under agreement to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-26035</wp:posOffset>
            </wp:positionV>
            <wp:extent cx="4773930"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2">
                      <a:extLst>
                        <a:ext uri="{28A0092B-C50C-407E-A947-70E740481C1C}"/>
                      </a:extLst>
                    </a:blip>
                    <a:srcRect/>
                    <a:stretch>
                      <a:fillRect/>
                    </a:stretch>
                  </pic:blipFill>
                  <pic:spPr bwMode="auto">
                    <a:xfrm>
                      <a:off x="0" y="0"/>
                      <a:ext cx="4773930" cy="205740"/>
                    </a:xfrm>
                    <a:prstGeom prst="rect">
                      <a:avLst/>
                    </a:prstGeom>
                    <a:noFill/>
                  </pic:spPr>
                </pic:pic>
              </a:graphicData>
            </a:graphic>
          </wp:anchor>
        </w:drawing>
      </w:r>
    </w:p>
    <w:p>
      <w:pPr>
        <w:ind w:left="840"/>
        <w:spacing w:after="0"/>
        <w:rPr>
          <w:sz w:val="20"/>
          <w:szCs w:val="20"/>
          <w:color w:val="auto"/>
        </w:rPr>
      </w:pPr>
      <w:r>
        <w:rPr>
          <w:rFonts w:ascii="Arial" w:cs="Arial" w:eastAsia="Arial" w:hAnsi="Arial"/>
          <w:sz w:val="20"/>
          <w:szCs w:val="20"/>
          <w:color w:val="auto"/>
        </w:rPr>
        <w:t>Subordinated notes</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Total Interest-Bearing Liabilities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43" w:type="dxa"/>
        <w:tblCellMar>
          <w:top w:w="0" w:type="dxa"/>
          <w:left w:w="0" w:type="dxa"/>
          <w:bottom w:w="0" w:type="dxa"/>
          <w:right w:w="0" w:type="dxa"/>
        </w:tblCellMar>
      </w:tblPr>
      <w:tr>
        <w:trPr>
          <w:trHeight w:val="230"/>
        </w:trPr>
        <w:tc>
          <w:tcPr>
            <w:tcW w:w="7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20"/>
                <w:szCs w:val="20"/>
                <w:color w:val="auto"/>
                <w:w w:val="90"/>
              </w:rPr>
              <w:t>(In Thousands)</w:t>
            </w:r>
          </w:p>
        </w:tc>
        <w:tc>
          <w:tcPr>
            <w:tcW w:w="680" w:type="dxa"/>
            <w:vAlign w:val="bottom"/>
          </w:tcPr>
          <w:p>
            <w:pPr>
              <w:spacing w:after="0"/>
              <w:rPr>
                <w:sz w:val="19"/>
                <w:szCs w:val="19"/>
                <w:color w:val="auto"/>
              </w:rPr>
            </w:pPr>
          </w:p>
        </w:tc>
      </w:tr>
      <w:tr>
        <w:trPr>
          <w:trHeight w:val="324"/>
        </w:trPr>
        <w:tc>
          <w:tcPr>
            <w:tcW w:w="7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20"/>
                <w:szCs w:val="20"/>
                <w:color w:val="auto"/>
                <w:w w:val="88"/>
              </w:rPr>
              <w:t>Change</w:t>
            </w:r>
          </w:p>
        </w:tc>
        <w:tc>
          <w:tcPr>
            <w:tcW w:w="680" w:type="dxa"/>
            <w:vAlign w:val="bottom"/>
          </w:tcPr>
          <w:p>
            <w:pPr>
              <w:jc w:val="right"/>
              <w:spacing w:after="0"/>
              <w:rPr>
                <w:sz w:val="20"/>
                <w:szCs w:val="20"/>
                <w:color w:val="auto"/>
              </w:rPr>
            </w:pPr>
            <w:r>
              <w:rPr>
                <w:rFonts w:ascii="Arial" w:cs="Arial" w:eastAsia="Arial" w:hAnsi="Arial"/>
                <w:sz w:val="20"/>
                <w:szCs w:val="20"/>
                <w:color w:val="auto"/>
                <w:w w:val="94"/>
              </w:rPr>
              <w:t>Change</w:t>
            </w:r>
          </w:p>
        </w:tc>
      </w:tr>
      <w:tr>
        <w:trPr>
          <w:trHeight w:val="300"/>
        </w:trPr>
        <w:tc>
          <w:tcPr>
            <w:tcW w:w="720" w:type="dxa"/>
            <w:vAlign w:val="bottom"/>
          </w:tcPr>
          <w:p>
            <w:pPr>
              <w:jc w:val="center"/>
              <w:spacing w:after="0"/>
              <w:rPr>
                <w:sz w:val="20"/>
                <w:szCs w:val="20"/>
                <w:color w:val="auto"/>
              </w:rPr>
            </w:pPr>
            <w:r>
              <w:rPr>
                <w:rFonts w:ascii="Arial" w:cs="Arial" w:eastAsia="Arial" w:hAnsi="Arial"/>
                <w:sz w:val="20"/>
                <w:szCs w:val="20"/>
                <w:color w:val="auto"/>
                <w:w w:val="96"/>
              </w:rPr>
              <w:t>Net</w:t>
            </w:r>
          </w:p>
        </w:tc>
        <w:tc>
          <w:tcPr>
            <w:tcW w:w="1400" w:type="dxa"/>
            <w:vAlign w:val="bottom"/>
          </w:tcPr>
          <w:p>
            <w:pPr>
              <w:jc w:val="center"/>
              <w:spacing w:after="0"/>
              <w:rPr>
                <w:sz w:val="20"/>
                <w:szCs w:val="20"/>
                <w:color w:val="auto"/>
              </w:rPr>
            </w:pPr>
            <w:r>
              <w:rPr>
                <w:rFonts w:ascii="Arial" w:cs="Arial" w:eastAsia="Arial" w:hAnsi="Arial"/>
                <w:sz w:val="20"/>
                <w:szCs w:val="20"/>
                <w:color w:val="auto"/>
                <w:w w:val="91"/>
              </w:rPr>
              <w:t>Due to</w:t>
            </w:r>
          </w:p>
        </w:tc>
        <w:tc>
          <w:tcPr>
            <w:tcW w:w="680" w:type="dxa"/>
            <w:vAlign w:val="bottom"/>
          </w:tcPr>
          <w:p>
            <w:pPr>
              <w:jc w:val="right"/>
              <w:spacing w:after="0"/>
              <w:rPr>
                <w:sz w:val="20"/>
                <w:szCs w:val="20"/>
                <w:color w:val="auto"/>
              </w:rPr>
            </w:pPr>
            <w:r>
              <w:rPr>
                <w:rFonts w:ascii="Arial" w:cs="Arial" w:eastAsia="Arial" w:hAnsi="Arial"/>
                <w:sz w:val="20"/>
                <w:szCs w:val="20"/>
                <w:color w:val="auto"/>
              </w:rPr>
              <w:t>Due to</w:t>
            </w:r>
          </w:p>
        </w:tc>
      </w:tr>
      <w:tr>
        <w:trPr>
          <w:trHeight w:val="314"/>
        </w:trPr>
        <w:tc>
          <w:tcPr>
            <w:tcW w:w="720" w:type="dxa"/>
            <w:vAlign w:val="bottom"/>
          </w:tcPr>
          <w:p>
            <w:pPr>
              <w:jc w:val="center"/>
              <w:spacing w:after="0"/>
              <w:rPr>
                <w:sz w:val="20"/>
                <w:szCs w:val="20"/>
                <w:color w:val="auto"/>
              </w:rPr>
            </w:pPr>
            <w:r>
              <w:rPr>
                <w:rFonts w:ascii="Arial" w:cs="Arial" w:eastAsia="Arial" w:hAnsi="Arial"/>
                <w:sz w:val="20"/>
                <w:szCs w:val="20"/>
                <w:color w:val="auto"/>
                <w:w w:val="88"/>
              </w:rPr>
              <w:t>Change</w:t>
            </w:r>
          </w:p>
        </w:tc>
        <w:tc>
          <w:tcPr>
            <w:tcW w:w="1400" w:type="dxa"/>
            <w:vAlign w:val="bottom"/>
          </w:tcPr>
          <w:p>
            <w:pPr>
              <w:jc w:val="center"/>
              <w:spacing w:after="0"/>
              <w:rPr>
                <w:sz w:val="20"/>
                <w:szCs w:val="20"/>
                <w:color w:val="auto"/>
              </w:rPr>
            </w:pPr>
            <w:r>
              <w:rPr>
                <w:rFonts w:ascii="Arial" w:cs="Arial" w:eastAsia="Arial" w:hAnsi="Arial"/>
                <w:sz w:val="20"/>
                <w:szCs w:val="20"/>
                <w:color w:val="auto"/>
                <w:w w:val="94"/>
              </w:rPr>
              <w:t>Volume</w:t>
            </w:r>
          </w:p>
        </w:tc>
        <w:tc>
          <w:tcPr>
            <w:tcW w:w="680" w:type="dxa"/>
            <w:vAlign w:val="bottom"/>
          </w:tcPr>
          <w:p>
            <w:pPr>
              <w:jc w:val="right"/>
              <w:spacing w:after="0"/>
              <w:rPr>
                <w:sz w:val="20"/>
                <w:szCs w:val="20"/>
                <w:color w:val="auto"/>
              </w:rPr>
            </w:pPr>
            <w:r>
              <w:rPr>
                <w:rFonts w:ascii="Arial" w:cs="Arial" w:eastAsia="Arial" w:hAnsi="Arial"/>
                <w:sz w:val="20"/>
                <w:szCs w:val="20"/>
                <w:color w:val="auto"/>
              </w:rPr>
              <w:t>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-569595</wp:posOffset>
            </wp:positionV>
            <wp:extent cx="199009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4">
                      <a:extLst>
                        <a:ext uri="{28A0092B-C50C-407E-A947-70E740481C1C}"/>
                      </a:extLst>
                    </a:blip>
                    <a:srcRect/>
                    <a:stretch>
                      <a:fillRect/>
                    </a:stretch>
                  </pic:blipFill>
                  <pic:spPr bwMode="auto">
                    <a:xfrm>
                      <a:off x="0" y="0"/>
                      <a:ext cx="199009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wp:posOffset>
            </wp:positionV>
            <wp:extent cx="199009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5">
                      <a:extLst>
                        <a:ext uri="{28A0092B-C50C-407E-A947-70E740481C1C}"/>
                      </a:extLst>
                    </a:blip>
                    <a:srcRect/>
                    <a:stretch>
                      <a:fillRect/>
                    </a:stretch>
                  </pic:blipFill>
                  <pic:spPr bwMode="auto">
                    <a:xfrm>
                      <a:off x="0" y="0"/>
                      <a:ext cx="1990090" cy="6350"/>
                    </a:xfrm>
                    <a:prstGeom prst="rect">
                      <a:avLst/>
                    </a:prstGeom>
                    <a:noFill/>
                  </pic:spPr>
                </pic:pic>
              </a:graphicData>
            </a:graphic>
          </wp:anchor>
        </w:drawing>
      </w:r>
    </w:p>
    <w:p>
      <w:pPr>
        <w:spacing w:after="0" w:line="389" w:lineRule="exact"/>
        <w:rPr>
          <w:sz w:val="20"/>
          <w:szCs w:val="20"/>
          <w:color w:val="auto"/>
        </w:rPr>
      </w:pPr>
    </w:p>
    <w:p>
      <w:pPr>
        <w:ind w:left="343" w:hanging="343"/>
        <w:spacing w:after="0"/>
        <w:tabs>
          <w:tab w:leader="none" w:pos="343" w:val="left"/>
        </w:tabs>
        <w:numPr>
          <w:ilvl w:val="0"/>
          <w:numId w:val="11"/>
        </w:numPr>
        <w:rPr>
          <w:rFonts w:ascii="Arial" w:cs="Arial" w:eastAsia="Arial" w:hAnsi="Arial"/>
          <w:sz w:val="20"/>
          <w:szCs w:val="20"/>
          <w:color w:val="auto"/>
        </w:rPr>
      </w:pPr>
      <w:r>
        <w:rPr>
          <w:rFonts w:ascii="Arial" w:cs="Arial" w:eastAsia="Arial" w:hAnsi="Arial"/>
          <w:sz w:val="20"/>
          <w:szCs w:val="20"/>
          <w:color w:val="auto"/>
        </w:rPr>
        <w:t>13,285  $    4,272  $    9,013</w:t>
      </w:r>
    </w:p>
    <w:p>
      <w:pPr>
        <w:spacing w:after="0" w:line="84" w:lineRule="exact"/>
        <w:rPr>
          <w:sz w:val="20"/>
          <w:szCs w:val="20"/>
          <w:color w:val="auto"/>
        </w:rPr>
      </w:pPr>
    </w:p>
    <w:tbl>
      <w:tblPr>
        <w:tblLayout w:type="fixed"/>
        <w:tblInd w:w="3"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20"/>
                <w:szCs w:val="20"/>
                <w:color w:val="auto"/>
              </w:rPr>
              <w:t>3,073</w:t>
            </w:r>
          </w:p>
        </w:tc>
        <w:tc>
          <w:tcPr>
            <w:tcW w:w="30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20"/>
                <w:szCs w:val="20"/>
                <w:color w:val="auto"/>
              </w:rPr>
              <w:t>789</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2,284</w:t>
            </w:r>
          </w:p>
        </w:tc>
      </w:tr>
      <w:tr>
        <w:trPr>
          <w:trHeight w:val="314"/>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(32)</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(76)</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14"/>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(6,354)</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(5,123)</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(1,231)</w:t>
            </w:r>
          </w:p>
        </w:tc>
      </w:tr>
      <w:tr>
        <w:trPr>
          <w:trHeight w:val="324"/>
        </w:trPr>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ind w:right="40"/>
              <w:spacing w:after="0"/>
              <w:rPr>
                <w:sz w:val="20"/>
                <w:szCs w:val="20"/>
                <w:color w:val="auto"/>
              </w:rPr>
            </w:pPr>
            <w:r>
              <w:rPr>
                <w:rFonts w:ascii="Arial" w:cs="Arial" w:eastAsia="Arial" w:hAnsi="Arial"/>
                <w:sz w:val="20"/>
                <w:szCs w:val="20"/>
                <w:color w:val="auto"/>
              </w:rPr>
              <w:t>9,972</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(138)</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10,110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1990090" cy="285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6">
                      <a:extLst>
                        <a:ext uri="{28A0092B-C50C-407E-A947-70E740481C1C}"/>
                      </a:extLst>
                    </a:blip>
                    <a:srcRect/>
                    <a:stretch>
                      <a:fillRect/>
                    </a:stretch>
                  </pic:blipFill>
                  <pic:spPr bwMode="auto">
                    <a:xfrm>
                      <a:off x="0" y="0"/>
                      <a:ext cx="199009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3" w:type="dxa"/>
        <w:tblCellMar>
          <w:top w:w="0" w:type="dxa"/>
          <w:left w:w="0" w:type="dxa"/>
          <w:bottom w:w="0" w:type="dxa"/>
          <w:right w:w="0" w:type="dxa"/>
        </w:tblCellMar>
      </w:tblPr>
      <w:tr>
        <w:trPr>
          <w:trHeight w:val="230"/>
        </w:trPr>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(2,436)</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60"/>
              <w:spacing w:after="0"/>
              <w:rPr>
                <w:sz w:val="20"/>
                <w:szCs w:val="20"/>
                <w:color w:val="auto"/>
              </w:rPr>
            </w:pPr>
            <w:r>
              <w:rPr>
                <w:rFonts w:ascii="Arial" w:cs="Arial" w:eastAsia="Arial" w:hAnsi="Arial"/>
                <w:sz w:val="20"/>
                <w:szCs w:val="20"/>
                <w:color w:val="auto"/>
              </w:rPr>
              <w:t>2,042</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(4,478)</w:t>
            </w:r>
          </w:p>
        </w:tc>
      </w:tr>
      <w:tr>
        <w:trPr>
          <w:trHeight w:val="314"/>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(3,848)</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(1,680)</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(2,168)</w:t>
            </w:r>
          </w:p>
        </w:tc>
      </w:tr>
      <w:tr>
        <w:trPr>
          <w:trHeight w:val="314"/>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(2,055)</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(2,062)</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614"/>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(69)</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(60)</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314"/>
        </w:trPr>
        <w:tc>
          <w:tcPr>
            <w:tcW w:w="2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820" w:type="dxa"/>
            <w:vAlign w:val="bottom"/>
          </w:tcPr>
          <w:p>
            <w:pPr>
              <w:jc w:val="right"/>
              <w:ind w:right="60"/>
              <w:spacing w:after="0"/>
              <w:rPr>
                <w:sz w:val="20"/>
                <w:szCs w:val="20"/>
                <w:color w:val="auto"/>
              </w:rPr>
            </w:pPr>
            <w:r>
              <w:rPr>
                <w:rFonts w:ascii="Arial" w:cs="Arial" w:eastAsia="Arial" w:hAnsi="Arial"/>
                <w:sz w:val="20"/>
                <w:szCs w:val="20"/>
                <w:color w:val="auto"/>
              </w:rPr>
              <w:t>4</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324"/>
        </w:trPr>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(8,408)</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(1,756)</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(6,652)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1990090" cy="285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7">
                      <a:extLst>
                        <a:ext uri="{28A0092B-C50C-407E-A947-70E740481C1C}"/>
                      </a:extLst>
                    </a:blip>
                    <a:srcRect/>
                    <a:stretch>
                      <a:fillRect/>
                    </a:stretch>
                  </pic:blipFill>
                  <pic:spPr bwMode="auto">
                    <a:xfrm>
                      <a:off x="0" y="0"/>
                      <a:ext cx="1990090" cy="28575"/>
                    </a:xfrm>
                    <a:prstGeom prst="rect">
                      <a:avLst/>
                    </a:prstGeom>
                    <a:noFill/>
                  </pic:spPr>
                </pic:pic>
              </a:graphicData>
            </a:graphic>
          </wp:anchor>
        </w:drawing>
      </w:r>
    </w:p>
    <w:p>
      <w:pPr>
        <w:spacing w:after="0" w:line="1085" w:lineRule="exact"/>
        <w:rPr>
          <w:sz w:val="20"/>
          <w:szCs w:val="20"/>
          <w:color w:val="auto"/>
        </w:rPr>
      </w:pPr>
    </w:p>
    <w:p>
      <w:pPr>
        <w:sectPr>
          <w:pgSz w:w="11900" w:h="16838" w:orient="portrait"/>
          <w:cols w:equalWidth="0" w:num="2">
            <w:col w:w="4620" w:space="437"/>
            <w:col w:w="3968"/>
          </w:cols>
          <w:pgMar w:left="1440" w:top="11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 / 25</w:t>
      </w:r>
    </w:p>
    <w:p>
      <w:pPr>
        <w:sectPr>
          <w:pgSz w:w="11900" w:h="16838" w:orient="portrait"/>
          <w:cols w:equalWidth="0" w:num="1">
            <w:col w:w="9026"/>
          </w:cols>
          <w:pgMar w:left="1440" w:top="1177" w:right="1440" w:bottom="0" w:gutter="0" w:footer="0" w:header="0"/>
          <w:type w:val="continuous"/>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1393190</wp:posOffset>
            </wp:positionH>
            <wp:positionV relativeFrom="page">
              <wp:posOffset>2358390</wp:posOffset>
            </wp:positionV>
            <wp:extent cx="4773930" cy="190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8">
                      <a:extLst>
                        <a:ext uri="{28A0092B-C50C-407E-A947-70E740481C1C}"/>
                      </a:extLst>
                    </a:blip>
                    <a:srcRect/>
                    <a:stretch>
                      <a:fillRect/>
                    </a:stretch>
                  </pic:blipFill>
                  <pic:spPr bwMode="auto">
                    <a:xfrm>
                      <a:off x="0" y="0"/>
                      <a:ext cx="4773930" cy="19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Interest Earning Assets:</w:t>
      </w:r>
    </w:p>
    <w:p>
      <w:pPr>
        <w:spacing w:after="0" w:line="70"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26035</wp:posOffset>
            </wp:positionV>
            <wp:extent cx="4773930" cy="1905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9">
                      <a:extLst>
                        <a:ext uri="{28A0092B-C50C-407E-A947-70E740481C1C}"/>
                      </a:extLst>
                    </a:blip>
                    <a:srcRect/>
                    <a:stretch>
                      <a:fillRect/>
                    </a:stretch>
                  </pic:blipFill>
                  <pic:spPr bwMode="auto">
                    <a:xfrm>
                      <a:off x="0" y="0"/>
                      <a:ext cx="4773930" cy="190500"/>
                    </a:xfrm>
                    <a:prstGeom prst="rect">
                      <a:avLst/>
                    </a:prstGeom>
                    <a:noFill/>
                  </pic:spPr>
                </pic:pic>
              </a:graphicData>
            </a:graphic>
          </wp:anchor>
        </w:drawing>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Taxable investment securities</w:t>
      </w:r>
    </w:p>
    <w:p>
      <w:pPr>
        <w:spacing w:after="0" w:line="70"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Tax-exempt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26035</wp:posOffset>
            </wp:positionV>
            <wp:extent cx="4773930" cy="196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0">
                      <a:extLst>
                        <a:ext uri="{28A0092B-C50C-407E-A947-70E740481C1C}"/>
                      </a:extLst>
                    </a:blip>
                    <a:srcRect/>
                    <a:stretch>
                      <a:fillRect/>
                    </a:stretch>
                  </pic:blipFill>
                  <pic:spPr bwMode="auto">
                    <a:xfrm>
                      <a:off x="0" y="0"/>
                      <a:ext cx="4773930" cy="196850"/>
                    </a:xfrm>
                    <a:prstGeom prst="rect">
                      <a:avLst/>
                    </a:prstGeom>
                    <a:noFill/>
                  </pic:spPr>
                </pic:pic>
              </a:graphicData>
            </a:graphic>
          </wp:anchor>
        </w:drawing>
      </w:r>
    </w:p>
    <w:p>
      <w:pPr>
        <w:spacing w:after="0" w:line="60"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Federal funds sold and other</w:t>
      </w:r>
    </w:p>
    <w:p>
      <w:pPr>
        <w:spacing w:after="0" w:line="115"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auto"/>
        </w:rPr>
        <w:t>Total Interest 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26035</wp:posOffset>
            </wp:positionV>
            <wp:extent cx="4773930" cy="1905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1">
                      <a:extLst>
                        <a:ext uri="{28A0092B-C50C-407E-A947-70E740481C1C}"/>
                      </a:extLst>
                    </a:blip>
                    <a:srcRect/>
                    <a:stretch>
                      <a:fillRect/>
                    </a:stretch>
                  </pic:blipFill>
                  <pic:spPr bwMode="auto">
                    <a:xfrm>
                      <a:off x="0" y="0"/>
                      <a:ext cx="4773930" cy="190500"/>
                    </a:xfrm>
                    <a:prstGeom prst="rect">
                      <a:avLst/>
                    </a:prstGeom>
                    <a:noFill/>
                  </pic:spPr>
                </pic:pic>
              </a:graphicData>
            </a:graphic>
          </wp:anchor>
        </w:drawing>
      </w:r>
    </w:p>
    <w:p>
      <w:pPr>
        <w:spacing w:after="0" w:line="350"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Interest-Bearing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26035</wp:posOffset>
            </wp:positionV>
            <wp:extent cx="4773930" cy="1905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2">
                      <a:extLst>
                        <a:ext uri="{28A0092B-C50C-407E-A947-70E740481C1C}"/>
                      </a:extLst>
                    </a:blip>
                    <a:srcRect/>
                    <a:stretch>
                      <a:fillRect/>
                    </a:stretch>
                  </pic:blipFill>
                  <pic:spPr bwMode="auto">
                    <a:xfrm>
                      <a:off x="0" y="0"/>
                      <a:ext cx="4773930" cy="190500"/>
                    </a:xfrm>
                    <a:prstGeom prst="rect">
                      <a:avLst/>
                    </a:prstGeom>
                    <a:noFill/>
                  </pic:spPr>
                </pic:pic>
              </a:graphicData>
            </a:graphic>
          </wp:anchor>
        </w:drawing>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NOW accounts and savings deposits</w:t>
      </w:r>
    </w:p>
    <w:p>
      <w:pPr>
        <w:spacing w:after="0" w:line="70"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Time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26035</wp:posOffset>
            </wp:positionV>
            <wp:extent cx="4773930" cy="1905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3">
                      <a:extLst>
                        <a:ext uri="{28A0092B-C50C-407E-A947-70E740481C1C}"/>
                      </a:extLst>
                    </a:blip>
                    <a:srcRect/>
                    <a:stretch>
                      <a:fillRect/>
                    </a:stretch>
                  </pic:blipFill>
                  <pic:spPr bwMode="auto">
                    <a:xfrm>
                      <a:off x="0" y="0"/>
                      <a:ext cx="4773930" cy="190500"/>
                    </a:xfrm>
                    <a:prstGeom prst="rect">
                      <a:avLst/>
                    </a:prstGeom>
                    <a:noFill/>
                  </pic:spPr>
                </pic:pic>
              </a:graphicData>
            </a:graphic>
          </wp:anchor>
        </w:drawing>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Borrowed funds</w:t>
      </w:r>
    </w:p>
    <w:p>
      <w:pPr>
        <w:spacing w:after="0" w:line="80" w:lineRule="exact"/>
        <w:rPr>
          <w:sz w:val="20"/>
          <w:szCs w:val="20"/>
          <w:color w:val="auto"/>
        </w:rPr>
      </w:pPr>
    </w:p>
    <w:p>
      <w:pPr>
        <w:ind w:left="1160" w:right="60" w:hanging="149"/>
        <w:spacing w:after="0" w:line="331" w:lineRule="auto"/>
        <w:rPr>
          <w:sz w:val="20"/>
          <w:szCs w:val="20"/>
          <w:color w:val="auto"/>
        </w:rPr>
      </w:pPr>
      <w:r>
        <w:rPr>
          <w:rFonts w:ascii="Arial" w:cs="Arial" w:eastAsia="Arial" w:hAnsi="Arial"/>
          <w:sz w:val="19"/>
          <w:szCs w:val="19"/>
          <w:color w:val="auto"/>
        </w:rPr>
        <w:t>Federal funds purchased and securities sold under agreement to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-26035</wp:posOffset>
            </wp:positionV>
            <wp:extent cx="4773930" cy="196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4">
                      <a:extLst>
                        <a:ext uri="{28A0092B-C50C-407E-A947-70E740481C1C}"/>
                      </a:extLst>
                    </a:blip>
                    <a:srcRect/>
                    <a:stretch>
                      <a:fillRect/>
                    </a:stretch>
                  </pic:blipFill>
                  <pic:spPr bwMode="auto">
                    <a:xfrm>
                      <a:off x="0" y="0"/>
                      <a:ext cx="4773930" cy="196850"/>
                    </a:xfrm>
                    <a:prstGeom prst="rect">
                      <a:avLst/>
                    </a:prstGeom>
                    <a:noFill/>
                  </pic:spPr>
                </pic:pic>
              </a:graphicData>
            </a:graphic>
          </wp:anchor>
        </w:drawing>
      </w:r>
    </w:p>
    <w:p>
      <w:pPr>
        <w:ind w:left="1020"/>
        <w:spacing w:after="0" w:line="237" w:lineRule="auto"/>
        <w:rPr>
          <w:sz w:val="20"/>
          <w:szCs w:val="20"/>
          <w:color w:val="auto"/>
        </w:rPr>
      </w:pPr>
      <w:r>
        <w:rPr>
          <w:rFonts w:ascii="Arial" w:cs="Arial" w:eastAsia="Arial" w:hAnsi="Arial"/>
          <w:sz w:val="20"/>
          <w:szCs w:val="20"/>
          <w:color w:val="auto"/>
        </w:rPr>
        <w:t>Subordinated notes</w:t>
      </w:r>
    </w:p>
    <w:p>
      <w:pPr>
        <w:spacing w:after="0" w:line="115"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Total Interest-Bearing Liabilities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Noninterest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30"/>
        </w:trPr>
        <w:tc>
          <w:tcPr>
            <w:tcW w:w="7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20"/>
                <w:szCs w:val="20"/>
                <w:color w:val="auto"/>
                <w:w w:val="89"/>
              </w:rPr>
              <w:t>2024 vs 2023</w:t>
            </w:r>
          </w:p>
        </w:tc>
        <w:tc>
          <w:tcPr>
            <w:tcW w:w="680" w:type="dxa"/>
            <w:vAlign w:val="bottom"/>
          </w:tcPr>
          <w:p>
            <w:pPr>
              <w:spacing w:after="0"/>
              <w:rPr>
                <w:sz w:val="19"/>
                <w:szCs w:val="19"/>
                <w:color w:val="auto"/>
              </w:rPr>
            </w:pPr>
          </w:p>
        </w:tc>
      </w:tr>
      <w:tr>
        <w:trPr>
          <w:trHeight w:val="310"/>
        </w:trPr>
        <w:tc>
          <w:tcPr>
            <w:tcW w:w="7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20"/>
                <w:szCs w:val="20"/>
                <w:color w:val="auto"/>
                <w:w w:val="90"/>
              </w:rPr>
              <w:t>(In Thousands)</w:t>
            </w:r>
          </w:p>
        </w:tc>
        <w:tc>
          <w:tcPr>
            <w:tcW w:w="680" w:type="dxa"/>
            <w:vAlign w:val="bottom"/>
          </w:tcPr>
          <w:p>
            <w:pPr>
              <w:spacing w:after="0"/>
              <w:rPr>
                <w:sz w:val="24"/>
                <w:szCs w:val="24"/>
                <w:color w:val="auto"/>
              </w:rPr>
            </w:pPr>
          </w:p>
        </w:tc>
      </w:tr>
      <w:tr>
        <w:trPr>
          <w:trHeight w:val="310"/>
        </w:trPr>
        <w:tc>
          <w:tcPr>
            <w:tcW w:w="7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20"/>
                <w:szCs w:val="20"/>
                <w:color w:val="auto"/>
                <w:w w:val="85"/>
              </w:rPr>
              <w:t>Change</w:t>
            </w:r>
          </w:p>
        </w:tc>
        <w:tc>
          <w:tcPr>
            <w:tcW w:w="680" w:type="dxa"/>
            <w:vAlign w:val="bottom"/>
          </w:tcPr>
          <w:p>
            <w:pPr>
              <w:ind w:left="80"/>
              <w:spacing w:after="0"/>
              <w:rPr>
                <w:sz w:val="20"/>
                <w:szCs w:val="20"/>
                <w:color w:val="auto"/>
              </w:rPr>
            </w:pPr>
            <w:r>
              <w:rPr>
                <w:rFonts w:ascii="Arial" w:cs="Arial" w:eastAsia="Arial" w:hAnsi="Arial"/>
                <w:sz w:val="20"/>
                <w:szCs w:val="20"/>
                <w:color w:val="auto"/>
                <w:w w:val="82"/>
              </w:rPr>
              <w:t>Change</w:t>
            </w:r>
          </w:p>
        </w:tc>
      </w:tr>
      <w:tr>
        <w:trPr>
          <w:trHeight w:val="300"/>
        </w:trPr>
        <w:tc>
          <w:tcPr>
            <w:tcW w:w="700" w:type="dxa"/>
            <w:vAlign w:val="bottom"/>
          </w:tcPr>
          <w:p>
            <w:pPr>
              <w:jc w:val="center"/>
              <w:spacing w:after="0"/>
              <w:rPr>
                <w:sz w:val="20"/>
                <w:szCs w:val="20"/>
                <w:color w:val="auto"/>
              </w:rPr>
            </w:pPr>
            <w:r>
              <w:rPr>
                <w:rFonts w:ascii="Arial" w:cs="Arial" w:eastAsia="Arial" w:hAnsi="Arial"/>
                <w:sz w:val="20"/>
                <w:szCs w:val="20"/>
                <w:color w:val="auto"/>
                <w:w w:val="96"/>
              </w:rPr>
              <w:t>Net</w:t>
            </w:r>
          </w:p>
        </w:tc>
        <w:tc>
          <w:tcPr>
            <w:tcW w:w="1400" w:type="dxa"/>
            <w:vAlign w:val="bottom"/>
          </w:tcPr>
          <w:p>
            <w:pPr>
              <w:jc w:val="center"/>
              <w:spacing w:after="0"/>
              <w:rPr>
                <w:sz w:val="20"/>
                <w:szCs w:val="20"/>
                <w:color w:val="auto"/>
              </w:rPr>
            </w:pPr>
            <w:r>
              <w:rPr>
                <w:rFonts w:ascii="Arial" w:cs="Arial" w:eastAsia="Arial" w:hAnsi="Arial"/>
                <w:sz w:val="20"/>
                <w:szCs w:val="20"/>
                <w:color w:val="auto"/>
                <w:w w:val="91"/>
              </w:rPr>
              <w:t>Due to</w:t>
            </w:r>
          </w:p>
        </w:tc>
        <w:tc>
          <w:tcPr>
            <w:tcW w:w="680" w:type="dxa"/>
            <w:vAlign w:val="bottom"/>
          </w:tcPr>
          <w:p>
            <w:pPr>
              <w:jc w:val="center"/>
              <w:ind w:left="40"/>
              <w:spacing w:after="0"/>
              <w:rPr>
                <w:sz w:val="20"/>
                <w:szCs w:val="20"/>
                <w:color w:val="auto"/>
              </w:rPr>
            </w:pPr>
            <w:r>
              <w:rPr>
                <w:rFonts w:ascii="Arial" w:cs="Arial" w:eastAsia="Arial" w:hAnsi="Arial"/>
                <w:sz w:val="20"/>
                <w:szCs w:val="20"/>
                <w:color w:val="auto"/>
                <w:w w:val="91"/>
              </w:rPr>
              <w:t>Due to</w:t>
            </w:r>
          </w:p>
        </w:tc>
      </w:tr>
      <w:tr>
        <w:trPr>
          <w:trHeight w:val="300"/>
        </w:trPr>
        <w:tc>
          <w:tcPr>
            <w:tcW w:w="700" w:type="dxa"/>
            <w:vAlign w:val="bottom"/>
          </w:tcPr>
          <w:p>
            <w:pPr>
              <w:jc w:val="center"/>
              <w:spacing w:after="0"/>
              <w:rPr>
                <w:sz w:val="20"/>
                <w:szCs w:val="20"/>
                <w:color w:val="auto"/>
              </w:rPr>
            </w:pPr>
            <w:r>
              <w:rPr>
                <w:rFonts w:ascii="Arial" w:cs="Arial" w:eastAsia="Arial" w:hAnsi="Arial"/>
                <w:sz w:val="20"/>
                <w:szCs w:val="20"/>
                <w:color w:val="auto"/>
                <w:w w:val="88"/>
              </w:rPr>
              <w:t>Change</w:t>
            </w:r>
          </w:p>
        </w:tc>
        <w:tc>
          <w:tcPr>
            <w:tcW w:w="1400" w:type="dxa"/>
            <w:vAlign w:val="bottom"/>
          </w:tcPr>
          <w:p>
            <w:pPr>
              <w:jc w:val="center"/>
              <w:spacing w:after="0"/>
              <w:rPr>
                <w:sz w:val="20"/>
                <w:szCs w:val="20"/>
                <w:color w:val="auto"/>
              </w:rPr>
            </w:pPr>
            <w:r>
              <w:rPr>
                <w:rFonts w:ascii="Arial" w:cs="Arial" w:eastAsia="Arial" w:hAnsi="Arial"/>
                <w:sz w:val="20"/>
                <w:szCs w:val="20"/>
                <w:color w:val="auto"/>
                <w:w w:val="97"/>
              </w:rPr>
              <w:t>Volume</w:t>
            </w:r>
          </w:p>
        </w:tc>
        <w:tc>
          <w:tcPr>
            <w:tcW w:w="680" w:type="dxa"/>
            <w:vAlign w:val="bottom"/>
          </w:tcPr>
          <w:p>
            <w:pPr>
              <w:jc w:val="center"/>
              <w:ind w:left="20"/>
              <w:spacing w:after="0"/>
              <w:rPr>
                <w:sz w:val="20"/>
                <w:szCs w:val="20"/>
                <w:color w:val="auto"/>
              </w:rPr>
            </w:pPr>
            <w:r>
              <w:rPr>
                <w:rFonts w:ascii="Arial" w:cs="Arial" w:eastAsia="Arial" w:hAnsi="Arial"/>
                <w:sz w:val="20"/>
                <w:szCs w:val="20"/>
                <w:color w:val="auto"/>
                <w:w w:val="85"/>
              </w:rPr>
              <w:t>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-748030</wp:posOffset>
            </wp:positionV>
            <wp:extent cx="196596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5">
                      <a:extLst>
                        <a:ext uri="{28A0092B-C50C-407E-A947-70E740481C1C}"/>
                      </a:extLst>
                    </a:blip>
                    <a:srcRect/>
                    <a:stretch>
                      <a:fillRect/>
                    </a:stretch>
                  </pic:blipFill>
                  <pic:spPr bwMode="auto">
                    <a:xfrm>
                      <a:off x="0" y="0"/>
                      <a:ext cx="196596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-551180</wp:posOffset>
            </wp:positionV>
            <wp:extent cx="196596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6">
                      <a:extLst>
                        <a:ext uri="{28A0092B-C50C-407E-A947-70E740481C1C}"/>
                      </a:extLst>
                    </a:blip>
                    <a:srcRect/>
                    <a:stretch>
                      <a:fillRect/>
                    </a:stretch>
                  </pic:blipFill>
                  <pic:spPr bwMode="auto">
                    <a:xfrm>
                      <a:off x="0" y="0"/>
                      <a:ext cx="196596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wp:posOffset>
            </wp:positionV>
            <wp:extent cx="196596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7">
                      <a:extLst>
                        <a:ext uri="{28A0092B-C50C-407E-A947-70E740481C1C}"/>
                      </a:extLst>
                    </a:blip>
                    <a:srcRect/>
                    <a:stretch>
                      <a:fillRect/>
                    </a:stretch>
                  </pic:blipFill>
                  <pic:spPr bwMode="auto">
                    <a:xfrm>
                      <a:off x="0" y="0"/>
                      <a:ext cx="1965960" cy="6350"/>
                    </a:xfrm>
                    <a:prstGeom prst="rect">
                      <a:avLst/>
                    </a:prstGeom>
                    <a:noFill/>
                  </pic:spPr>
                </pic:pic>
              </a:graphicData>
            </a:graphic>
          </wp:anchor>
        </w:drawing>
      </w:r>
    </w:p>
    <w:p>
      <w:pPr>
        <w:spacing w:after="0" w:line="360" w:lineRule="exact"/>
        <w:rPr>
          <w:sz w:val="20"/>
          <w:szCs w:val="20"/>
          <w:color w:val="auto"/>
        </w:rPr>
      </w:pPr>
    </w:p>
    <w:p>
      <w:pPr>
        <w:ind w:left="360" w:hanging="360"/>
        <w:spacing w:after="0"/>
        <w:tabs>
          <w:tab w:leader="none" w:pos="3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15,985  $3,413  $   12,572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jc w:val="right"/>
              <w:ind w:right="40"/>
              <w:spacing w:after="0"/>
              <w:rPr>
                <w:sz w:val="20"/>
                <w:szCs w:val="20"/>
                <w:color w:val="auto"/>
              </w:rPr>
            </w:pPr>
            <w:r>
              <w:rPr>
                <w:rFonts w:ascii="Arial" w:cs="Arial" w:eastAsia="Arial" w:hAnsi="Arial"/>
                <w:sz w:val="20"/>
                <w:szCs w:val="20"/>
                <w:color w:val="auto"/>
              </w:rPr>
              <w:t>1,925</w:t>
            </w:r>
          </w:p>
        </w:tc>
        <w:tc>
          <w:tcPr>
            <w:tcW w:w="34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20"/>
                <w:szCs w:val="20"/>
                <w:color w:val="auto"/>
              </w:rPr>
              <w:t>257</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1,668</w:t>
            </w:r>
          </w:p>
        </w:tc>
      </w:tr>
      <w:tr>
        <w:trPr>
          <w:trHeight w:val="300"/>
        </w:trPr>
        <w:tc>
          <w:tcPr>
            <w:tcW w:w="1040" w:type="dxa"/>
            <w:vAlign w:val="bottom"/>
          </w:tcPr>
          <w:p>
            <w:pPr>
              <w:jc w:val="right"/>
              <w:spacing w:after="0"/>
              <w:rPr>
                <w:sz w:val="20"/>
                <w:szCs w:val="20"/>
                <w:color w:val="auto"/>
              </w:rPr>
            </w:pPr>
            <w:r>
              <w:rPr>
                <w:rFonts w:ascii="Arial" w:cs="Arial" w:eastAsia="Arial" w:hAnsi="Arial"/>
                <w:sz w:val="20"/>
                <w:szCs w:val="20"/>
                <w:color w:val="auto"/>
              </w:rPr>
              <w:t>(38)</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(85)</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300"/>
        </w:trPr>
        <w:tc>
          <w:tcPr>
            <w:tcW w:w="1040" w:type="dxa"/>
            <w:vAlign w:val="bottom"/>
          </w:tcPr>
          <w:p>
            <w:pPr>
              <w:jc w:val="right"/>
              <w:ind w:right="40"/>
              <w:spacing w:after="0"/>
              <w:rPr>
                <w:sz w:val="20"/>
                <w:szCs w:val="20"/>
                <w:color w:val="auto"/>
              </w:rPr>
            </w:pPr>
            <w:r>
              <w:rPr>
                <w:rFonts w:ascii="Arial" w:cs="Arial" w:eastAsia="Arial" w:hAnsi="Arial"/>
                <w:sz w:val="20"/>
                <w:szCs w:val="20"/>
                <w:color w:val="auto"/>
              </w:rPr>
              <w:t>5,892</w:t>
            </w:r>
          </w:p>
        </w:tc>
        <w:tc>
          <w:tcPr>
            <w:tcW w:w="340" w:type="dxa"/>
            <w:vAlign w:val="bottom"/>
          </w:tcPr>
          <w:p>
            <w:pPr>
              <w:spacing w:after="0"/>
              <w:rPr>
                <w:sz w:val="24"/>
                <w:szCs w:val="24"/>
                <w:color w:val="auto"/>
              </w:rPr>
            </w:pPr>
          </w:p>
        </w:tc>
        <w:tc>
          <w:tcPr>
            <w:tcW w:w="760" w:type="dxa"/>
            <w:vAlign w:val="bottom"/>
          </w:tcPr>
          <w:p>
            <w:pPr>
              <w:jc w:val="right"/>
              <w:ind w:right="40"/>
              <w:spacing w:after="0"/>
              <w:rPr>
                <w:sz w:val="20"/>
                <w:szCs w:val="20"/>
                <w:color w:val="auto"/>
              </w:rPr>
            </w:pPr>
            <w:r>
              <w:rPr>
                <w:rFonts w:ascii="Arial" w:cs="Arial" w:eastAsia="Arial" w:hAnsi="Arial"/>
                <w:sz w:val="20"/>
                <w:szCs w:val="20"/>
                <w:color w:val="auto"/>
              </w:rPr>
              <w:t>4,181</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1,711</w:t>
            </w:r>
          </w:p>
        </w:tc>
      </w:tr>
      <w:tr>
        <w:trPr>
          <w:trHeight w:val="310"/>
        </w:trPr>
        <w:tc>
          <w:tcPr>
            <w:tcW w:w="1040" w:type="dxa"/>
            <w:vAlign w:val="bottom"/>
          </w:tcPr>
          <w:p>
            <w:pPr>
              <w:jc w:val="right"/>
              <w:ind w:right="40"/>
              <w:spacing w:after="0"/>
              <w:rPr>
                <w:sz w:val="20"/>
                <w:szCs w:val="20"/>
                <w:color w:val="auto"/>
              </w:rPr>
            </w:pPr>
            <w:r>
              <w:rPr>
                <w:rFonts w:ascii="Arial" w:cs="Arial" w:eastAsia="Arial" w:hAnsi="Arial"/>
                <w:sz w:val="20"/>
                <w:szCs w:val="20"/>
                <w:color w:val="auto"/>
                <w:w w:val="98"/>
              </w:rPr>
              <w:t>$   23,764</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40"/>
              <w:spacing w:after="0"/>
              <w:rPr>
                <w:sz w:val="20"/>
                <w:szCs w:val="20"/>
                <w:color w:val="auto"/>
              </w:rPr>
            </w:pPr>
            <w:r>
              <w:rPr>
                <w:rFonts w:ascii="Arial" w:cs="Arial" w:eastAsia="Arial" w:hAnsi="Arial"/>
                <w:sz w:val="20"/>
                <w:szCs w:val="20"/>
                <w:color w:val="auto"/>
              </w:rPr>
              <w:t>7,766</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15,998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1965960" cy="285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8">
                      <a:extLst>
                        <a:ext uri="{28A0092B-C50C-407E-A947-70E740481C1C}"/>
                      </a:extLst>
                    </a:blip>
                    <a:srcRect/>
                    <a:stretch>
                      <a:fillRect/>
                    </a:stretch>
                  </pic:blipFill>
                  <pic:spPr bwMode="auto">
                    <a:xfrm>
                      <a:off x="0" y="0"/>
                      <a:ext cx="196596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 w:hanging="360"/>
        <w:spacing w:after="0"/>
        <w:tabs>
          <w:tab w:leader="none" w:pos="3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12,326  $2,512  $    9,814</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jc w:val="right"/>
              <w:ind w:right="40"/>
              <w:spacing w:after="0"/>
              <w:rPr>
                <w:sz w:val="20"/>
                <w:szCs w:val="20"/>
                <w:color w:val="auto"/>
              </w:rPr>
            </w:pPr>
            <w:r>
              <w:rPr>
                <w:rFonts w:ascii="Arial" w:cs="Arial" w:eastAsia="Arial" w:hAnsi="Arial"/>
                <w:sz w:val="20"/>
                <w:szCs w:val="20"/>
                <w:color w:val="auto"/>
              </w:rPr>
              <w:t>5,214</w:t>
            </w:r>
          </w:p>
        </w:tc>
        <w:tc>
          <w:tcPr>
            <w:tcW w:w="34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20"/>
                <w:szCs w:val="20"/>
                <w:color w:val="auto"/>
              </w:rPr>
              <w:t>698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4,516</w:t>
            </w:r>
          </w:p>
        </w:tc>
      </w:tr>
      <w:tr>
        <w:trPr>
          <w:trHeight w:val="300"/>
        </w:trPr>
        <w:tc>
          <w:tcPr>
            <w:tcW w:w="1040" w:type="dxa"/>
            <w:vAlign w:val="bottom"/>
          </w:tcPr>
          <w:p>
            <w:pPr>
              <w:jc w:val="right"/>
              <w:ind w:right="40"/>
              <w:spacing w:after="0"/>
              <w:rPr>
                <w:sz w:val="20"/>
                <w:szCs w:val="20"/>
                <w:color w:val="auto"/>
              </w:rPr>
            </w:pPr>
            <w:r>
              <w:rPr>
                <w:rFonts w:ascii="Arial" w:cs="Arial" w:eastAsia="Arial" w:hAnsi="Arial"/>
                <w:sz w:val="20"/>
                <w:szCs w:val="20"/>
                <w:color w:val="auto"/>
              </w:rPr>
              <w:t>2,072</w:t>
            </w:r>
          </w:p>
        </w:tc>
        <w:tc>
          <w:tcPr>
            <w:tcW w:w="340" w:type="dxa"/>
            <w:vAlign w:val="bottom"/>
          </w:tcPr>
          <w:p>
            <w:pPr>
              <w:spacing w:after="0"/>
              <w:rPr>
                <w:sz w:val="24"/>
                <w:szCs w:val="24"/>
                <w:color w:val="auto"/>
              </w:rPr>
            </w:pPr>
          </w:p>
        </w:tc>
        <w:tc>
          <w:tcPr>
            <w:tcW w:w="760" w:type="dxa"/>
            <w:vAlign w:val="bottom"/>
          </w:tcPr>
          <w:p>
            <w:pPr>
              <w:jc w:val="right"/>
              <w:ind w:right="40"/>
              <w:spacing w:after="0"/>
              <w:rPr>
                <w:sz w:val="20"/>
                <w:szCs w:val="20"/>
                <w:color w:val="auto"/>
              </w:rPr>
            </w:pPr>
            <w:r>
              <w:rPr>
                <w:rFonts w:ascii="Arial" w:cs="Arial" w:eastAsia="Arial" w:hAnsi="Arial"/>
                <w:sz w:val="20"/>
                <w:szCs w:val="20"/>
                <w:color w:val="auto"/>
              </w:rPr>
              <w:t>1,690</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382</w:t>
            </w:r>
          </w:p>
        </w:tc>
      </w:tr>
      <w:tr>
        <w:trPr>
          <w:trHeight w:val="600"/>
        </w:trPr>
        <w:tc>
          <w:tcPr>
            <w:tcW w:w="1040" w:type="dxa"/>
            <w:vAlign w:val="bottom"/>
          </w:tcPr>
          <w:p>
            <w:pPr>
              <w:jc w:val="right"/>
              <w:spacing w:after="0"/>
              <w:rPr>
                <w:sz w:val="20"/>
                <w:szCs w:val="20"/>
                <w:color w:val="auto"/>
              </w:rPr>
            </w:pPr>
            <w:r>
              <w:rPr>
                <w:rFonts w:ascii="Arial" w:cs="Arial" w:eastAsia="Arial" w:hAnsi="Arial"/>
                <w:sz w:val="20"/>
                <w:szCs w:val="20"/>
                <w:color w:val="auto"/>
              </w:rPr>
              <w:t>(363)</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(319)</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00"/>
        </w:trPr>
        <w:tc>
          <w:tcPr>
            <w:tcW w:w="10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760" w:type="dxa"/>
            <w:vAlign w:val="bottom"/>
          </w:tcPr>
          <w:p>
            <w:pPr>
              <w:jc w:val="right"/>
              <w:ind w:right="40"/>
              <w:spacing w:after="0"/>
              <w:rPr>
                <w:sz w:val="20"/>
                <w:szCs w:val="20"/>
                <w:color w:val="auto"/>
              </w:rPr>
            </w:pPr>
            <w:r>
              <w:rPr>
                <w:rFonts w:ascii="Arial" w:cs="Arial" w:eastAsia="Arial" w:hAnsi="Arial"/>
                <w:sz w:val="20"/>
                <w:szCs w:val="20"/>
                <w:color w:val="auto"/>
              </w:rPr>
              <w:t>4</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310"/>
        </w:trPr>
        <w:tc>
          <w:tcPr>
            <w:tcW w:w="1040" w:type="dxa"/>
            <w:vAlign w:val="bottom"/>
          </w:tcPr>
          <w:p>
            <w:pPr>
              <w:jc w:val="right"/>
              <w:ind w:right="40"/>
              <w:spacing w:after="0"/>
              <w:rPr>
                <w:sz w:val="20"/>
                <w:szCs w:val="20"/>
                <w:color w:val="auto"/>
              </w:rPr>
            </w:pPr>
            <w:r>
              <w:rPr>
                <w:rFonts w:ascii="Arial" w:cs="Arial" w:eastAsia="Arial" w:hAnsi="Arial"/>
                <w:sz w:val="20"/>
                <w:szCs w:val="20"/>
                <w:color w:val="auto"/>
                <w:w w:val="98"/>
              </w:rPr>
              <w:t>$   19,249</w:t>
            </w:r>
          </w:p>
        </w:tc>
        <w:tc>
          <w:tcPr>
            <w:tcW w:w="34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760" w:type="dxa"/>
            <w:vAlign w:val="bottom"/>
          </w:tcPr>
          <w:p>
            <w:pPr>
              <w:jc w:val="right"/>
              <w:ind w:right="40"/>
              <w:spacing w:after="0"/>
              <w:rPr>
                <w:sz w:val="20"/>
                <w:szCs w:val="20"/>
                <w:color w:val="auto"/>
              </w:rPr>
            </w:pPr>
            <w:r>
              <w:rPr>
                <w:rFonts w:ascii="Arial" w:cs="Arial" w:eastAsia="Arial" w:hAnsi="Arial"/>
                <w:sz w:val="20"/>
                <w:szCs w:val="20"/>
                <w:color w:val="auto"/>
              </w:rPr>
              <w:t>4,585</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14,664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1965960" cy="285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9">
                      <a:extLst>
                        <a:ext uri="{28A0092B-C50C-407E-A947-70E740481C1C}"/>
                      </a:extLst>
                    </a:blip>
                    <a:srcRect/>
                    <a:stretch>
                      <a:fillRect/>
                    </a:stretch>
                  </pic:blipFill>
                  <pic:spPr bwMode="auto">
                    <a:xfrm>
                      <a:off x="0" y="0"/>
                      <a:ext cx="1965960" cy="28575"/>
                    </a:xfrm>
                    <a:prstGeom prst="rect">
                      <a:avLst/>
                    </a:prstGeom>
                    <a:noFill/>
                  </pic:spPr>
                </pic:pic>
              </a:graphicData>
            </a:graphic>
          </wp:anchor>
        </w:drawing>
      </w:r>
    </w:p>
    <w:p>
      <w:pPr>
        <w:spacing w:after="0" w:line="965" w:lineRule="exact"/>
        <w:rPr>
          <w:sz w:val="20"/>
          <w:szCs w:val="20"/>
          <w:color w:val="auto"/>
        </w:rPr>
      </w:pPr>
    </w:p>
    <w:p>
      <w:pPr>
        <w:sectPr>
          <w:pgSz w:w="11900" w:h="16838" w:orient="portrait"/>
          <w:cols w:equalWidth="0" w:num="2">
            <w:col w:w="4560" w:space="720"/>
            <w:col w:w="4120"/>
          </w:cols>
          <w:pgMar w:left="1260" w:top="1440" w:right="1246" w:bottom="0" w:gutter="0" w:footer="0" w:header="0"/>
        </w:sectPr>
      </w:pPr>
    </w:p>
    <w:p>
      <w:pPr>
        <w:jc w:val="both"/>
        <w:ind w:right="60"/>
        <w:spacing w:after="0" w:line="309" w:lineRule="auto"/>
        <w:rPr>
          <w:sz w:val="20"/>
          <w:szCs w:val="20"/>
          <w:color w:val="auto"/>
        </w:rPr>
      </w:pPr>
      <w:r>
        <w:rPr>
          <w:rFonts w:ascii="Arial" w:cs="Arial" w:eastAsia="Arial" w:hAnsi="Arial"/>
          <w:sz w:val="20"/>
          <w:szCs w:val="20"/>
          <w:color w:val="auto"/>
        </w:rPr>
        <w:t>The discussion now focuses on the noninterest income and expense generated by the Company for the years ended 2023 through 2025. For 2025, noninterest income was $17.1 million, an increase of $1.5 million or 9.7% from 2024. Noninterest income decreased $284 thousand or 1.8% in total for 2024 as compared to 2023 which ended at $15.9 million.</w:t>
      </w:r>
    </w:p>
    <w:p>
      <w:pPr>
        <w:spacing w:after="0" w:line="256"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Other service charges increased $517 thousand as compared to 2024. Of this total, service charges increased $252 thousand while overdraft, returned check charges and recurring overdraft fees increased $206 thousand over 2024. Business charges accounted for $236 thousand while consumer charges accounted for the remaining $222 thousand of the aforementioned. Wire transfers increased $52 thousand as compared to 2024. Customer service fees increased $94 thousand over 2024 which was mainly comprised of increased credit card fees of $100 thousand, rental income primarily from excess office space in the Hicksville branch of $49 thousand, merchant services of $38 thousand and release fees of $25 thousand offset by decreased miscellaneous fees of $101 thousand. Other service charges and fees increased $130 thousand during 2024 as compared to 2023 with overdraft, returned check charges and recurring overdraft fees accounting for $68 thousand of the increase. Wire transfer fees and service charges accounted for $29 and $22 thousand, respectively, of the increase as compared to 2023.</w:t>
      </w:r>
    </w:p>
    <w:p>
      <w:pPr>
        <w:spacing w:after="0" w:line="230"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Interchange revenue and fees collected on foreign ATM usage (noncustomers utilizing our ATMs) continues to be a significant contributor to overall noninterest income at $5.2 million for 2025 which was a decrease of $168 thousand when comparing to 2024. Interchange revenue increased $78 thousand to $5.4 million during 2024 as compared to 2023. Included in interchange revenue is a Mastercard growth credit of $240 thousand, $213 thousand and $196 thousand for 2025, 2024 and 2023, respectively. In December of 2019, the Bank became a principal with Mastercard and received a $1.75 million signing bonus. The signing bonus was based on achieving $1.1 billion in signature</w:t>
      </w:r>
    </w:p>
    <w:p>
      <w:pPr>
        <w:sectPr>
          <w:pgSz w:w="11900" w:h="16838" w:orient="portrait"/>
          <w:cols w:equalWidth="0" w:num="1">
            <w:col w:w="9400"/>
          </w:cols>
          <w:pgMar w:left="1260" w:top="1440" w:right="1246" w:bottom="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25</w:t>
      </w:r>
    </w:p>
    <w:p>
      <w:pPr>
        <w:sectPr>
          <w:pgSz w:w="11900" w:h="16838" w:orient="portrait"/>
          <w:cols w:equalWidth="0" w:num="1">
            <w:col w:w="9400"/>
          </w:cols>
          <w:pgMar w:left="1260" w:top="1440" w:right="1246" w:bottom="0" w:gutter="0" w:footer="0" w:header="0"/>
          <w:type w:val="continuous"/>
        </w:sectPr>
      </w:pPr>
    </w:p>
    <w:bookmarkStart w:id="69" w:name="page70"/>
    <w:bookmarkEnd w:id="69"/>
    <w:p>
      <w:pPr>
        <w:jc w:val="both"/>
        <w:ind w:right="40"/>
        <w:spacing w:after="0" w:line="330" w:lineRule="auto"/>
        <w:rPr>
          <w:sz w:val="20"/>
          <w:szCs w:val="20"/>
          <w:color w:val="auto"/>
        </w:rPr>
      </w:pPr>
      <w:r>
        <w:rPr>
          <w:rFonts w:ascii="Arial" w:cs="Arial" w:eastAsia="Arial" w:hAnsi="Arial"/>
          <w:sz w:val="19"/>
          <w:szCs w:val="19"/>
          <w:color w:val="auto"/>
        </w:rPr>
        <w:t>transactions over five years. The bonus was recognized over 60 months with $319 thousand included in 2024's $5.4 million and $351 thousand included in 2023’s $5.3 million. While more depositors are using electronic methods for purchasing, the expense attributable to card fraud has offset a portion of the revenue gain. Further discussion can be found in the noninterest expense section regarding the net effect of debit card activity.</w:t>
      </w:r>
    </w:p>
    <w:p>
      <w:pPr>
        <w:spacing w:after="0" w:line="238" w:lineRule="exact"/>
        <w:rPr>
          <w:sz w:val="20"/>
          <w:szCs w:val="20"/>
          <w:color w:val="auto"/>
        </w:rPr>
      </w:pPr>
    </w:p>
    <w:p>
      <w:pPr>
        <w:jc w:val="both"/>
        <w:spacing w:after="0" w:line="352" w:lineRule="auto"/>
        <w:rPr>
          <w:sz w:val="20"/>
          <w:szCs w:val="20"/>
          <w:color w:val="auto"/>
        </w:rPr>
      </w:pPr>
      <w:r>
        <w:rPr>
          <w:rFonts w:ascii="Arial" w:cs="Arial" w:eastAsia="Arial" w:hAnsi="Arial"/>
          <w:sz w:val="18"/>
          <w:szCs w:val="18"/>
          <w:color w:val="auto"/>
        </w:rPr>
        <w:t>Loan servicing income increased $346 thousand as compared to 2024. Capitalized servicing rights for 1-4 family real estate loans and agricultural real estate loans accounted for $277 thousand of the increase. Loan servicing income decreased $1.9 million during 2024 as compared to 2023. The establishment of agricultural real estate servicing rights during 2023 recognized $2.3 million of servicing income that was not present in prior years.</w:t>
      </w:r>
    </w:p>
    <w:p>
      <w:pPr>
        <w:spacing w:after="0" w:line="226"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Bank has seen an increase in its mortgage production volume and the corresponding gains on the sale of these loans. Loan originations have increased from $36.4 million in 2023 to $53.7 million in 2024 to $62.8 million in 2025 as a direct result of lower interest rates. Net gain on sales of loans was $1.3 million, $859 thousand and $699 thousand in 2025, 2024 and 2023, respectively. The net gain on sale of loans is derived from sales of real estate loans into the secondary market. Of these loan types, the Bank sells 100% of the residential loans and 90% of the agricultural loans. Residential loans contributed to 39.8% of the gains in 2025, 45.9% in 2024 and 84.3% in 2023. In conjunction with these sales, the Bank maintains servicing rights. The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 / 25</w:t>
      </w:r>
    </w:p>
    <w:p>
      <w:pPr>
        <w:sectPr>
          <w:pgSz w:w="11900" w:h="16838" w:orient="portrait"/>
          <w:cols w:equalWidth="0" w:num="1">
            <w:col w:w="9380"/>
          </w:cols>
          <w:pgMar w:left="1260" w:top="1173" w:right="1266" w:bottom="0" w:gutter="0" w:footer="0" w:header="0"/>
          <w:type w:val="continuous"/>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color w:val="auto"/>
        </w:rPr>
        <w:t>income from one to four mortgage servicing rights was $645 thousand, $502 thousand and $415 thousand for 2025, 2024 and 2023, respectively. Agriculture mortgage servicing rights income was $458 thousand, $324 thousand and $2.3 million in 2025, 2024 and 2023, respectively.</w:t>
      </w:r>
    </w:p>
    <w:p>
      <w:pPr>
        <w:spacing w:after="0" w:line="257"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color w:val="auto"/>
        </w:rPr>
        <w:t>The cash surrender value of bank owned life insurance increased $405 thousand or 42.0% as compared to 2024, the result of an additional purchase of $18.0 million of bank owned life insurance in October 2025, and $131 thousand or 15.7% in 2024 compared to 2023.</w:t>
      </w:r>
    </w:p>
    <w:p>
      <w:pPr>
        <w:spacing w:after="0" w:line="257"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For 2025, net gain (loss) on sale of other assets owned consisted of a loss of $43 thousand on disposal of assets and a $2 thousand gain on the sale of other real estate owned which compared to a gain on disposal of assets of $71 thousand for 2024 and a $135 thousand loss on disposal of assets in 2023.</w:t>
      </w:r>
    </w:p>
    <w:p>
      <w:pPr>
        <w:spacing w:after="0" w:line="257" w:lineRule="exact"/>
        <w:rPr>
          <w:sz w:val="20"/>
          <w:szCs w:val="20"/>
          <w:color w:val="auto"/>
        </w:rPr>
      </w:pPr>
    </w:p>
    <w:p>
      <w:pPr>
        <w:jc w:val="both"/>
        <w:ind w:right="40"/>
        <w:spacing w:after="0" w:line="351" w:lineRule="auto"/>
        <w:rPr>
          <w:sz w:val="20"/>
          <w:szCs w:val="20"/>
          <w:color w:val="auto"/>
        </w:rPr>
      </w:pPr>
      <w:r>
        <w:rPr>
          <w:rFonts w:ascii="Arial" w:cs="Arial" w:eastAsia="Arial" w:hAnsi="Arial"/>
          <w:sz w:val="18"/>
          <w:szCs w:val="18"/>
          <w:color w:val="auto"/>
        </w:rPr>
        <w:t>The last item in the noninterest income section is the net gain or loss on sale of investments. During the first quarter of 2023, securities were swapped at a loss of $891 thousand with securities with a higher annual yield. The loss was recouped by the higher yield during the first eight months of 2023. The Bank did not sell any securities in 2025 or 2024. The available-for-sale security portfolio has improved to approximately a $15.0 million unrealized loss position as of December 31, 2025, from a $36.7 million unrealized loss position as of December 31, 2023.</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Noninterest Expense</w:t>
      </w:r>
    </w:p>
    <w:p>
      <w:pPr>
        <w:spacing w:after="0" w:line="20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Noninterest expense increased 11.8% in 2025 to $76.8 million as compared to 2024 and was preceded by a 2.2% increase in 2024 as compared to 2023. Represented in dollars, 2025 was $8.1 million higher than 2024 and 2024 was $1.5 million higher than 2023. One of the largest factors behind the increase in both years was the expense of employee salaries and wages. During 2025, an additional $1.4 million was spent over 2024 which correlates to a 4.7% increase. When making the same analysis for 2024 as compared to 2023, 2024’s costs increased $3.3 million or 12.1%. Three main components flow into salaries and wages: base salary, deferred costs, and incentives comprised of restricted stock award expense and performance incentives. 2025 and 2024 saw an increase due to our continued investment in people and staffing needs. Normal yearly increases to the employees were included in all years. Base pay was up $1.6 million for 2025 over the previous year and 2024 was up $1.4 million over 2023. The offsetting deferred cost increased $791 thousand in 2025 as compared to 2024 and $433 thousand in 2024 as compared to 2023. The full time equivalent number of employees at each year-end increased to 474 for 2025, 473 for 2024 and 456 for 2023.</w:t>
      </w:r>
    </w:p>
    <w:p>
      <w:pPr>
        <w:spacing w:after="0" w:line="246" w:lineRule="exact"/>
        <w:rPr>
          <w:sz w:val="20"/>
          <w:szCs w:val="20"/>
          <w:color w:val="auto"/>
        </w:rPr>
      </w:pPr>
    </w:p>
    <w:p>
      <w:pPr>
        <w:jc w:val="both"/>
        <w:ind w:right="40"/>
        <w:spacing w:after="0" w:line="349" w:lineRule="auto"/>
        <w:rPr>
          <w:sz w:val="20"/>
          <w:szCs w:val="20"/>
          <w:color w:val="auto"/>
        </w:rPr>
      </w:pPr>
      <w:r>
        <w:rPr>
          <w:rFonts w:ascii="Arial" w:cs="Arial" w:eastAsia="Arial" w:hAnsi="Arial"/>
          <w:sz w:val="18"/>
          <w:szCs w:val="18"/>
          <w:color w:val="auto"/>
        </w:rPr>
        <w:t>Incentive pay as it relates to performance was up $533 thousand in 2025 over 2024 and $2.2 million in 2024 over 2023. The Return on Assets multiple used to award incentive pay increased in 2025 to 1.135 compared to 1.043 in 2024 and 0.36 in 2023. The expense for the restricted stock awards increased in 2025 due to an additional 504 shares granted, a higher market price and $34 thousand for the acceleration of stock awards for retirement. Restricted stock award expense increased in 2024 even though 4,056 fewer shares were granted. This was due to higher market value rates and $108 thousand for the acceleration of stock awards for executive retirements. Restricted stock award expense increased in total $34 thousand in 2025 over 2024 and $79 thousand in 2024 over 2023. The awards incorporate a three year vesting period so the increase of any one year carries forward through the next two years. This expense should continue to increase as the Company continues its expansion strategy. For further discussion in incentive pay and restricted stock awards, see Note 12 of the consolidated financial statements.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 / 25</w:t>
      </w:r>
    </w:p>
    <w:p>
      <w:pPr>
        <w:sectPr>
          <w:pgSz w:w="11900" w:h="16838" w:orient="portrait"/>
          <w:cols w:equalWidth="0" w:num="1">
            <w:col w:w="9380"/>
          </w:cols>
          <w:pgMar w:left="1260" w:top="1440" w:right="1266" w:bottom="0" w:gutter="0" w:footer="0" w:header="0"/>
          <w:type w:val="continuous"/>
        </w:sectPr>
      </w:pPr>
    </w:p>
    <w:bookmarkStart w:id="71" w:name="page72"/>
    <w:bookmarkEnd w:id="71"/>
    <w:p>
      <w:pPr>
        <w:jc w:val="both"/>
        <w:ind w:right="40"/>
        <w:spacing w:after="0" w:line="329" w:lineRule="auto"/>
        <w:rPr>
          <w:sz w:val="20"/>
          <w:szCs w:val="20"/>
          <w:color w:val="auto"/>
        </w:rPr>
      </w:pPr>
      <w:r>
        <w:rPr>
          <w:rFonts w:ascii="Arial" w:cs="Arial" w:eastAsia="Arial" w:hAnsi="Arial"/>
          <w:sz w:val="19"/>
          <w:szCs w:val="19"/>
          <w:color w:val="auto"/>
        </w:rPr>
        <w:t>Employee benefits expense increased $785 thousand or 9.2% in 2025 as compared to 2024. Employee group insurance expense with an increase of $571 thousand accounted for the largest portion of the increase. Employers FICA expense increased $225 thousand for 2025. The cost of the 401(k) retirement plan decreased $7 thousand for 2025 as compared to 2024. The contribution portion relating to the discretionary profit-sharing percentage was 4.40% in 2025. Employee benefits expense increased in 2024 as compared to 2023. The 401(k) retirement plan accounted for the largest portion of the increase, which was an increase of $601 thousand over 2023. The contribution portion relating to the discretionary profit-sharing percentage was 4.5% in 2024 compared to 1.7% in 2023. Overall, employee benefits increased $1.0 million or 13.6% from 2023.</w:t>
      </w:r>
    </w:p>
    <w:p>
      <w:pPr>
        <w:spacing w:after="0" w:line="244"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Net occupancy expense typically increases as the Company expands. Net occupancy expense increased $278 thousand for 2025 and $319 thousand in 2024. One factor that can offset occupancy expense is the receipt by the Company of building rent as it is netted out of occupancy expense. The greatest contributor to building rent comes from the division of FM Investments within the Bank. Building rent as generated from FM Investments increased by $125 thousand in 2025 as compared to 2024. Rent is received in lieu of commissions. This revenue was able to partially offset increased lease expense of $147 thousand, utilities of $116 thousand, building repair and maintenance expenses of $76 thousand and building depreciation of $43 thousand. Building rent as generated by FM Investments was higher by $195 thousand in 2024 which offset increased lease expense of $439 thousand, building depreciation expense of $328 thousand and building repair and maintenance expenses of $39 thousand.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 / 25</w:t>
      </w:r>
    </w:p>
    <w:p>
      <w:pPr>
        <w:sectPr>
          <w:pgSz w:w="11900" w:h="16838" w:orient="portrait"/>
          <w:cols w:equalWidth="0" w:num="1">
            <w:col w:w="9380"/>
          </w:cols>
          <w:pgMar w:left="1260" w:top="1173" w:right="1266" w:bottom="0" w:gutter="0" w:footer="0" w:header="0"/>
          <w:type w:val="continuous"/>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20"/>
        <w:spacing w:after="0" w:line="350" w:lineRule="auto"/>
        <w:rPr>
          <w:sz w:val="20"/>
          <w:szCs w:val="20"/>
          <w:color w:val="auto"/>
        </w:rPr>
      </w:pPr>
      <w:r>
        <w:rPr>
          <w:rFonts w:ascii="Arial" w:cs="Arial" w:eastAsia="Arial" w:hAnsi="Arial"/>
          <w:sz w:val="18"/>
          <w:szCs w:val="18"/>
          <w:color w:val="auto"/>
        </w:rPr>
        <w:t>Furniture and equipment steadily increase as we continue to add facilities and invest in technology. Annual maintenance costs continue to grow and become a greater piece of the overall cost. As new services are provided to our customers, the backroom cost to supply them continues to rise. The Company accepts it is an expected cost of doing business and keeping our services relevant to the industry. Furniture and fixture expense increased $312 thousand for 2025 as compared to 2024 with increased maintenance contracts of $399 thousand and repairs of $75 thousand which were offset by decreased depreciation of $132 thousand and rental expenses of $21 thousand. For 2024, furniture and fixtures increased $242 thousand over 2023 with increased maintenance contracts of $192 thousand and depreciation of $63 thousand offset by decreased rental expenses of $15 thousand.</w:t>
      </w:r>
    </w:p>
    <w:p>
      <w:pPr>
        <w:spacing w:after="0" w:line="225"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largest noninterest expense increase for 2025 as compared to 2024 was data processing costs at $2.2 million. ATM expense also increased $923 thousand over 2024. Both expense lines had a much smaller usage of flex credits as compared to 2024. Beginning in December of 2025, flex credits of $75 thousand per month will be used until they are exhausted in August of 2028. Data processing costs and ATM expense were lower in 2024 as compared to 2023 by $1.7 million and $941 thousand, respectively, as a result of using credits from the 67 month amended agreement commencing on January 1, 2024. Some of the flex credits may be used on a wide range of services while others are product specific. As the pricing on many services is based on number of accounts which the Bank fully expects to increase with the growth from the newer offices and overall Bank growth, data processing costs are expected to increase. Included in ATM expense are the debit card fees incurred which offset the debit card income as discussed in the noninterest income section.</w:t>
      </w:r>
    </w:p>
    <w:p>
      <w:pPr>
        <w:spacing w:after="0" w:line="245"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Advertising and public relations only increased $55 thousand as compared to 2024 and decreased in 2024 by $463 thousand as compared to 2023. 2023 included additional expenses related to new office and the launch of our new logo.</w:t>
      </w:r>
    </w:p>
    <w:p>
      <w:pPr>
        <w:spacing w:after="0" w:line="257" w:lineRule="exact"/>
        <w:rPr>
          <w:sz w:val="20"/>
          <w:szCs w:val="20"/>
          <w:color w:val="auto"/>
        </w:rPr>
      </w:pPr>
    </w:p>
    <w:p>
      <w:pPr>
        <w:jc w:val="both"/>
        <w:ind w:right="20"/>
        <w:spacing w:after="0" w:line="355" w:lineRule="auto"/>
        <w:rPr>
          <w:sz w:val="20"/>
          <w:szCs w:val="20"/>
          <w:color w:val="auto"/>
        </w:rPr>
      </w:pPr>
      <w:r>
        <w:rPr>
          <w:rFonts w:ascii="Arial" w:cs="Arial" w:eastAsia="Arial" w:hAnsi="Arial"/>
          <w:sz w:val="18"/>
          <w:szCs w:val="18"/>
          <w:color w:val="auto"/>
        </w:rPr>
        <w:t>FDIC assessments decreased $390 thousand in 2025 from 2024 due to a decrease in the quarterly assessment multiplier. 2024 FDIC assessments increased $127 thousand due to an increase in the assessment base as compared to 2023. With continued growth, the assessment base increases which can lead to a greater expense.</w:t>
      </w:r>
    </w:p>
    <w:p>
      <w:pPr>
        <w:spacing w:after="0" w:line="222" w:lineRule="exact"/>
        <w:rPr>
          <w:sz w:val="20"/>
          <w:szCs w:val="20"/>
          <w:color w:val="auto"/>
        </w:rPr>
      </w:pPr>
    </w:p>
    <w:p>
      <w:pPr>
        <w:jc w:val="both"/>
        <w:ind w:right="20"/>
        <w:spacing w:after="0" w:line="348" w:lineRule="auto"/>
        <w:rPr>
          <w:sz w:val="20"/>
          <w:szCs w:val="20"/>
          <w:color w:val="auto"/>
        </w:rPr>
      </w:pPr>
      <w:r>
        <w:rPr>
          <w:rFonts w:ascii="Arial" w:cs="Arial" w:eastAsia="Arial" w:hAnsi="Arial"/>
          <w:sz w:val="18"/>
          <w:szCs w:val="18"/>
          <w:color w:val="auto"/>
        </w:rPr>
        <w:t>A correlating expense to the Company's refinancing activity as it relates to loans sold to the secondary market, is the amortization of servicing rights for 1-4 family real estate loans and agricultural real estate loans. The amortization is the expense that offsets the income recognized when the loan is first sold. Income is recorded when the real estate loan is first sold with servicing retained and is therefore recognized immediately. The amortization, however, is calculated over the life of the loan and accelerated as loans are paid off early. An increase in this expense can be driven by two activities: an increase in the number of sold loans and/or by the acceleration of the expense from payoff and refinance activity. The best picture of the bottom line impact is achieved by netting the income with the expense each year. During 2025, combined servicing rights yielded a net loss of $305 thousand which included an increase to the valuation allowance of $786 thousand of which all but $3 thousand was attributable to agricultural real estate servicing rights. For 2024, combined servicing rights yielded a net income of $98 thousand along with the establishment of a $97 thousand valuation allowance. For 2023, combined servicing rights yielded a net income of $2.1 million along with the establishment of a $7 thousand valuation allowance. Included in the capitalized additions for 2023 was $2.3 million for the initial establishment of agricultural real estate servicing rights offset by corresponding amortization of $123 thousand. The value (or income) of the servicing right when the loans are sold also impacts the net position. As of December 31, 2025, 3,597 1-4 family real estate loans and 658 agricultural loans were being serviced with corresponding balances of $362.6 million and $153.4 million, respectively. At December 31, 2024, 3,677 1-4 family real estate loans and 619 agricultural loans were being serviced with corresponding</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 / 25</w:t>
      </w:r>
    </w:p>
    <w:p>
      <w:pPr>
        <w:sectPr>
          <w:pgSz w:w="11900" w:h="16838" w:orient="portrait"/>
          <w:cols w:equalWidth="0" w:num="1">
            <w:col w:w="9360"/>
          </w:cols>
          <w:pgMar w:left="1260" w:top="1440" w:right="1286" w:bottom="0" w:gutter="0" w:footer="0" w:header="0"/>
          <w:type w:val="continuous"/>
        </w:sectPr>
      </w:pPr>
    </w:p>
    <w:bookmarkStart w:id="73" w:name="page74"/>
    <w:bookmarkEnd w:id="73"/>
    <w:p>
      <w:pPr>
        <w:jc w:val="both"/>
        <w:ind w:right="80"/>
        <w:spacing w:after="0" w:line="307" w:lineRule="auto"/>
        <w:rPr>
          <w:sz w:val="20"/>
          <w:szCs w:val="20"/>
          <w:color w:val="auto"/>
        </w:rPr>
      </w:pPr>
      <w:r>
        <w:rPr>
          <w:rFonts w:ascii="Arial" w:cs="Arial" w:eastAsia="Arial" w:hAnsi="Arial"/>
          <w:sz w:val="20"/>
          <w:szCs w:val="20"/>
          <w:color w:val="auto"/>
        </w:rPr>
        <w:t>balances of $364.3 million and $141.9 million, respectively. At December 31, 2023, 3,749 1-4 family real estate loans and 593 agricultural loans were being serviced with corresponding balances of $367.8 million and $135.8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The impact of servicing rights to both noninterest income and expense is shown in the following table:</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w w:val="89"/>
              </w:rPr>
              <w:t>(In Thousands)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24"/>
        </w:trPr>
        <w:tc>
          <w:tcPr>
            <w:tcW w:w="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jc w:val="right"/>
              <w:ind w:right="280"/>
              <w:spacing w:after="0"/>
              <w:rPr>
                <w:sz w:val="20"/>
                <w:szCs w:val="20"/>
                <w:color w:val="auto"/>
              </w:rPr>
            </w:pPr>
            <w:r>
              <w:rPr>
                <w:rFonts w:ascii="Arial" w:cs="Arial" w:eastAsia="Arial" w:hAnsi="Arial"/>
                <w:sz w:val="20"/>
                <w:szCs w:val="20"/>
                <w:color w:val="auto"/>
              </w:rPr>
              <w:t>2025</w:t>
            </w:r>
          </w:p>
        </w:tc>
        <w:tc>
          <w:tcPr>
            <w:tcW w:w="320" w:type="dxa"/>
            <w:vAlign w:val="bottom"/>
          </w:tcPr>
          <w:p>
            <w:pPr>
              <w:spacing w:after="0"/>
              <w:rPr>
                <w:sz w:val="24"/>
                <w:szCs w:val="24"/>
                <w:color w:val="auto"/>
              </w:rPr>
            </w:pPr>
          </w:p>
        </w:tc>
        <w:tc>
          <w:tcPr>
            <w:tcW w:w="960" w:type="dxa"/>
            <w:vAlign w:val="bottom"/>
          </w:tcPr>
          <w:p>
            <w:pPr>
              <w:jc w:val="right"/>
              <w:ind w:right="360"/>
              <w:spacing w:after="0"/>
              <w:rPr>
                <w:sz w:val="20"/>
                <w:szCs w:val="20"/>
                <w:color w:val="auto"/>
              </w:rPr>
            </w:pPr>
            <w:r>
              <w:rPr>
                <w:rFonts w:ascii="Arial" w:cs="Arial" w:eastAsia="Arial" w:hAnsi="Arial"/>
                <w:sz w:val="20"/>
                <w:szCs w:val="20"/>
                <w:color w:val="auto"/>
              </w:rPr>
              <w:t>2024</w:t>
            </w:r>
          </w:p>
        </w:tc>
        <w:tc>
          <w:tcPr>
            <w:tcW w:w="240" w:type="dxa"/>
            <w:vAlign w:val="bottom"/>
          </w:tcPr>
          <w:p>
            <w:pPr>
              <w:spacing w:after="0"/>
              <w:rPr>
                <w:sz w:val="24"/>
                <w:szCs w:val="24"/>
                <w:color w:val="auto"/>
              </w:rPr>
            </w:pPr>
          </w:p>
        </w:tc>
        <w:tc>
          <w:tcPr>
            <w:tcW w:w="860" w:type="dxa"/>
            <w:vAlign w:val="bottom"/>
          </w:tcPr>
          <w:p>
            <w:pPr>
              <w:jc w:val="right"/>
              <w:ind w:right="280"/>
              <w:spacing w:after="0"/>
              <w:rPr>
                <w:sz w:val="20"/>
                <w:szCs w:val="20"/>
                <w:color w:val="auto"/>
              </w:rPr>
            </w:pPr>
            <w:r>
              <w:rPr>
                <w:rFonts w:ascii="Arial" w:cs="Arial" w:eastAsia="Arial" w:hAnsi="Arial"/>
                <w:sz w:val="20"/>
                <w:szCs w:val="20"/>
                <w:color w:val="auto"/>
              </w:rPr>
              <w:t>2023</w:t>
            </w:r>
          </w:p>
        </w:tc>
        <w:tc>
          <w:tcPr>
            <w:tcW w:w="940" w:type="dxa"/>
            <w:vAlign w:val="bottom"/>
          </w:tcPr>
          <w:p>
            <w:pPr>
              <w:spacing w:after="0"/>
              <w:rPr>
                <w:sz w:val="24"/>
                <w:szCs w:val="24"/>
                <w:color w:val="auto"/>
              </w:rPr>
            </w:pPr>
          </w:p>
        </w:tc>
      </w:tr>
      <w:tr>
        <w:trPr>
          <w:trHeight w:val="51"/>
        </w:trPr>
        <w:tc>
          <w:tcPr>
            <w:tcW w:w="4160" w:type="dxa"/>
            <w:vAlign w:val="bottom"/>
            <w:gridSpan w:val="2"/>
          </w:tcPr>
          <w:p>
            <w:pPr>
              <w:spacing w:after="0"/>
              <w:rPr>
                <w:sz w:val="4"/>
                <w:szCs w:val="4"/>
                <w:color w:val="auto"/>
              </w:rPr>
            </w:pPr>
          </w:p>
        </w:tc>
        <w:tc>
          <w:tcPr>
            <w:tcW w:w="10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94"/>
        </w:trPr>
        <w:tc>
          <w:tcPr>
            <w:tcW w:w="940" w:type="dxa"/>
            <w:vAlign w:val="bottom"/>
          </w:tcPr>
          <w:p>
            <w:pPr>
              <w:spacing w:after="0"/>
              <w:rPr>
                <w:sz w:val="24"/>
                <w:szCs w:val="24"/>
                <w:color w:val="auto"/>
              </w:rPr>
            </w:pPr>
          </w:p>
        </w:tc>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Beginning of Year</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5,753</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5,655</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3,549</w:t>
            </w:r>
          </w:p>
        </w:tc>
        <w:tc>
          <w:tcPr>
            <w:tcW w:w="940" w:type="dxa"/>
            <w:vAlign w:val="bottom"/>
          </w:tcPr>
          <w:p>
            <w:pPr>
              <w:spacing w:after="0"/>
              <w:rPr>
                <w:sz w:val="24"/>
                <w:szCs w:val="24"/>
                <w:color w:val="auto"/>
              </w:rPr>
            </w:pPr>
          </w:p>
        </w:tc>
      </w:tr>
      <w:tr>
        <w:trPr>
          <w:trHeight w:val="274"/>
        </w:trPr>
        <w:tc>
          <w:tcPr>
            <w:tcW w:w="94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20"/>
                <w:szCs w:val="20"/>
                <w:color w:val="auto"/>
              </w:rPr>
              <w:t>Capitalized Additions</w:t>
            </w:r>
          </w:p>
        </w:tc>
        <w:tc>
          <w:tcPr>
            <w:tcW w:w="10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1,103</w:t>
            </w:r>
          </w:p>
        </w:tc>
        <w:tc>
          <w:tcPr>
            <w:tcW w:w="320" w:type="dxa"/>
            <w:vAlign w:val="bottom"/>
          </w:tcPr>
          <w:p>
            <w:pPr>
              <w:spacing w:after="0"/>
              <w:rPr>
                <w:sz w:val="23"/>
                <w:szCs w:val="23"/>
                <w:color w:val="auto"/>
              </w:rPr>
            </w:pPr>
          </w:p>
        </w:tc>
        <w:tc>
          <w:tcPr>
            <w:tcW w:w="960" w:type="dxa"/>
            <w:vAlign w:val="bottom"/>
          </w:tcPr>
          <w:p>
            <w:pPr>
              <w:jc w:val="right"/>
              <w:ind w:right="100"/>
              <w:spacing w:after="0"/>
              <w:rPr>
                <w:sz w:val="20"/>
                <w:szCs w:val="20"/>
                <w:color w:val="auto"/>
              </w:rPr>
            </w:pPr>
            <w:r>
              <w:rPr>
                <w:rFonts w:ascii="Arial" w:cs="Arial" w:eastAsia="Arial" w:hAnsi="Arial"/>
                <w:sz w:val="20"/>
                <w:szCs w:val="20"/>
                <w:color w:val="auto"/>
              </w:rPr>
              <w:t>826</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2,710</w:t>
            </w:r>
          </w:p>
        </w:tc>
        <w:tc>
          <w:tcPr>
            <w:tcW w:w="940" w:type="dxa"/>
            <w:vAlign w:val="bottom"/>
          </w:tcPr>
          <w:p>
            <w:pPr>
              <w:spacing w:after="0"/>
              <w:rPr>
                <w:sz w:val="23"/>
                <w:szCs w:val="23"/>
                <w:color w:val="auto"/>
              </w:rPr>
            </w:pPr>
          </w:p>
        </w:tc>
      </w:tr>
      <w:tr>
        <w:trPr>
          <w:trHeight w:val="41"/>
        </w:trPr>
        <w:tc>
          <w:tcPr>
            <w:tcW w:w="94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304"/>
        </w:trPr>
        <w:tc>
          <w:tcPr>
            <w:tcW w:w="940" w:type="dxa"/>
            <w:vAlign w:val="bottom"/>
          </w:tcPr>
          <w:p>
            <w:pPr>
              <w:spacing w:after="0"/>
              <w:rPr>
                <w:sz w:val="24"/>
                <w:szCs w:val="24"/>
                <w:color w:val="auto"/>
              </w:rPr>
            </w:pPr>
          </w:p>
        </w:tc>
        <w:tc>
          <w:tcPr>
            <w:tcW w:w="32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Amortization</w:t>
            </w:r>
          </w:p>
        </w:tc>
        <w:tc>
          <w:tcPr>
            <w:tcW w:w="10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(798)</w:t>
            </w:r>
          </w:p>
        </w:tc>
        <w:tc>
          <w:tcPr>
            <w:tcW w:w="3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(728)</w:t>
            </w:r>
          </w:p>
        </w:tc>
        <w:tc>
          <w:tcPr>
            <w:tcW w:w="2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(604)</w:t>
            </w:r>
          </w:p>
        </w:tc>
        <w:tc>
          <w:tcPr>
            <w:tcW w:w="940" w:type="dxa"/>
            <w:vAlign w:val="bottom"/>
          </w:tcPr>
          <w:p>
            <w:pPr>
              <w:spacing w:after="0"/>
              <w:rPr>
                <w:sz w:val="24"/>
                <w:szCs w:val="24"/>
                <w:color w:val="auto"/>
              </w:rPr>
            </w:pPr>
          </w:p>
        </w:tc>
      </w:tr>
      <w:tr>
        <w:trPr>
          <w:trHeight w:val="274"/>
        </w:trPr>
        <w:tc>
          <w:tcPr>
            <w:tcW w:w="4160" w:type="dxa"/>
            <w:vAlign w:val="bottom"/>
            <w:gridSpan w:val="2"/>
          </w:tcPr>
          <w:p>
            <w:pPr>
              <w:ind w:left="940"/>
              <w:spacing w:after="0"/>
              <w:rPr>
                <w:sz w:val="20"/>
                <w:szCs w:val="20"/>
                <w:color w:val="auto"/>
              </w:rPr>
            </w:pPr>
            <w:r>
              <w:rPr>
                <w:rFonts w:ascii="Arial" w:cs="Arial" w:eastAsia="Arial" w:hAnsi="Arial"/>
                <w:sz w:val="20"/>
                <w:szCs w:val="20"/>
                <w:color w:val="auto"/>
              </w:rPr>
              <w:t>Ending Balance, December 31</w:t>
            </w:r>
          </w:p>
        </w:tc>
        <w:tc>
          <w:tcPr>
            <w:tcW w:w="10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6,058</w:t>
            </w:r>
          </w:p>
        </w:tc>
        <w:tc>
          <w:tcPr>
            <w:tcW w:w="320" w:type="dxa"/>
            <w:vAlign w:val="bottom"/>
          </w:tcPr>
          <w:p>
            <w:pPr>
              <w:spacing w:after="0"/>
              <w:rPr>
                <w:sz w:val="23"/>
                <w:szCs w:val="23"/>
                <w:color w:val="auto"/>
              </w:rPr>
            </w:pPr>
          </w:p>
        </w:tc>
        <w:tc>
          <w:tcPr>
            <w:tcW w:w="960" w:type="dxa"/>
            <w:vAlign w:val="bottom"/>
          </w:tcPr>
          <w:p>
            <w:pPr>
              <w:jc w:val="right"/>
              <w:ind w:right="100"/>
              <w:spacing w:after="0"/>
              <w:rPr>
                <w:sz w:val="20"/>
                <w:szCs w:val="20"/>
                <w:color w:val="auto"/>
              </w:rPr>
            </w:pPr>
            <w:r>
              <w:rPr>
                <w:rFonts w:ascii="Arial" w:cs="Arial" w:eastAsia="Arial" w:hAnsi="Arial"/>
                <w:sz w:val="20"/>
                <w:szCs w:val="20"/>
                <w:color w:val="auto"/>
              </w:rPr>
              <w:t>5,753</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5,655</w:t>
            </w:r>
          </w:p>
        </w:tc>
        <w:tc>
          <w:tcPr>
            <w:tcW w:w="940" w:type="dxa"/>
            <w:vAlign w:val="bottom"/>
          </w:tcPr>
          <w:p>
            <w:pPr>
              <w:spacing w:after="0"/>
              <w:rPr>
                <w:sz w:val="23"/>
                <w:szCs w:val="23"/>
                <w:color w:val="auto"/>
              </w:rPr>
            </w:pPr>
          </w:p>
        </w:tc>
      </w:tr>
      <w:tr>
        <w:trPr>
          <w:trHeight w:val="41"/>
        </w:trPr>
        <w:tc>
          <w:tcPr>
            <w:tcW w:w="94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304"/>
        </w:trPr>
        <w:tc>
          <w:tcPr>
            <w:tcW w:w="940" w:type="dxa"/>
            <w:vAlign w:val="bottom"/>
          </w:tcPr>
          <w:p>
            <w:pPr>
              <w:spacing w:after="0"/>
              <w:rPr>
                <w:sz w:val="24"/>
                <w:szCs w:val="24"/>
                <w:color w:val="auto"/>
              </w:rPr>
            </w:pPr>
          </w:p>
        </w:tc>
        <w:tc>
          <w:tcPr>
            <w:tcW w:w="32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Valuation Allowance</w:t>
            </w:r>
          </w:p>
        </w:tc>
        <w:tc>
          <w:tcPr>
            <w:tcW w:w="10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(883)</w:t>
            </w:r>
          </w:p>
        </w:tc>
        <w:tc>
          <w:tcPr>
            <w:tcW w:w="3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(97)</w:t>
            </w:r>
          </w:p>
        </w:tc>
        <w:tc>
          <w:tcPr>
            <w:tcW w:w="2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w:t>
            </w:r>
          </w:p>
        </w:tc>
        <w:tc>
          <w:tcPr>
            <w:tcW w:w="940" w:type="dxa"/>
            <w:vAlign w:val="bottom"/>
          </w:tcPr>
          <w:p>
            <w:pPr>
              <w:spacing w:after="0"/>
              <w:rPr>
                <w:sz w:val="24"/>
                <w:szCs w:val="24"/>
                <w:color w:val="auto"/>
              </w:rPr>
            </w:pPr>
          </w:p>
        </w:tc>
      </w:tr>
      <w:tr>
        <w:trPr>
          <w:trHeight w:val="296"/>
        </w:trPr>
        <w:tc>
          <w:tcPr>
            <w:tcW w:w="4160" w:type="dxa"/>
            <w:vAlign w:val="bottom"/>
            <w:gridSpan w:val="2"/>
          </w:tcPr>
          <w:p>
            <w:pPr>
              <w:ind w:left="940"/>
              <w:spacing w:after="0"/>
              <w:rPr>
                <w:sz w:val="20"/>
                <w:szCs w:val="20"/>
                <w:color w:val="auto"/>
              </w:rPr>
            </w:pPr>
            <w:r>
              <w:rPr>
                <w:rFonts w:ascii="Arial" w:cs="Arial" w:eastAsia="Arial" w:hAnsi="Arial"/>
                <w:sz w:val="20"/>
                <w:szCs w:val="20"/>
                <w:color w:val="auto"/>
              </w:rPr>
              <w:t>Servicing Rights net, December 31</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5,175</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100"/>
              <w:spacing w:after="0"/>
              <w:rPr>
                <w:sz w:val="20"/>
                <w:szCs w:val="20"/>
                <w:color w:val="auto"/>
              </w:rPr>
            </w:pPr>
            <w:r>
              <w:rPr>
                <w:rFonts w:ascii="Arial" w:cs="Arial" w:eastAsia="Arial" w:hAnsi="Arial"/>
                <w:sz w:val="20"/>
                <w:szCs w:val="20"/>
                <w:color w:val="auto"/>
              </w:rPr>
              <w:t>5,656</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5,648</w:t>
            </w:r>
          </w:p>
        </w:tc>
        <w:tc>
          <w:tcPr>
            <w:tcW w:w="940" w:type="dxa"/>
            <w:vAlign w:val="bottom"/>
          </w:tcPr>
          <w:p>
            <w:pPr>
              <w:spacing w:after="0"/>
              <w:rPr>
                <w:sz w:val="24"/>
                <w:szCs w:val="24"/>
                <w:color w:val="auto"/>
              </w:rPr>
            </w:pPr>
          </w:p>
        </w:tc>
      </w:tr>
      <w:tr>
        <w:trPr>
          <w:trHeight w:val="863"/>
        </w:trPr>
        <w:tc>
          <w:tcPr>
            <w:tcW w:w="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60" w:type="dxa"/>
            <w:vAlign w:val="bottom"/>
          </w:tcPr>
          <w:p>
            <w:pPr>
              <w:jc w:val="right"/>
              <w:ind w:right="320"/>
              <w:spacing w:after="0"/>
              <w:rPr>
                <w:sz w:val="20"/>
                <w:szCs w:val="20"/>
                <w:color w:val="auto"/>
              </w:rPr>
            </w:pPr>
            <w:r>
              <w:rPr>
                <w:rFonts w:ascii="Arial" w:cs="Arial" w:eastAsia="Arial" w:hAnsi="Arial"/>
                <w:sz w:val="20"/>
                <w:szCs w:val="20"/>
                <w:color w:val="auto"/>
              </w:rPr>
              <w:t>36</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891"/>
        </w:trPr>
        <w:tc>
          <w:tcPr>
            <w:tcW w:w="940" w:type="dxa"/>
            <w:vAlign w:val="bottom"/>
            <w:tcBorders>
              <w:bottom w:val="single" w:sz="8" w:color="010101"/>
            </w:tcBorders>
          </w:tcPr>
          <w:p>
            <w:pPr>
              <w:spacing w:after="0"/>
              <w:rPr>
                <w:sz w:val="24"/>
                <w:szCs w:val="24"/>
                <w:color w:val="auto"/>
              </w:rPr>
            </w:pPr>
          </w:p>
        </w:tc>
        <w:tc>
          <w:tcPr>
            <w:tcW w:w="322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2">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3">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-2536825</wp:posOffset>
            </wp:positionV>
            <wp:extent cx="211772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4">
                      <a:extLst>
                        <a:ext uri="{28A0092B-C50C-407E-A947-70E740481C1C}"/>
                      </a:extLst>
                    </a:blip>
                    <a:srcRect/>
                    <a:stretch>
                      <a:fillRect/>
                    </a:stretch>
                  </pic:blipFill>
                  <pic:spPr bwMode="auto">
                    <a:xfrm>
                      <a:off x="0" y="0"/>
                      <a:ext cx="2117725" cy="6350"/>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-2330450</wp:posOffset>
            </wp:positionV>
            <wp:extent cx="211772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5">
                      <a:extLst>
                        <a:ext uri="{28A0092B-C50C-407E-A947-70E740481C1C}"/>
                      </a:extLst>
                    </a:blip>
                    <a:srcRect/>
                    <a:stretch>
                      <a:fillRect/>
                    </a:stretch>
                  </pic:blipFill>
                  <pic:spPr bwMode="auto">
                    <a:xfrm>
                      <a:off x="0" y="0"/>
                      <a:ext cx="2117725" cy="6350"/>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-1725295</wp:posOffset>
            </wp:positionV>
            <wp:extent cx="216916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6">
                      <a:extLst>
                        <a:ext uri="{28A0092B-C50C-407E-A947-70E740481C1C}"/>
                      </a:extLst>
                    </a:blip>
                    <a:srcRect/>
                    <a:stretch>
                      <a:fillRect/>
                    </a:stretch>
                  </pic:blipFill>
                  <pic:spPr bwMode="auto">
                    <a:xfrm>
                      <a:off x="0" y="0"/>
                      <a:ext cx="2169160" cy="6350"/>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-1319530</wp:posOffset>
            </wp:positionV>
            <wp:extent cx="216916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7">
                      <a:extLst>
                        <a:ext uri="{28A0092B-C50C-407E-A947-70E740481C1C}"/>
                      </a:extLst>
                    </a:blip>
                    <a:srcRect/>
                    <a:stretch>
                      <a:fillRect/>
                    </a:stretch>
                  </pic:blipFill>
                  <pic:spPr bwMode="auto">
                    <a:xfrm>
                      <a:off x="0" y="0"/>
                      <a:ext cx="2169160" cy="6350"/>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-1113790</wp:posOffset>
            </wp:positionV>
            <wp:extent cx="2117725" cy="285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8">
                      <a:extLst>
                        <a:ext uri="{28A0092B-C50C-407E-A947-70E740481C1C}"/>
                      </a:extLst>
                    </a:blip>
                    <a:srcRect/>
                    <a:stretch>
                      <a:fillRect/>
                    </a:stretch>
                  </pic:blipFill>
                  <pic:spPr bwMode="auto">
                    <a:xfrm>
                      <a:off x="0" y="0"/>
                      <a:ext cx="2117725" cy="28575"/>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25</w:t>
      </w:r>
    </w:p>
    <w:p>
      <w:pPr>
        <w:sectPr>
          <w:pgSz w:w="11900" w:h="16838" w:orient="portrait"/>
          <w:cols w:equalWidth="0" w:num="1">
            <w:col w:w="9400"/>
          </w:cols>
          <w:pgMar w:left="1260" w:top="1173" w:right="1246" w:bottom="0" w:gutter="0" w:footer="0" w:header="0"/>
          <w:type w:val="continuous"/>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40"/>
        <w:spacing w:after="0" w:line="330" w:lineRule="auto"/>
        <w:rPr>
          <w:sz w:val="20"/>
          <w:szCs w:val="20"/>
          <w:color w:val="auto"/>
        </w:rPr>
      </w:pPr>
      <w:r>
        <w:rPr>
          <w:rFonts w:ascii="Arial" w:cs="Arial" w:eastAsia="Arial" w:hAnsi="Arial"/>
          <w:sz w:val="19"/>
          <w:szCs w:val="19"/>
          <w:color w:val="auto"/>
        </w:rPr>
        <w:t>Loan and collection related expenses, included in the loan expense, increased $284 thousand as compared to 2024 while 2024’s expenses decreased $73 thousand from 2023. The other component of loan expense is approval fees which decreased $34 and $22 thousand in 2025 from 2024 and 2024 to 2023, respectively.</w:t>
      </w:r>
    </w:p>
    <w:p>
      <w:pPr>
        <w:spacing w:after="0" w:line="239" w:lineRule="exact"/>
        <w:rPr>
          <w:sz w:val="20"/>
          <w:szCs w:val="20"/>
          <w:color w:val="auto"/>
        </w:rPr>
      </w:pPr>
    </w:p>
    <w:p>
      <w:pPr>
        <w:jc w:val="both"/>
        <w:ind w:right="20"/>
        <w:spacing w:after="0" w:line="355" w:lineRule="auto"/>
        <w:rPr>
          <w:sz w:val="20"/>
          <w:szCs w:val="20"/>
          <w:color w:val="auto"/>
        </w:rPr>
      </w:pPr>
      <w:r>
        <w:rPr>
          <w:rFonts w:ascii="Arial" w:cs="Arial" w:eastAsia="Arial" w:hAnsi="Arial"/>
          <w:sz w:val="18"/>
          <w:szCs w:val="18"/>
          <w:color w:val="auto"/>
        </w:rPr>
        <w:t>Consulting fees increased $786 thousand to $1.7 million as compared to 2024 with most of the increase attributed to the time spent to our core banking operating system for the base contract negotiation, additional ancillary products and monthly invoice reviews. In looking at 2024, consulting fees only increased $45 thousand over 2023.</w:t>
      </w:r>
    </w:p>
    <w:p>
      <w:pPr>
        <w:spacing w:after="0" w:line="222" w:lineRule="exact"/>
        <w:rPr>
          <w:sz w:val="20"/>
          <w:szCs w:val="20"/>
          <w:color w:val="auto"/>
        </w:rPr>
      </w:pPr>
    </w:p>
    <w:p>
      <w:pPr>
        <w:jc w:val="both"/>
        <w:ind w:right="20"/>
        <w:spacing w:after="0" w:line="310" w:lineRule="auto"/>
        <w:rPr>
          <w:sz w:val="20"/>
          <w:szCs w:val="20"/>
          <w:color w:val="auto"/>
        </w:rPr>
      </w:pPr>
      <w:r>
        <w:rPr>
          <w:rFonts w:ascii="Arial" w:cs="Arial" w:eastAsia="Arial" w:hAnsi="Arial"/>
          <w:sz w:val="20"/>
          <w:szCs w:val="20"/>
          <w:color w:val="auto"/>
        </w:rPr>
        <w:t>Professional fees which consist of legal fees and audit, accounting and exam fees increased $136 thousand in 2025 over 2024. Auditing, accounting and exam fees accounted for $98 thousand of the increase while legal fees were the remaining $38 thousand. In 2024, professional fees increased $363 thousand over 2023 with increased auditing, accounting and exam fees accounting for $289 thousand of the increase primarily the result of outsourcing internal audit.</w:t>
      </w:r>
    </w:p>
    <w:p>
      <w:pPr>
        <w:spacing w:after="0" w:line="255"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Other general and administrative expense increased $516 thousand as compared to 2024 but decreased $952 thousand in 2024 as compared to 2023. For 2025, the largest increases were miscellaneous expenses of $340 thousand which included $133 thousand for the MEC penalty owed on the gain on cash surrender value of bank owned life insurance policies and $76 thousand in penalties, miscellaneous NSF check and other losses of $169 thousand and CDARs fees of $114 thousand. Credit card expense decreased $340 thousand from 2024 and decreased $576 thousand from 2023. 2023 included $351 thousand that was returned in 2025 which was used as a retainer to cover any delinquencies that occurred after the conversion. Postage and stationery, supplies and printing decreased $171 and $140 thousand, respectively, as 2023 included additional costs in these categories related to the launch of the new logo.</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Allowance for Credit Losses</w:t>
      </w:r>
    </w:p>
    <w:p>
      <w:pPr>
        <w:spacing w:after="0" w:line="200"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The total allowance for credit losses (ACL) represents management’s estimate of expected credit losses inherent in the Bank’s loan portfolio and unfunded loan commitments at the report date. Please see Note 1 in the consolidated financial statements for additional information related to the ACL.</w:t>
      </w:r>
    </w:p>
    <w:p>
      <w:pPr>
        <w:spacing w:after="0" w:line="257" w:lineRule="exact"/>
        <w:rPr>
          <w:sz w:val="20"/>
          <w:szCs w:val="20"/>
          <w:color w:val="auto"/>
        </w:rPr>
      </w:pPr>
    </w:p>
    <w:p>
      <w:pPr>
        <w:jc w:val="both"/>
        <w:ind w:right="20"/>
        <w:spacing w:after="0" w:line="349" w:lineRule="auto"/>
        <w:rPr>
          <w:sz w:val="20"/>
          <w:szCs w:val="20"/>
          <w:color w:val="auto"/>
        </w:rPr>
      </w:pPr>
      <w:r>
        <w:rPr>
          <w:rFonts w:ascii="Arial" w:cs="Arial" w:eastAsia="Arial" w:hAnsi="Arial"/>
          <w:sz w:val="18"/>
          <w:szCs w:val="18"/>
          <w:color w:val="auto"/>
        </w:rPr>
        <w:t>Provision expense increased by approximately $1.7 million for 2025 as compared to 2024 and decreased by $754 thousand for 2024 as compared to 2023. The increase in provision for 2025 was attributed to loan growth, net charge-off activity, a rise in nonaccrual loans and adjustments to qualitative factors reflecting elevated credit risk in certain portfolio segments. Sustained strong asset quality and reduced loan balances kept the provision expense lower in 2024. Management continues to monitor asset quality, making adjustments to the provision as necessary. Total net charge-offs were $734, $142 and $551 thousand for 2025, 2024 and 2023, respectively. The consumer portfolio segment had the largest charge-off activity during 2025 at $758 thousand which was up from $346 and $425 thousand in 2024 and 2023, respectively. Of the total 2025 consumer charge-offs, $364 thousand was for automobiles and trucks and $157 thousand was for recreational vehicles. The commercial and industrial portfolio segment had $250 and $106 thousand of charge-offs in 2025 and 2024, respectively; however, had the highest level of charge-off activity in 2023 at $565 thousand. The 2025 commercial and industrial charge-offs were for four relationships with one of the relationships accounting for approximately 59% of the total. Consumer recoveries were $221, $189 and $197 thousand for 2025, 2024 and 2023, respectively. Of the total 2025 consumer recoveries, $53 thousand was for automobiles and trucks and $60 thousand was for recreational vehicles. Consumer net charge-offs</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 / 25</w:t>
      </w:r>
    </w:p>
    <w:p>
      <w:pPr>
        <w:sectPr>
          <w:pgSz w:w="11900" w:h="16838" w:orient="portrait"/>
          <w:cols w:equalWidth="0" w:num="1">
            <w:col w:w="9360"/>
          </w:cols>
          <w:pgMar w:left="1260" w:top="1440" w:right="1286" w:bottom="0" w:gutter="0" w:footer="0" w:header="0"/>
          <w:type w:val="continuous"/>
        </w:sectPr>
      </w:pPr>
    </w:p>
    <w:bookmarkStart w:id="75" w:name="page76"/>
    <w:bookmarkEnd w:id="75"/>
    <w:p>
      <w:pPr>
        <w:jc w:val="both"/>
        <w:ind w:right="60"/>
        <w:spacing w:after="0" w:line="307" w:lineRule="auto"/>
        <w:rPr>
          <w:sz w:val="20"/>
          <w:szCs w:val="20"/>
          <w:color w:val="auto"/>
        </w:rPr>
      </w:pPr>
      <w:r>
        <w:rPr>
          <w:rFonts w:ascii="Arial" w:cs="Arial" w:eastAsia="Arial" w:hAnsi="Arial"/>
          <w:sz w:val="20"/>
          <w:szCs w:val="20"/>
          <w:color w:val="auto"/>
        </w:rPr>
        <w:t>were $537, $157 and $228 thousand in 2025, 2024 and 2023, respectively. Net charge-offs in the commercial and industrial portfolio segment were $216 and $481 thousand in 2025 and 2023, respectively with 2024 being a net recovery of $27 thousand.</w:t>
      </w:r>
    </w:p>
    <w:p>
      <w:pPr>
        <w:spacing w:after="0" w:line="257"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Watch list loan balances are comprised of loans graded 5-8. At year-end December 31, 2025, these loans totaled $169.4 million and were $102.9 million higher than December 31, 2024. Grade 5 increased $52.9 million in 2025 as compared to 2024, Grade 6 and Grade 7 increased $49.9 million and $134 thousand, respectively, in the same comparison. Commercial real estate, agricultural and commercial loans saw the largest increases over 2024 at $64.9, $19.6 and $11.5 million, respectively. These three categories comprised approximately 90.0% of the watch list loans. Of the total $169.4 million of watch list loans at December 31, 2025, 41.1% were classified as special mention, 58.8% were classified as substandard and 0.01% were classified as doubtful.</w:t>
      </w:r>
    </w:p>
    <w:p>
      <w:pPr>
        <w:spacing w:after="0" w:line="243"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At year-end December 31, 2024, these loans totaled $66.5 million and were $38.4 million lower than December 31, 2023. Commercial real estate, agricultural real estate and commercial loans comprised $49.6 million, $6.1 million and $5.2 million of the watch list loans, respectively. Grade 5 decreased $62.9 million in 2024 as compared to 2023 and Grade 6 increased $24.9 million in the same comparison. There were no Grade 7 loans at December 31, 2024, a decrease of $257 thousand from 2023. At December 31, 2024, of the $66.5 million watch list loans, 25.1% were classified as special mention and 74.9% were classified as substandard. No loans were classified as doubtful.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 / 25</w:t>
      </w:r>
    </w:p>
    <w:p>
      <w:pPr>
        <w:sectPr>
          <w:pgSz w:w="11900" w:h="16838" w:orient="portrait"/>
          <w:cols w:equalWidth="0" w:num="1">
            <w:col w:w="9380"/>
          </w:cols>
          <w:pgMar w:left="1260" w:top="1173" w:right="1266" w:bottom="0" w:gutter="0" w:footer="0" w:header="0"/>
          <w:type w:val="continuous"/>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40"/>
        <w:spacing w:after="0" w:line="351" w:lineRule="auto"/>
        <w:rPr>
          <w:sz w:val="20"/>
          <w:szCs w:val="20"/>
          <w:color w:val="auto"/>
        </w:rPr>
      </w:pPr>
      <w:r>
        <w:rPr>
          <w:rFonts w:ascii="Arial" w:cs="Arial" w:eastAsia="Arial" w:hAnsi="Arial"/>
          <w:sz w:val="18"/>
          <w:szCs w:val="18"/>
          <w:color w:val="auto"/>
        </w:rPr>
        <w:t>At year-end December 31, 2023, these loans totaled $104.9 million and were $44.9 million higher than December 31, 2022. Grade 5 increased $54.9 million in 2023 as compared to 2022 and Grade 6 decreased $10.4 million in the same comparison. Grade 7 increased $257 thousand over 2022. Of the aggregate watch list loan balances, as of December 31, 2023, 75.8% of the watch list was classified as special mention, with an additional 23.8% classified as substandard and a small 0.2% or $257 thousand of the $104.9 million watch list was classified as doubtful.</w:t>
      </w:r>
    </w:p>
    <w:p>
      <w:pPr>
        <w:spacing w:after="0" w:line="226"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In response to these fluctuations and the offset by loan growth during 2023 through 2025, the Bank’s ACL to outstanding loan coverage percentage changed to 1.02% as of December 31, 2025, 1.01% as of December 31, 2024 and 0.97% as of December 31, 2023. In addition, for 2023, our allowance for credit losses does not include a $363 thousand credit mark associated with the Bank of Geneva acquisition. No credit mark for Bank of Geneva remained at December 31, 2024. For 2024 and 2023, our allowance for credit losses also does not include a $107 thousand or a $294 thousand credit mark associated with the Ossian State Bank acquisition. No credit mark for Ossian State Bank remained at December 31, 2025. The credit mark not included in the allowance for credit losses associated with the Perpetual Federal Savings Bank acquisition for 2025, 2024 and 2023 was $112 thousand, $1.5 million and $2.8 million, respectively. 2025, 2024 and 2023 also include a $104 thousand, $335 thousand and $566 thousand credit mark associated with the Peoples Federal Savings and Loan acquisition. Together, all of the credit marks further support the current position of the ACL.</w:t>
      </w:r>
    </w:p>
    <w:p>
      <w:pPr>
        <w:spacing w:after="0" w:line="245" w:lineRule="exact"/>
        <w:rPr>
          <w:sz w:val="20"/>
          <w:szCs w:val="20"/>
          <w:color w:val="auto"/>
        </w:rPr>
      </w:pPr>
    </w:p>
    <w:p>
      <w:pPr>
        <w:jc w:val="both"/>
        <w:ind w:right="40"/>
        <w:spacing w:after="0" w:line="352" w:lineRule="auto"/>
        <w:rPr>
          <w:sz w:val="20"/>
          <w:szCs w:val="20"/>
          <w:color w:val="auto"/>
        </w:rPr>
      </w:pPr>
      <w:r>
        <w:rPr>
          <w:rFonts w:ascii="Arial" w:cs="Arial" w:eastAsia="Arial" w:hAnsi="Arial"/>
          <w:sz w:val="18"/>
          <w:szCs w:val="18"/>
          <w:color w:val="auto"/>
        </w:rPr>
        <w:t>All commercial and agricultural relationships with lines of credit greater than $100,000 and aggregate loan exposure greater than $250,000 are reviewed annually by the Bank’s Credit Department. All commercial and agricultural relationships with term debt only and aggregate loan exposure greater than $1,000,000 are also reviewed by the Bank’s Credit Department. These reviews are conducted to identify early signs of deterioration.</w:t>
      </w:r>
    </w:p>
    <w:p>
      <w:pPr>
        <w:spacing w:after="0" w:line="226" w:lineRule="exact"/>
        <w:rPr>
          <w:sz w:val="20"/>
          <w:szCs w:val="20"/>
          <w:color w:val="auto"/>
        </w:rPr>
      </w:pPr>
    </w:p>
    <w:p>
      <w:pPr>
        <w:jc w:val="both"/>
        <w:ind w:right="40"/>
        <w:spacing w:after="0" w:line="310" w:lineRule="auto"/>
        <w:rPr>
          <w:sz w:val="20"/>
          <w:szCs w:val="20"/>
          <w:color w:val="auto"/>
        </w:rPr>
      </w:pPr>
      <w:r>
        <w:rPr>
          <w:rFonts w:ascii="Arial" w:cs="Arial" w:eastAsia="Arial" w:hAnsi="Arial"/>
          <w:sz w:val="20"/>
          <w:szCs w:val="20"/>
          <w:color w:val="auto"/>
        </w:rPr>
        <w:t>To establish the specific reserve allocation for real estate, a discount to the market value is established to account for liquidation expenses. The discounting percentage used for real estate mirrors the discounting of real estate as provided for in the Bank’s Loan Policy. However, unique or unusual circumstances may be present which will affect the real estate value and, when appropriately identified, can adjust the discounting percentage at the discretion of management.</w:t>
      </w:r>
    </w:p>
    <w:p>
      <w:pPr>
        <w:spacing w:after="0" w:line="255" w:lineRule="exact"/>
        <w:rPr>
          <w:sz w:val="20"/>
          <w:szCs w:val="20"/>
          <w:color w:val="auto"/>
        </w:rPr>
      </w:pPr>
    </w:p>
    <w:p>
      <w:pPr>
        <w:jc w:val="both"/>
        <w:ind w:right="40"/>
        <w:spacing w:after="0" w:line="311" w:lineRule="auto"/>
        <w:rPr>
          <w:sz w:val="20"/>
          <w:szCs w:val="20"/>
          <w:color w:val="auto"/>
        </w:rPr>
      </w:pPr>
      <w:r>
        <w:rPr>
          <w:rFonts w:ascii="Arial" w:cs="Arial" w:eastAsia="Arial" w:hAnsi="Arial"/>
          <w:sz w:val="20"/>
          <w:szCs w:val="20"/>
          <w:color w:val="auto"/>
        </w:rPr>
        <w:t>The ACL increased approximately $1.4 million during 2025 which was comprised of an increase to the allowance for credit losses of approximately $1.9 million and a decrease to unfunded loan commitments of $506 thousand. During 2024, the ACL increased $131 thousand which included an increase to the allowance for credit losses of $802 thousand and a decrease to unfunded loan commitments of $671 thousand. The ACL increased $5.7 million during 2023. The loans past due 30+ days to total loans percentages were 0.29%, 0.22% and 0.44% for December 31, 2025, 2024 and 2023, respectively.</w:t>
      </w:r>
    </w:p>
    <w:p>
      <w:pPr>
        <w:spacing w:after="0" w:line="252"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color w:val="auto"/>
        </w:rPr>
        <w:t>Please see Note 4 in the consolidated financial statements for additional tables regarding the composition of the ACL.</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00" w:lineRule="exact"/>
        <w:rPr>
          <w:sz w:val="20"/>
          <w:szCs w:val="20"/>
          <w:color w:val="auto"/>
        </w:rPr>
      </w:pPr>
    </w:p>
    <w:p>
      <w:pPr>
        <w:jc w:val="both"/>
        <w:spacing w:after="0" w:line="352" w:lineRule="auto"/>
        <w:rPr>
          <w:sz w:val="20"/>
          <w:szCs w:val="20"/>
          <w:color w:val="auto"/>
        </w:rPr>
      </w:pPr>
      <w:r>
        <w:rPr>
          <w:rFonts w:ascii="Arial" w:cs="Arial" w:eastAsia="Arial" w:hAnsi="Arial"/>
          <w:sz w:val="18"/>
          <w:szCs w:val="18"/>
          <w:color w:val="auto"/>
        </w:rPr>
        <w:t>Income tax expense was $2.6 million higher for 2025 as compared to 2024 as result of increased pretax income of approximately $10.0 million in addition to a taxable $1.3 million gain on cash surrender value of bank owned life insurance policies. For 2024, income tax expense was $1.1 million higher than 2023 due to an increase in pretax income of $4.2 million. Amortization of qualified affordable housing projects as discussed in Note 19 caused income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 / 25</w:t>
      </w:r>
    </w:p>
    <w:p>
      <w:pPr>
        <w:sectPr>
          <w:pgSz w:w="11900" w:h="16838" w:orient="portrait"/>
          <w:cols w:equalWidth="0" w:num="1">
            <w:col w:w="9380"/>
          </w:cols>
          <w:pgMar w:left="1260" w:top="1440" w:right="1266" w:bottom="0" w:gutter="0" w:footer="0" w:header="0"/>
          <w:type w:val="continuous"/>
        </w:sectPr>
      </w:pPr>
    </w:p>
    <w:bookmarkStart w:id="77" w:name="page78"/>
    <w:bookmarkEnd w:id="77"/>
    <w:p>
      <w:pPr>
        <w:jc w:val="both"/>
        <w:spacing w:after="0" w:line="329" w:lineRule="auto"/>
        <w:rPr>
          <w:sz w:val="20"/>
          <w:szCs w:val="20"/>
          <w:color w:val="auto"/>
        </w:rPr>
      </w:pPr>
      <w:r>
        <w:rPr>
          <w:rFonts w:ascii="Arial" w:cs="Arial" w:eastAsia="Arial" w:hAnsi="Arial"/>
          <w:sz w:val="19"/>
          <w:szCs w:val="19"/>
          <w:color w:val="auto"/>
        </w:rPr>
        <w:t>tax expense to increase $436 and $417 thousand for 2025 and 2024, respectively. Effective tax rates were 21.67%, 20.37% and 19.63% for 2025, 2024 and 2023 respectively. Excluding the $280 thousand tax expense from the gain on bank owned life insurance and the amortization of the qualified housing projects, the effective tax rate would have been 20.0% and 19.1% for 2025 and 2024, respectively. The effect of tax-exempt interest from holding tax-exempt securities and Industrial Development Bonds (IDBs) was $146, $127 and $149 thousand for 2025, 2024 and 2023, respectively less the TEFRA adjustments of $25, $21 and $20 thousand respectively. Beginning in 2025, the effect of tax-exempt interest also includes 25% of the qualified interest income from loans secured by rural or agricultural real estate. During 2025 and 2024, the effect of investments reported under the proportional amortization method was $436 and $422 thousand, respectively.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25</w:t>
      </w:r>
    </w:p>
    <w:p>
      <w:pPr>
        <w:sectPr>
          <w:pgSz w:w="11900" w:h="16838" w:orient="portrait"/>
          <w:cols w:equalWidth="0" w:num="1">
            <w:col w:w="9400"/>
          </w:cols>
          <w:pgMar w:left="1260" w:top="1173" w:right="1246" w:bottom="0" w:gutter="0" w:footer="0" w:header="0"/>
          <w:type w:val="continuous"/>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Material Changes in Financial Condition</w:t>
      </w:r>
    </w:p>
    <w:p>
      <w:pPr>
        <w:spacing w:after="0" w:line="200"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The shifts in the balance sheet during 2023 through 2025 have positioned the Company for continued improvement in profitability. On the asset side, interest income increased primarily from loan growth with funding for the increase provided by growth in core deposits, other time deposits and growth in other borrowings. The cost of funds beginning in 2023 has been impacted by the increase of both interest-bearing liabilities, the pressure on rates from competition for funds and a rising rate environment. In 2023 and 2024, the rate pressure from competition was extremely high with many depositors rate shopping. Going forward, there is a heightened focus on controlling the cost of funds. Loan growth contributed to an increase in interest income in 2023 through 2025.</w:t>
      </w:r>
    </w:p>
    <w:p>
      <w:pPr>
        <w:spacing w:after="0" w:line="227" w:lineRule="exact"/>
        <w:rPr>
          <w:sz w:val="20"/>
          <w:szCs w:val="20"/>
          <w:color w:val="auto"/>
        </w:rPr>
      </w:pPr>
    </w:p>
    <w:p>
      <w:pPr>
        <w:jc w:val="both"/>
        <w:ind w:right="20"/>
        <w:spacing w:after="0" w:line="302" w:lineRule="auto"/>
        <w:rPr>
          <w:sz w:val="20"/>
          <w:szCs w:val="20"/>
          <w:color w:val="auto"/>
        </w:rPr>
      </w:pPr>
      <w:r>
        <w:rPr>
          <w:rFonts w:ascii="Arial" w:cs="Arial" w:eastAsia="Arial" w:hAnsi="Arial"/>
          <w:sz w:val="20"/>
          <w:szCs w:val="20"/>
          <w:color w:val="auto"/>
        </w:rPr>
        <w:t>Average earning assets increased in balances for all years during 2023 through 2025 with loan growth the primary factor for the increase.</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16 / 25</w:t>
      </w:r>
    </w:p>
    <w:p>
      <w:pPr>
        <w:sectPr>
          <w:pgSz w:w="11900" w:h="16838" w:orient="portrait"/>
          <w:cols w:equalWidth="0" w:num="1">
            <w:col w:w="9340"/>
          </w:cols>
          <w:pgMar w:left="1260" w:top="1440" w:right="1306" w:bottom="0" w:gutter="0" w:footer="0" w:header="0"/>
          <w:type w:val="continuous"/>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SUMMARY OF SELECTED CONSOLIDATED FINANCIAL DATA</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20"/>
                <w:szCs w:val="20"/>
                <w:color w:val="auto"/>
              </w:rPr>
            </w:pPr>
            <w:r>
              <w:rPr>
                <w:rFonts w:ascii="Arial" w:cs="Arial" w:eastAsia="Arial" w:hAnsi="Arial"/>
                <w:sz w:val="18"/>
                <w:szCs w:val="18"/>
                <w:b w:val="1"/>
                <w:bCs w:val="1"/>
                <w:color w:val="auto"/>
                <w:w w:val="89"/>
              </w:rPr>
              <w:t>Summary of Consolidated Statements of Income</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9"/>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gridSpan w:val="5"/>
          </w:tcPr>
          <w:p>
            <w:pPr>
              <w:jc w:val="right"/>
              <w:ind w:right="470"/>
              <w:spacing w:after="0"/>
              <w:rPr>
                <w:sz w:val="20"/>
                <w:szCs w:val="20"/>
                <w:color w:val="auto"/>
              </w:rPr>
            </w:pPr>
            <w:r>
              <w:rPr>
                <w:rFonts w:ascii="Arial" w:cs="Arial" w:eastAsia="Arial" w:hAnsi="Arial"/>
                <w:sz w:val="18"/>
                <w:szCs w:val="18"/>
                <w:color w:val="auto"/>
                <w:w w:val="99"/>
              </w:rPr>
              <w:t>(In Thousands, except share data)</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4"/>
                <w:szCs w:val="24"/>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46"/>
        </w:trPr>
        <w:tc>
          <w:tcPr>
            <w:tcW w:w="3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Summary of Income:</w:t>
            </w:r>
          </w:p>
        </w:tc>
        <w:tc>
          <w:tcPr>
            <w:tcW w:w="1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720" w:type="dxa"/>
            <w:vAlign w:val="bottom"/>
          </w:tcPr>
          <w:p>
            <w:pPr>
              <w:ind w:left="6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173,544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163,572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139,808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101,149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76,840</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4"/>
        </w:trPr>
        <w:tc>
          <w:tcPr>
            <w:tcW w:w="37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69,252</w:t>
            </w:r>
          </w:p>
        </w:tc>
        <w:tc>
          <w:tcPr>
            <w:tcW w:w="18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77,660</w:t>
            </w:r>
          </w:p>
        </w:tc>
        <w:tc>
          <w:tcPr>
            <w:tcW w:w="18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58,411</w:t>
            </w:r>
          </w:p>
        </w:tc>
        <w:tc>
          <w:tcPr>
            <w:tcW w:w="18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14,362</w:t>
            </w:r>
          </w:p>
        </w:tc>
        <w:tc>
          <w:tcPr>
            <w:tcW w:w="1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7,342</w:t>
            </w:r>
          </w:p>
        </w:tc>
        <w:tc>
          <w:tcPr>
            <w:tcW w:w="0" w:type="dxa"/>
            <w:vAlign w:val="bottom"/>
          </w:tcPr>
          <w:p>
            <w:pPr>
              <w:spacing w:after="0"/>
              <w:rPr>
                <w:sz w:val="1"/>
                <w:szCs w:val="1"/>
                <w:color w:val="auto"/>
              </w:rPr>
            </w:pPr>
          </w:p>
        </w:tc>
      </w:tr>
      <w:tr>
        <w:trPr>
          <w:trHeight w:val="248"/>
        </w:trPr>
        <w:tc>
          <w:tcPr>
            <w:tcW w:w="3720" w:type="dxa"/>
            <w:vAlign w:val="bottom"/>
          </w:tcPr>
          <w:p>
            <w:pPr>
              <w:ind w:left="120"/>
              <w:spacing w:after="0"/>
              <w:rPr>
                <w:sz w:val="20"/>
                <w:szCs w:val="20"/>
                <w:color w:val="auto"/>
              </w:rPr>
            </w:pPr>
            <w:r>
              <w:rPr>
                <w:rFonts w:ascii="Arial" w:cs="Arial" w:eastAsia="Arial" w:hAnsi="Arial"/>
                <w:sz w:val="18"/>
                <w:szCs w:val="18"/>
                <w:color w:val="auto"/>
              </w:rPr>
              <w:t>Net Interest Income</w:t>
            </w:r>
          </w:p>
        </w:tc>
        <w:tc>
          <w:tcPr>
            <w:tcW w:w="1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104,292</w:t>
            </w:r>
          </w:p>
        </w:tc>
        <w:tc>
          <w:tcPr>
            <w:tcW w:w="1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85,912</w:t>
            </w:r>
          </w:p>
        </w:tc>
        <w:tc>
          <w:tcPr>
            <w:tcW w:w="1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81,397</w:t>
            </w:r>
          </w:p>
        </w:tc>
        <w:tc>
          <w:tcPr>
            <w:tcW w:w="1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86,787</w:t>
            </w: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69,498</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Credit Losses - Loans*</w:t>
            </w:r>
          </w:p>
        </w:tc>
        <w:tc>
          <w:tcPr>
            <w:tcW w:w="1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2,596</w:t>
            </w:r>
          </w:p>
        </w:tc>
        <w:tc>
          <w:tcPr>
            <w:tcW w:w="1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944</w:t>
            </w:r>
          </w:p>
        </w:tc>
        <w:tc>
          <w:tcPr>
            <w:tcW w:w="1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1,698</w:t>
            </w:r>
          </w:p>
        </w:tc>
        <w:tc>
          <w:tcPr>
            <w:tcW w:w="1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4,600</w:t>
            </w:r>
          </w:p>
        </w:tc>
        <w:tc>
          <w:tcPr>
            <w:tcW w:w="1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48"/>
        </w:trPr>
        <w:tc>
          <w:tcPr>
            <w:tcW w:w="3720" w:type="dxa"/>
            <w:vAlign w:val="bottom"/>
          </w:tcPr>
          <w:p>
            <w:pPr>
              <w:spacing w:after="0"/>
              <w:rPr>
                <w:sz w:val="20"/>
                <w:szCs w:val="20"/>
                <w:color w:val="auto"/>
              </w:rPr>
            </w:pPr>
            <w:r>
              <w:rPr>
                <w:rFonts w:ascii="Arial" w:cs="Arial" w:eastAsia="Arial" w:hAnsi="Arial"/>
                <w:sz w:val="18"/>
                <w:szCs w:val="18"/>
                <w:color w:val="auto"/>
              </w:rPr>
              <w:t>Provision for (Recovery of) Credit Losses -</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180"/>
              <w:spacing w:after="0"/>
              <w:rPr>
                <w:sz w:val="20"/>
                <w:szCs w:val="20"/>
                <w:color w:val="auto"/>
              </w:rPr>
            </w:pPr>
            <w:r>
              <w:rPr>
                <w:rFonts w:ascii="Arial" w:cs="Arial" w:eastAsia="Arial" w:hAnsi="Arial"/>
                <w:sz w:val="18"/>
                <w:szCs w:val="18"/>
                <w:color w:val="auto"/>
              </w:rPr>
              <w:t>Off Balance Sheet Credit Exposures*</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(671)</w:t>
            </w:r>
          </w:p>
        </w:tc>
        <w:tc>
          <w:tcPr>
            <w:tcW w:w="18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After Provision for</w:t>
            </w:r>
          </w:p>
        </w:tc>
        <w:tc>
          <w:tcPr>
            <w:tcW w:w="100" w:type="dxa"/>
            <w:vAlign w:val="bottom"/>
            <w:shd w:val="clear" w:color="auto" w:fill="CFF0FC"/>
          </w:tcPr>
          <w:p>
            <w:pPr>
              <w:spacing w:after="0"/>
              <w:rPr>
                <w:sz w:val="21"/>
                <w:szCs w:val="21"/>
                <w:color w:val="auto"/>
              </w:rPr>
            </w:pPr>
          </w:p>
        </w:tc>
        <w:tc>
          <w:tcPr>
            <w:tcW w:w="9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102,202</w:t>
            </w:r>
          </w:p>
        </w:tc>
        <w:tc>
          <w:tcPr>
            <w:tcW w:w="180" w:type="dxa"/>
            <w:vAlign w:val="bottom"/>
            <w:shd w:val="clear" w:color="auto" w:fill="CFF0FC"/>
          </w:tcPr>
          <w:p>
            <w:pPr>
              <w:spacing w:after="0"/>
              <w:rPr>
                <w:sz w:val="21"/>
                <w:szCs w:val="21"/>
                <w:color w:val="auto"/>
              </w:rPr>
            </w:pPr>
          </w:p>
        </w:tc>
        <w:tc>
          <w:tcPr>
            <w:tcW w:w="9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85,639</w:t>
            </w:r>
          </w:p>
        </w:tc>
        <w:tc>
          <w:tcPr>
            <w:tcW w:w="180" w:type="dxa"/>
            <w:vAlign w:val="bottom"/>
            <w:shd w:val="clear" w:color="auto" w:fill="CFF0FC"/>
          </w:tcPr>
          <w:p>
            <w:pPr>
              <w:spacing w:after="0"/>
              <w:rPr>
                <w:sz w:val="21"/>
                <w:szCs w:val="21"/>
                <w:color w:val="auto"/>
              </w:rPr>
            </w:pPr>
          </w:p>
        </w:tc>
        <w:tc>
          <w:tcPr>
            <w:tcW w:w="9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79,653</w:t>
            </w:r>
          </w:p>
        </w:tc>
        <w:tc>
          <w:tcPr>
            <w:tcW w:w="180" w:type="dxa"/>
            <w:vAlign w:val="bottom"/>
            <w:shd w:val="clear" w:color="auto" w:fill="CFF0FC"/>
          </w:tcPr>
          <w:p>
            <w:pPr>
              <w:spacing w:after="0"/>
              <w:rPr>
                <w:sz w:val="21"/>
                <w:szCs w:val="21"/>
                <w:color w:val="auto"/>
              </w:rPr>
            </w:pPr>
          </w:p>
        </w:tc>
        <w:tc>
          <w:tcPr>
            <w:tcW w:w="9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82,187</w:t>
            </w:r>
          </w:p>
        </w:tc>
        <w:tc>
          <w:tcPr>
            <w:tcW w:w="180" w:type="dxa"/>
            <w:vAlign w:val="bottom"/>
            <w:shd w:val="clear" w:color="auto" w:fill="CFF0FC"/>
          </w:tcPr>
          <w:p>
            <w:pPr>
              <w:spacing w:after="0"/>
              <w:rPr>
                <w:sz w:val="21"/>
                <w:szCs w:val="21"/>
                <w:color w:val="auto"/>
              </w:rPr>
            </w:pPr>
          </w:p>
        </w:tc>
        <w:tc>
          <w:tcPr>
            <w:tcW w:w="9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66,054</w:t>
            </w:r>
          </w:p>
        </w:tc>
        <w:tc>
          <w:tcPr>
            <w:tcW w:w="0" w:type="dxa"/>
            <w:vAlign w:val="bottom"/>
          </w:tcPr>
          <w:p>
            <w:pPr>
              <w:spacing w:after="0"/>
              <w:rPr>
                <w:sz w:val="1"/>
                <w:szCs w:val="1"/>
                <w:color w:val="auto"/>
              </w:rPr>
            </w:pPr>
          </w:p>
        </w:tc>
      </w:tr>
      <w:tr>
        <w:trPr>
          <w:trHeight w:val="135"/>
        </w:trPr>
        <w:tc>
          <w:tcPr>
            <w:tcW w:w="372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Credit Losses*</w:t>
            </w:r>
          </w:p>
        </w:tc>
        <w:tc>
          <w:tcPr>
            <w:tcW w:w="100" w:type="dxa"/>
            <w:vAlign w:val="bottom"/>
            <w:shd w:val="clear" w:color="auto" w:fill="CFF0FC"/>
          </w:tcPr>
          <w:p>
            <w:pPr>
              <w:spacing w:after="0"/>
              <w:rPr>
                <w:sz w:val="11"/>
                <w:szCs w:val="11"/>
                <w:color w:val="auto"/>
              </w:rPr>
            </w:pPr>
          </w:p>
        </w:tc>
        <w:tc>
          <w:tcPr>
            <w:tcW w:w="98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720" w:type="dxa"/>
            <w:vAlign w:val="bottom"/>
            <w:tcBorders>
              <w:bottom w:val="single" w:sz="8" w:color="CFF0FC"/>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0"/>
                <w:szCs w:val="20"/>
                <w:color w:val="auto"/>
              </w:rPr>
            </w:pPr>
            <w:r>
              <w:rPr>
                <w:rFonts w:ascii="Arial" w:cs="Arial" w:eastAsia="Arial" w:hAnsi="Arial"/>
                <w:sz w:val="18"/>
                <w:szCs w:val="18"/>
                <w:color w:val="auto"/>
              </w:rPr>
              <w:t>Noninterest income (expense), net</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(59,677)</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(53,066)</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(51,299)</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(41,712)</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(36,557)</w:t>
            </w:r>
          </w:p>
        </w:tc>
        <w:tc>
          <w:tcPr>
            <w:tcW w:w="0" w:type="dxa"/>
            <w:vAlign w:val="bottom"/>
          </w:tcPr>
          <w:p>
            <w:pPr>
              <w:spacing w:after="0"/>
              <w:rPr>
                <w:sz w:val="1"/>
                <w:szCs w:val="1"/>
                <w:color w:val="auto"/>
              </w:rPr>
            </w:pPr>
          </w:p>
        </w:tc>
      </w:tr>
      <w:tr>
        <w:trPr>
          <w:trHeight w:val="41"/>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Before Income Taxes</w:t>
            </w:r>
          </w:p>
        </w:tc>
        <w:tc>
          <w:tcPr>
            <w:tcW w:w="1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42,525</w:t>
            </w:r>
          </w:p>
        </w:tc>
        <w:tc>
          <w:tcPr>
            <w:tcW w:w="1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32,573</w:t>
            </w:r>
          </w:p>
        </w:tc>
        <w:tc>
          <w:tcPr>
            <w:tcW w:w="1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28,354</w:t>
            </w:r>
          </w:p>
        </w:tc>
        <w:tc>
          <w:tcPr>
            <w:tcW w:w="1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40,475</w:t>
            </w:r>
          </w:p>
        </w:tc>
        <w:tc>
          <w:tcPr>
            <w:tcW w:w="1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29,497</w:t>
            </w: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9,216</w:t>
            </w:r>
          </w:p>
        </w:tc>
        <w:tc>
          <w:tcPr>
            <w:tcW w:w="18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6,635</w:t>
            </w:r>
          </w:p>
        </w:tc>
        <w:tc>
          <w:tcPr>
            <w:tcW w:w="18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5,567</w:t>
            </w:r>
          </w:p>
        </w:tc>
        <w:tc>
          <w:tcPr>
            <w:tcW w:w="18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7,960</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41"/>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3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33,309</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25,938</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22,787</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32,515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23,495</w:t>
            </w:r>
          </w:p>
        </w:tc>
        <w:tc>
          <w:tcPr>
            <w:tcW w:w="0" w:type="dxa"/>
            <w:vAlign w:val="bottom"/>
          </w:tcPr>
          <w:p>
            <w:pPr>
              <w:spacing w:after="0"/>
              <w:rPr>
                <w:sz w:val="1"/>
                <w:szCs w:val="1"/>
                <w:color w:val="auto"/>
              </w:rPr>
            </w:pPr>
          </w:p>
        </w:tc>
      </w:tr>
      <w:tr>
        <w:trPr>
          <w:trHeight w:val="248"/>
        </w:trPr>
        <w:tc>
          <w:tcPr>
            <w:tcW w:w="3720" w:type="dxa"/>
            <w:vAlign w:val="bottom"/>
          </w:tcPr>
          <w:p>
            <w:pPr>
              <w:spacing w:after="0"/>
              <w:rPr>
                <w:sz w:val="20"/>
                <w:szCs w:val="20"/>
                <w:color w:val="auto"/>
              </w:rPr>
            </w:pPr>
            <w:r>
              <w:rPr>
                <w:rFonts w:ascii="Arial" w:cs="Arial" w:eastAsia="Arial" w:hAnsi="Arial"/>
                <w:sz w:val="18"/>
                <w:szCs w:val="18"/>
                <w:color w:val="auto"/>
              </w:rPr>
              <w:t>Per Share of Common Stock:</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7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Earnings per common share outstanding**</w:t>
            </w:r>
          </w:p>
        </w:tc>
        <w:tc>
          <w:tcPr>
            <w:tcW w:w="1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1.90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1.67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41"/>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3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Dividends</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0.9000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0.8825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0.8500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0.8125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0.7100</w:t>
            </w:r>
          </w:p>
        </w:tc>
        <w:tc>
          <w:tcPr>
            <w:tcW w:w="0" w:type="dxa"/>
            <w:vAlign w:val="bottom"/>
          </w:tcPr>
          <w:p>
            <w:pPr>
              <w:spacing w:after="0"/>
              <w:rPr>
                <w:sz w:val="1"/>
                <w:szCs w:val="1"/>
                <w:color w:val="auto"/>
              </w:rPr>
            </w:pPr>
          </w:p>
        </w:tc>
      </w:tr>
      <w:tr>
        <w:trPr>
          <w:trHeight w:val="248"/>
        </w:trPr>
        <w:tc>
          <w:tcPr>
            <w:tcW w:w="3720" w:type="dxa"/>
            <w:vAlign w:val="bottom"/>
          </w:tcPr>
          <w:p>
            <w:pPr>
              <w:ind w:left="120"/>
              <w:spacing w:after="0"/>
              <w:rPr>
                <w:sz w:val="20"/>
                <w:szCs w:val="20"/>
                <w:color w:val="auto"/>
              </w:rPr>
            </w:pPr>
            <w:r>
              <w:rPr>
                <w:rFonts w:ascii="Arial" w:cs="Arial" w:eastAsia="Arial" w:hAnsi="Arial"/>
                <w:sz w:val="18"/>
                <w:szCs w:val="18"/>
                <w:color w:val="auto"/>
              </w:rPr>
              <w:t>Weighted average number of shares</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260"/>
              <w:spacing w:after="0"/>
              <w:rPr>
                <w:sz w:val="20"/>
                <w:szCs w:val="20"/>
                <w:color w:val="auto"/>
              </w:rPr>
            </w:pPr>
            <w:r>
              <w:rPr>
                <w:rFonts w:ascii="Arial" w:cs="Arial" w:eastAsia="Arial" w:hAnsi="Arial"/>
                <w:sz w:val="18"/>
                <w:szCs w:val="18"/>
                <w:color w:val="auto"/>
              </w:rPr>
              <w:t>outstanding, including participating</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260"/>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88"/>
              </w:rPr>
              <w:t>13,727,541</w:t>
            </w:r>
          </w:p>
        </w:tc>
        <w:tc>
          <w:tcPr>
            <w:tcW w:w="18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88"/>
              </w:rPr>
              <w:t>13,684,961</w:t>
            </w:r>
          </w:p>
        </w:tc>
        <w:tc>
          <w:tcPr>
            <w:tcW w:w="18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88"/>
              </w:rPr>
              <w:t>13,641,336</w:t>
            </w:r>
          </w:p>
        </w:tc>
        <w:tc>
          <w:tcPr>
            <w:tcW w:w="18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88"/>
              </w:rPr>
              <w:t>13,206,713</w:t>
            </w:r>
          </w:p>
        </w:tc>
        <w:tc>
          <w:tcPr>
            <w:tcW w:w="18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11,664,852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-3805555</wp:posOffset>
            </wp:positionV>
            <wp:extent cx="354584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2">
                      <a:extLst>
                        <a:ext uri="{28A0092B-C50C-407E-A947-70E740481C1C}"/>
                      </a:extLst>
                    </a:blip>
                    <a:srcRect/>
                    <a:stretch>
                      <a:fillRect/>
                    </a:stretch>
                  </pic:blipFill>
                  <pic:spPr bwMode="auto">
                    <a:xfrm>
                      <a:off x="0" y="0"/>
                      <a:ext cx="3545840" cy="635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-3618230</wp:posOffset>
            </wp:positionV>
            <wp:extent cx="354584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3">
                      <a:extLst>
                        <a:ext uri="{28A0092B-C50C-407E-A947-70E740481C1C}"/>
                      </a:extLst>
                    </a:blip>
                    <a:srcRect/>
                    <a:stretch>
                      <a:fillRect/>
                    </a:stretch>
                  </pic:blipFill>
                  <pic:spPr bwMode="auto">
                    <a:xfrm>
                      <a:off x="0" y="0"/>
                      <a:ext cx="3545840" cy="635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-3070225</wp:posOffset>
            </wp:positionV>
            <wp:extent cx="360489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4">
                      <a:extLst>
                        <a:ext uri="{28A0092B-C50C-407E-A947-70E740481C1C}"/>
                      </a:extLst>
                    </a:blip>
                    <a:srcRect/>
                    <a:stretch>
                      <a:fillRect/>
                    </a:stretch>
                  </pic:blipFill>
                  <pic:spPr bwMode="auto">
                    <a:xfrm>
                      <a:off x="0" y="0"/>
                      <a:ext cx="3604895" cy="635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-2357120</wp:posOffset>
            </wp:positionV>
            <wp:extent cx="354584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5">
                      <a:extLst>
                        <a:ext uri="{28A0092B-C50C-407E-A947-70E740481C1C}"/>
                      </a:extLst>
                    </a:blip>
                    <a:srcRect/>
                    <a:stretch>
                      <a:fillRect/>
                    </a:stretch>
                  </pic:blipFill>
                  <pic:spPr bwMode="auto">
                    <a:xfrm>
                      <a:off x="0" y="0"/>
                      <a:ext cx="3545840" cy="635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-1818005</wp:posOffset>
            </wp:positionV>
            <wp:extent cx="354584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6">
                      <a:extLst>
                        <a:ext uri="{28A0092B-C50C-407E-A947-70E740481C1C}"/>
                      </a:extLst>
                    </a:blip>
                    <a:srcRect/>
                    <a:stretch>
                      <a:fillRect/>
                    </a:stretch>
                  </pic:blipFill>
                  <pic:spPr bwMode="auto">
                    <a:xfrm>
                      <a:off x="0" y="0"/>
                      <a:ext cx="3545840" cy="635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-1450340</wp:posOffset>
            </wp:positionV>
            <wp:extent cx="354584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7">
                      <a:extLst>
                        <a:ext uri="{28A0092B-C50C-407E-A947-70E740481C1C}"/>
                      </a:extLst>
                    </a:blip>
                    <a:srcRect/>
                    <a:stretch>
                      <a:fillRect/>
                    </a:stretch>
                  </pic:blipFill>
                  <pic:spPr bwMode="auto">
                    <a:xfrm>
                      <a:off x="0" y="0"/>
                      <a:ext cx="3545840" cy="635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-1263650</wp:posOffset>
            </wp:positionV>
            <wp:extent cx="3604895" cy="285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8">
                      <a:extLst>
                        <a:ext uri="{28A0092B-C50C-407E-A947-70E740481C1C}"/>
                      </a:extLst>
                    </a:blip>
                    <a:srcRect/>
                    <a:stretch>
                      <a:fillRect/>
                    </a:stretch>
                  </pic:blipFill>
                  <pic:spPr bwMode="auto">
                    <a:xfrm>
                      <a:off x="0" y="0"/>
                      <a:ext cx="3604895" cy="28575"/>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-693420</wp:posOffset>
            </wp:positionV>
            <wp:extent cx="354584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9">
                      <a:extLst>
                        <a:ext uri="{28A0092B-C50C-407E-A947-70E740481C1C}"/>
                      </a:extLst>
                    </a:blip>
                    <a:srcRect/>
                    <a:stretch>
                      <a:fillRect/>
                    </a:stretch>
                  </pic:blipFill>
                  <pic:spPr bwMode="auto">
                    <a:xfrm>
                      <a:off x="0" y="0"/>
                      <a:ext cx="3545840" cy="635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-506095</wp:posOffset>
            </wp:positionV>
            <wp:extent cx="360489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0">
                      <a:extLst>
                        <a:ext uri="{28A0092B-C50C-407E-A947-70E740481C1C}"/>
                      </a:extLst>
                    </a:blip>
                    <a:srcRect/>
                    <a:stretch>
                      <a:fillRect/>
                    </a:stretch>
                  </pic:blipFill>
                  <pic:spPr bwMode="auto">
                    <a:xfrm>
                      <a:off x="0" y="0"/>
                      <a:ext cx="3604895" cy="635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16510</wp:posOffset>
            </wp:positionV>
            <wp:extent cx="354584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1">
                      <a:extLst>
                        <a:ext uri="{28A0092B-C50C-407E-A947-70E740481C1C}"/>
                      </a:extLst>
                    </a:blip>
                    <a:srcRect/>
                    <a:stretch>
                      <a:fillRect/>
                    </a:stretch>
                  </pic:blipFill>
                  <pic:spPr bwMode="auto">
                    <a:xfrm>
                      <a:off x="0" y="0"/>
                      <a:ext cx="3545840" cy="6350"/>
                    </a:xfrm>
                    <a:prstGeom prst="rect">
                      <a:avLst/>
                    </a:prstGeom>
                    <a:noFill/>
                  </pic:spPr>
                </pic:pic>
              </a:graphicData>
            </a:graphic>
          </wp:anchor>
        </w:drawing>
      </w:r>
    </w:p>
    <w:p>
      <w:pPr>
        <w:spacing w:after="0" w:line="356" w:lineRule="exact"/>
        <w:rPr>
          <w:sz w:val="20"/>
          <w:szCs w:val="20"/>
          <w:color w:val="auto"/>
        </w:rPr>
      </w:pPr>
    </w:p>
    <w:p>
      <w:pPr>
        <w:ind w:left="420" w:right="60" w:hanging="425"/>
        <w:spacing w:after="0" w:line="302" w:lineRule="auto"/>
        <w:rPr>
          <w:sz w:val="20"/>
          <w:szCs w:val="20"/>
          <w:color w:val="auto"/>
        </w:rPr>
      </w:pPr>
      <w:r>
        <w:rPr>
          <w:rFonts w:ascii="Arial" w:cs="Arial" w:eastAsia="Arial" w:hAnsi="Arial"/>
          <w:sz w:val="20"/>
          <w:szCs w:val="20"/>
          <w:color w:val="auto"/>
        </w:rPr>
        <w:t>*ASU 2016-13 was adopted during the first quarter of 2023; therefore, 2021 and 2022 provision amounts reflect the incurred loss method.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**Based on weighted average number of shares outstanding.</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Arial" w:cs="Arial" w:eastAsia="Arial" w:hAnsi="Arial"/>
                <w:sz w:val="18"/>
                <w:szCs w:val="18"/>
                <w:b w:val="1"/>
                <w:bCs w:val="1"/>
                <w:color w:val="auto"/>
                <w:w w:val="92"/>
              </w:rPr>
              <w:t>Summary of Consolidated Balance Sheets</w:t>
            </w: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569"/>
        </w:trPr>
        <w:tc>
          <w:tcPr>
            <w:tcW w:w="3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w w:val="95"/>
              </w:rPr>
              <w:t>(In Thousands)</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4"/>
        </w:trPr>
        <w:tc>
          <w:tcPr>
            <w:tcW w:w="336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2025</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2024</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2023</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2021</w:t>
            </w:r>
          </w:p>
        </w:tc>
      </w:tr>
      <w:tr>
        <w:trPr>
          <w:trHeight w:val="46"/>
        </w:trPr>
        <w:tc>
          <w:tcPr>
            <w:tcW w:w="3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64"/>
        </w:trPr>
        <w:tc>
          <w:tcPr>
            <w:tcW w:w="3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$ 3,434,382</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$ 3,364,723</w:t>
            </w:r>
          </w:p>
        </w:tc>
        <w:tc>
          <w:tcPr>
            <w:tcW w:w="1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$ 3,283,229</w:t>
            </w:r>
          </w:p>
        </w:tc>
        <w:tc>
          <w:tcPr>
            <w:tcW w:w="11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$ 3,015,351</w:t>
            </w:r>
          </w:p>
        </w:tc>
        <w:tc>
          <w:tcPr>
            <w:tcW w:w="12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$ 2,638,300</w:t>
            </w:r>
          </w:p>
        </w:tc>
      </w:tr>
      <w:tr>
        <w:trPr>
          <w:trHeight w:val="248"/>
        </w:trPr>
        <w:tc>
          <w:tcPr>
            <w:tcW w:w="3360" w:type="dxa"/>
            <w:vAlign w:val="bottom"/>
          </w:tcPr>
          <w:p>
            <w:pPr>
              <w:spacing w:after="0"/>
              <w:rPr>
                <w:sz w:val="20"/>
                <w:szCs w:val="20"/>
                <w:color w:val="auto"/>
              </w:rPr>
            </w:pPr>
            <w:r>
              <w:rPr>
                <w:rFonts w:ascii="Arial" w:cs="Arial" w:eastAsia="Arial" w:hAnsi="Arial"/>
                <w:sz w:val="18"/>
                <w:szCs w:val="18"/>
                <w:color w:val="auto"/>
              </w:rPr>
              <w:t>Loans, net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2,685,990</w:t>
            </w:r>
          </w:p>
        </w:tc>
        <w:tc>
          <w:tcPr>
            <w:tcW w:w="1120" w:type="dxa"/>
            <w:vAlign w:val="bottom"/>
          </w:tcPr>
          <w:p>
            <w:pPr>
              <w:jc w:val="right"/>
              <w:spacing w:after="0"/>
              <w:rPr>
                <w:sz w:val="20"/>
                <w:szCs w:val="20"/>
                <w:color w:val="auto"/>
              </w:rPr>
            </w:pPr>
            <w:r>
              <w:rPr>
                <w:rFonts w:ascii="Arial" w:cs="Arial" w:eastAsia="Arial" w:hAnsi="Arial"/>
                <w:sz w:val="18"/>
                <w:szCs w:val="18"/>
                <w:color w:val="auto"/>
              </w:rPr>
              <w:t>2,536,043</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2,556,167</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2,336,074</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1,841,177</w:t>
            </w:r>
          </w:p>
        </w:tc>
      </w:tr>
      <w:tr>
        <w:trPr>
          <w:trHeight w:val="36"/>
        </w:trPr>
        <w:tc>
          <w:tcPr>
            <w:tcW w:w="3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64"/>
        </w:trPr>
        <w:tc>
          <w:tcPr>
            <w:tcW w:w="3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deposits</w:t>
            </w:r>
          </w:p>
        </w:tc>
        <w:tc>
          <w:tcPr>
            <w:tcW w:w="1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2,730,735</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2,686,765</w:t>
            </w:r>
          </w:p>
        </w:tc>
        <w:tc>
          <w:tcPr>
            <w:tcW w:w="1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2,607,463</w:t>
            </w:r>
          </w:p>
        </w:tc>
        <w:tc>
          <w:tcPr>
            <w:tcW w:w="11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2,468,864</w:t>
            </w:r>
          </w:p>
        </w:tc>
        <w:tc>
          <w:tcPr>
            <w:tcW w:w="12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2,193,462</w:t>
            </w:r>
          </w:p>
        </w:tc>
      </w:tr>
      <w:tr>
        <w:trPr>
          <w:trHeight w:val="248"/>
        </w:trPr>
        <w:tc>
          <w:tcPr>
            <w:tcW w:w="3360" w:type="dxa"/>
            <w:vAlign w:val="bottom"/>
          </w:tcPr>
          <w:p>
            <w:pPr>
              <w:spacing w:after="0"/>
              <w:rPr>
                <w:sz w:val="20"/>
                <w:szCs w:val="20"/>
                <w:color w:val="auto"/>
              </w:rPr>
            </w:pPr>
            <w:r>
              <w:rPr>
                <w:rFonts w:ascii="Arial" w:cs="Arial" w:eastAsia="Arial" w:hAnsi="Arial"/>
                <w:sz w:val="18"/>
                <w:szCs w:val="18"/>
                <w:color w:val="auto"/>
              </w:rPr>
              <w:t>Stockholders' equity</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370,862</w:t>
            </w:r>
          </w:p>
        </w:tc>
        <w:tc>
          <w:tcPr>
            <w:tcW w:w="1120" w:type="dxa"/>
            <w:vAlign w:val="bottom"/>
          </w:tcPr>
          <w:p>
            <w:pPr>
              <w:jc w:val="right"/>
              <w:spacing w:after="0"/>
              <w:rPr>
                <w:sz w:val="20"/>
                <w:szCs w:val="20"/>
                <w:color w:val="auto"/>
              </w:rPr>
            </w:pPr>
            <w:r>
              <w:rPr>
                <w:rFonts w:ascii="Arial" w:cs="Arial" w:eastAsia="Arial" w:hAnsi="Arial"/>
                <w:sz w:val="18"/>
                <w:szCs w:val="18"/>
                <w:color w:val="auto"/>
              </w:rPr>
              <w:t>335,211</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316,543</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298,140</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297,167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180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2">
                      <a:extLst>
                        <a:ext uri="{28A0092B-C50C-407E-A947-70E740481C1C}"/>
                      </a:extLst>
                    </a:blip>
                    <a:srcRect/>
                    <a:stretch>
                      <a:fillRect/>
                    </a:stretch>
                  </pic:blipFill>
                  <pic:spPr bwMode="auto">
                    <a:xfrm>
                      <a:off x="0" y="0"/>
                      <a:ext cx="5967730" cy="18034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-892175</wp:posOffset>
            </wp:positionV>
            <wp:extent cx="360934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3">
                      <a:extLst>
                        <a:ext uri="{28A0092B-C50C-407E-A947-70E740481C1C}"/>
                      </a:extLst>
                    </a:blip>
                    <a:srcRect/>
                    <a:stretch>
                      <a:fillRect/>
                    </a:stretch>
                  </pic:blipFill>
                  <pic:spPr bwMode="auto">
                    <a:xfrm>
                      <a:off x="0" y="0"/>
                      <a:ext cx="3609340" cy="635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-704850</wp:posOffset>
            </wp:positionV>
            <wp:extent cx="360934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4">
                      <a:extLst>
                        <a:ext uri="{28A0092B-C50C-407E-A947-70E740481C1C}"/>
                      </a:extLst>
                    </a:blip>
                    <a:srcRect/>
                    <a:stretch>
                      <a:fillRect/>
                    </a:stretch>
                  </pic:blipFill>
                  <pic:spPr bwMode="auto">
                    <a:xfrm>
                      <a:off x="0" y="0"/>
                      <a:ext cx="3609340" cy="63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Key Ratios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ind w:left="60"/>
              <w:spacing w:after="0"/>
              <w:rPr>
                <w:sz w:val="20"/>
                <w:szCs w:val="20"/>
                <w:color w:val="auto"/>
              </w:rPr>
            </w:pPr>
            <w:r>
              <w:rPr>
                <w:rFonts w:ascii="Arial" w:cs="Arial" w:eastAsia="Arial" w:hAnsi="Arial"/>
                <w:sz w:val="18"/>
                <w:szCs w:val="18"/>
                <w:color w:val="auto"/>
              </w:rPr>
              <w:t>Return on average equity</w:t>
            </w:r>
          </w:p>
        </w:tc>
        <w:tc>
          <w:tcPr>
            <w:tcW w:w="1980" w:type="dxa"/>
            <w:vAlign w:val="bottom"/>
          </w:tcPr>
          <w:p>
            <w:pPr>
              <w:jc w:val="right"/>
              <w:ind w:right="230"/>
              <w:spacing w:after="0"/>
              <w:rPr>
                <w:sz w:val="20"/>
                <w:szCs w:val="20"/>
                <w:color w:val="auto"/>
              </w:rPr>
            </w:pPr>
            <w:r>
              <w:rPr>
                <w:rFonts w:ascii="Arial" w:cs="Arial" w:eastAsia="Arial" w:hAnsi="Arial"/>
                <w:sz w:val="18"/>
                <w:szCs w:val="18"/>
                <w:color w:val="auto"/>
              </w:rPr>
              <w:t>9.43%</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7.98%</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7.46%</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11.30%</w:t>
            </w:r>
          </w:p>
        </w:tc>
        <w:tc>
          <w:tcPr>
            <w:tcW w:w="90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36"/>
        </w:trPr>
        <w:tc>
          <w:tcPr>
            <w:tcW w:w="29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4"/>
        </w:trPr>
        <w:tc>
          <w:tcPr>
            <w:tcW w:w="29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Return on average assets</w:t>
            </w:r>
          </w:p>
        </w:tc>
        <w:tc>
          <w:tcPr>
            <w:tcW w:w="198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0.99%</w:t>
            </w:r>
          </w:p>
        </w:tc>
        <w:tc>
          <w:tcPr>
            <w:tcW w:w="120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0.78%</w:t>
            </w:r>
          </w:p>
        </w:tc>
        <w:tc>
          <w:tcPr>
            <w:tcW w:w="118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0.71%</w:t>
            </w:r>
          </w:p>
        </w:tc>
        <w:tc>
          <w:tcPr>
            <w:tcW w:w="118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1.17%</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w:t>
            </w:r>
          </w:p>
        </w:tc>
      </w:tr>
      <w:tr>
        <w:trPr>
          <w:trHeight w:val="248"/>
        </w:trPr>
        <w:tc>
          <w:tcPr>
            <w:tcW w:w="2960" w:type="dxa"/>
            <w:vAlign w:val="bottom"/>
          </w:tcPr>
          <w:p>
            <w:pPr>
              <w:ind w:left="60"/>
              <w:spacing w:after="0"/>
              <w:rPr>
                <w:sz w:val="20"/>
                <w:szCs w:val="20"/>
                <w:color w:val="auto"/>
              </w:rPr>
            </w:pPr>
            <w:r>
              <w:rPr>
                <w:rFonts w:ascii="Arial" w:cs="Arial" w:eastAsia="Arial" w:hAnsi="Arial"/>
                <w:sz w:val="18"/>
                <w:szCs w:val="18"/>
                <w:color w:val="auto"/>
              </w:rPr>
              <w:t>Loans to deposits</w:t>
            </w:r>
          </w:p>
        </w:tc>
        <w:tc>
          <w:tcPr>
            <w:tcW w:w="1980" w:type="dxa"/>
            <w:vAlign w:val="bottom"/>
          </w:tcPr>
          <w:p>
            <w:pPr>
              <w:jc w:val="right"/>
              <w:ind w:right="230"/>
              <w:spacing w:after="0"/>
              <w:rPr>
                <w:sz w:val="20"/>
                <w:szCs w:val="20"/>
                <w:color w:val="auto"/>
              </w:rPr>
            </w:pPr>
            <w:r>
              <w:rPr>
                <w:rFonts w:ascii="Arial" w:cs="Arial" w:eastAsia="Arial" w:hAnsi="Arial"/>
                <w:sz w:val="18"/>
                <w:szCs w:val="18"/>
                <w:color w:val="auto"/>
              </w:rPr>
              <w:t>98.36%</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94.39%</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97.93%</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94.62%</w:t>
            </w:r>
          </w:p>
        </w:tc>
        <w:tc>
          <w:tcPr>
            <w:tcW w:w="900" w:type="dxa"/>
            <w:vAlign w:val="bottom"/>
          </w:tcPr>
          <w:p>
            <w:pPr>
              <w:jc w:val="right"/>
              <w:spacing w:after="0"/>
              <w:rPr>
                <w:sz w:val="20"/>
                <w:szCs w:val="20"/>
                <w:color w:val="auto"/>
              </w:rPr>
            </w:pPr>
            <w:r>
              <w:rPr>
                <w:rFonts w:ascii="Arial" w:cs="Arial" w:eastAsia="Arial" w:hAnsi="Arial"/>
                <w:sz w:val="18"/>
                <w:szCs w:val="18"/>
                <w:color w:val="auto"/>
              </w:rPr>
              <w:t>83.94%</w:t>
            </w:r>
          </w:p>
        </w:tc>
      </w:tr>
      <w:tr>
        <w:trPr>
          <w:trHeight w:val="36"/>
        </w:trPr>
        <w:tc>
          <w:tcPr>
            <w:tcW w:w="29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4"/>
        </w:trPr>
        <w:tc>
          <w:tcPr>
            <w:tcW w:w="29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Capital to assets</w:t>
            </w:r>
          </w:p>
        </w:tc>
        <w:tc>
          <w:tcPr>
            <w:tcW w:w="198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10.80%</w:t>
            </w:r>
          </w:p>
        </w:tc>
        <w:tc>
          <w:tcPr>
            <w:tcW w:w="120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9.96%</w:t>
            </w:r>
          </w:p>
        </w:tc>
        <w:tc>
          <w:tcPr>
            <w:tcW w:w="118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9.64%</w:t>
            </w:r>
          </w:p>
        </w:tc>
        <w:tc>
          <w:tcPr>
            <w:tcW w:w="118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9.89%</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11.26%</w:t>
            </w:r>
          </w:p>
        </w:tc>
      </w:tr>
      <w:tr>
        <w:trPr>
          <w:trHeight w:val="248"/>
        </w:trPr>
        <w:tc>
          <w:tcPr>
            <w:tcW w:w="2960" w:type="dxa"/>
            <w:vAlign w:val="bottom"/>
          </w:tcPr>
          <w:p>
            <w:pPr>
              <w:ind w:left="60"/>
              <w:spacing w:after="0"/>
              <w:rPr>
                <w:sz w:val="20"/>
                <w:szCs w:val="20"/>
                <w:color w:val="auto"/>
              </w:rPr>
            </w:pPr>
            <w:r>
              <w:rPr>
                <w:rFonts w:ascii="Arial" w:cs="Arial" w:eastAsia="Arial" w:hAnsi="Arial"/>
                <w:sz w:val="18"/>
                <w:szCs w:val="18"/>
                <w:color w:val="auto"/>
              </w:rPr>
              <w:t>Dividend payout</w:t>
            </w:r>
          </w:p>
        </w:tc>
        <w:tc>
          <w:tcPr>
            <w:tcW w:w="1980" w:type="dxa"/>
            <w:vAlign w:val="bottom"/>
          </w:tcPr>
          <w:p>
            <w:pPr>
              <w:jc w:val="right"/>
              <w:ind w:right="230"/>
              <w:spacing w:after="0"/>
              <w:rPr>
                <w:sz w:val="20"/>
                <w:szCs w:val="20"/>
                <w:color w:val="auto"/>
              </w:rPr>
            </w:pPr>
            <w:r>
              <w:rPr>
                <w:rFonts w:ascii="Arial" w:cs="Arial" w:eastAsia="Arial" w:hAnsi="Arial"/>
                <w:sz w:val="18"/>
                <w:szCs w:val="18"/>
                <w:color w:val="auto"/>
              </w:rPr>
              <w:t>36.67%</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46.05%</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50.37%</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32.74%</w:t>
            </w:r>
          </w:p>
        </w:tc>
        <w:tc>
          <w:tcPr>
            <w:tcW w:w="900" w:type="dxa"/>
            <w:vAlign w:val="bottom"/>
          </w:tcPr>
          <w:p>
            <w:pPr>
              <w:jc w:val="right"/>
              <w:spacing w:after="0"/>
              <w:rPr>
                <w:sz w:val="20"/>
                <w:szCs w:val="20"/>
                <w:color w:val="auto"/>
              </w:rPr>
            </w:pPr>
            <w:r>
              <w:rPr>
                <w:rFonts w:ascii="Arial" w:cs="Arial" w:eastAsia="Arial" w:hAnsi="Arial"/>
                <w:sz w:val="18"/>
                <w:szCs w:val="18"/>
                <w:color w:val="auto"/>
              </w:rPr>
              <w:t>35.08%</w:t>
            </w: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25</w:t>
      </w:r>
    </w:p>
    <w:p>
      <w:pPr>
        <w:sectPr>
          <w:pgSz w:w="11900" w:h="16838" w:orient="portrait"/>
          <w:cols w:equalWidth="0" w:num="1">
            <w:col w:w="9400"/>
          </w:cols>
          <w:pgMar w:left="1260" w:top="1440" w:right="1246" w:bottom="0" w:gutter="0" w:footer="0" w:header="0"/>
          <w:type w:val="continuous"/>
        </w:sectPr>
      </w:pPr>
    </w:p>
    <w:bookmarkStart w:id="80" w:name="page81"/>
    <w:bookmarkEnd w:id="80"/>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w:t>
      </w:r>
    </w:p>
    <w:p>
      <w:pPr>
        <w:spacing w:after="0" w:line="200"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The investment portfolio is primarily used to provide overall liquidity for the Bank. It is also used to provide required collateral for pledging to the Bank’s Ohio public depositors for amounts on deposit in excess of the FDIC coverage limits. It may also be used to pledge for additional borrowings from third parties. Investments are made with the above criteria in mind while still seeking a fair market rate of return and looking for maturities that fall within the projected overall strategy of the Bank. The possible need to fund future loan growth is also a consideration.</w:t>
      </w:r>
    </w:p>
    <w:p>
      <w:pPr>
        <w:spacing w:after="0" w:line="252" w:lineRule="exact"/>
        <w:rPr>
          <w:sz w:val="20"/>
          <w:szCs w:val="20"/>
          <w:color w:val="auto"/>
        </w:rPr>
      </w:pPr>
    </w:p>
    <w:p>
      <w:pPr>
        <w:jc w:val="both"/>
        <w:spacing w:after="0" w:line="355" w:lineRule="auto"/>
        <w:rPr>
          <w:sz w:val="20"/>
          <w:szCs w:val="20"/>
          <w:color w:val="auto"/>
        </w:rPr>
      </w:pPr>
      <w:r>
        <w:rPr>
          <w:rFonts w:ascii="Arial" w:cs="Arial" w:eastAsia="Arial" w:hAnsi="Arial"/>
          <w:sz w:val="18"/>
          <w:szCs w:val="18"/>
          <w:color w:val="auto"/>
        </w:rPr>
        <w:t>The Bank uses Intrafi’s ICS product which utilizes a nation-wide bank network to provide FDIC insurance coverage to the Bank’s depositors to protect balances over $250 thousand. The Bank is using the product to replace pledging securities for the Bank’s Ohio public customers and commercial sweep customers; thereby increasing liquidity.</w:t>
      </w:r>
    </w:p>
    <w:p>
      <w:pPr>
        <w:spacing w:after="0" w:line="222" w:lineRule="exact"/>
        <w:rPr>
          <w:sz w:val="20"/>
          <w:szCs w:val="20"/>
          <w:color w:val="auto"/>
        </w:rPr>
      </w:pPr>
    </w:p>
    <w:p>
      <w:pPr>
        <w:ind w:right="20"/>
        <w:spacing w:after="0" w:line="302" w:lineRule="auto"/>
        <w:rPr>
          <w:sz w:val="20"/>
          <w:szCs w:val="20"/>
          <w:color w:val="auto"/>
        </w:rPr>
      </w:pPr>
      <w:r>
        <w:rPr>
          <w:rFonts w:ascii="Arial" w:cs="Arial" w:eastAsia="Arial" w:hAnsi="Arial"/>
          <w:sz w:val="20"/>
          <w:szCs w:val="20"/>
          <w:color w:val="auto"/>
        </w:rPr>
        <w:t>All of the Bank’s security portfolio is categorized as available for sale and as such is recorded at fair value. All mortgage-backed securities are government sponsored enterprises.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 / 25</w:t>
      </w:r>
    </w:p>
    <w:p>
      <w:pPr>
        <w:sectPr>
          <w:pgSz w:w="11900" w:h="16838" w:orient="portrait"/>
          <w:cols w:equalWidth="0" w:num="1">
            <w:col w:w="9340"/>
          </w:cols>
          <w:pgMar w:left="1260" w:top="1440" w:right="1306" w:bottom="0" w:gutter="0" w:footer="0" w:header="0"/>
          <w:type w:val="continuous"/>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The Company increased its security portfolio in 2024 for purposes of liquidity, Community Reinvestment Act (CRA), and contingency planning as a means of balance sheet gap management. Security balances as of December 31 are summarized below:</w:t>
      </w:r>
    </w:p>
    <w:p>
      <w:pPr>
        <w:spacing w:after="0" w:line="352"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w w:val="95"/>
              </w:rPr>
              <w:t>(In Thousands)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24"/>
        </w:trPr>
        <w:tc>
          <w:tcPr>
            <w:tcW w:w="2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jc w:val="right"/>
              <w:ind w:right="360"/>
              <w:spacing w:after="0"/>
              <w:rPr>
                <w:sz w:val="20"/>
                <w:szCs w:val="20"/>
                <w:color w:val="auto"/>
              </w:rPr>
            </w:pPr>
            <w:r>
              <w:rPr>
                <w:rFonts w:ascii="Arial" w:cs="Arial" w:eastAsia="Arial" w:hAnsi="Arial"/>
                <w:sz w:val="20"/>
                <w:szCs w:val="20"/>
                <w:color w:val="auto"/>
              </w:rPr>
              <w:t>2025</w:t>
            </w:r>
          </w:p>
        </w:tc>
        <w:tc>
          <w:tcPr>
            <w:tcW w:w="360" w:type="dxa"/>
            <w:vAlign w:val="bottom"/>
          </w:tcPr>
          <w:p>
            <w:pPr>
              <w:spacing w:after="0"/>
              <w:rPr>
                <w:sz w:val="24"/>
                <w:szCs w:val="24"/>
                <w:color w:val="auto"/>
              </w:rPr>
            </w:pPr>
          </w:p>
        </w:tc>
        <w:tc>
          <w:tcPr>
            <w:tcW w:w="1040" w:type="dxa"/>
            <w:vAlign w:val="bottom"/>
          </w:tcPr>
          <w:p>
            <w:pPr>
              <w:jc w:val="right"/>
              <w:ind w:right="400"/>
              <w:spacing w:after="0"/>
              <w:rPr>
                <w:sz w:val="20"/>
                <w:szCs w:val="20"/>
                <w:color w:val="auto"/>
              </w:rPr>
            </w:pPr>
            <w:r>
              <w:rPr>
                <w:rFonts w:ascii="Arial" w:cs="Arial" w:eastAsia="Arial" w:hAnsi="Arial"/>
                <w:sz w:val="20"/>
                <w:szCs w:val="20"/>
                <w:color w:val="auto"/>
              </w:rPr>
              <w:t>2024</w:t>
            </w:r>
          </w:p>
        </w:tc>
        <w:tc>
          <w:tcPr>
            <w:tcW w:w="320" w:type="dxa"/>
            <w:vAlign w:val="bottom"/>
          </w:tcPr>
          <w:p>
            <w:pPr>
              <w:spacing w:after="0"/>
              <w:rPr>
                <w:sz w:val="24"/>
                <w:szCs w:val="24"/>
                <w:color w:val="auto"/>
              </w:rPr>
            </w:pPr>
          </w:p>
        </w:tc>
        <w:tc>
          <w:tcPr>
            <w:tcW w:w="980" w:type="dxa"/>
            <w:vAlign w:val="bottom"/>
          </w:tcPr>
          <w:p>
            <w:pPr>
              <w:jc w:val="right"/>
              <w:ind w:right="360"/>
              <w:spacing w:after="0"/>
              <w:rPr>
                <w:sz w:val="20"/>
                <w:szCs w:val="20"/>
                <w:color w:val="auto"/>
              </w:rPr>
            </w:pPr>
            <w:r>
              <w:rPr>
                <w:rFonts w:ascii="Arial" w:cs="Arial" w:eastAsia="Arial" w:hAnsi="Arial"/>
                <w:sz w:val="20"/>
                <w:szCs w:val="20"/>
                <w:color w:val="auto"/>
              </w:rPr>
              <w:t>2023</w:t>
            </w:r>
          </w:p>
        </w:tc>
      </w:tr>
      <w:tr>
        <w:trPr>
          <w:trHeight w:val="51"/>
        </w:trPr>
        <w:tc>
          <w:tcPr>
            <w:tcW w:w="2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94"/>
        </w:trPr>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U.S. Treasury</w:t>
            </w:r>
          </w:p>
        </w:tc>
        <w:tc>
          <w:tcPr>
            <w:tcW w:w="9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89,853</w:t>
            </w:r>
          </w:p>
        </w:tc>
        <w:tc>
          <w:tcPr>
            <w:tcW w:w="3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105,999</w:t>
            </w:r>
          </w:p>
        </w:tc>
        <w:tc>
          <w:tcPr>
            <w:tcW w:w="3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80,270</w:t>
            </w:r>
          </w:p>
        </w:tc>
      </w:tr>
      <w:tr>
        <w:trPr>
          <w:trHeight w:val="274"/>
        </w:trPr>
        <w:tc>
          <w:tcPr>
            <w:tcW w:w="2920" w:type="dxa"/>
            <w:vAlign w:val="bottom"/>
          </w:tcPr>
          <w:p>
            <w:pPr>
              <w:spacing w:after="0"/>
              <w:rPr>
                <w:sz w:val="20"/>
                <w:szCs w:val="20"/>
                <w:color w:val="auto"/>
              </w:rPr>
            </w:pPr>
            <w:r>
              <w:rPr>
                <w:rFonts w:ascii="Arial" w:cs="Arial" w:eastAsia="Arial" w:hAnsi="Arial"/>
                <w:sz w:val="20"/>
                <w:szCs w:val="20"/>
                <w:color w:val="auto"/>
              </w:rPr>
              <w:t>U.S. Government agencies</w:t>
            </w:r>
          </w:p>
        </w:tc>
        <w:tc>
          <w:tcPr>
            <w:tcW w:w="9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131,961</w:t>
            </w:r>
          </w:p>
        </w:tc>
        <w:tc>
          <w:tcPr>
            <w:tcW w:w="36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20"/>
                <w:szCs w:val="20"/>
                <w:color w:val="auto"/>
              </w:rPr>
              <w:t>135,166</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128,222</w:t>
            </w:r>
          </w:p>
        </w:tc>
      </w:tr>
      <w:tr>
        <w:trPr>
          <w:trHeight w:val="41"/>
        </w:trPr>
        <w:tc>
          <w:tcPr>
            <w:tcW w:w="2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Mortgage-backed securities</w:t>
            </w:r>
          </w:p>
        </w:tc>
        <w:tc>
          <w:tcPr>
            <w:tcW w:w="9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143,382</w:t>
            </w:r>
          </w:p>
        </w:tc>
        <w:tc>
          <w:tcPr>
            <w:tcW w:w="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120,631</w:t>
            </w: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82,132</w:t>
            </w:r>
          </w:p>
        </w:tc>
      </w:tr>
      <w:tr>
        <w:trPr>
          <w:trHeight w:val="274"/>
        </w:trPr>
        <w:tc>
          <w:tcPr>
            <w:tcW w:w="2920" w:type="dxa"/>
            <w:vAlign w:val="bottom"/>
          </w:tcPr>
          <w:p>
            <w:pPr>
              <w:spacing w:after="0"/>
              <w:rPr>
                <w:sz w:val="20"/>
                <w:szCs w:val="20"/>
                <w:color w:val="auto"/>
              </w:rPr>
            </w:pPr>
            <w:r>
              <w:rPr>
                <w:rFonts w:ascii="Arial" w:cs="Arial" w:eastAsia="Arial" w:hAnsi="Arial"/>
                <w:sz w:val="20"/>
                <w:szCs w:val="20"/>
                <w:color w:val="auto"/>
              </w:rPr>
              <w:t>State and local governments</w:t>
            </w:r>
          </w:p>
        </w:tc>
        <w:tc>
          <w:tcPr>
            <w:tcW w:w="9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56,876</w:t>
            </w:r>
          </w:p>
        </w:tc>
        <w:tc>
          <w:tcPr>
            <w:tcW w:w="36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20"/>
                <w:szCs w:val="20"/>
                <w:color w:val="auto"/>
              </w:rPr>
              <w:t>64,760</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67,854</w:t>
            </w:r>
          </w:p>
        </w:tc>
      </w:tr>
      <w:tr>
        <w:trPr>
          <w:trHeight w:val="51"/>
        </w:trPr>
        <w:tc>
          <w:tcPr>
            <w:tcW w:w="2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4"/>
        </w:trPr>
        <w:tc>
          <w:tcPr>
            <w:tcW w:w="2920" w:type="dxa"/>
            <w:vAlign w:val="bottom"/>
            <w:shd w:val="clear" w:color="auto" w:fill="CFF0FC"/>
          </w:tcPr>
          <w:p>
            <w:pPr>
              <w:spacing w:after="0"/>
              <w:rPr>
                <w:sz w:val="23"/>
                <w:szCs w:val="23"/>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422,072</w:t>
            </w:r>
          </w:p>
        </w:tc>
        <w:tc>
          <w:tcPr>
            <w:tcW w:w="3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426,556</w:t>
            </w:r>
          </w:p>
        </w:tc>
        <w:tc>
          <w:tcPr>
            <w:tcW w:w="32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358,478</w:t>
            </w:r>
          </w:p>
        </w:tc>
      </w:tr>
      <w:tr>
        <w:trPr>
          <w:trHeight w:val="86"/>
        </w:trPr>
        <w:tc>
          <w:tcPr>
            <w:tcW w:w="29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-1244600</wp:posOffset>
            </wp:positionV>
            <wp:extent cx="243332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6">
                      <a:extLst>
                        <a:ext uri="{28A0092B-C50C-407E-A947-70E740481C1C}"/>
                      </a:extLst>
                    </a:blip>
                    <a:srcRect/>
                    <a:stretch>
                      <a:fillRect/>
                    </a:stretch>
                  </pic:blipFill>
                  <pic:spPr bwMode="auto">
                    <a:xfrm>
                      <a:off x="0" y="0"/>
                      <a:ext cx="2433320" cy="6350"/>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-1038860</wp:posOffset>
            </wp:positionV>
            <wp:extent cx="243332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7">
                      <a:extLst>
                        <a:ext uri="{28A0092B-C50C-407E-A947-70E740481C1C}"/>
                      </a:extLst>
                    </a:blip>
                    <a:srcRect/>
                    <a:stretch>
                      <a:fillRect/>
                    </a:stretch>
                  </pic:blipFill>
                  <pic:spPr bwMode="auto">
                    <a:xfrm>
                      <a:off x="0" y="0"/>
                      <a:ext cx="2433320" cy="6350"/>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-233680</wp:posOffset>
            </wp:positionV>
            <wp:extent cx="243332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8">
                      <a:extLst>
                        <a:ext uri="{28A0092B-C50C-407E-A947-70E740481C1C}"/>
                      </a:extLst>
                    </a:blip>
                    <a:srcRect/>
                    <a:stretch>
                      <a:fillRect/>
                    </a:stretch>
                  </pic:blipFill>
                  <pic:spPr bwMode="auto">
                    <a:xfrm>
                      <a:off x="0" y="0"/>
                      <a:ext cx="2433320" cy="6350"/>
                    </a:xfrm>
                    <a:prstGeom prst="rect">
                      <a:avLst/>
                    </a:prstGeom>
                    <a:noFill/>
                  </pic:spPr>
                </pic:pic>
              </a:graphicData>
            </a:graphic>
          </wp:anchor>
        </w:drawing>
        <w:drawing>
          <wp:anchor simplePos="0" relativeHeight="251657728" behindDoc="1" locked="0" layoutInCell="0" allowOverlap="1">
            <wp:simplePos x="0" y="0"/>
            <wp:positionH relativeFrom="column">
              <wp:posOffset>2886075</wp:posOffset>
            </wp:positionH>
            <wp:positionV relativeFrom="paragraph">
              <wp:posOffset>-27940</wp:posOffset>
            </wp:positionV>
            <wp:extent cx="2480945" cy="285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9">
                      <a:extLst>
                        <a:ext uri="{28A0092B-C50C-407E-A947-70E740481C1C}"/>
                      </a:extLst>
                    </a:blip>
                    <a:srcRect/>
                    <a:stretch>
                      <a:fillRect/>
                    </a:stretch>
                  </pic:blipFill>
                  <pic:spPr bwMode="auto">
                    <a:xfrm>
                      <a:off x="0" y="0"/>
                      <a:ext cx="2480945" cy="28575"/>
                    </a:xfrm>
                    <a:prstGeom prst="rect">
                      <a:avLst/>
                    </a:prstGeom>
                    <a:noFill/>
                  </pic:spPr>
                </pic:pic>
              </a:graphicData>
            </a:graphic>
          </wp:anchor>
        </w:drawing>
      </w:r>
    </w:p>
    <w:p>
      <w:pPr>
        <w:spacing w:after="0" w:line="319"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The following table sets forth the maturities of investment securities as of December 31, 2025 and the weighted average yields of such securities calculated on the basis of cost and effective yields weighted for the scheduled maturity of each security. Tax-equivalent adjustments, using a twenty-one percent rate, have been made in yields on obligations of state and political subdivisions. Stocks of domestic corporations have not been included. Maturities of mortgage-backed securities are based on the average life at the prepayment speed rather than the stated maturity date of the security. Due to prepayments, actual maturities may be different.</w:t>
      </w:r>
    </w:p>
    <w:p>
      <w:pPr>
        <w:spacing w:after="0" w:line="368"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300" w:type="dxa"/>
            <w:vAlign w:val="bottom"/>
            <w:gridSpan w:val="2"/>
          </w:tcPr>
          <w:p>
            <w:pPr>
              <w:jc w:val="right"/>
              <w:ind w:right="680"/>
              <w:spacing w:after="0"/>
              <w:rPr>
                <w:sz w:val="20"/>
                <w:szCs w:val="20"/>
                <w:color w:val="auto"/>
              </w:rPr>
            </w:pPr>
            <w:r>
              <w:rPr>
                <w:rFonts w:ascii="Arial" w:cs="Arial" w:eastAsia="Arial" w:hAnsi="Arial"/>
                <w:sz w:val="20"/>
                <w:szCs w:val="20"/>
                <w:color w:val="auto"/>
              </w:rPr>
              <w:t>Maturities</w:t>
            </w:r>
          </w:p>
        </w:tc>
        <w:tc>
          <w:tcPr>
            <w:tcW w:w="1040" w:type="dxa"/>
            <w:vAlign w:val="bottom"/>
          </w:tcPr>
          <w:p>
            <w:pPr>
              <w:spacing w:after="0"/>
              <w:rPr>
                <w:sz w:val="19"/>
                <w:szCs w:val="19"/>
                <w:color w:val="auto"/>
              </w:rPr>
            </w:pPr>
          </w:p>
        </w:tc>
      </w:tr>
      <w:tr>
        <w:trPr>
          <w:trHeight w:val="314"/>
        </w:trPr>
        <w:tc>
          <w:tcPr>
            <w:tcW w:w="3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00" w:type="dxa"/>
            <w:vAlign w:val="bottom"/>
            <w:gridSpan w:val="2"/>
          </w:tcPr>
          <w:p>
            <w:pPr>
              <w:jc w:val="right"/>
              <w:ind w:right="100"/>
              <w:spacing w:after="0"/>
              <w:rPr>
                <w:sz w:val="20"/>
                <w:szCs w:val="20"/>
                <w:color w:val="auto"/>
              </w:rPr>
            </w:pPr>
            <w:r>
              <w:rPr>
                <w:rFonts w:ascii="Arial" w:cs="Arial" w:eastAsia="Arial" w:hAnsi="Arial"/>
                <w:sz w:val="20"/>
                <w:szCs w:val="20"/>
                <w:color w:val="auto"/>
                <w:w w:val="95"/>
              </w:rPr>
              <w:t>(Amounts in Thousands)</w:t>
            </w:r>
          </w:p>
        </w:tc>
        <w:tc>
          <w:tcPr>
            <w:tcW w:w="1040" w:type="dxa"/>
            <w:vAlign w:val="bottom"/>
          </w:tcPr>
          <w:p>
            <w:pPr>
              <w:spacing w:after="0"/>
              <w:rPr>
                <w:sz w:val="24"/>
                <w:szCs w:val="24"/>
                <w:color w:val="auto"/>
              </w:rPr>
            </w:pPr>
          </w:p>
        </w:tc>
      </w:tr>
      <w:tr>
        <w:trPr>
          <w:trHeight w:val="324"/>
        </w:trPr>
        <w:tc>
          <w:tcPr>
            <w:tcW w:w="3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40" w:type="dxa"/>
            <w:vAlign w:val="bottom"/>
            <w:gridSpan w:val="2"/>
          </w:tcPr>
          <w:p>
            <w:pPr>
              <w:jc w:val="right"/>
              <w:ind w:right="420"/>
              <w:spacing w:after="0"/>
              <w:rPr>
                <w:sz w:val="20"/>
                <w:szCs w:val="20"/>
                <w:color w:val="auto"/>
              </w:rPr>
            </w:pPr>
            <w:r>
              <w:rPr>
                <w:rFonts w:ascii="Arial" w:cs="Arial" w:eastAsia="Arial" w:hAnsi="Arial"/>
                <w:sz w:val="20"/>
                <w:szCs w:val="20"/>
                <w:color w:val="auto"/>
              </w:rPr>
              <w:t>After One Year</w:t>
            </w:r>
          </w:p>
        </w:tc>
      </w:tr>
      <w:tr>
        <w:trPr>
          <w:trHeight w:val="314"/>
        </w:trPr>
        <w:tc>
          <w:tcPr>
            <w:tcW w:w="3540" w:type="dxa"/>
            <w:vAlign w:val="bottom"/>
          </w:tcPr>
          <w:p>
            <w:pPr>
              <w:spacing w:after="0"/>
              <w:rPr>
                <w:sz w:val="24"/>
                <w:szCs w:val="24"/>
                <w:color w:val="auto"/>
              </w:rPr>
            </w:pPr>
          </w:p>
        </w:tc>
        <w:tc>
          <w:tcPr>
            <w:tcW w:w="2780" w:type="dxa"/>
            <w:vAlign w:val="bottom"/>
            <w:gridSpan w:val="2"/>
          </w:tcPr>
          <w:p>
            <w:pPr>
              <w:jc w:val="right"/>
              <w:ind w:right="420"/>
              <w:spacing w:after="0"/>
              <w:rPr>
                <w:sz w:val="20"/>
                <w:szCs w:val="20"/>
                <w:color w:val="auto"/>
              </w:rPr>
            </w:pPr>
            <w:r>
              <w:rPr>
                <w:rFonts w:ascii="Arial" w:cs="Arial" w:eastAsia="Arial" w:hAnsi="Arial"/>
                <w:sz w:val="20"/>
                <w:szCs w:val="20"/>
                <w:color w:val="auto"/>
              </w:rPr>
              <w:t>Within One Year</w:t>
            </w:r>
          </w:p>
        </w:tc>
        <w:tc>
          <w:tcPr>
            <w:tcW w:w="2140" w:type="dxa"/>
            <w:vAlign w:val="bottom"/>
            <w:gridSpan w:val="2"/>
          </w:tcPr>
          <w:p>
            <w:pPr>
              <w:jc w:val="right"/>
              <w:ind w:right="300"/>
              <w:spacing w:after="0"/>
              <w:rPr>
                <w:sz w:val="20"/>
                <w:szCs w:val="20"/>
                <w:color w:val="auto"/>
              </w:rPr>
            </w:pPr>
            <w:r>
              <w:rPr>
                <w:rFonts w:ascii="Arial" w:cs="Arial" w:eastAsia="Arial" w:hAnsi="Arial"/>
                <w:sz w:val="20"/>
                <w:szCs w:val="20"/>
                <w:color w:val="auto"/>
              </w:rPr>
              <w:t>Within Five Years</w:t>
            </w:r>
          </w:p>
        </w:tc>
      </w:tr>
      <w:tr>
        <w:trPr>
          <w:trHeight w:val="324"/>
        </w:trPr>
        <w:tc>
          <w:tcPr>
            <w:tcW w:w="3540" w:type="dxa"/>
            <w:vAlign w:val="bottom"/>
          </w:tcPr>
          <w:p>
            <w:pPr>
              <w:spacing w:after="0"/>
              <w:rPr>
                <w:sz w:val="24"/>
                <w:szCs w:val="24"/>
                <w:color w:val="auto"/>
              </w:rPr>
            </w:pPr>
          </w:p>
        </w:tc>
        <w:tc>
          <w:tcPr>
            <w:tcW w:w="1580" w:type="dxa"/>
            <w:vAlign w:val="bottom"/>
          </w:tcPr>
          <w:p>
            <w:pPr>
              <w:jc w:val="right"/>
              <w:ind w:right="100"/>
              <w:spacing w:after="0"/>
              <w:rPr>
                <w:sz w:val="20"/>
                <w:szCs w:val="20"/>
                <w:color w:val="auto"/>
              </w:rPr>
            </w:pPr>
            <w:r>
              <w:rPr>
                <w:rFonts w:ascii="Arial" w:cs="Arial" w:eastAsia="Arial" w:hAnsi="Arial"/>
                <w:sz w:val="20"/>
                <w:szCs w:val="20"/>
                <w:color w:val="auto"/>
              </w:rPr>
              <w:t>Amount</w:t>
            </w:r>
          </w:p>
        </w:tc>
        <w:tc>
          <w:tcPr>
            <w:tcW w:w="1200" w:type="dxa"/>
            <w:vAlign w:val="bottom"/>
          </w:tcPr>
          <w:p>
            <w:pPr>
              <w:jc w:val="right"/>
              <w:ind w:right="360"/>
              <w:spacing w:after="0"/>
              <w:rPr>
                <w:sz w:val="20"/>
                <w:szCs w:val="20"/>
                <w:color w:val="auto"/>
              </w:rPr>
            </w:pPr>
            <w:r>
              <w:rPr>
                <w:rFonts w:ascii="Arial" w:cs="Arial" w:eastAsia="Arial" w:hAnsi="Arial"/>
                <w:sz w:val="20"/>
                <w:szCs w:val="20"/>
                <w:color w:val="auto"/>
              </w:rPr>
              <w:t>Yield</w:t>
            </w:r>
          </w:p>
        </w:tc>
        <w:tc>
          <w:tcPr>
            <w:tcW w:w="1100" w:type="dxa"/>
            <w:vAlign w:val="bottom"/>
          </w:tcPr>
          <w:p>
            <w:pPr>
              <w:jc w:val="right"/>
              <w:ind w:right="200"/>
              <w:spacing w:after="0"/>
              <w:rPr>
                <w:sz w:val="20"/>
                <w:szCs w:val="20"/>
                <w:color w:val="auto"/>
              </w:rPr>
            </w:pPr>
            <w:r>
              <w:rPr>
                <w:rFonts w:ascii="Arial" w:cs="Arial" w:eastAsia="Arial" w:hAnsi="Arial"/>
                <w:sz w:val="20"/>
                <w:szCs w:val="20"/>
                <w:color w:val="auto"/>
              </w:rPr>
              <w:t>Amount</w:t>
            </w:r>
          </w:p>
        </w:tc>
        <w:tc>
          <w:tcPr>
            <w:tcW w:w="1040" w:type="dxa"/>
            <w:vAlign w:val="bottom"/>
          </w:tcPr>
          <w:p>
            <w:pPr>
              <w:jc w:val="right"/>
              <w:ind w:right="300"/>
              <w:spacing w:after="0"/>
              <w:rPr>
                <w:sz w:val="20"/>
                <w:szCs w:val="20"/>
                <w:color w:val="auto"/>
              </w:rPr>
            </w:pPr>
            <w:r>
              <w:rPr>
                <w:rFonts w:ascii="Arial" w:cs="Arial" w:eastAsia="Arial" w:hAnsi="Arial"/>
                <w:sz w:val="20"/>
                <w:szCs w:val="20"/>
                <w:color w:val="auto"/>
              </w:rPr>
              <w:t>Yield</w:t>
            </w:r>
          </w:p>
        </w:tc>
      </w:tr>
      <w:tr>
        <w:trPr>
          <w:trHeight w:val="51"/>
        </w:trPr>
        <w:tc>
          <w:tcPr>
            <w:tcW w:w="35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94"/>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U.S. Treasury</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   7,296</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0.70%</w:t>
            </w:r>
          </w:p>
        </w:tc>
        <w:tc>
          <w:tcPr>
            <w:tcW w:w="11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  80,533</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2.24%</w:t>
            </w:r>
          </w:p>
        </w:tc>
      </w:tr>
      <w:tr>
        <w:trPr>
          <w:trHeight w:val="274"/>
        </w:trPr>
        <w:tc>
          <w:tcPr>
            <w:tcW w:w="3540" w:type="dxa"/>
            <w:vAlign w:val="bottom"/>
          </w:tcPr>
          <w:p>
            <w:pPr>
              <w:spacing w:after="0"/>
              <w:rPr>
                <w:sz w:val="20"/>
                <w:szCs w:val="20"/>
                <w:color w:val="auto"/>
              </w:rPr>
            </w:pPr>
            <w:r>
              <w:rPr>
                <w:rFonts w:ascii="Arial" w:cs="Arial" w:eastAsia="Arial" w:hAnsi="Arial"/>
                <w:sz w:val="20"/>
                <w:szCs w:val="20"/>
                <w:color w:val="auto"/>
              </w:rPr>
              <w:t>U.S. Government agencies</w:t>
            </w:r>
          </w:p>
        </w:tc>
        <w:tc>
          <w:tcPr>
            <w:tcW w:w="1580" w:type="dxa"/>
            <w:vAlign w:val="bottom"/>
          </w:tcPr>
          <w:p>
            <w:pPr>
              <w:jc w:val="right"/>
              <w:spacing w:after="0"/>
              <w:rPr>
                <w:sz w:val="20"/>
                <w:szCs w:val="20"/>
                <w:color w:val="auto"/>
              </w:rPr>
            </w:pPr>
            <w:r>
              <w:rPr>
                <w:rFonts w:ascii="Arial" w:cs="Arial" w:eastAsia="Arial" w:hAnsi="Arial"/>
                <w:sz w:val="20"/>
                <w:szCs w:val="20"/>
                <w:color w:val="auto"/>
              </w:rPr>
              <w:t>54,018</w:t>
            </w:r>
          </w:p>
        </w:tc>
        <w:tc>
          <w:tcPr>
            <w:tcW w:w="1200" w:type="dxa"/>
            <w:vAlign w:val="bottom"/>
          </w:tcPr>
          <w:p>
            <w:pPr>
              <w:jc w:val="right"/>
              <w:spacing w:after="0"/>
              <w:rPr>
                <w:sz w:val="20"/>
                <w:szCs w:val="20"/>
                <w:color w:val="auto"/>
              </w:rPr>
            </w:pPr>
            <w:r>
              <w:rPr>
                <w:rFonts w:ascii="Arial" w:cs="Arial" w:eastAsia="Arial" w:hAnsi="Arial"/>
                <w:sz w:val="20"/>
                <w:szCs w:val="20"/>
                <w:color w:val="auto"/>
              </w:rPr>
              <w:t>1.32%</w:t>
            </w:r>
          </w:p>
        </w:tc>
        <w:tc>
          <w:tcPr>
            <w:tcW w:w="1100" w:type="dxa"/>
            <w:vAlign w:val="bottom"/>
          </w:tcPr>
          <w:p>
            <w:pPr>
              <w:jc w:val="right"/>
              <w:ind w:right="100"/>
              <w:spacing w:after="0"/>
              <w:rPr>
                <w:sz w:val="20"/>
                <w:szCs w:val="20"/>
                <w:color w:val="auto"/>
              </w:rPr>
            </w:pPr>
            <w:r>
              <w:rPr>
                <w:rFonts w:ascii="Arial" w:cs="Arial" w:eastAsia="Arial" w:hAnsi="Arial"/>
                <w:sz w:val="20"/>
                <w:szCs w:val="20"/>
                <w:color w:val="auto"/>
              </w:rPr>
              <w:t>77,943</w:t>
            </w:r>
          </w:p>
        </w:tc>
        <w:tc>
          <w:tcPr>
            <w:tcW w:w="104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41"/>
        </w:trPr>
        <w:tc>
          <w:tcPr>
            <w:tcW w:w="35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4"/>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Mortgage-backed securities</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1,508</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0.62%</w:t>
            </w:r>
          </w:p>
        </w:tc>
        <w:tc>
          <w:tcPr>
            <w:tcW w:w="11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50,751</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3.50%</w:t>
            </w:r>
          </w:p>
        </w:tc>
      </w:tr>
      <w:tr>
        <w:trPr>
          <w:trHeight w:val="274"/>
        </w:trPr>
        <w:tc>
          <w:tcPr>
            <w:tcW w:w="3540" w:type="dxa"/>
            <w:vAlign w:val="bottom"/>
          </w:tcPr>
          <w:p>
            <w:pPr>
              <w:spacing w:after="0"/>
              <w:rPr>
                <w:sz w:val="20"/>
                <w:szCs w:val="20"/>
                <w:color w:val="auto"/>
              </w:rPr>
            </w:pPr>
            <w:r>
              <w:rPr>
                <w:rFonts w:ascii="Arial" w:cs="Arial" w:eastAsia="Arial" w:hAnsi="Arial"/>
                <w:sz w:val="20"/>
                <w:szCs w:val="20"/>
                <w:color w:val="auto"/>
              </w:rPr>
              <w:t>State and local governments</w:t>
            </w:r>
          </w:p>
        </w:tc>
        <w:tc>
          <w:tcPr>
            <w:tcW w:w="1580" w:type="dxa"/>
            <w:vAlign w:val="bottom"/>
          </w:tcPr>
          <w:p>
            <w:pPr>
              <w:jc w:val="right"/>
              <w:spacing w:after="0"/>
              <w:rPr>
                <w:sz w:val="20"/>
                <w:szCs w:val="20"/>
                <w:color w:val="auto"/>
              </w:rPr>
            </w:pPr>
            <w:r>
              <w:rPr>
                <w:rFonts w:ascii="Arial" w:cs="Arial" w:eastAsia="Arial" w:hAnsi="Arial"/>
                <w:sz w:val="20"/>
                <w:szCs w:val="20"/>
                <w:color w:val="auto"/>
              </w:rPr>
              <w:t>2,380</w:t>
            </w:r>
          </w:p>
        </w:tc>
        <w:tc>
          <w:tcPr>
            <w:tcW w:w="1200" w:type="dxa"/>
            <w:vAlign w:val="bottom"/>
          </w:tcPr>
          <w:p>
            <w:pPr>
              <w:jc w:val="right"/>
              <w:spacing w:after="0"/>
              <w:rPr>
                <w:sz w:val="20"/>
                <w:szCs w:val="20"/>
                <w:color w:val="auto"/>
              </w:rPr>
            </w:pPr>
            <w:r>
              <w:rPr>
                <w:rFonts w:ascii="Arial" w:cs="Arial" w:eastAsia="Arial" w:hAnsi="Arial"/>
                <w:sz w:val="20"/>
                <w:szCs w:val="20"/>
                <w:color w:val="auto"/>
              </w:rPr>
              <w:t>2.60%</w:t>
            </w:r>
          </w:p>
        </w:tc>
        <w:tc>
          <w:tcPr>
            <w:tcW w:w="1100" w:type="dxa"/>
            <w:vAlign w:val="bottom"/>
          </w:tcPr>
          <w:p>
            <w:pPr>
              <w:jc w:val="right"/>
              <w:ind w:right="100"/>
              <w:spacing w:after="0"/>
              <w:rPr>
                <w:sz w:val="20"/>
                <w:szCs w:val="20"/>
                <w:color w:val="auto"/>
              </w:rPr>
            </w:pPr>
            <w:r>
              <w:rPr>
                <w:rFonts w:ascii="Arial" w:cs="Arial" w:eastAsia="Arial" w:hAnsi="Arial"/>
                <w:sz w:val="20"/>
                <w:szCs w:val="20"/>
                <w:color w:val="auto"/>
              </w:rPr>
              <w:t>4,080</w:t>
            </w:r>
          </w:p>
        </w:tc>
        <w:tc>
          <w:tcPr>
            <w:tcW w:w="1040" w:type="dxa"/>
            <w:vAlign w:val="bottom"/>
          </w:tcPr>
          <w:p>
            <w:pPr>
              <w:jc w:val="right"/>
              <w:spacing w:after="0"/>
              <w:rPr>
                <w:sz w:val="20"/>
                <w:szCs w:val="20"/>
                <w:color w:val="auto"/>
              </w:rPr>
            </w:pPr>
            <w:r>
              <w:rPr>
                <w:rFonts w:ascii="Arial" w:cs="Arial" w:eastAsia="Arial" w:hAnsi="Arial"/>
                <w:sz w:val="20"/>
                <w:szCs w:val="20"/>
                <w:color w:val="auto"/>
              </w:rPr>
              <w:t>2.09%</w:t>
            </w:r>
          </w:p>
        </w:tc>
      </w:tr>
      <w:tr>
        <w:trPr>
          <w:trHeight w:val="41"/>
        </w:trPr>
        <w:tc>
          <w:tcPr>
            <w:tcW w:w="35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4"/>
        </w:trPr>
        <w:tc>
          <w:tcPr>
            <w:tcW w:w="3540" w:type="dxa"/>
            <w:vAlign w:val="bottom"/>
            <w:shd w:val="clear" w:color="auto" w:fill="CFF0FC"/>
          </w:tcPr>
          <w:p>
            <w:pPr>
              <w:spacing w:after="0"/>
              <w:rPr>
                <w:sz w:val="20"/>
                <w:szCs w:val="20"/>
                <w:color w:val="auto"/>
              </w:rPr>
            </w:pPr>
            <w:r>
              <w:rPr>
                <w:rFonts w:ascii="Arial" w:cs="Arial" w:eastAsia="Arial" w:hAnsi="Arial"/>
                <w:sz w:val="20"/>
                <w:szCs w:val="20"/>
                <w:color w:val="auto"/>
              </w:rPr>
              <w:t>Taxable state and local governments</w:t>
            </w: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3,635</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3.02%</w:t>
            </w:r>
          </w:p>
        </w:tc>
        <w:tc>
          <w:tcPr>
            <w:tcW w:w="110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38,567</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2.14%</w:t>
            </w:r>
          </w:p>
        </w:tc>
      </w:tr>
      <w:tr>
        <w:trPr>
          <w:trHeight w:val="41"/>
        </w:trPr>
        <w:tc>
          <w:tcPr>
            <w:tcW w:w="3540" w:type="dxa"/>
            <w:vAlign w:val="bottom"/>
            <w:shd w:val="clear" w:color="auto" w:fill="CFF0FC"/>
          </w:tcPr>
          <w:p>
            <w:pPr>
              <w:spacing w:after="0"/>
              <w:rPr>
                <w:sz w:val="3"/>
                <w:szCs w:val="3"/>
                <w:color w:val="auto"/>
              </w:rPr>
            </w:pPr>
          </w:p>
        </w:tc>
        <w:tc>
          <w:tcPr>
            <w:tcW w:w="158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-1615440</wp:posOffset>
            </wp:positionV>
            <wp:extent cx="260858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0">
                      <a:extLst>
                        <a:ext uri="{28A0092B-C50C-407E-A947-70E740481C1C}"/>
                      </a:extLst>
                    </a:blip>
                    <a:srcRect/>
                    <a:stretch>
                      <a:fillRect/>
                    </a:stretch>
                  </pic:blipFill>
                  <pic:spPr bwMode="auto">
                    <a:xfrm>
                      <a:off x="0" y="0"/>
                      <a:ext cx="2608580" cy="635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-1209675</wp:posOffset>
            </wp:positionV>
            <wp:extent cx="260858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1">
                      <a:extLst>
                        <a:ext uri="{28A0092B-C50C-407E-A947-70E740481C1C}"/>
                      </a:extLst>
                    </a:blip>
                    <a:srcRect/>
                    <a:stretch>
                      <a:fillRect/>
                    </a:stretch>
                  </pic:blipFill>
                  <pic:spPr bwMode="auto">
                    <a:xfrm>
                      <a:off x="0" y="0"/>
                      <a:ext cx="2608580" cy="635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-1003935</wp:posOffset>
            </wp:positionV>
            <wp:extent cx="260858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2">
                      <a:extLst>
                        <a:ext uri="{28A0092B-C50C-407E-A947-70E740481C1C}"/>
                      </a:extLst>
                    </a:blip>
                    <a:srcRect/>
                    <a:stretch>
                      <a:fillRect/>
                    </a:stretch>
                  </pic:blipFill>
                  <pic:spPr bwMode="auto">
                    <a:xfrm>
                      <a:off x="0" y="0"/>
                      <a:ext cx="26085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2780" w:type="dxa"/>
            <w:vAlign w:val="bottom"/>
            <w:gridSpan w:val="2"/>
          </w:tcPr>
          <w:p>
            <w:pPr>
              <w:jc w:val="right"/>
              <w:ind w:right="420"/>
              <w:spacing w:after="0"/>
              <w:rPr>
                <w:sz w:val="20"/>
                <w:szCs w:val="20"/>
                <w:color w:val="auto"/>
              </w:rPr>
            </w:pPr>
            <w:r>
              <w:rPr>
                <w:rFonts w:ascii="Arial" w:cs="Arial" w:eastAsia="Arial" w:hAnsi="Arial"/>
                <w:sz w:val="20"/>
                <w:szCs w:val="20"/>
                <w:color w:val="auto"/>
              </w:rPr>
              <w:t>After Five Years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14"/>
        </w:trPr>
        <w:tc>
          <w:tcPr>
            <w:tcW w:w="3540" w:type="dxa"/>
            <w:vAlign w:val="bottom"/>
          </w:tcPr>
          <w:p>
            <w:pPr>
              <w:spacing w:after="0"/>
              <w:rPr>
                <w:sz w:val="24"/>
                <w:szCs w:val="24"/>
                <w:color w:val="auto"/>
              </w:rPr>
            </w:pPr>
          </w:p>
        </w:tc>
        <w:tc>
          <w:tcPr>
            <w:tcW w:w="2780" w:type="dxa"/>
            <w:vAlign w:val="bottom"/>
            <w:gridSpan w:val="2"/>
          </w:tcPr>
          <w:p>
            <w:pPr>
              <w:jc w:val="right"/>
              <w:ind w:right="380"/>
              <w:spacing w:after="0"/>
              <w:rPr>
                <w:sz w:val="20"/>
                <w:szCs w:val="20"/>
                <w:color w:val="auto"/>
              </w:rPr>
            </w:pPr>
            <w:r>
              <w:rPr>
                <w:rFonts w:ascii="Arial" w:cs="Arial" w:eastAsia="Arial" w:hAnsi="Arial"/>
                <w:sz w:val="20"/>
                <w:szCs w:val="20"/>
                <w:color w:val="auto"/>
              </w:rPr>
              <w:t>Within Ten Years</w:t>
            </w:r>
          </w:p>
        </w:tc>
        <w:tc>
          <w:tcPr>
            <w:tcW w:w="160" w:type="dxa"/>
            <w:vAlign w:val="bottom"/>
          </w:tcPr>
          <w:p>
            <w:pPr>
              <w:spacing w:after="0"/>
              <w:rPr>
                <w:sz w:val="24"/>
                <w:szCs w:val="24"/>
                <w:color w:val="auto"/>
              </w:rPr>
            </w:pPr>
          </w:p>
        </w:tc>
        <w:tc>
          <w:tcPr>
            <w:tcW w:w="1980" w:type="dxa"/>
            <w:vAlign w:val="bottom"/>
            <w:gridSpan w:val="2"/>
          </w:tcPr>
          <w:p>
            <w:pPr>
              <w:jc w:val="right"/>
              <w:ind w:right="400"/>
              <w:spacing w:after="0"/>
              <w:rPr>
                <w:sz w:val="20"/>
                <w:szCs w:val="20"/>
                <w:color w:val="auto"/>
              </w:rPr>
            </w:pPr>
            <w:r>
              <w:rPr>
                <w:rFonts w:ascii="Arial" w:cs="Arial" w:eastAsia="Arial" w:hAnsi="Arial"/>
                <w:sz w:val="20"/>
                <w:szCs w:val="20"/>
                <w:color w:val="auto"/>
              </w:rPr>
              <w:t>After Ten Years</w:t>
            </w:r>
          </w:p>
        </w:tc>
      </w:tr>
      <w:tr>
        <w:trPr>
          <w:trHeight w:val="324"/>
        </w:trPr>
        <w:tc>
          <w:tcPr>
            <w:tcW w:w="3540" w:type="dxa"/>
            <w:vAlign w:val="bottom"/>
          </w:tcPr>
          <w:p>
            <w:pPr>
              <w:spacing w:after="0"/>
              <w:rPr>
                <w:sz w:val="24"/>
                <w:szCs w:val="24"/>
                <w:color w:val="auto"/>
              </w:rPr>
            </w:pPr>
          </w:p>
        </w:tc>
        <w:tc>
          <w:tcPr>
            <w:tcW w:w="1680" w:type="dxa"/>
            <w:vAlign w:val="bottom"/>
          </w:tcPr>
          <w:p>
            <w:pPr>
              <w:jc w:val="right"/>
              <w:ind w:right="200"/>
              <w:spacing w:after="0"/>
              <w:rPr>
                <w:sz w:val="20"/>
                <w:szCs w:val="20"/>
                <w:color w:val="auto"/>
              </w:rPr>
            </w:pPr>
            <w:r>
              <w:rPr>
                <w:rFonts w:ascii="Arial" w:cs="Arial" w:eastAsia="Arial" w:hAnsi="Arial"/>
                <w:sz w:val="20"/>
                <w:szCs w:val="20"/>
                <w:color w:val="auto"/>
              </w:rPr>
              <w:t>Amount</w:t>
            </w:r>
          </w:p>
        </w:tc>
        <w:tc>
          <w:tcPr>
            <w:tcW w:w="1100" w:type="dxa"/>
            <w:vAlign w:val="bottom"/>
          </w:tcPr>
          <w:p>
            <w:pPr>
              <w:jc w:val="right"/>
              <w:ind w:right="360"/>
              <w:spacing w:after="0"/>
              <w:rPr>
                <w:sz w:val="20"/>
                <w:szCs w:val="20"/>
                <w:color w:val="auto"/>
              </w:rPr>
            </w:pPr>
            <w:r>
              <w:rPr>
                <w:rFonts w:ascii="Arial" w:cs="Arial" w:eastAsia="Arial" w:hAnsi="Arial"/>
                <w:sz w:val="20"/>
                <w:szCs w:val="20"/>
                <w:color w:val="auto"/>
              </w:rPr>
              <w:t>Yield</w:t>
            </w:r>
          </w:p>
        </w:tc>
        <w:tc>
          <w:tcPr>
            <w:tcW w:w="160" w:type="dxa"/>
            <w:vAlign w:val="bottom"/>
          </w:tcPr>
          <w:p>
            <w:pPr>
              <w:spacing w:after="0"/>
              <w:rPr>
                <w:sz w:val="24"/>
                <w:szCs w:val="24"/>
                <w:color w:val="auto"/>
              </w:rPr>
            </w:pPr>
          </w:p>
        </w:tc>
        <w:tc>
          <w:tcPr>
            <w:tcW w:w="940" w:type="dxa"/>
            <w:vAlign w:val="bottom"/>
          </w:tcPr>
          <w:p>
            <w:pPr>
              <w:jc w:val="right"/>
              <w:ind w:right="200"/>
              <w:spacing w:after="0"/>
              <w:rPr>
                <w:sz w:val="20"/>
                <w:szCs w:val="20"/>
                <w:color w:val="auto"/>
              </w:rPr>
            </w:pPr>
            <w:r>
              <w:rPr>
                <w:rFonts w:ascii="Arial" w:cs="Arial" w:eastAsia="Arial" w:hAnsi="Arial"/>
                <w:sz w:val="20"/>
                <w:szCs w:val="20"/>
                <w:color w:val="auto"/>
                <w:w w:val="89"/>
              </w:rPr>
              <w:t>Amount</w:t>
            </w:r>
          </w:p>
        </w:tc>
        <w:tc>
          <w:tcPr>
            <w:tcW w:w="1040" w:type="dxa"/>
            <w:vAlign w:val="bottom"/>
          </w:tcPr>
          <w:p>
            <w:pPr>
              <w:jc w:val="right"/>
              <w:ind w:right="300"/>
              <w:spacing w:after="0"/>
              <w:rPr>
                <w:sz w:val="20"/>
                <w:szCs w:val="20"/>
                <w:color w:val="auto"/>
              </w:rPr>
            </w:pPr>
            <w:r>
              <w:rPr>
                <w:rFonts w:ascii="Arial" w:cs="Arial" w:eastAsia="Arial" w:hAnsi="Arial"/>
                <w:sz w:val="20"/>
                <w:szCs w:val="20"/>
                <w:color w:val="auto"/>
              </w:rPr>
              <w:t>Yield</w:t>
            </w:r>
          </w:p>
        </w:tc>
      </w:tr>
      <w:tr>
        <w:trPr>
          <w:trHeight w:val="51"/>
        </w:trPr>
        <w:tc>
          <w:tcPr>
            <w:tcW w:w="35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94"/>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U.S. Treasury</w:t>
            </w:r>
          </w:p>
        </w:tc>
        <w:tc>
          <w:tcPr>
            <w:tcW w:w="16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   2,024</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3.70%</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0.00%</w:t>
            </w:r>
          </w:p>
        </w:tc>
      </w:tr>
      <w:tr>
        <w:trPr>
          <w:trHeight w:val="274"/>
        </w:trPr>
        <w:tc>
          <w:tcPr>
            <w:tcW w:w="3540" w:type="dxa"/>
            <w:vAlign w:val="bottom"/>
          </w:tcPr>
          <w:p>
            <w:pPr>
              <w:spacing w:after="0"/>
              <w:rPr>
                <w:sz w:val="20"/>
                <w:szCs w:val="20"/>
                <w:color w:val="auto"/>
              </w:rPr>
            </w:pPr>
            <w:r>
              <w:rPr>
                <w:rFonts w:ascii="Arial" w:cs="Arial" w:eastAsia="Arial" w:hAnsi="Arial"/>
                <w:sz w:val="20"/>
                <w:szCs w:val="20"/>
                <w:color w:val="auto"/>
              </w:rPr>
              <w:t>U.S. Government agencies</w:t>
            </w:r>
          </w:p>
        </w:tc>
        <w:tc>
          <w:tcPr>
            <w:tcW w:w="168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0.00%</w:t>
            </w:r>
          </w:p>
        </w:tc>
        <w:tc>
          <w:tcPr>
            <w:tcW w:w="160" w:type="dxa"/>
            <w:vAlign w:val="bottom"/>
          </w:tcPr>
          <w:p>
            <w:pPr>
              <w:spacing w:after="0"/>
              <w:rPr>
                <w:sz w:val="23"/>
                <w:szCs w:val="23"/>
                <w:color w:val="auto"/>
              </w:rPr>
            </w:pPr>
          </w:p>
        </w:tc>
        <w:tc>
          <w:tcPr>
            <w:tcW w:w="9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0.00%</w:t>
            </w:r>
          </w:p>
        </w:tc>
      </w:tr>
      <w:tr>
        <w:trPr>
          <w:trHeight w:val="41"/>
        </w:trPr>
        <w:tc>
          <w:tcPr>
            <w:tcW w:w="35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4"/>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Mortgage-backed securities</w:t>
            </w:r>
          </w:p>
        </w:tc>
        <w:tc>
          <w:tcPr>
            <w:tcW w:w="16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61,399</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2.75%</w:t>
            </w:r>
          </w:p>
        </w:tc>
        <w:tc>
          <w:tcPr>
            <w:tcW w:w="1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29,724</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5.19%</w:t>
            </w:r>
          </w:p>
        </w:tc>
      </w:tr>
      <w:tr>
        <w:trPr>
          <w:trHeight w:val="274"/>
        </w:trPr>
        <w:tc>
          <w:tcPr>
            <w:tcW w:w="3540" w:type="dxa"/>
            <w:vAlign w:val="bottom"/>
          </w:tcPr>
          <w:p>
            <w:pPr>
              <w:spacing w:after="0"/>
              <w:rPr>
                <w:sz w:val="20"/>
                <w:szCs w:val="20"/>
                <w:color w:val="auto"/>
              </w:rPr>
            </w:pPr>
            <w:r>
              <w:rPr>
                <w:rFonts w:ascii="Arial" w:cs="Arial" w:eastAsia="Arial" w:hAnsi="Arial"/>
                <w:sz w:val="20"/>
                <w:szCs w:val="20"/>
                <w:color w:val="auto"/>
              </w:rPr>
              <w:t>State and local governments</w:t>
            </w:r>
          </w:p>
        </w:tc>
        <w:tc>
          <w:tcPr>
            <w:tcW w:w="1680" w:type="dxa"/>
            <w:vAlign w:val="bottom"/>
          </w:tcPr>
          <w:p>
            <w:pPr>
              <w:jc w:val="right"/>
              <w:ind w:right="100"/>
              <w:spacing w:after="0"/>
              <w:rPr>
                <w:sz w:val="20"/>
                <w:szCs w:val="20"/>
                <w:color w:val="auto"/>
              </w:rPr>
            </w:pPr>
            <w:r>
              <w:rPr>
                <w:rFonts w:ascii="Arial" w:cs="Arial" w:eastAsia="Arial" w:hAnsi="Arial"/>
                <w:sz w:val="20"/>
                <w:szCs w:val="20"/>
                <w:color w:val="auto"/>
              </w:rPr>
              <w:t>4,106</w:t>
            </w:r>
          </w:p>
        </w:tc>
        <w:tc>
          <w:tcPr>
            <w:tcW w:w="1100" w:type="dxa"/>
            <w:vAlign w:val="bottom"/>
          </w:tcPr>
          <w:p>
            <w:pPr>
              <w:jc w:val="right"/>
              <w:spacing w:after="0"/>
              <w:rPr>
                <w:sz w:val="20"/>
                <w:szCs w:val="20"/>
                <w:color w:val="auto"/>
              </w:rPr>
            </w:pPr>
            <w:r>
              <w:rPr>
                <w:rFonts w:ascii="Arial" w:cs="Arial" w:eastAsia="Arial" w:hAnsi="Arial"/>
                <w:sz w:val="20"/>
                <w:szCs w:val="20"/>
                <w:color w:val="auto"/>
              </w:rPr>
              <w:t>3.14%</w:t>
            </w:r>
          </w:p>
        </w:tc>
        <w:tc>
          <w:tcPr>
            <w:tcW w:w="160" w:type="dxa"/>
            <w:vAlign w:val="bottom"/>
          </w:tcPr>
          <w:p>
            <w:pPr>
              <w:spacing w:after="0"/>
              <w:rPr>
                <w:sz w:val="23"/>
                <w:szCs w:val="23"/>
                <w:color w:val="auto"/>
              </w:rPr>
            </w:pPr>
          </w:p>
        </w:tc>
        <w:tc>
          <w:tcPr>
            <w:tcW w:w="9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0.00%</w:t>
            </w:r>
          </w:p>
        </w:tc>
      </w:tr>
      <w:tr>
        <w:trPr>
          <w:trHeight w:val="41"/>
        </w:trPr>
        <w:tc>
          <w:tcPr>
            <w:tcW w:w="35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4"/>
        </w:trPr>
        <w:tc>
          <w:tcPr>
            <w:tcW w:w="3540" w:type="dxa"/>
            <w:vAlign w:val="bottom"/>
            <w:shd w:val="clear" w:color="auto" w:fill="CFF0FC"/>
          </w:tcPr>
          <w:p>
            <w:pPr>
              <w:spacing w:after="0"/>
              <w:rPr>
                <w:sz w:val="20"/>
                <w:szCs w:val="20"/>
                <w:color w:val="auto"/>
              </w:rPr>
            </w:pPr>
            <w:r>
              <w:rPr>
                <w:rFonts w:ascii="Arial" w:cs="Arial" w:eastAsia="Arial" w:hAnsi="Arial"/>
                <w:sz w:val="20"/>
                <w:szCs w:val="20"/>
                <w:color w:val="auto"/>
              </w:rPr>
              <w:t>Taxable state and local governments</w:t>
            </w:r>
          </w:p>
        </w:tc>
        <w:tc>
          <w:tcPr>
            <w:tcW w:w="168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4,108</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3.55%</w:t>
            </w:r>
          </w:p>
        </w:tc>
        <w:tc>
          <w:tcPr>
            <w:tcW w:w="160" w:type="dxa"/>
            <w:vAlign w:val="bottom"/>
            <w:shd w:val="clear" w:color="auto" w:fill="CFF0FC"/>
          </w:tcPr>
          <w:p>
            <w:pPr>
              <w:spacing w:after="0"/>
              <w:rPr>
                <w:sz w:val="23"/>
                <w:szCs w:val="23"/>
                <w:color w:val="auto"/>
              </w:rPr>
            </w:pPr>
          </w:p>
        </w:tc>
        <w:tc>
          <w:tcPr>
            <w:tcW w:w="94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0.00%</w:t>
            </w:r>
          </w:p>
        </w:tc>
      </w:tr>
      <w:tr>
        <w:trPr>
          <w:trHeight w:val="41"/>
        </w:trPr>
        <w:tc>
          <w:tcPr>
            <w:tcW w:w="3540" w:type="dxa"/>
            <w:vAlign w:val="bottom"/>
            <w:shd w:val="clear" w:color="auto" w:fill="CFF0FC"/>
          </w:tcPr>
          <w:p>
            <w:pPr>
              <w:spacing w:after="0"/>
              <w:rPr>
                <w:sz w:val="3"/>
                <w:szCs w:val="3"/>
                <w:color w:val="auto"/>
              </w:rPr>
            </w:pPr>
          </w:p>
        </w:tc>
        <w:tc>
          <w:tcPr>
            <w:tcW w:w="168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-1209675</wp:posOffset>
            </wp:positionV>
            <wp:extent cx="260858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3">
                      <a:extLst>
                        <a:ext uri="{28A0092B-C50C-407E-A947-70E740481C1C}"/>
                      </a:extLst>
                    </a:blip>
                    <a:srcRect/>
                    <a:stretch>
                      <a:fillRect/>
                    </a:stretch>
                  </pic:blipFill>
                  <pic:spPr bwMode="auto">
                    <a:xfrm>
                      <a:off x="0" y="0"/>
                      <a:ext cx="2608580" cy="635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-1003935</wp:posOffset>
            </wp:positionV>
            <wp:extent cx="260858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4">
                      <a:extLst>
                        <a:ext uri="{28A0092B-C50C-407E-A947-70E740481C1C}"/>
                      </a:extLst>
                    </a:blip>
                    <a:srcRect/>
                    <a:stretch>
                      <a:fillRect/>
                    </a:stretch>
                  </pic:blipFill>
                  <pic:spPr bwMode="auto">
                    <a:xfrm>
                      <a:off x="0" y="0"/>
                      <a:ext cx="2608580" cy="63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19 / 25</w:t>
      </w:r>
    </w:p>
    <w:p>
      <w:pPr>
        <w:sectPr>
          <w:pgSz w:w="11900" w:h="16838" w:orient="portrait"/>
          <w:cols w:equalWidth="0" w:num="1">
            <w:col w:w="9340"/>
          </w:cols>
          <w:pgMar w:left="1260" w:top="1440" w:right="1306" w:bottom="0" w:gutter="0" w:footer="0" w:header="0"/>
          <w:type w:val="continuous"/>
        </w:sectPr>
      </w:pPr>
    </w:p>
    <w:bookmarkStart w:id="82" w:name="page83"/>
    <w:bookmarkEnd w:id="82"/>
    <w:p>
      <w:pPr>
        <w:jc w:val="both"/>
        <w:spacing w:after="0" w:line="355" w:lineRule="auto"/>
        <w:rPr>
          <w:sz w:val="20"/>
          <w:szCs w:val="20"/>
          <w:color w:val="auto"/>
        </w:rPr>
      </w:pPr>
      <w:r>
        <w:rPr>
          <w:rFonts w:ascii="Arial" w:cs="Arial" w:eastAsia="Arial" w:hAnsi="Arial"/>
          <w:sz w:val="18"/>
          <w:szCs w:val="18"/>
          <w:color w:val="auto"/>
        </w:rPr>
        <w:t>As of December 31, 2025, the Bank also holds stock in the Federal Home Loan Bank of Cincinnati and Indianapolis at a cost of $13.0 million. This is required in order to obtain Federal Home Loan Bank loans, with the Indianapolis relationship having stock and a letter of credit which originated from the Bank of Geneva acquisition.</w:t>
      </w: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 Portfolio</w:t>
      </w:r>
    </w:p>
    <w:p>
      <w:pPr>
        <w:spacing w:after="0" w:line="200"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The Bank’s various loan portfolio segments are subject to varying levels of credit risk. Management mitigates these risks through portfolio diversification and through standardization of lending policies and procedures.</w:t>
      </w:r>
    </w:p>
    <w:p>
      <w:pPr>
        <w:spacing w:after="0" w:line="237"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Risks are mitigated through an adherence to the Bank’s loan policies, with any exception being recorded and approved by senior management or committees comprised of senior management. The Bank’s loan policies define parameters to essential underwriting guidelines such as loan-to-value ratio, cash flow and debt-to-income ratio, loan requirements and covenants, financial information tracking, collection practice and others. The maximum loan amount to any one borrower is limited by the Bank’s legal lending limits and is stated in policy. On a broader basis, the Bank restricts total aggregate funding in comparison to Bank capital to any one business or agricultural sector by an approved sector percentage to capital limitation.</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 / 25</w:t>
      </w:r>
    </w:p>
    <w:p>
      <w:pPr>
        <w:sectPr>
          <w:pgSz w:w="11900" w:h="16838" w:orient="portrait"/>
          <w:cols w:equalWidth="0" w:num="1">
            <w:col w:w="9340"/>
          </w:cols>
          <w:pgMar w:left="1260" w:top="1173" w:right="1306" w:bottom="0" w:gutter="0" w:footer="0" w:header="0"/>
          <w:type w:val="continuous"/>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40"/>
        <w:spacing w:after="0" w:line="310" w:lineRule="auto"/>
        <w:rPr>
          <w:sz w:val="20"/>
          <w:szCs w:val="20"/>
          <w:color w:val="auto"/>
        </w:rPr>
      </w:pPr>
      <w:r>
        <w:rPr>
          <w:rFonts w:ascii="Arial" w:cs="Arial" w:eastAsia="Arial" w:hAnsi="Arial"/>
          <w:sz w:val="20"/>
          <w:szCs w:val="20"/>
          <w:color w:val="auto"/>
        </w:rPr>
        <w:t>For agricultural loans, the vulnerability to commodity prices is offset by the farmer’s ability to hedge their position with the use of the future contracts whereas the risk related to weather is often mitigated by requiring crop insurance. For commercial real estate and commercial and industrial loans, the Bank employs stress testing on higher balance loans to mitigate risk by ensuring the customer's ability to repay in a changing rate environment before granting loan approval.</w:t>
      </w:r>
    </w:p>
    <w:p>
      <w:pPr>
        <w:spacing w:after="0" w:line="255"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The following table shows the Bank’s gross loan portfolio by segment, excluding loans held for sale, by category of loan as of December 31 of each year:</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w w:val="92"/>
              </w:rPr>
              <w:t>(In Thousands)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14"/>
        </w:trPr>
        <w:tc>
          <w:tcPr>
            <w:tcW w:w="2980" w:type="dxa"/>
            <w:vAlign w:val="bottom"/>
            <w:gridSpan w:val="2"/>
          </w:tcPr>
          <w:p>
            <w:pPr>
              <w:spacing w:after="0"/>
              <w:rPr>
                <w:sz w:val="20"/>
                <w:szCs w:val="20"/>
                <w:color w:val="auto"/>
              </w:rPr>
            </w:pPr>
            <w:r>
              <w:rPr>
                <w:rFonts w:ascii="Arial" w:cs="Arial" w:eastAsia="Arial" w:hAnsi="Arial"/>
                <w:sz w:val="20"/>
                <w:szCs w:val="20"/>
                <w:color w:val="auto"/>
              </w:rPr>
              <w:t>Loans:</w:t>
            </w:r>
          </w:p>
        </w:tc>
        <w:tc>
          <w:tcPr>
            <w:tcW w:w="900" w:type="dxa"/>
            <w:vAlign w:val="bottom"/>
          </w:tcPr>
          <w:p>
            <w:pPr>
              <w:spacing w:after="0"/>
              <w:rPr>
                <w:sz w:val="24"/>
                <w:szCs w:val="24"/>
                <w:color w:val="auto"/>
              </w:rPr>
            </w:pPr>
          </w:p>
        </w:tc>
        <w:tc>
          <w:tcPr>
            <w:tcW w:w="920" w:type="dxa"/>
            <w:vAlign w:val="bottom"/>
          </w:tcPr>
          <w:p>
            <w:pPr>
              <w:jc w:val="right"/>
              <w:ind w:right="280"/>
              <w:spacing w:after="0"/>
              <w:rPr>
                <w:sz w:val="20"/>
                <w:szCs w:val="20"/>
                <w:color w:val="auto"/>
              </w:rPr>
            </w:pPr>
            <w:r>
              <w:rPr>
                <w:rFonts w:ascii="Arial" w:cs="Arial" w:eastAsia="Arial" w:hAnsi="Arial"/>
                <w:sz w:val="20"/>
                <w:szCs w:val="20"/>
                <w:color w:val="auto"/>
              </w:rPr>
              <w:t>2025</w:t>
            </w:r>
          </w:p>
        </w:tc>
        <w:tc>
          <w:tcPr>
            <w:tcW w:w="220" w:type="dxa"/>
            <w:vAlign w:val="bottom"/>
          </w:tcPr>
          <w:p>
            <w:pPr>
              <w:spacing w:after="0"/>
              <w:rPr>
                <w:sz w:val="24"/>
                <w:szCs w:val="24"/>
                <w:color w:val="auto"/>
              </w:rPr>
            </w:pPr>
          </w:p>
        </w:tc>
        <w:tc>
          <w:tcPr>
            <w:tcW w:w="860" w:type="dxa"/>
            <w:vAlign w:val="bottom"/>
          </w:tcPr>
          <w:p>
            <w:pPr>
              <w:jc w:val="right"/>
              <w:ind w:right="200"/>
              <w:spacing w:after="0"/>
              <w:rPr>
                <w:sz w:val="20"/>
                <w:szCs w:val="20"/>
                <w:color w:val="auto"/>
              </w:rPr>
            </w:pPr>
            <w:r>
              <w:rPr>
                <w:rFonts w:ascii="Arial" w:cs="Arial" w:eastAsia="Arial" w:hAnsi="Arial"/>
                <w:sz w:val="20"/>
                <w:szCs w:val="20"/>
                <w:color w:val="auto"/>
              </w:rPr>
              <w:t>2024</w:t>
            </w:r>
          </w:p>
        </w:tc>
        <w:tc>
          <w:tcPr>
            <w:tcW w:w="300" w:type="dxa"/>
            <w:vAlign w:val="bottom"/>
          </w:tcPr>
          <w:p>
            <w:pPr>
              <w:spacing w:after="0"/>
              <w:rPr>
                <w:sz w:val="24"/>
                <w:szCs w:val="24"/>
                <w:color w:val="auto"/>
              </w:rPr>
            </w:pPr>
          </w:p>
        </w:tc>
        <w:tc>
          <w:tcPr>
            <w:tcW w:w="1000" w:type="dxa"/>
            <w:vAlign w:val="bottom"/>
          </w:tcPr>
          <w:p>
            <w:pPr>
              <w:jc w:val="right"/>
              <w:ind w:right="360"/>
              <w:spacing w:after="0"/>
              <w:rPr>
                <w:sz w:val="20"/>
                <w:szCs w:val="20"/>
                <w:color w:val="auto"/>
              </w:rPr>
            </w:pPr>
            <w:r>
              <w:rPr>
                <w:rFonts w:ascii="Arial" w:cs="Arial" w:eastAsia="Arial" w:hAnsi="Arial"/>
                <w:sz w:val="20"/>
                <w:szCs w:val="20"/>
                <w:color w:val="auto"/>
              </w:rPr>
              <w:t>2023</w:t>
            </w:r>
          </w:p>
        </w:tc>
        <w:tc>
          <w:tcPr>
            <w:tcW w:w="140" w:type="dxa"/>
            <w:vAlign w:val="bottom"/>
          </w:tcPr>
          <w:p>
            <w:pPr>
              <w:spacing w:after="0"/>
              <w:rPr>
                <w:sz w:val="24"/>
                <w:szCs w:val="24"/>
                <w:color w:val="auto"/>
              </w:rPr>
            </w:pPr>
          </w:p>
        </w:tc>
        <w:tc>
          <w:tcPr>
            <w:tcW w:w="940" w:type="dxa"/>
            <w:vAlign w:val="bottom"/>
          </w:tcPr>
          <w:p>
            <w:pPr>
              <w:jc w:val="right"/>
              <w:ind w:right="280"/>
              <w:spacing w:after="0"/>
              <w:rPr>
                <w:sz w:val="20"/>
                <w:szCs w:val="20"/>
                <w:color w:val="auto"/>
              </w:rPr>
            </w:pPr>
            <w:r>
              <w:rPr>
                <w:rFonts w:ascii="Arial" w:cs="Arial" w:eastAsia="Arial" w:hAnsi="Arial"/>
                <w:sz w:val="20"/>
                <w:szCs w:val="20"/>
                <w:color w:val="auto"/>
              </w:rPr>
              <w:t>2022</w:t>
            </w:r>
          </w:p>
        </w:tc>
        <w:tc>
          <w:tcPr>
            <w:tcW w:w="220" w:type="dxa"/>
            <w:vAlign w:val="bottom"/>
          </w:tcPr>
          <w:p>
            <w:pPr>
              <w:spacing w:after="0"/>
              <w:rPr>
                <w:sz w:val="24"/>
                <w:szCs w:val="24"/>
                <w:color w:val="auto"/>
              </w:rPr>
            </w:pPr>
          </w:p>
        </w:tc>
        <w:tc>
          <w:tcPr>
            <w:tcW w:w="920" w:type="dxa"/>
            <w:vAlign w:val="bottom"/>
          </w:tcPr>
          <w:p>
            <w:pPr>
              <w:jc w:val="right"/>
              <w:ind w:right="280"/>
              <w:spacing w:after="0"/>
              <w:rPr>
                <w:sz w:val="20"/>
                <w:szCs w:val="20"/>
                <w:color w:val="auto"/>
              </w:rPr>
            </w:pPr>
            <w:r>
              <w:rPr>
                <w:rFonts w:ascii="Arial" w:cs="Arial" w:eastAsia="Arial" w:hAnsi="Arial"/>
                <w:sz w:val="20"/>
                <w:szCs w:val="20"/>
                <w:color w:val="auto"/>
              </w:rPr>
              <w:t>2021</w:t>
            </w:r>
          </w:p>
        </w:tc>
      </w:tr>
      <w:tr>
        <w:trPr>
          <w:trHeight w:val="41"/>
        </w:trPr>
        <w:tc>
          <w:tcPr>
            <w:tcW w:w="540" w:type="dxa"/>
            <w:vAlign w:val="bottom"/>
            <w:tcBorders>
              <w:top w:val="single" w:sz="8" w:color="auto"/>
            </w:tcBorders>
          </w:tcPr>
          <w:p>
            <w:pPr>
              <w:spacing w:after="0"/>
              <w:rPr>
                <w:sz w:val="3"/>
                <w:szCs w:val="3"/>
                <w:color w:val="auto"/>
              </w:rPr>
            </w:pPr>
          </w:p>
        </w:tc>
        <w:tc>
          <w:tcPr>
            <w:tcW w:w="2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4"/>
        </w:trPr>
        <w:tc>
          <w:tcPr>
            <w:tcW w:w="298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Consumer Real Estate</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526,439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520,114</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521,895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494,423</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395,873</w:t>
            </w:r>
          </w:p>
        </w:tc>
      </w:tr>
      <w:tr>
        <w:trPr>
          <w:trHeight w:val="274"/>
        </w:trPr>
        <w:tc>
          <w:tcPr>
            <w:tcW w:w="2980" w:type="dxa"/>
            <w:vAlign w:val="bottom"/>
            <w:gridSpan w:val="2"/>
          </w:tcPr>
          <w:p>
            <w:pPr>
              <w:ind w:left="60"/>
              <w:spacing w:after="0"/>
              <w:rPr>
                <w:sz w:val="20"/>
                <w:szCs w:val="20"/>
                <w:color w:val="auto"/>
              </w:rPr>
            </w:pPr>
            <w:r>
              <w:rPr>
                <w:rFonts w:ascii="Arial" w:cs="Arial" w:eastAsia="Arial" w:hAnsi="Arial"/>
                <w:sz w:val="20"/>
                <w:szCs w:val="20"/>
                <w:color w:val="auto"/>
              </w:rPr>
              <w:t>Agricultural Real Estate</w:t>
            </w:r>
          </w:p>
        </w:tc>
        <w:tc>
          <w:tcPr>
            <w:tcW w:w="9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217,034</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216,401</w:t>
            </w:r>
          </w:p>
        </w:tc>
        <w:tc>
          <w:tcPr>
            <w:tcW w:w="300" w:type="dxa"/>
            <w:vAlign w:val="bottom"/>
          </w:tcPr>
          <w:p>
            <w:pPr>
              <w:spacing w:after="0"/>
              <w:rPr>
                <w:sz w:val="23"/>
                <w:szCs w:val="23"/>
                <w:color w:val="auto"/>
              </w:rPr>
            </w:pPr>
          </w:p>
        </w:tc>
        <w:tc>
          <w:tcPr>
            <w:tcW w:w="1000" w:type="dxa"/>
            <w:vAlign w:val="bottom"/>
          </w:tcPr>
          <w:p>
            <w:pPr>
              <w:jc w:val="right"/>
              <w:ind w:right="100"/>
              <w:spacing w:after="0"/>
              <w:rPr>
                <w:sz w:val="20"/>
                <w:szCs w:val="20"/>
                <w:color w:val="auto"/>
              </w:rPr>
            </w:pPr>
            <w:r>
              <w:rPr>
                <w:rFonts w:ascii="Arial" w:cs="Arial" w:eastAsia="Arial" w:hAnsi="Arial"/>
                <w:sz w:val="20"/>
                <w:szCs w:val="20"/>
                <w:color w:val="auto"/>
              </w:rPr>
              <w:t>223,791</w:t>
            </w:r>
          </w:p>
        </w:tc>
        <w:tc>
          <w:tcPr>
            <w:tcW w:w="1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220,819</w:t>
            </w:r>
          </w:p>
        </w:tc>
        <w:tc>
          <w:tcPr>
            <w:tcW w:w="2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198,343</w:t>
            </w:r>
          </w:p>
        </w:tc>
      </w:tr>
      <w:tr>
        <w:trPr>
          <w:trHeight w:val="41"/>
        </w:trPr>
        <w:tc>
          <w:tcPr>
            <w:tcW w:w="5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4"/>
        </w:trPr>
        <w:tc>
          <w:tcPr>
            <w:tcW w:w="298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Agricultural</w:t>
            </w:r>
          </w:p>
        </w:tc>
        <w:tc>
          <w:tcPr>
            <w:tcW w:w="9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218,050</w:t>
            </w:r>
          </w:p>
        </w:tc>
        <w:tc>
          <w:tcPr>
            <w:tcW w:w="2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152,080</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132,560</w:t>
            </w:r>
          </w:p>
        </w:tc>
        <w:tc>
          <w:tcPr>
            <w:tcW w:w="1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128,733</w:t>
            </w:r>
          </w:p>
        </w:tc>
        <w:tc>
          <w:tcPr>
            <w:tcW w:w="2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118,368</w:t>
            </w:r>
          </w:p>
        </w:tc>
      </w:tr>
      <w:tr>
        <w:trPr>
          <w:trHeight w:val="274"/>
        </w:trPr>
        <w:tc>
          <w:tcPr>
            <w:tcW w:w="2980" w:type="dxa"/>
            <w:vAlign w:val="bottom"/>
            <w:gridSpan w:val="2"/>
          </w:tcPr>
          <w:p>
            <w:pPr>
              <w:ind w:left="60"/>
              <w:spacing w:after="0"/>
              <w:rPr>
                <w:sz w:val="20"/>
                <w:szCs w:val="20"/>
                <w:color w:val="auto"/>
              </w:rPr>
            </w:pPr>
            <w:r>
              <w:rPr>
                <w:rFonts w:ascii="Arial" w:cs="Arial" w:eastAsia="Arial" w:hAnsi="Arial"/>
                <w:sz w:val="20"/>
                <w:szCs w:val="20"/>
                <w:color w:val="auto"/>
              </w:rPr>
              <w:t>Commercial Real Estate</w:t>
            </w:r>
          </w:p>
        </w:tc>
        <w:tc>
          <w:tcPr>
            <w:tcW w:w="9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w w:val="87"/>
              </w:rPr>
              <w:t>1,355,571</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w w:val="89"/>
              </w:rPr>
              <w:t>1,310,811</w:t>
            </w:r>
          </w:p>
        </w:tc>
        <w:tc>
          <w:tcPr>
            <w:tcW w:w="300" w:type="dxa"/>
            <w:vAlign w:val="bottom"/>
          </w:tcPr>
          <w:p>
            <w:pPr>
              <w:spacing w:after="0"/>
              <w:rPr>
                <w:sz w:val="23"/>
                <w:szCs w:val="23"/>
                <w:color w:val="auto"/>
              </w:rPr>
            </w:pPr>
          </w:p>
        </w:tc>
        <w:tc>
          <w:tcPr>
            <w:tcW w:w="1000" w:type="dxa"/>
            <w:vAlign w:val="bottom"/>
          </w:tcPr>
          <w:p>
            <w:pPr>
              <w:jc w:val="right"/>
              <w:ind w:right="100"/>
              <w:spacing w:after="0"/>
              <w:rPr>
                <w:sz w:val="20"/>
                <w:szCs w:val="20"/>
                <w:color w:val="auto"/>
              </w:rPr>
            </w:pPr>
            <w:r>
              <w:rPr>
                <w:rFonts w:ascii="Arial" w:cs="Arial" w:eastAsia="Arial" w:hAnsi="Arial"/>
                <w:sz w:val="20"/>
                <w:szCs w:val="20"/>
                <w:color w:val="auto"/>
                <w:w w:val="87"/>
              </w:rPr>
              <w:t>1,337,766</w:t>
            </w:r>
          </w:p>
        </w:tc>
        <w:tc>
          <w:tcPr>
            <w:tcW w:w="1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w w:val="89"/>
              </w:rPr>
              <w:t>1,152,603</w:t>
            </w:r>
          </w:p>
        </w:tc>
        <w:tc>
          <w:tcPr>
            <w:tcW w:w="2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848,477</w:t>
            </w:r>
          </w:p>
        </w:tc>
      </w:tr>
      <w:tr>
        <w:trPr>
          <w:trHeight w:val="41"/>
        </w:trPr>
        <w:tc>
          <w:tcPr>
            <w:tcW w:w="5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4"/>
        </w:trPr>
        <w:tc>
          <w:tcPr>
            <w:tcW w:w="298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Commercial and Industrial</w:t>
            </w:r>
          </w:p>
        </w:tc>
        <w:tc>
          <w:tcPr>
            <w:tcW w:w="9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314,405</w:t>
            </w:r>
          </w:p>
        </w:tc>
        <w:tc>
          <w:tcPr>
            <w:tcW w:w="2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275,152</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254,935</w:t>
            </w:r>
          </w:p>
        </w:tc>
        <w:tc>
          <w:tcPr>
            <w:tcW w:w="1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242,360</w:t>
            </w:r>
          </w:p>
        </w:tc>
        <w:tc>
          <w:tcPr>
            <w:tcW w:w="2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208,270</w:t>
            </w:r>
          </w:p>
        </w:tc>
      </w:tr>
      <w:tr>
        <w:trPr>
          <w:trHeight w:val="274"/>
        </w:trPr>
        <w:tc>
          <w:tcPr>
            <w:tcW w:w="2980" w:type="dxa"/>
            <w:vAlign w:val="bottom"/>
            <w:gridSpan w:val="2"/>
          </w:tcPr>
          <w:p>
            <w:pPr>
              <w:ind w:left="60"/>
              <w:spacing w:after="0"/>
              <w:rPr>
                <w:sz w:val="20"/>
                <w:szCs w:val="20"/>
                <w:color w:val="auto"/>
              </w:rPr>
            </w:pPr>
            <w:r>
              <w:rPr>
                <w:rFonts w:ascii="Arial" w:cs="Arial" w:eastAsia="Arial" w:hAnsi="Arial"/>
                <w:sz w:val="20"/>
                <w:szCs w:val="20"/>
                <w:color w:val="auto"/>
              </w:rPr>
              <w:t>Consumer</w:t>
            </w:r>
          </w:p>
        </w:tc>
        <w:tc>
          <w:tcPr>
            <w:tcW w:w="9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58,838</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63,009</w:t>
            </w:r>
          </w:p>
        </w:tc>
        <w:tc>
          <w:tcPr>
            <w:tcW w:w="300" w:type="dxa"/>
            <w:vAlign w:val="bottom"/>
          </w:tcPr>
          <w:p>
            <w:pPr>
              <w:spacing w:after="0"/>
              <w:rPr>
                <w:sz w:val="23"/>
                <w:szCs w:val="23"/>
                <w:color w:val="auto"/>
              </w:rPr>
            </w:pPr>
          </w:p>
        </w:tc>
        <w:tc>
          <w:tcPr>
            <w:tcW w:w="1000" w:type="dxa"/>
            <w:vAlign w:val="bottom"/>
          </w:tcPr>
          <w:p>
            <w:pPr>
              <w:jc w:val="right"/>
              <w:ind w:right="100"/>
              <w:spacing w:after="0"/>
              <w:rPr>
                <w:sz w:val="20"/>
                <w:szCs w:val="20"/>
                <w:color w:val="auto"/>
              </w:rPr>
            </w:pPr>
            <w:r>
              <w:rPr>
                <w:rFonts w:ascii="Arial" w:cs="Arial" w:eastAsia="Arial" w:hAnsi="Arial"/>
                <w:sz w:val="20"/>
                <w:szCs w:val="20"/>
                <w:color w:val="auto"/>
              </w:rPr>
              <w:t>79,591</w:t>
            </w:r>
          </w:p>
        </w:tc>
        <w:tc>
          <w:tcPr>
            <w:tcW w:w="1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89,147</w:t>
            </w:r>
          </w:p>
        </w:tc>
        <w:tc>
          <w:tcPr>
            <w:tcW w:w="2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57,737</w:t>
            </w:r>
          </w:p>
        </w:tc>
      </w:tr>
      <w:tr>
        <w:trPr>
          <w:trHeight w:val="41"/>
        </w:trPr>
        <w:tc>
          <w:tcPr>
            <w:tcW w:w="5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304"/>
        </w:trPr>
        <w:tc>
          <w:tcPr>
            <w:tcW w:w="298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Other</w:t>
            </w:r>
          </w:p>
        </w:tc>
        <w:tc>
          <w:tcPr>
            <w:tcW w:w="9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23,133</w:t>
            </w:r>
          </w:p>
        </w:tc>
        <w:tc>
          <w:tcPr>
            <w:tcW w:w="2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24,978</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30,136</w:t>
            </w:r>
          </w:p>
        </w:tc>
        <w:tc>
          <w:tcPr>
            <w:tcW w:w="1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29,818</w:t>
            </w:r>
          </w:p>
        </w:tc>
        <w:tc>
          <w:tcPr>
            <w:tcW w:w="2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32,089</w:t>
            </w:r>
          </w:p>
        </w:tc>
      </w:tr>
      <w:tr>
        <w:trPr>
          <w:trHeight w:val="274"/>
        </w:trPr>
        <w:tc>
          <w:tcPr>
            <w:tcW w:w="5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0"/>
              <w:spacing w:after="0"/>
              <w:rPr>
                <w:sz w:val="20"/>
                <w:szCs w:val="20"/>
                <w:color w:val="auto"/>
              </w:rPr>
            </w:pPr>
            <w:r>
              <w:rPr>
                <w:rFonts w:ascii="Arial" w:cs="Arial" w:eastAsia="Arial" w:hAnsi="Arial"/>
                <w:sz w:val="20"/>
                <w:szCs w:val="20"/>
                <w:color w:val="auto"/>
                <w:w w:val="87"/>
              </w:rPr>
              <w:t>2,713,470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w w:val="89"/>
              </w:rPr>
              <w:t>2,562,545</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00"/>
              <w:spacing w:after="0"/>
              <w:rPr>
                <w:sz w:val="20"/>
                <w:szCs w:val="20"/>
                <w:color w:val="auto"/>
              </w:rPr>
            </w:pPr>
            <w:r>
              <w:rPr>
                <w:rFonts w:ascii="Arial" w:cs="Arial" w:eastAsia="Arial" w:hAnsi="Arial"/>
                <w:sz w:val="20"/>
                <w:szCs w:val="20"/>
                <w:color w:val="auto"/>
                <w:w w:val="87"/>
              </w:rPr>
              <w:t>2,580,674</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0"/>
              <w:spacing w:after="0"/>
              <w:rPr>
                <w:sz w:val="20"/>
                <w:szCs w:val="20"/>
                <w:color w:val="auto"/>
              </w:rPr>
            </w:pPr>
            <w:r>
              <w:rPr>
                <w:rFonts w:ascii="Arial" w:cs="Arial" w:eastAsia="Arial" w:hAnsi="Arial"/>
                <w:sz w:val="20"/>
                <w:szCs w:val="20"/>
                <w:color w:val="auto"/>
                <w:w w:val="89"/>
              </w:rPr>
              <w:t>2,357,903</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0"/>
              <w:spacing w:after="0"/>
              <w:rPr>
                <w:sz w:val="20"/>
                <w:szCs w:val="20"/>
                <w:color w:val="auto"/>
              </w:rPr>
            </w:pPr>
            <w:r>
              <w:rPr>
                <w:rFonts w:ascii="Arial" w:cs="Arial" w:eastAsia="Arial" w:hAnsi="Arial"/>
                <w:sz w:val="20"/>
                <w:szCs w:val="20"/>
                <w:color w:val="auto"/>
                <w:w w:val="87"/>
              </w:rPr>
              <w:t>1,859,157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2392045</wp:posOffset>
            </wp:positionH>
            <wp:positionV relativeFrom="paragraph">
              <wp:posOffset>-1789430</wp:posOffset>
            </wp:positionV>
            <wp:extent cx="351282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6">
                      <a:extLst>
                        <a:ext uri="{28A0092B-C50C-407E-A947-70E740481C1C}"/>
                      </a:extLst>
                    </a:blip>
                    <a:srcRect/>
                    <a:stretch>
                      <a:fillRect/>
                    </a:stretch>
                  </pic:blipFill>
                  <pic:spPr bwMode="auto">
                    <a:xfrm>
                      <a:off x="0" y="0"/>
                      <a:ext cx="3512820" cy="6350"/>
                    </a:xfrm>
                    <a:prstGeom prst="rect">
                      <a:avLst/>
                    </a:prstGeom>
                    <a:noFill/>
                  </pic:spPr>
                </pic:pic>
              </a:graphicData>
            </a:graphic>
          </wp:anchor>
        </w:drawing>
        <w:drawing>
          <wp:anchor simplePos="0" relativeHeight="251657728" behindDoc="1" locked="0" layoutInCell="0" allowOverlap="1">
            <wp:simplePos x="0" y="0"/>
            <wp:positionH relativeFrom="column">
              <wp:posOffset>2392045</wp:posOffset>
            </wp:positionH>
            <wp:positionV relativeFrom="paragraph">
              <wp:posOffset>-1583690</wp:posOffset>
            </wp:positionV>
            <wp:extent cx="351282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7">
                      <a:extLst>
                        <a:ext uri="{28A0092B-C50C-407E-A947-70E740481C1C}"/>
                      </a:extLst>
                    </a:blip>
                    <a:srcRect/>
                    <a:stretch>
                      <a:fillRect/>
                    </a:stretch>
                  </pic:blipFill>
                  <pic:spPr bwMode="auto">
                    <a:xfrm>
                      <a:off x="0" y="0"/>
                      <a:ext cx="3512820" cy="6350"/>
                    </a:xfrm>
                    <a:prstGeom prst="rect">
                      <a:avLst/>
                    </a:prstGeom>
                    <a:noFill/>
                  </pic:spPr>
                </pic:pic>
              </a:graphicData>
            </a:graphic>
          </wp:anchor>
        </w:drawing>
        <w:drawing>
          <wp:anchor simplePos="0" relativeHeight="251657728" behindDoc="1" locked="0" layoutInCell="0" allowOverlap="1">
            <wp:simplePos x="0" y="0"/>
            <wp:positionH relativeFrom="column">
              <wp:posOffset>2392045</wp:posOffset>
            </wp:positionH>
            <wp:positionV relativeFrom="paragraph">
              <wp:posOffset>-179705</wp:posOffset>
            </wp:positionV>
            <wp:extent cx="357187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8">
                      <a:extLst>
                        <a:ext uri="{28A0092B-C50C-407E-A947-70E740481C1C}"/>
                      </a:extLst>
                    </a:blip>
                    <a:srcRect/>
                    <a:stretch>
                      <a:fillRect/>
                    </a:stretch>
                  </pic:blipFill>
                  <pic:spPr bwMode="auto">
                    <a:xfrm>
                      <a:off x="0" y="0"/>
                      <a:ext cx="3571875" cy="6350"/>
                    </a:xfrm>
                    <a:prstGeom prst="rect">
                      <a:avLst/>
                    </a:prstGeom>
                    <a:noFill/>
                  </pic:spPr>
                </pic:pic>
              </a:graphicData>
            </a:graphic>
          </wp:anchor>
        </w:drawing>
        <w:drawing>
          <wp:anchor simplePos="0" relativeHeight="251657728" behindDoc="1" locked="0" layoutInCell="0" allowOverlap="1">
            <wp:simplePos x="0" y="0"/>
            <wp:positionH relativeFrom="column">
              <wp:posOffset>2392045</wp:posOffset>
            </wp:positionH>
            <wp:positionV relativeFrom="paragraph">
              <wp:posOffset>26035</wp:posOffset>
            </wp:positionV>
            <wp:extent cx="3512820" cy="285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9">
                      <a:extLst>
                        <a:ext uri="{28A0092B-C50C-407E-A947-70E740481C1C}"/>
                      </a:extLst>
                    </a:blip>
                    <a:srcRect/>
                    <a:stretch>
                      <a:fillRect/>
                    </a:stretch>
                  </pic:blipFill>
                  <pic:spPr bwMode="auto">
                    <a:xfrm>
                      <a:off x="0" y="0"/>
                      <a:ext cx="3512820" cy="2857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40"/>
        <w:spacing w:after="0" w:line="309" w:lineRule="auto"/>
        <w:rPr>
          <w:sz w:val="20"/>
          <w:szCs w:val="20"/>
          <w:color w:val="auto"/>
        </w:rPr>
      </w:pPr>
      <w:r>
        <w:rPr>
          <w:rFonts w:ascii="Arial" w:cs="Arial" w:eastAsia="Arial" w:hAnsi="Arial"/>
          <w:sz w:val="20"/>
          <w:szCs w:val="20"/>
          <w:color w:val="auto"/>
        </w:rPr>
        <w:t>The Bank maintains a well-balanced, diverse and high performing commercial real estate loan portfolio. Commercial real estate loans, excluding deferred loan fees and other costs, represented 49.96% of the Company's total gross loan portfolio as of December 31, 2025. The below tables present the commercial real estate (CRE) portfolio segment by category, location and loan grade: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40" w:type="dxa"/>
            <w:vAlign w:val="bottom"/>
          </w:tcPr>
          <w:p>
            <w:pPr>
              <w:jc w:val="center"/>
              <w:ind w:right="440"/>
              <w:spacing w:after="0"/>
              <w:rPr>
                <w:sz w:val="20"/>
                <w:szCs w:val="20"/>
                <w:color w:val="auto"/>
              </w:rPr>
            </w:pPr>
            <w:r>
              <w:rPr>
                <w:rFonts w:ascii="Arial" w:cs="Arial" w:eastAsia="Arial" w:hAnsi="Arial"/>
                <w:sz w:val="20"/>
                <w:szCs w:val="20"/>
                <w:color w:val="auto"/>
                <w:w w:val="89"/>
              </w:rPr>
              <w:t>Percent of</w:t>
            </w:r>
          </w:p>
        </w:tc>
        <w:tc>
          <w:tcPr>
            <w:tcW w:w="1760" w:type="dxa"/>
            <w:vAlign w:val="bottom"/>
          </w:tcPr>
          <w:p>
            <w:pPr>
              <w:jc w:val="center"/>
              <w:ind w:right="160"/>
              <w:spacing w:after="0"/>
              <w:rPr>
                <w:sz w:val="20"/>
                <w:szCs w:val="20"/>
                <w:color w:val="auto"/>
              </w:rPr>
            </w:pPr>
            <w:r>
              <w:rPr>
                <w:rFonts w:ascii="Arial" w:cs="Arial" w:eastAsia="Arial" w:hAnsi="Arial"/>
                <w:sz w:val="20"/>
                <w:szCs w:val="20"/>
                <w:color w:val="auto"/>
                <w:w w:val="89"/>
              </w:rPr>
              <w:t>Percent of</w:t>
            </w:r>
          </w:p>
        </w:tc>
      </w:tr>
      <w:tr>
        <w:trPr>
          <w:trHeight w:val="300"/>
        </w:trPr>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jc w:val="right"/>
              <w:ind w:right="800"/>
              <w:spacing w:after="0"/>
              <w:rPr>
                <w:sz w:val="20"/>
                <w:szCs w:val="20"/>
                <w:color w:val="auto"/>
              </w:rPr>
            </w:pPr>
            <w:r>
              <w:rPr>
                <w:rFonts w:ascii="Arial" w:cs="Arial" w:eastAsia="Arial" w:hAnsi="Arial"/>
                <w:sz w:val="20"/>
                <w:szCs w:val="20"/>
                <w:color w:val="auto"/>
              </w:rPr>
              <w:t>Dollar</w:t>
            </w:r>
          </w:p>
        </w:tc>
        <w:tc>
          <w:tcPr>
            <w:tcW w:w="2040" w:type="dxa"/>
            <w:vAlign w:val="bottom"/>
          </w:tcPr>
          <w:p>
            <w:pPr>
              <w:jc w:val="center"/>
              <w:ind w:right="440"/>
              <w:spacing w:after="0"/>
              <w:rPr>
                <w:sz w:val="20"/>
                <w:szCs w:val="20"/>
                <w:color w:val="auto"/>
              </w:rPr>
            </w:pPr>
            <w:r>
              <w:rPr>
                <w:rFonts w:ascii="Arial" w:cs="Arial" w:eastAsia="Arial" w:hAnsi="Arial"/>
                <w:sz w:val="20"/>
                <w:szCs w:val="20"/>
                <w:color w:val="auto"/>
                <w:w w:val="89"/>
              </w:rPr>
              <w:t>CRE</w:t>
            </w:r>
          </w:p>
        </w:tc>
        <w:tc>
          <w:tcPr>
            <w:tcW w:w="1760" w:type="dxa"/>
            <w:vAlign w:val="bottom"/>
          </w:tcPr>
          <w:p>
            <w:pPr>
              <w:jc w:val="center"/>
              <w:ind w:right="180"/>
              <w:spacing w:after="0"/>
              <w:rPr>
                <w:sz w:val="20"/>
                <w:szCs w:val="20"/>
                <w:color w:val="auto"/>
              </w:rPr>
            </w:pPr>
            <w:r>
              <w:rPr>
                <w:rFonts w:ascii="Arial" w:cs="Arial" w:eastAsia="Arial" w:hAnsi="Arial"/>
                <w:sz w:val="20"/>
                <w:szCs w:val="20"/>
                <w:color w:val="auto"/>
                <w:w w:val="93"/>
              </w:rPr>
              <w:t>Total Loan</w:t>
            </w:r>
          </w:p>
        </w:tc>
      </w:tr>
      <w:tr>
        <w:trPr>
          <w:trHeight w:val="300"/>
        </w:trPr>
        <w:tc>
          <w:tcPr>
            <w:tcW w:w="2240" w:type="dxa"/>
            <w:vAlign w:val="bottom"/>
          </w:tcPr>
          <w:p>
            <w:pPr>
              <w:ind w:left="620"/>
              <w:spacing w:after="0"/>
              <w:rPr>
                <w:sz w:val="20"/>
                <w:szCs w:val="20"/>
                <w:color w:val="auto"/>
              </w:rPr>
            </w:pPr>
            <w:r>
              <w:rPr>
                <w:rFonts w:ascii="Arial" w:cs="Arial" w:eastAsia="Arial" w:hAnsi="Arial"/>
                <w:sz w:val="20"/>
                <w:szCs w:val="20"/>
                <w:color w:val="auto"/>
              </w:rPr>
              <w:t>CRE Category</w:t>
            </w:r>
          </w:p>
        </w:tc>
        <w:tc>
          <w:tcPr>
            <w:tcW w:w="760" w:type="dxa"/>
            <w:vAlign w:val="bottom"/>
          </w:tcPr>
          <w:p>
            <w:pPr>
              <w:spacing w:after="0"/>
              <w:rPr>
                <w:sz w:val="24"/>
                <w:szCs w:val="24"/>
                <w:color w:val="auto"/>
              </w:rPr>
            </w:pPr>
          </w:p>
        </w:tc>
        <w:tc>
          <w:tcPr>
            <w:tcW w:w="1660" w:type="dxa"/>
            <w:vAlign w:val="bottom"/>
          </w:tcPr>
          <w:p>
            <w:pPr>
              <w:jc w:val="right"/>
              <w:ind w:right="740"/>
              <w:spacing w:after="0"/>
              <w:rPr>
                <w:sz w:val="20"/>
                <w:szCs w:val="20"/>
                <w:color w:val="auto"/>
              </w:rPr>
            </w:pPr>
            <w:r>
              <w:rPr>
                <w:rFonts w:ascii="Arial" w:cs="Arial" w:eastAsia="Arial" w:hAnsi="Arial"/>
                <w:sz w:val="20"/>
                <w:szCs w:val="20"/>
                <w:color w:val="auto"/>
              </w:rPr>
              <w:t>Balance</w:t>
            </w:r>
          </w:p>
        </w:tc>
        <w:tc>
          <w:tcPr>
            <w:tcW w:w="2040" w:type="dxa"/>
            <w:vAlign w:val="bottom"/>
          </w:tcPr>
          <w:p>
            <w:pPr>
              <w:jc w:val="center"/>
              <w:ind w:right="380"/>
              <w:spacing w:after="0"/>
              <w:rPr>
                <w:sz w:val="20"/>
                <w:szCs w:val="20"/>
                <w:color w:val="auto"/>
              </w:rPr>
            </w:pPr>
            <w:r>
              <w:rPr>
                <w:rFonts w:ascii="Arial" w:cs="Arial" w:eastAsia="Arial" w:hAnsi="Arial"/>
                <w:sz w:val="20"/>
                <w:szCs w:val="20"/>
                <w:color w:val="auto"/>
                <w:w w:val="98"/>
              </w:rPr>
              <w:t>Portfolio</w:t>
            </w:r>
          </w:p>
        </w:tc>
        <w:tc>
          <w:tcPr>
            <w:tcW w:w="1760" w:type="dxa"/>
            <w:vAlign w:val="bottom"/>
          </w:tcPr>
          <w:p>
            <w:pPr>
              <w:jc w:val="center"/>
              <w:ind w:right="120"/>
              <w:spacing w:after="0"/>
              <w:rPr>
                <w:sz w:val="20"/>
                <w:szCs w:val="20"/>
                <w:color w:val="auto"/>
              </w:rPr>
            </w:pPr>
            <w:r>
              <w:rPr>
                <w:rFonts w:ascii="Arial" w:cs="Arial" w:eastAsia="Arial" w:hAnsi="Arial"/>
                <w:sz w:val="20"/>
                <w:szCs w:val="20"/>
                <w:color w:val="auto"/>
                <w:w w:val="95"/>
              </w:rPr>
              <w:t>Portfolio</w:t>
            </w:r>
          </w:p>
        </w:tc>
      </w:tr>
      <w:tr>
        <w:trPr>
          <w:trHeight w:val="51"/>
        </w:trPr>
        <w:tc>
          <w:tcPr>
            <w:tcW w:w="2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94"/>
        </w:trPr>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Industrial</w:t>
            </w:r>
          </w:p>
        </w:tc>
        <w:tc>
          <w:tcPr>
            <w:tcW w:w="7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20"/>
                <w:szCs w:val="20"/>
                <w:color w:val="auto"/>
              </w:rPr>
              <w:t>265,009</w:t>
            </w:r>
          </w:p>
        </w:tc>
        <w:tc>
          <w:tcPr>
            <w:tcW w:w="204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19.55%</w:t>
            </w:r>
          </w:p>
        </w:tc>
        <w:tc>
          <w:tcPr>
            <w:tcW w:w="1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9.77%</w:t>
            </w:r>
          </w:p>
        </w:tc>
      </w:tr>
      <w:tr>
        <w:trPr>
          <w:trHeight w:val="274"/>
        </w:trPr>
        <w:tc>
          <w:tcPr>
            <w:tcW w:w="2240" w:type="dxa"/>
            <w:vAlign w:val="bottom"/>
          </w:tcPr>
          <w:p>
            <w:pPr>
              <w:spacing w:after="0"/>
              <w:rPr>
                <w:sz w:val="20"/>
                <w:szCs w:val="20"/>
                <w:color w:val="auto"/>
              </w:rPr>
            </w:pPr>
            <w:r>
              <w:rPr>
                <w:rFonts w:ascii="Arial" w:cs="Arial" w:eastAsia="Arial" w:hAnsi="Arial"/>
                <w:sz w:val="20"/>
                <w:szCs w:val="20"/>
                <w:color w:val="auto"/>
              </w:rPr>
              <w:t>Multi-family</w:t>
            </w:r>
          </w:p>
        </w:tc>
        <w:tc>
          <w:tcPr>
            <w:tcW w:w="760" w:type="dxa"/>
            <w:vAlign w:val="bottom"/>
          </w:tcPr>
          <w:p>
            <w:pPr>
              <w:spacing w:after="0"/>
              <w:rPr>
                <w:sz w:val="23"/>
                <w:szCs w:val="23"/>
                <w:color w:val="auto"/>
              </w:rPr>
            </w:pP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237,902</w:t>
            </w:r>
          </w:p>
        </w:tc>
        <w:tc>
          <w:tcPr>
            <w:tcW w:w="2040" w:type="dxa"/>
            <w:vAlign w:val="bottom"/>
          </w:tcPr>
          <w:p>
            <w:pPr>
              <w:jc w:val="right"/>
              <w:ind w:right="180"/>
              <w:spacing w:after="0"/>
              <w:rPr>
                <w:sz w:val="20"/>
                <w:szCs w:val="20"/>
                <w:color w:val="auto"/>
              </w:rPr>
            </w:pPr>
            <w:r>
              <w:rPr>
                <w:rFonts w:ascii="Arial" w:cs="Arial" w:eastAsia="Arial" w:hAnsi="Arial"/>
                <w:sz w:val="20"/>
                <w:szCs w:val="20"/>
                <w:color w:val="auto"/>
              </w:rPr>
              <w:t>17.55%</w:t>
            </w:r>
          </w:p>
        </w:tc>
        <w:tc>
          <w:tcPr>
            <w:tcW w:w="1760" w:type="dxa"/>
            <w:vAlign w:val="bottom"/>
          </w:tcPr>
          <w:p>
            <w:pPr>
              <w:jc w:val="right"/>
              <w:spacing w:after="0"/>
              <w:rPr>
                <w:sz w:val="20"/>
                <w:szCs w:val="20"/>
                <w:color w:val="auto"/>
              </w:rPr>
            </w:pPr>
            <w:r>
              <w:rPr>
                <w:rFonts w:ascii="Arial" w:cs="Arial" w:eastAsia="Arial" w:hAnsi="Arial"/>
                <w:sz w:val="20"/>
                <w:szCs w:val="20"/>
                <w:color w:val="auto"/>
              </w:rPr>
              <w:t>8.77%</w:t>
            </w:r>
          </w:p>
        </w:tc>
      </w:tr>
      <w:tr>
        <w:trPr>
          <w:trHeight w:val="41"/>
        </w:trPr>
        <w:tc>
          <w:tcPr>
            <w:tcW w:w="2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94"/>
        </w:trPr>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Retail</w:t>
            </w:r>
          </w:p>
        </w:tc>
        <w:tc>
          <w:tcPr>
            <w:tcW w:w="760" w:type="dxa"/>
            <w:vAlign w:val="bottom"/>
            <w:tcBorders>
              <w:bottom w:val="single" w:sz="8" w:color="CFF0FC"/>
            </w:tcBorders>
            <w:shd w:val="clear" w:color="auto" w:fill="CFF0FC"/>
          </w:tcPr>
          <w:p>
            <w:pPr>
              <w:spacing w:after="0"/>
              <w:rPr>
                <w:sz w:val="24"/>
                <w:szCs w:val="24"/>
                <w:color w:val="auto"/>
              </w:rPr>
            </w:pPr>
          </w:p>
        </w:tc>
        <w:tc>
          <w:tcPr>
            <w:tcW w:w="166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20"/>
                <w:szCs w:val="20"/>
                <w:color w:val="auto"/>
              </w:rPr>
              <w:t>234,754</w:t>
            </w:r>
          </w:p>
        </w:tc>
        <w:tc>
          <w:tcPr>
            <w:tcW w:w="204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17.32%</w:t>
            </w:r>
          </w:p>
        </w:tc>
        <w:tc>
          <w:tcPr>
            <w:tcW w:w="1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8.65%</w:t>
            </w:r>
          </w:p>
        </w:tc>
      </w:tr>
      <w:tr>
        <w:trPr>
          <w:trHeight w:val="274"/>
        </w:trPr>
        <w:tc>
          <w:tcPr>
            <w:tcW w:w="2240" w:type="dxa"/>
            <w:vAlign w:val="bottom"/>
          </w:tcPr>
          <w:p>
            <w:pPr>
              <w:spacing w:after="0"/>
              <w:rPr>
                <w:sz w:val="20"/>
                <w:szCs w:val="20"/>
                <w:color w:val="auto"/>
              </w:rPr>
            </w:pPr>
            <w:r>
              <w:rPr>
                <w:rFonts w:ascii="Arial" w:cs="Arial" w:eastAsia="Arial" w:hAnsi="Arial"/>
                <w:sz w:val="20"/>
                <w:szCs w:val="20"/>
                <w:color w:val="auto"/>
              </w:rPr>
              <w:t>Hotels</w:t>
            </w:r>
          </w:p>
        </w:tc>
        <w:tc>
          <w:tcPr>
            <w:tcW w:w="760" w:type="dxa"/>
            <w:vAlign w:val="bottom"/>
          </w:tcPr>
          <w:p>
            <w:pPr>
              <w:spacing w:after="0"/>
              <w:rPr>
                <w:sz w:val="23"/>
                <w:szCs w:val="23"/>
                <w:color w:val="auto"/>
              </w:rPr>
            </w:pP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163,855</w:t>
            </w:r>
          </w:p>
        </w:tc>
        <w:tc>
          <w:tcPr>
            <w:tcW w:w="2040" w:type="dxa"/>
            <w:vAlign w:val="bottom"/>
          </w:tcPr>
          <w:p>
            <w:pPr>
              <w:jc w:val="right"/>
              <w:ind w:right="180"/>
              <w:spacing w:after="0"/>
              <w:rPr>
                <w:sz w:val="20"/>
                <w:szCs w:val="20"/>
                <w:color w:val="auto"/>
              </w:rPr>
            </w:pPr>
            <w:r>
              <w:rPr>
                <w:rFonts w:ascii="Arial" w:cs="Arial" w:eastAsia="Arial" w:hAnsi="Arial"/>
                <w:sz w:val="20"/>
                <w:szCs w:val="20"/>
                <w:color w:val="auto"/>
              </w:rPr>
              <w:t>12.09%</w:t>
            </w:r>
          </w:p>
        </w:tc>
        <w:tc>
          <w:tcPr>
            <w:tcW w:w="1760" w:type="dxa"/>
            <w:vAlign w:val="bottom"/>
          </w:tcPr>
          <w:p>
            <w:pPr>
              <w:jc w:val="right"/>
              <w:spacing w:after="0"/>
              <w:rPr>
                <w:sz w:val="20"/>
                <w:szCs w:val="20"/>
                <w:color w:val="auto"/>
              </w:rPr>
            </w:pPr>
            <w:r>
              <w:rPr>
                <w:rFonts w:ascii="Arial" w:cs="Arial" w:eastAsia="Arial" w:hAnsi="Arial"/>
                <w:sz w:val="20"/>
                <w:szCs w:val="20"/>
                <w:color w:val="auto"/>
              </w:rPr>
              <w:t>6.04%</w:t>
            </w:r>
          </w:p>
        </w:tc>
      </w:tr>
      <w:tr>
        <w:trPr>
          <w:trHeight w:val="41"/>
        </w:trPr>
        <w:tc>
          <w:tcPr>
            <w:tcW w:w="2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94"/>
        </w:trPr>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Office</w:t>
            </w:r>
          </w:p>
        </w:tc>
        <w:tc>
          <w:tcPr>
            <w:tcW w:w="760" w:type="dxa"/>
            <w:vAlign w:val="bottom"/>
            <w:tcBorders>
              <w:bottom w:val="single" w:sz="8" w:color="CFF0FC"/>
            </w:tcBorders>
            <w:shd w:val="clear" w:color="auto" w:fill="CFF0FC"/>
          </w:tcPr>
          <w:p>
            <w:pPr>
              <w:spacing w:after="0"/>
              <w:rPr>
                <w:sz w:val="24"/>
                <w:szCs w:val="24"/>
                <w:color w:val="auto"/>
              </w:rPr>
            </w:pPr>
          </w:p>
        </w:tc>
        <w:tc>
          <w:tcPr>
            <w:tcW w:w="166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20"/>
                <w:szCs w:val="20"/>
                <w:color w:val="auto"/>
              </w:rPr>
              <w:t>136,564</w:t>
            </w:r>
          </w:p>
        </w:tc>
        <w:tc>
          <w:tcPr>
            <w:tcW w:w="204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10.07%</w:t>
            </w:r>
          </w:p>
        </w:tc>
        <w:tc>
          <w:tcPr>
            <w:tcW w:w="1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5.03%</w:t>
            </w:r>
          </w:p>
        </w:tc>
      </w:tr>
      <w:tr>
        <w:trPr>
          <w:trHeight w:val="274"/>
        </w:trPr>
        <w:tc>
          <w:tcPr>
            <w:tcW w:w="2240" w:type="dxa"/>
            <w:vAlign w:val="bottom"/>
          </w:tcPr>
          <w:p>
            <w:pPr>
              <w:spacing w:after="0"/>
              <w:rPr>
                <w:sz w:val="20"/>
                <w:szCs w:val="20"/>
                <w:color w:val="auto"/>
              </w:rPr>
            </w:pPr>
            <w:r>
              <w:rPr>
                <w:rFonts w:ascii="Arial" w:cs="Arial" w:eastAsia="Arial" w:hAnsi="Arial"/>
                <w:sz w:val="20"/>
                <w:szCs w:val="20"/>
                <w:color w:val="auto"/>
              </w:rPr>
              <w:t>Gas Stations</w:t>
            </w:r>
          </w:p>
        </w:tc>
        <w:tc>
          <w:tcPr>
            <w:tcW w:w="760" w:type="dxa"/>
            <w:vAlign w:val="bottom"/>
          </w:tcPr>
          <w:p>
            <w:pPr>
              <w:spacing w:after="0"/>
              <w:rPr>
                <w:sz w:val="23"/>
                <w:szCs w:val="23"/>
                <w:color w:val="auto"/>
              </w:rPr>
            </w:pP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78,701</w:t>
            </w:r>
          </w:p>
        </w:tc>
        <w:tc>
          <w:tcPr>
            <w:tcW w:w="2040" w:type="dxa"/>
            <w:vAlign w:val="bottom"/>
          </w:tcPr>
          <w:p>
            <w:pPr>
              <w:jc w:val="right"/>
              <w:ind w:right="180"/>
              <w:spacing w:after="0"/>
              <w:rPr>
                <w:sz w:val="20"/>
                <w:szCs w:val="20"/>
                <w:color w:val="auto"/>
              </w:rPr>
            </w:pPr>
            <w:r>
              <w:rPr>
                <w:rFonts w:ascii="Arial" w:cs="Arial" w:eastAsia="Arial" w:hAnsi="Arial"/>
                <w:sz w:val="20"/>
                <w:szCs w:val="20"/>
                <w:color w:val="auto"/>
              </w:rPr>
              <w:t>5.81%</w:t>
            </w:r>
          </w:p>
        </w:tc>
        <w:tc>
          <w:tcPr>
            <w:tcW w:w="1760" w:type="dxa"/>
            <w:vAlign w:val="bottom"/>
          </w:tcPr>
          <w:p>
            <w:pPr>
              <w:jc w:val="right"/>
              <w:spacing w:after="0"/>
              <w:rPr>
                <w:sz w:val="20"/>
                <w:szCs w:val="20"/>
                <w:color w:val="auto"/>
              </w:rPr>
            </w:pPr>
            <w:r>
              <w:rPr>
                <w:rFonts w:ascii="Arial" w:cs="Arial" w:eastAsia="Arial" w:hAnsi="Arial"/>
                <w:sz w:val="20"/>
                <w:szCs w:val="20"/>
                <w:color w:val="auto"/>
              </w:rPr>
              <w:t>2.90%</w:t>
            </w:r>
          </w:p>
        </w:tc>
      </w:tr>
      <w:tr>
        <w:trPr>
          <w:trHeight w:val="41"/>
        </w:trPr>
        <w:tc>
          <w:tcPr>
            <w:tcW w:w="2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94"/>
        </w:trPr>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Food Service</w:t>
            </w:r>
          </w:p>
        </w:tc>
        <w:tc>
          <w:tcPr>
            <w:tcW w:w="760" w:type="dxa"/>
            <w:vAlign w:val="bottom"/>
            <w:tcBorders>
              <w:bottom w:val="single" w:sz="8" w:color="CFF0FC"/>
            </w:tcBorders>
            <w:shd w:val="clear" w:color="auto" w:fill="CFF0FC"/>
          </w:tcPr>
          <w:p>
            <w:pPr>
              <w:spacing w:after="0"/>
              <w:rPr>
                <w:sz w:val="24"/>
                <w:szCs w:val="24"/>
                <w:color w:val="auto"/>
              </w:rPr>
            </w:pPr>
          </w:p>
        </w:tc>
        <w:tc>
          <w:tcPr>
            <w:tcW w:w="166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20"/>
                <w:szCs w:val="20"/>
                <w:color w:val="auto"/>
              </w:rPr>
              <w:t>51,561</w:t>
            </w:r>
          </w:p>
        </w:tc>
        <w:tc>
          <w:tcPr>
            <w:tcW w:w="204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3.80%</w:t>
            </w:r>
          </w:p>
        </w:tc>
        <w:tc>
          <w:tcPr>
            <w:tcW w:w="1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1.90%</w:t>
            </w:r>
          </w:p>
        </w:tc>
      </w:tr>
      <w:tr>
        <w:trPr>
          <w:trHeight w:val="274"/>
        </w:trPr>
        <w:tc>
          <w:tcPr>
            <w:tcW w:w="2240" w:type="dxa"/>
            <w:vAlign w:val="bottom"/>
          </w:tcPr>
          <w:p>
            <w:pPr>
              <w:spacing w:after="0"/>
              <w:rPr>
                <w:sz w:val="20"/>
                <w:szCs w:val="20"/>
                <w:color w:val="auto"/>
              </w:rPr>
            </w:pPr>
            <w:r>
              <w:rPr>
                <w:rFonts w:ascii="Arial" w:cs="Arial" w:eastAsia="Arial" w:hAnsi="Arial"/>
                <w:sz w:val="20"/>
                <w:szCs w:val="20"/>
                <w:color w:val="auto"/>
              </w:rPr>
              <w:t>Development</w:t>
            </w:r>
          </w:p>
        </w:tc>
        <w:tc>
          <w:tcPr>
            <w:tcW w:w="760" w:type="dxa"/>
            <w:vAlign w:val="bottom"/>
          </w:tcPr>
          <w:p>
            <w:pPr>
              <w:spacing w:after="0"/>
              <w:rPr>
                <w:sz w:val="23"/>
                <w:szCs w:val="23"/>
                <w:color w:val="auto"/>
              </w:rPr>
            </w:pP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40,705</w:t>
            </w:r>
          </w:p>
        </w:tc>
        <w:tc>
          <w:tcPr>
            <w:tcW w:w="2040" w:type="dxa"/>
            <w:vAlign w:val="bottom"/>
          </w:tcPr>
          <w:p>
            <w:pPr>
              <w:jc w:val="right"/>
              <w:ind w:right="180"/>
              <w:spacing w:after="0"/>
              <w:rPr>
                <w:sz w:val="20"/>
                <w:szCs w:val="20"/>
                <w:color w:val="auto"/>
              </w:rPr>
            </w:pPr>
            <w:r>
              <w:rPr>
                <w:rFonts w:ascii="Arial" w:cs="Arial" w:eastAsia="Arial" w:hAnsi="Arial"/>
                <w:sz w:val="20"/>
                <w:szCs w:val="20"/>
                <w:color w:val="auto"/>
              </w:rPr>
              <w:t>3.00%</w:t>
            </w:r>
          </w:p>
        </w:tc>
        <w:tc>
          <w:tcPr>
            <w:tcW w:w="1760" w:type="dxa"/>
            <w:vAlign w:val="bottom"/>
          </w:tcPr>
          <w:p>
            <w:pPr>
              <w:jc w:val="right"/>
              <w:spacing w:after="0"/>
              <w:rPr>
                <w:sz w:val="20"/>
                <w:szCs w:val="20"/>
                <w:color w:val="auto"/>
              </w:rPr>
            </w:pPr>
            <w:r>
              <w:rPr>
                <w:rFonts w:ascii="Arial" w:cs="Arial" w:eastAsia="Arial" w:hAnsi="Arial"/>
                <w:sz w:val="20"/>
                <w:szCs w:val="20"/>
                <w:color w:val="auto"/>
              </w:rPr>
              <w:t>1.50%</w:t>
            </w:r>
          </w:p>
        </w:tc>
      </w:tr>
      <w:tr>
        <w:trPr>
          <w:trHeight w:val="41"/>
        </w:trPr>
        <w:tc>
          <w:tcPr>
            <w:tcW w:w="2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94"/>
        </w:trPr>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Auto Dealers</w:t>
            </w:r>
          </w:p>
        </w:tc>
        <w:tc>
          <w:tcPr>
            <w:tcW w:w="760" w:type="dxa"/>
            <w:vAlign w:val="bottom"/>
            <w:tcBorders>
              <w:bottom w:val="single" w:sz="8" w:color="CFF0FC"/>
            </w:tcBorders>
            <w:shd w:val="clear" w:color="auto" w:fill="CFF0FC"/>
          </w:tcPr>
          <w:p>
            <w:pPr>
              <w:spacing w:after="0"/>
              <w:rPr>
                <w:sz w:val="24"/>
                <w:szCs w:val="24"/>
                <w:color w:val="auto"/>
              </w:rPr>
            </w:pPr>
          </w:p>
        </w:tc>
        <w:tc>
          <w:tcPr>
            <w:tcW w:w="166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20"/>
                <w:szCs w:val="20"/>
                <w:color w:val="auto"/>
              </w:rPr>
              <w:t>28,490</w:t>
            </w:r>
          </w:p>
        </w:tc>
        <w:tc>
          <w:tcPr>
            <w:tcW w:w="204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2.10%</w:t>
            </w:r>
          </w:p>
        </w:tc>
        <w:tc>
          <w:tcPr>
            <w:tcW w:w="1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1.05%</w:t>
            </w:r>
          </w:p>
        </w:tc>
      </w:tr>
      <w:tr>
        <w:trPr>
          <w:trHeight w:val="274"/>
        </w:trPr>
        <w:tc>
          <w:tcPr>
            <w:tcW w:w="2240" w:type="dxa"/>
            <w:vAlign w:val="bottom"/>
          </w:tcPr>
          <w:p>
            <w:pPr>
              <w:spacing w:after="0"/>
              <w:rPr>
                <w:sz w:val="20"/>
                <w:szCs w:val="20"/>
                <w:color w:val="auto"/>
              </w:rPr>
            </w:pPr>
            <w:r>
              <w:rPr>
                <w:rFonts w:ascii="Arial" w:cs="Arial" w:eastAsia="Arial" w:hAnsi="Arial"/>
                <w:sz w:val="20"/>
                <w:szCs w:val="20"/>
                <w:color w:val="auto"/>
              </w:rPr>
              <w:t>Senior Living</w:t>
            </w:r>
          </w:p>
        </w:tc>
        <w:tc>
          <w:tcPr>
            <w:tcW w:w="760" w:type="dxa"/>
            <w:vAlign w:val="bottom"/>
          </w:tcPr>
          <w:p>
            <w:pPr>
              <w:spacing w:after="0"/>
              <w:rPr>
                <w:sz w:val="23"/>
                <w:szCs w:val="23"/>
                <w:color w:val="auto"/>
              </w:rPr>
            </w:pP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21,787</w:t>
            </w:r>
          </w:p>
        </w:tc>
        <w:tc>
          <w:tcPr>
            <w:tcW w:w="2040" w:type="dxa"/>
            <w:vAlign w:val="bottom"/>
          </w:tcPr>
          <w:p>
            <w:pPr>
              <w:jc w:val="right"/>
              <w:ind w:right="180"/>
              <w:spacing w:after="0"/>
              <w:rPr>
                <w:sz w:val="20"/>
                <w:szCs w:val="20"/>
                <w:color w:val="auto"/>
              </w:rPr>
            </w:pPr>
            <w:r>
              <w:rPr>
                <w:rFonts w:ascii="Arial" w:cs="Arial" w:eastAsia="Arial" w:hAnsi="Arial"/>
                <w:sz w:val="20"/>
                <w:szCs w:val="20"/>
                <w:color w:val="auto"/>
              </w:rPr>
              <w:t>1.61%</w:t>
            </w:r>
          </w:p>
        </w:tc>
        <w:tc>
          <w:tcPr>
            <w:tcW w:w="1760" w:type="dxa"/>
            <w:vAlign w:val="bottom"/>
          </w:tcPr>
          <w:p>
            <w:pPr>
              <w:jc w:val="right"/>
              <w:spacing w:after="0"/>
              <w:rPr>
                <w:sz w:val="20"/>
                <w:szCs w:val="20"/>
                <w:color w:val="auto"/>
              </w:rPr>
            </w:pPr>
            <w:r>
              <w:rPr>
                <w:rFonts w:ascii="Arial" w:cs="Arial" w:eastAsia="Arial" w:hAnsi="Arial"/>
                <w:sz w:val="20"/>
                <w:szCs w:val="20"/>
                <w:color w:val="auto"/>
              </w:rPr>
              <w:t>0.80%</w:t>
            </w:r>
          </w:p>
        </w:tc>
      </w:tr>
      <w:tr>
        <w:trPr>
          <w:trHeight w:val="41"/>
        </w:trPr>
        <w:tc>
          <w:tcPr>
            <w:tcW w:w="2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304"/>
        </w:trPr>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w:t>
            </w:r>
          </w:p>
        </w:tc>
        <w:tc>
          <w:tcPr>
            <w:tcW w:w="760" w:type="dxa"/>
            <w:vAlign w:val="bottom"/>
            <w:tcBorders>
              <w:bottom w:val="single" w:sz="8" w:color="CFF0FC"/>
            </w:tcBorders>
            <w:shd w:val="clear" w:color="auto" w:fill="CFF0FC"/>
          </w:tcPr>
          <w:p>
            <w:pPr>
              <w:spacing w:after="0"/>
              <w:rPr>
                <w:sz w:val="24"/>
                <w:szCs w:val="24"/>
                <w:color w:val="auto"/>
              </w:rPr>
            </w:pPr>
          </w:p>
        </w:tc>
        <w:tc>
          <w:tcPr>
            <w:tcW w:w="166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20"/>
                <w:szCs w:val="20"/>
                <w:color w:val="auto"/>
              </w:rPr>
              <w:t>96,243</w:t>
            </w:r>
          </w:p>
        </w:tc>
        <w:tc>
          <w:tcPr>
            <w:tcW w:w="204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7.10%</w:t>
            </w:r>
          </w:p>
        </w:tc>
        <w:tc>
          <w:tcPr>
            <w:tcW w:w="1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3.55%</w:t>
            </w:r>
          </w:p>
        </w:tc>
      </w:tr>
      <w:tr>
        <w:trPr>
          <w:trHeight w:val="296"/>
        </w:trPr>
        <w:tc>
          <w:tcPr>
            <w:tcW w:w="2240" w:type="dxa"/>
            <w:vAlign w:val="bottom"/>
          </w:tcPr>
          <w:p>
            <w:pPr>
              <w:ind w:left="80"/>
              <w:spacing w:after="0"/>
              <w:rPr>
                <w:sz w:val="20"/>
                <w:szCs w:val="20"/>
                <w:color w:val="auto"/>
              </w:rPr>
            </w:pPr>
            <w:r>
              <w:rPr>
                <w:rFonts w:ascii="Arial" w:cs="Arial" w:eastAsia="Arial" w:hAnsi="Arial"/>
                <w:sz w:val="20"/>
                <w:szCs w:val="20"/>
                <w:color w:val="auto"/>
              </w:rPr>
              <w:t>Total CRE</w:t>
            </w:r>
          </w:p>
        </w:tc>
        <w:tc>
          <w:tcPr>
            <w:tcW w:w="76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660" w:type="dxa"/>
            <w:vAlign w:val="bottom"/>
          </w:tcPr>
          <w:p>
            <w:pPr>
              <w:jc w:val="right"/>
              <w:ind w:right="260"/>
              <w:spacing w:after="0"/>
              <w:rPr>
                <w:sz w:val="20"/>
                <w:szCs w:val="20"/>
                <w:color w:val="auto"/>
              </w:rPr>
            </w:pPr>
            <w:r>
              <w:rPr>
                <w:rFonts w:ascii="Arial" w:cs="Arial" w:eastAsia="Arial" w:hAnsi="Arial"/>
                <w:sz w:val="20"/>
                <w:szCs w:val="20"/>
                <w:color w:val="auto"/>
              </w:rPr>
              <w:t>1,355,571</w:t>
            </w:r>
          </w:p>
        </w:tc>
        <w:tc>
          <w:tcPr>
            <w:tcW w:w="2040" w:type="dxa"/>
            <w:vAlign w:val="bottom"/>
          </w:tcPr>
          <w:p>
            <w:pPr>
              <w:jc w:val="right"/>
              <w:ind w:right="180"/>
              <w:spacing w:after="0"/>
              <w:rPr>
                <w:sz w:val="20"/>
                <w:szCs w:val="20"/>
                <w:color w:val="auto"/>
              </w:rPr>
            </w:pPr>
            <w:r>
              <w:rPr>
                <w:rFonts w:ascii="Arial" w:cs="Arial" w:eastAsia="Arial" w:hAnsi="Arial"/>
                <w:sz w:val="20"/>
                <w:szCs w:val="20"/>
                <w:color w:val="auto"/>
              </w:rPr>
              <w:t>100.00%</w:t>
            </w:r>
          </w:p>
        </w:tc>
        <w:tc>
          <w:tcPr>
            <w:tcW w:w="1760" w:type="dxa"/>
            <w:vAlign w:val="bottom"/>
          </w:tcPr>
          <w:p>
            <w:pPr>
              <w:jc w:val="right"/>
              <w:spacing w:after="0"/>
              <w:rPr>
                <w:sz w:val="20"/>
                <w:szCs w:val="20"/>
                <w:color w:val="auto"/>
              </w:rPr>
            </w:pPr>
            <w:r>
              <w:rPr>
                <w:rFonts w:ascii="Arial" w:cs="Arial" w:eastAsia="Arial" w:hAnsi="Arial"/>
                <w:sz w:val="20"/>
                <w:szCs w:val="20"/>
                <w:color w:val="auto"/>
              </w:rPr>
              <w:t>49.96%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-2396490</wp:posOffset>
            </wp:positionV>
            <wp:extent cx="525589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0">
                      <a:extLst>
                        <a:ext uri="{28A0092B-C50C-407E-A947-70E740481C1C}"/>
                      </a:extLst>
                    </a:blip>
                    <a:srcRect/>
                    <a:stretch>
                      <a:fillRect/>
                    </a:stretch>
                  </pic:blipFill>
                  <pic:spPr bwMode="auto">
                    <a:xfrm>
                      <a:off x="0" y="0"/>
                      <a:ext cx="5255895" cy="635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-193675</wp:posOffset>
            </wp:positionV>
            <wp:extent cx="365696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1">
                      <a:extLst>
                        <a:ext uri="{28A0092B-C50C-407E-A947-70E740481C1C}"/>
                      </a:extLst>
                    </a:blip>
                    <a:srcRect/>
                    <a:stretch>
                      <a:fillRect/>
                    </a:stretch>
                  </pic:blipFill>
                  <pic:spPr bwMode="auto">
                    <a:xfrm>
                      <a:off x="0" y="0"/>
                      <a:ext cx="3656965" cy="635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11430</wp:posOffset>
            </wp:positionV>
            <wp:extent cx="3542030" cy="285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2">
                      <a:extLst>
                        <a:ext uri="{28A0092B-C50C-407E-A947-70E740481C1C}"/>
                      </a:extLst>
                    </a:blip>
                    <a:srcRect/>
                    <a:stretch>
                      <a:fillRect/>
                    </a:stretch>
                  </pic:blipFill>
                  <pic:spPr bwMode="auto">
                    <a:xfrm>
                      <a:off x="0" y="0"/>
                      <a:ext cx="35420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25</w:t>
      </w:r>
    </w:p>
    <w:p>
      <w:pPr>
        <w:sectPr>
          <w:pgSz w:w="11900" w:h="16838" w:orient="portrait"/>
          <w:cols w:equalWidth="0" w:num="1">
            <w:col w:w="9400"/>
          </w:cols>
          <w:pgMar w:left="1260" w:top="1440" w:right="1246" w:bottom="0" w:gutter="0" w:footer="0" w:header="0"/>
          <w:type w:val="continuous"/>
        </w:sectPr>
      </w:pPr>
    </w:p>
    <w:bookmarkStart w:id="84" w:name="page85"/>
    <w:bookmarkEnd w:id="84"/>
    <w:p>
      <w:pPr>
        <w:spacing w:after="0" w:line="38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2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20" w:type="dxa"/>
            <w:vAlign w:val="bottom"/>
          </w:tcPr>
          <w:p>
            <w:pPr>
              <w:jc w:val="center"/>
              <w:ind w:right="220"/>
              <w:spacing w:after="0"/>
              <w:rPr>
                <w:sz w:val="20"/>
                <w:szCs w:val="20"/>
                <w:color w:val="auto"/>
              </w:rPr>
            </w:pPr>
            <w:r>
              <w:rPr>
                <w:rFonts w:ascii="Arial" w:cs="Arial" w:eastAsia="Arial" w:hAnsi="Arial"/>
                <w:sz w:val="20"/>
                <w:szCs w:val="20"/>
                <w:color w:val="auto"/>
                <w:w w:val="89"/>
              </w:rPr>
              <w:t>Percent of</w:t>
            </w:r>
          </w:p>
        </w:tc>
      </w:tr>
      <w:tr>
        <w:trPr>
          <w:trHeight w:val="300"/>
        </w:trPr>
        <w:tc>
          <w:tcPr>
            <w:tcW w:w="2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80" w:type="dxa"/>
            <w:vAlign w:val="bottom"/>
          </w:tcPr>
          <w:p>
            <w:pPr>
              <w:jc w:val="right"/>
              <w:ind w:right="1040"/>
              <w:spacing w:after="0"/>
              <w:rPr>
                <w:sz w:val="20"/>
                <w:szCs w:val="20"/>
                <w:color w:val="auto"/>
              </w:rPr>
            </w:pPr>
            <w:r>
              <w:rPr>
                <w:rFonts w:ascii="Arial" w:cs="Arial" w:eastAsia="Arial" w:hAnsi="Arial"/>
                <w:sz w:val="20"/>
                <w:szCs w:val="20"/>
                <w:color w:val="auto"/>
              </w:rPr>
              <w:t>Dollar</w:t>
            </w:r>
          </w:p>
        </w:tc>
        <w:tc>
          <w:tcPr>
            <w:tcW w:w="2020" w:type="dxa"/>
            <w:vAlign w:val="bottom"/>
          </w:tcPr>
          <w:p>
            <w:pPr>
              <w:jc w:val="center"/>
              <w:ind w:right="220"/>
              <w:spacing w:after="0"/>
              <w:rPr>
                <w:sz w:val="20"/>
                <w:szCs w:val="20"/>
                <w:color w:val="auto"/>
              </w:rPr>
            </w:pPr>
            <w:r>
              <w:rPr>
                <w:rFonts w:ascii="Arial" w:cs="Arial" w:eastAsia="Arial" w:hAnsi="Arial"/>
                <w:sz w:val="20"/>
                <w:szCs w:val="20"/>
                <w:color w:val="auto"/>
                <w:w w:val="89"/>
              </w:rPr>
              <w:t>CRE</w:t>
            </w:r>
          </w:p>
        </w:tc>
      </w:tr>
      <w:tr>
        <w:trPr>
          <w:trHeight w:val="351"/>
        </w:trPr>
        <w:tc>
          <w:tcPr>
            <w:tcW w:w="2620" w:type="dxa"/>
            <w:vAlign w:val="bottom"/>
          </w:tcPr>
          <w:p>
            <w:pPr>
              <w:ind w:left="740"/>
              <w:spacing w:after="0"/>
              <w:rPr>
                <w:sz w:val="20"/>
                <w:szCs w:val="20"/>
                <w:color w:val="auto"/>
              </w:rPr>
            </w:pPr>
            <w:r>
              <w:rPr>
                <w:rFonts w:ascii="Arial" w:cs="Arial" w:eastAsia="Arial" w:hAnsi="Arial"/>
                <w:sz w:val="20"/>
                <w:szCs w:val="20"/>
                <w:color w:val="auto"/>
              </w:rPr>
              <w:t>CRE Category</w:t>
            </w:r>
            <w:r>
              <w:rPr>
                <w:rFonts w:ascii="Arial" w:cs="Arial" w:eastAsia="Arial" w:hAnsi="Arial"/>
                <w:sz w:val="26"/>
                <w:szCs w:val="26"/>
                <w:color w:val="auto"/>
                <w:vertAlign w:val="superscript"/>
              </w:rPr>
              <w:t>(*)</w:t>
            </w:r>
          </w:p>
        </w:tc>
        <w:tc>
          <w:tcPr>
            <w:tcW w:w="900" w:type="dxa"/>
            <w:vAlign w:val="bottom"/>
          </w:tcPr>
          <w:p>
            <w:pPr>
              <w:spacing w:after="0"/>
              <w:rPr>
                <w:sz w:val="24"/>
                <w:szCs w:val="24"/>
                <w:color w:val="auto"/>
              </w:rPr>
            </w:pPr>
          </w:p>
        </w:tc>
        <w:tc>
          <w:tcPr>
            <w:tcW w:w="1980" w:type="dxa"/>
            <w:vAlign w:val="bottom"/>
          </w:tcPr>
          <w:p>
            <w:pPr>
              <w:jc w:val="right"/>
              <w:ind w:right="980"/>
              <w:spacing w:after="0"/>
              <w:rPr>
                <w:sz w:val="20"/>
                <w:szCs w:val="20"/>
                <w:color w:val="auto"/>
              </w:rPr>
            </w:pPr>
            <w:r>
              <w:rPr>
                <w:rFonts w:ascii="Arial" w:cs="Arial" w:eastAsia="Arial" w:hAnsi="Arial"/>
                <w:sz w:val="20"/>
                <w:szCs w:val="20"/>
                <w:color w:val="auto"/>
              </w:rPr>
              <w:t>Balance</w:t>
            </w:r>
          </w:p>
        </w:tc>
        <w:tc>
          <w:tcPr>
            <w:tcW w:w="2020" w:type="dxa"/>
            <w:vAlign w:val="bottom"/>
          </w:tcPr>
          <w:p>
            <w:pPr>
              <w:jc w:val="center"/>
              <w:ind w:right="160"/>
              <w:spacing w:after="0"/>
              <w:rPr>
                <w:sz w:val="20"/>
                <w:szCs w:val="20"/>
                <w:color w:val="auto"/>
              </w:rPr>
            </w:pPr>
            <w:r>
              <w:rPr>
                <w:rFonts w:ascii="Arial" w:cs="Arial" w:eastAsia="Arial" w:hAnsi="Arial"/>
                <w:sz w:val="20"/>
                <w:szCs w:val="20"/>
                <w:color w:val="auto"/>
                <w:w w:val="98"/>
              </w:rPr>
              <w:t>Portfolio</w:t>
            </w:r>
          </w:p>
        </w:tc>
      </w:tr>
      <w:tr>
        <w:trPr>
          <w:trHeight w:val="294"/>
        </w:trPr>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Owner occupied</w:t>
            </w:r>
          </w:p>
        </w:tc>
        <w:tc>
          <w:tcPr>
            <w:tcW w:w="90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980" w:type="dxa"/>
            <w:vAlign w:val="bottom"/>
            <w:tcBorders>
              <w:bottom w:val="single" w:sz="8" w:color="CFF0FC"/>
            </w:tcBorders>
            <w:shd w:val="clear" w:color="auto" w:fill="CFF0FC"/>
          </w:tcPr>
          <w:p>
            <w:pPr>
              <w:jc w:val="right"/>
              <w:ind w:right="360"/>
              <w:spacing w:after="0"/>
              <w:rPr>
                <w:sz w:val="20"/>
                <w:szCs w:val="20"/>
                <w:color w:val="auto"/>
              </w:rPr>
            </w:pPr>
            <w:r>
              <w:rPr>
                <w:rFonts w:ascii="Arial" w:cs="Arial" w:eastAsia="Arial" w:hAnsi="Arial"/>
                <w:sz w:val="20"/>
                <w:szCs w:val="20"/>
                <w:color w:val="auto"/>
              </w:rPr>
              <w:t>548,152</w:t>
            </w:r>
          </w:p>
        </w:tc>
        <w:tc>
          <w:tcPr>
            <w:tcW w:w="2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40.44%</w:t>
            </w:r>
          </w:p>
        </w:tc>
      </w:tr>
      <w:tr>
        <w:trPr>
          <w:trHeight w:val="274"/>
        </w:trPr>
        <w:tc>
          <w:tcPr>
            <w:tcW w:w="2620" w:type="dxa"/>
            <w:vAlign w:val="bottom"/>
          </w:tcPr>
          <w:p>
            <w:pPr>
              <w:spacing w:after="0"/>
              <w:rPr>
                <w:sz w:val="20"/>
                <w:szCs w:val="20"/>
                <w:color w:val="auto"/>
              </w:rPr>
            </w:pPr>
            <w:r>
              <w:rPr>
                <w:rFonts w:ascii="Arial" w:cs="Arial" w:eastAsia="Arial" w:hAnsi="Arial"/>
                <w:sz w:val="20"/>
                <w:szCs w:val="20"/>
                <w:color w:val="auto"/>
              </w:rPr>
              <w:t>Non-owner occupied</w:t>
            </w:r>
          </w:p>
        </w:tc>
        <w:tc>
          <w:tcPr>
            <w:tcW w:w="900" w:type="dxa"/>
            <w:vAlign w:val="bottom"/>
          </w:tcPr>
          <w:p>
            <w:pPr>
              <w:spacing w:after="0"/>
              <w:rPr>
                <w:sz w:val="23"/>
                <w:szCs w:val="23"/>
                <w:color w:val="auto"/>
              </w:rPr>
            </w:pPr>
          </w:p>
        </w:tc>
        <w:tc>
          <w:tcPr>
            <w:tcW w:w="1980" w:type="dxa"/>
            <w:vAlign w:val="bottom"/>
          </w:tcPr>
          <w:p>
            <w:pPr>
              <w:jc w:val="right"/>
              <w:ind w:right="360"/>
              <w:spacing w:after="0"/>
              <w:rPr>
                <w:sz w:val="20"/>
                <w:szCs w:val="20"/>
                <w:color w:val="auto"/>
              </w:rPr>
            </w:pPr>
            <w:r>
              <w:rPr>
                <w:rFonts w:ascii="Arial" w:cs="Arial" w:eastAsia="Arial" w:hAnsi="Arial"/>
                <w:sz w:val="20"/>
                <w:szCs w:val="20"/>
                <w:color w:val="auto"/>
              </w:rPr>
              <w:t>528,812</w:t>
            </w:r>
          </w:p>
        </w:tc>
        <w:tc>
          <w:tcPr>
            <w:tcW w:w="2020" w:type="dxa"/>
            <w:vAlign w:val="bottom"/>
          </w:tcPr>
          <w:p>
            <w:pPr>
              <w:jc w:val="right"/>
              <w:spacing w:after="0"/>
              <w:rPr>
                <w:sz w:val="20"/>
                <w:szCs w:val="20"/>
                <w:color w:val="auto"/>
              </w:rPr>
            </w:pPr>
            <w:r>
              <w:rPr>
                <w:rFonts w:ascii="Arial" w:cs="Arial" w:eastAsia="Arial" w:hAnsi="Arial"/>
                <w:sz w:val="20"/>
                <w:szCs w:val="20"/>
                <w:color w:val="auto"/>
              </w:rPr>
              <w:t>39.01%</w:t>
            </w:r>
          </w:p>
        </w:tc>
      </w:tr>
      <w:tr>
        <w:trPr>
          <w:trHeight w:val="41"/>
        </w:trPr>
        <w:tc>
          <w:tcPr>
            <w:tcW w:w="2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020" w:type="dxa"/>
            <w:vAlign w:val="bottom"/>
          </w:tcPr>
          <w:p>
            <w:pPr>
              <w:spacing w:after="0"/>
              <w:rPr>
                <w:sz w:val="3"/>
                <w:szCs w:val="3"/>
                <w:color w:val="auto"/>
              </w:rPr>
            </w:pPr>
          </w:p>
        </w:tc>
      </w:tr>
      <w:tr>
        <w:trPr>
          <w:trHeight w:val="294"/>
        </w:trPr>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Multi-family</w:t>
            </w:r>
          </w:p>
        </w:tc>
        <w:tc>
          <w:tcPr>
            <w:tcW w:w="900" w:type="dxa"/>
            <w:vAlign w:val="bottom"/>
            <w:tcBorders>
              <w:bottom w:val="single" w:sz="8" w:color="CFF0FC"/>
            </w:tcBorders>
            <w:shd w:val="clear" w:color="auto" w:fill="CFF0FC"/>
          </w:tcPr>
          <w:p>
            <w:pPr>
              <w:spacing w:after="0"/>
              <w:rPr>
                <w:sz w:val="24"/>
                <w:szCs w:val="24"/>
                <w:color w:val="auto"/>
              </w:rPr>
            </w:pPr>
          </w:p>
        </w:tc>
        <w:tc>
          <w:tcPr>
            <w:tcW w:w="1980" w:type="dxa"/>
            <w:vAlign w:val="bottom"/>
            <w:tcBorders>
              <w:bottom w:val="single" w:sz="8" w:color="CFF0FC"/>
            </w:tcBorders>
            <w:shd w:val="clear" w:color="auto" w:fill="CFF0FC"/>
          </w:tcPr>
          <w:p>
            <w:pPr>
              <w:jc w:val="right"/>
              <w:ind w:right="360"/>
              <w:spacing w:after="0"/>
              <w:rPr>
                <w:sz w:val="20"/>
                <w:szCs w:val="20"/>
                <w:color w:val="auto"/>
              </w:rPr>
            </w:pPr>
            <w:r>
              <w:rPr>
                <w:rFonts w:ascii="Arial" w:cs="Arial" w:eastAsia="Arial" w:hAnsi="Arial"/>
                <w:sz w:val="20"/>
                <w:szCs w:val="20"/>
                <w:color w:val="auto"/>
              </w:rPr>
              <w:t>237,902</w:t>
            </w:r>
          </w:p>
        </w:tc>
        <w:tc>
          <w:tcPr>
            <w:tcW w:w="2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17.55%</w:t>
            </w:r>
          </w:p>
        </w:tc>
      </w:tr>
      <w:tr>
        <w:trPr>
          <w:trHeight w:val="284"/>
        </w:trPr>
        <w:tc>
          <w:tcPr>
            <w:tcW w:w="2620" w:type="dxa"/>
            <w:vAlign w:val="bottom"/>
          </w:tcPr>
          <w:p>
            <w:pPr>
              <w:spacing w:after="0"/>
              <w:rPr>
                <w:sz w:val="20"/>
                <w:szCs w:val="20"/>
                <w:color w:val="auto"/>
              </w:rPr>
            </w:pPr>
            <w:r>
              <w:rPr>
                <w:rFonts w:ascii="Arial" w:cs="Arial" w:eastAsia="Arial" w:hAnsi="Arial"/>
                <w:sz w:val="20"/>
                <w:szCs w:val="20"/>
                <w:color w:val="auto"/>
              </w:rPr>
              <w:t>Land &amp; Development</w:t>
            </w:r>
          </w:p>
        </w:tc>
        <w:tc>
          <w:tcPr>
            <w:tcW w:w="900" w:type="dxa"/>
            <w:vAlign w:val="bottom"/>
          </w:tcPr>
          <w:p>
            <w:pPr>
              <w:spacing w:after="0"/>
              <w:rPr>
                <w:sz w:val="24"/>
                <w:szCs w:val="24"/>
                <w:color w:val="auto"/>
              </w:rPr>
            </w:pPr>
          </w:p>
        </w:tc>
        <w:tc>
          <w:tcPr>
            <w:tcW w:w="1980" w:type="dxa"/>
            <w:vAlign w:val="bottom"/>
          </w:tcPr>
          <w:p>
            <w:pPr>
              <w:jc w:val="right"/>
              <w:ind w:right="360"/>
              <w:spacing w:after="0"/>
              <w:rPr>
                <w:sz w:val="20"/>
                <w:szCs w:val="20"/>
                <w:color w:val="auto"/>
              </w:rPr>
            </w:pPr>
            <w:r>
              <w:rPr>
                <w:rFonts w:ascii="Arial" w:cs="Arial" w:eastAsia="Arial" w:hAnsi="Arial"/>
                <w:sz w:val="20"/>
                <w:szCs w:val="20"/>
                <w:color w:val="auto"/>
              </w:rPr>
              <w:t>40,705</w:t>
            </w:r>
          </w:p>
        </w:tc>
        <w:tc>
          <w:tcPr>
            <w:tcW w:w="2020" w:type="dxa"/>
            <w:vAlign w:val="bottom"/>
          </w:tcPr>
          <w:p>
            <w:pPr>
              <w:jc w:val="right"/>
              <w:spacing w:after="0"/>
              <w:rPr>
                <w:sz w:val="20"/>
                <w:szCs w:val="20"/>
                <w:color w:val="auto"/>
              </w:rPr>
            </w:pPr>
            <w:r>
              <w:rPr>
                <w:rFonts w:ascii="Arial" w:cs="Arial" w:eastAsia="Arial" w:hAnsi="Arial"/>
                <w:sz w:val="20"/>
                <w:szCs w:val="20"/>
                <w:color w:val="auto"/>
              </w:rPr>
              <w:t>3.00%</w:t>
            </w:r>
          </w:p>
        </w:tc>
      </w:tr>
      <w:tr>
        <w:trPr>
          <w:trHeight w:val="41"/>
        </w:trPr>
        <w:tc>
          <w:tcPr>
            <w:tcW w:w="2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020" w:type="dxa"/>
            <w:vAlign w:val="bottom"/>
          </w:tcPr>
          <w:p>
            <w:pPr>
              <w:spacing w:after="0"/>
              <w:rPr>
                <w:sz w:val="3"/>
                <w:szCs w:val="3"/>
                <w:color w:val="auto"/>
              </w:rPr>
            </w:pPr>
          </w:p>
        </w:tc>
      </w:tr>
      <w:tr>
        <w:trPr>
          <w:trHeight w:val="296"/>
        </w:trPr>
        <w:tc>
          <w:tcPr>
            <w:tcW w:w="2620" w:type="dxa"/>
            <w:vAlign w:val="bottom"/>
            <w:shd w:val="clear" w:color="auto" w:fill="CFF0FC"/>
          </w:tcPr>
          <w:p>
            <w:pPr>
              <w:ind w:left="80"/>
              <w:spacing w:after="0"/>
              <w:rPr>
                <w:sz w:val="20"/>
                <w:szCs w:val="20"/>
                <w:color w:val="auto"/>
              </w:rPr>
            </w:pPr>
            <w:r>
              <w:rPr>
                <w:rFonts w:ascii="Arial" w:cs="Arial" w:eastAsia="Arial" w:hAnsi="Arial"/>
                <w:sz w:val="20"/>
                <w:szCs w:val="20"/>
                <w:color w:val="auto"/>
              </w:rPr>
              <w:t>Total CRE</w:t>
            </w:r>
          </w:p>
        </w:tc>
        <w:tc>
          <w:tcPr>
            <w:tcW w:w="900" w:type="dxa"/>
            <w:vAlign w:val="bottom"/>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980" w:type="dxa"/>
            <w:vAlign w:val="bottom"/>
            <w:shd w:val="clear" w:color="auto" w:fill="CFF0FC"/>
          </w:tcPr>
          <w:p>
            <w:pPr>
              <w:jc w:val="right"/>
              <w:ind w:right="360"/>
              <w:spacing w:after="0"/>
              <w:rPr>
                <w:sz w:val="20"/>
                <w:szCs w:val="20"/>
                <w:color w:val="auto"/>
              </w:rPr>
            </w:pPr>
            <w:r>
              <w:rPr>
                <w:rFonts w:ascii="Arial" w:cs="Arial" w:eastAsia="Arial" w:hAnsi="Arial"/>
                <w:sz w:val="20"/>
                <w:szCs w:val="20"/>
                <w:color w:val="auto"/>
              </w:rPr>
              <w:t>1,355,571</w:t>
            </w:r>
          </w:p>
        </w:tc>
        <w:tc>
          <w:tcPr>
            <w:tcW w:w="2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100.00%</w:t>
            </w:r>
          </w:p>
        </w:tc>
      </w:tr>
      <w:tr>
        <w:trPr>
          <w:trHeight w:val="63"/>
        </w:trPr>
        <w:tc>
          <w:tcPr>
            <w:tcW w:w="26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1980" w:type="dxa"/>
            <w:vAlign w:val="bottom"/>
            <w:shd w:val="clear" w:color="auto" w:fill="CFF0FC"/>
          </w:tcPr>
          <w:p>
            <w:pPr>
              <w:spacing w:after="0"/>
              <w:rPr>
                <w:sz w:val="5"/>
                <w:szCs w:val="5"/>
                <w:color w:val="auto"/>
              </w:rPr>
            </w:pPr>
          </w:p>
        </w:tc>
        <w:tc>
          <w:tcPr>
            <w:tcW w:w="2020" w:type="dxa"/>
            <w:vAlign w:val="bottom"/>
            <w:shd w:val="clear" w:color="auto" w:fill="CFF0FC"/>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-1038860</wp:posOffset>
            </wp:positionV>
            <wp:extent cx="465899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3">
                      <a:extLst>
                        <a:ext uri="{28A0092B-C50C-407E-A947-70E740481C1C}"/>
                      </a:extLst>
                    </a:blip>
                    <a:srcRect/>
                    <a:stretch>
                      <a:fillRect/>
                    </a:stretch>
                  </pic:blipFill>
                  <pic:spPr bwMode="auto">
                    <a:xfrm>
                      <a:off x="0" y="0"/>
                      <a:ext cx="4658995" cy="6350"/>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-233680</wp:posOffset>
            </wp:positionV>
            <wp:extent cx="265049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4">
                      <a:extLst>
                        <a:ext uri="{28A0092B-C50C-407E-A947-70E740481C1C}"/>
                      </a:extLst>
                    </a:blip>
                    <a:srcRect/>
                    <a:stretch>
                      <a:fillRect/>
                    </a:stretch>
                  </pic:blipFill>
                  <pic:spPr bwMode="auto">
                    <a:xfrm>
                      <a:off x="0" y="0"/>
                      <a:ext cx="2650490" cy="6350"/>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-27940</wp:posOffset>
            </wp:positionV>
            <wp:extent cx="2765425" cy="285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5">
                      <a:extLst>
                        <a:ext uri="{28A0092B-C50C-407E-A947-70E740481C1C}"/>
                      </a:extLst>
                    </a:blip>
                    <a:srcRect/>
                    <a:stretch>
                      <a:fillRect/>
                    </a:stretch>
                  </pic:blipFill>
                  <pic:spPr bwMode="auto">
                    <a:xfrm>
                      <a:off x="0" y="0"/>
                      <a:ext cx="2765425" cy="28575"/>
                    </a:xfrm>
                    <a:prstGeom prst="rect">
                      <a:avLst/>
                    </a:prstGeom>
                    <a:noFill/>
                  </pic:spPr>
                </pic:pic>
              </a:graphicData>
            </a:graphic>
          </wp:anchor>
        </w:drawing>
      </w:r>
    </w:p>
    <w:p>
      <w:pPr>
        <w:spacing w:after="0" w:line="348" w:lineRule="exact"/>
        <w:rPr>
          <w:sz w:val="20"/>
          <w:szCs w:val="20"/>
          <w:color w:val="auto"/>
        </w:rPr>
      </w:pPr>
    </w:p>
    <w:p>
      <w:pPr>
        <w:ind w:left="900" w:hanging="1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Categories assume construction loans converted to either owner or non-owner occupied.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22 / 25</w:t>
      </w:r>
    </w:p>
    <w:p>
      <w:pPr>
        <w:sectPr>
          <w:pgSz w:w="11900" w:h="16838" w:orient="portrait"/>
          <w:cols w:equalWidth="0" w:num="1">
            <w:col w:w="9026"/>
          </w:cols>
          <w:pgMar w:left="1440" w:top="1440" w:right="1440" w:bottom="0" w:gutter="0" w:footer="0" w:header="0"/>
          <w:type w:val="continuous"/>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20" w:type="dxa"/>
            <w:vAlign w:val="bottom"/>
          </w:tcPr>
          <w:p>
            <w:pPr>
              <w:jc w:val="center"/>
              <w:ind w:right="220"/>
              <w:spacing w:after="0"/>
              <w:rPr>
                <w:sz w:val="20"/>
                <w:szCs w:val="20"/>
                <w:color w:val="auto"/>
              </w:rPr>
            </w:pPr>
            <w:r>
              <w:rPr>
                <w:rFonts w:ascii="Arial" w:cs="Arial" w:eastAsia="Arial" w:hAnsi="Arial"/>
                <w:sz w:val="20"/>
                <w:szCs w:val="20"/>
                <w:color w:val="auto"/>
                <w:w w:val="89"/>
              </w:rPr>
              <w:t>Percent of</w:t>
            </w:r>
          </w:p>
        </w:tc>
      </w:tr>
      <w:tr>
        <w:trPr>
          <w:trHeight w:val="300"/>
        </w:trPr>
        <w:tc>
          <w:tcPr>
            <w:tcW w:w="2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tcPr>
          <w:p>
            <w:pPr>
              <w:jc w:val="right"/>
              <w:ind w:right="1040"/>
              <w:spacing w:after="0"/>
              <w:rPr>
                <w:sz w:val="20"/>
                <w:szCs w:val="20"/>
                <w:color w:val="auto"/>
              </w:rPr>
            </w:pPr>
            <w:r>
              <w:rPr>
                <w:rFonts w:ascii="Arial" w:cs="Arial" w:eastAsia="Arial" w:hAnsi="Arial"/>
                <w:sz w:val="20"/>
                <w:szCs w:val="20"/>
                <w:color w:val="auto"/>
              </w:rPr>
              <w:t>Dollar</w:t>
            </w:r>
          </w:p>
        </w:tc>
        <w:tc>
          <w:tcPr>
            <w:tcW w:w="2020" w:type="dxa"/>
            <w:vAlign w:val="bottom"/>
          </w:tcPr>
          <w:p>
            <w:pPr>
              <w:jc w:val="center"/>
              <w:ind w:right="220"/>
              <w:spacing w:after="0"/>
              <w:rPr>
                <w:sz w:val="20"/>
                <w:szCs w:val="20"/>
                <w:color w:val="auto"/>
              </w:rPr>
            </w:pPr>
            <w:r>
              <w:rPr>
                <w:rFonts w:ascii="Arial" w:cs="Arial" w:eastAsia="Arial" w:hAnsi="Arial"/>
                <w:sz w:val="20"/>
                <w:szCs w:val="20"/>
                <w:color w:val="auto"/>
                <w:w w:val="89"/>
              </w:rPr>
              <w:t>CRE</w:t>
            </w:r>
          </w:p>
        </w:tc>
      </w:tr>
      <w:tr>
        <w:trPr>
          <w:trHeight w:val="300"/>
        </w:trPr>
        <w:tc>
          <w:tcPr>
            <w:tcW w:w="2740" w:type="dxa"/>
            <w:vAlign w:val="bottom"/>
          </w:tcPr>
          <w:p>
            <w:pPr>
              <w:ind w:left="1040"/>
              <w:spacing w:after="0"/>
              <w:rPr>
                <w:sz w:val="20"/>
                <w:szCs w:val="20"/>
                <w:color w:val="auto"/>
              </w:rPr>
            </w:pPr>
            <w:r>
              <w:rPr>
                <w:rFonts w:ascii="Arial" w:cs="Arial" w:eastAsia="Arial" w:hAnsi="Arial"/>
                <w:sz w:val="20"/>
                <w:szCs w:val="20"/>
                <w:color w:val="auto"/>
              </w:rPr>
              <w:t>Location</w:t>
            </w:r>
          </w:p>
        </w:tc>
        <w:tc>
          <w:tcPr>
            <w:tcW w:w="780" w:type="dxa"/>
            <w:vAlign w:val="bottom"/>
          </w:tcPr>
          <w:p>
            <w:pPr>
              <w:spacing w:after="0"/>
              <w:rPr>
                <w:sz w:val="24"/>
                <w:szCs w:val="24"/>
                <w:color w:val="auto"/>
              </w:rPr>
            </w:pPr>
          </w:p>
        </w:tc>
        <w:tc>
          <w:tcPr>
            <w:tcW w:w="1980" w:type="dxa"/>
            <w:vAlign w:val="bottom"/>
          </w:tcPr>
          <w:p>
            <w:pPr>
              <w:jc w:val="right"/>
              <w:ind w:right="980"/>
              <w:spacing w:after="0"/>
              <w:rPr>
                <w:sz w:val="20"/>
                <w:szCs w:val="20"/>
                <w:color w:val="auto"/>
              </w:rPr>
            </w:pPr>
            <w:r>
              <w:rPr>
                <w:rFonts w:ascii="Arial" w:cs="Arial" w:eastAsia="Arial" w:hAnsi="Arial"/>
                <w:sz w:val="20"/>
                <w:szCs w:val="20"/>
                <w:color w:val="auto"/>
              </w:rPr>
              <w:t>Balance</w:t>
            </w:r>
          </w:p>
        </w:tc>
        <w:tc>
          <w:tcPr>
            <w:tcW w:w="2020" w:type="dxa"/>
            <w:vAlign w:val="bottom"/>
          </w:tcPr>
          <w:p>
            <w:pPr>
              <w:jc w:val="center"/>
              <w:ind w:right="160"/>
              <w:spacing w:after="0"/>
              <w:rPr>
                <w:sz w:val="20"/>
                <w:szCs w:val="20"/>
                <w:color w:val="auto"/>
              </w:rPr>
            </w:pPr>
            <w:r>
              <w:rPr>
                <w:rFonts w:ascii="Arial" w:cs="Arial" w:eastAsia="Arial" w:hAnsi="Arial"/>
                <w:sz w:val="20"/>
                <w:szCs w:val="20"/>
                <w:color w:val="auto"/>
                <w:w w:val="98"/>
              </w:rPr>
              <w:t>Portfolio</w:t>
            </w:r>
          </w:p>
        </w:tc>
      </w:tr>
      <w:tr>
        <w:trPr>
          <w:trHeight w:val="51"/>
        </w:trPr>
        <w:tc>
          <w:tcPr>
            <w:tcW w:w="2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94"/>
        </w:trPr>
        <w:tc>
          <w:tcPr>
            <w:tcW w:w="2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Southeast Michigan</w:t>
            </w:r>
          </w:p>
        </w:tc>
        <w:tc>
          <w:tcPr>
            <w:tcW w:w="78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980" w:type="dxa"/>
            <w:vAlign w:val="bottom"/>
            <w:tcBorders>
              <w:bottom w:val="single" w:sz="8" w:color="CFF0FC"/>
            </w:tcBorders>
            <w:shd w:val="clear" w:color="auto" w:fill="CFF0FC"/>
          </w:tcPr>
          <w:p>
            <w:pPr>
              <w:jc w:val="right"/>
              <w:ind w:right="360"/>
              <w:spacing w:after="0"/>
              <w:rPr>
                <w:sz w:val="20"/>
                <w:szCs w:val="20"/>
                <w:color w:val="auto"/>
              </w:rPr>
            </w:pPr>
            <w:r>
              <w:rPr>
                <w:rFonts w:ascii="Arial" w:cs="Arial" w:eastAsia="Arial" w:hAnsi="Arial"/>
                <w:sz w:val="20"/>
                <w:szCs w:val="20"/>
                <w:color w:val="auto"/>
              </w:rPr>
              <w:t>494,950</w:t>
            </w:r>
          </w:p>
        </w:tc>
        <w:tc>
          <w:tcPr>
            <w:tcW w:w="2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36.51%</w:t>
            </w:r>
          </w:p>
        </w:tc>
      </w:tr>
      <w:tr>
        <w:trPr>
          <w:trHeight w:val="274"/>
        </w:trPr>
        <w:tc>
          <w:tcPr>
            <w:tcW w:w="2740" w:type="dxa"/>
            <w:vAlign w:val="bottom"/>
          </w:tcPr>
          <w:p>
            <w:pPr>
              <w:spacing w:after="0"/>
              <w:rPr>
                <w:sz w:val="20"/>
                <w:szCs w:val="20"/>
                <w:color w:val="auto"/>
              </w:rPr>
            </w:pPr>
            <w:r>
              <w:rPr>
                <w:rFonts w:ascii="Arial" w:cs="Arial" w:eastAsia="Arial" w:hAnsi="Arial"/>
                <w:sz w:val="20"/>
                <w:szCs w:val="20"/>
                <w:color w:val="auto"/>
              </w:rPr>
              <w:t>Northwest Ohio</w:t>
            </w:r>
          </w:p>
        </w:tc>
        <w:tc>
          <w:tcPr>
            <w:tcW w:w="780" w:type="dxa"/>
            <w:vAlign w:val="bottom"/>
          </w:tcPr>
          <w:p>
            <w:pPr>
              <w:spacing w:after="0"/>
              <w:rPr>
                <w:sz w:val="23"/>
                <w:szCs w:val="23"/>
                <w:color w:val="auto"/>
              </w:rPr>
            </w:pPr>
          </w:p>
        </w:tc>
        <w:tc>
          <w:tcPr>
            <w:tcW w:w="1980" w:type="dxa"/>
            <w:vAlign w:val="bottom"/>
          </w:tcPr>
          <w:p>
            <w:pPr>
              <w:jc w:val="right"/>
              <w:ind w:right="360"/>
              <w:spacing w:after="0"/>
              <w:rPr>
                <w:sz w:val="20"/>
                <w:szCs w:val="20"/>
                <w:color w:val="auto"/>
              </w:rPr>
            </w:pPr>
            <w:r>
              <w:rPr>
                <w:rFonts w:ascii="Arial" w:cs="Arial" w:eastAsia="Arial" w:hAnsi="Arial"/>
                <w:sz w:val="20"/>
                <w:szCs w:val="20"/>
                <w:color w:val="auto"/>
              </w:rPr>
              <w:t>305,414</w:t>
            </w:r>
          </w:p>
        </w:tc>
        <w:tc>
          <w:tcPr>
            <w:tcW w:w="2020" w:type="dxa"/>
            <w:vAlign w:val="bottom"/>
          </w:tcPr>
          <w:p>
            <w:pPr>
              <w:jc w:val="right"/>
              <w:spacing w:after="0"/>
              <w:rPr>
                <w:sz w:val="20"/>
                <w:szCs w:val="20"/>
                <w:color w:val="auto"/>
              </w:rPr>
            </w:pPr>
            <w:r>
              <w:rPr>
                <w:rFonts w:ascii="Arial" w:cs="Arial" w:eastAsia="Arial" w:hAnsi="Arial"/>
                <w:sz w:val="20"/>
                <w:szCs w:val="20"/>
                <w:color w:val="auto"/>
              </w:rPr>
              <w:t>22.53%</w:t>
            </w:r>
          </w:p>
        </w:tc>
      </w:tr>
      <w:tr>
        <w:trPr>
          <w:trHeight w:val="41"/>
        </w:trPr>
        <w:tc>
          <w:tcPr>
            <w:tcW w:w="2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020" w:type="dxa"/>
            <w:vAlign w:val="bottom"/>
          </w:tcPr>
          <w:p>
            <w:pPr>
              <w:spacing w:after="0"/>
              <w:rPr>
                <w:sz w:val="3"/>
                <w:szCs w:val="3"/>
                <w:color w:val="auto"/>
              </w:rPr>
            </w:pPr>
          </w:p>
        </w:tc>
      </w:tr>
      <w:tr>
        <w:trPr>
          <w:trHeight w:val="294"/>
        </w:trPr>
        <w:tc>
          <w:tcPr>
            <w:tcW w:w="2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Fort Wayne, Indiana</w:t>
            </w:r>
          </w:p>
        </w:tc>
        <w:tc>
          <w:tcPr>
            <w:tcW w:w="780" w:type="dxa"/>
            <w:vAlign w:val="bottom"/>
            <w:tcBorders>
              <w:bottom w:val="single" w:sz="8" w:color="CFF0FC"/>
            </w:tcBorders>
            <w:shd w:val="clear" w:color="auto" w:fill="CFF0FC"/>
          </w:tcPr>
          <w:p>
            <w:pPr>
              <w:spacing w:after="0"/>
              <w:rPr>
                <w:sz w:val="24"/>
                <w:szCs w:val="24"/>
                <w:color w:val="auto"/>
              </w:rPr>
            </w:pPr>
          </w:p>
        </w:tc>
        <w:tc>
          <w:tcPr>
            <w:tcW w:w="1980" w:type="dxa"/>
            <w:vAlign w:val="bottom"/>
            <w:tcBorders>
              <w:bottom w:val="single" w:sz="8" w:color="CFF0FC"/>
            </w:tcBorders>
            <w:shd w:val="clear" w:color="auto" w:fill="CFF0FC"/>
          </w:tcPr>
          <w:p>
            <w:pPr>
              <w:jc w:val="right"/>
              <w:ind w:right="360"/>
              <w:spacing w:after="0"/>
              <w:rPr>
                <w:sz w:val="20"/>
                <w:szCs w:val="20"/>
                <w:color w:val="auto"/>
              </w:rPr>
            </w:pPr>
            <w:r>
              <w:rPr>
                <w:rFonts w:ascii="Arial" w:cs="Arial" w:eastAsia="Arial" w:hAnsi="Arial"/>
                <w:sz w:val="20"/>
                <w:szCs w:val="20"/>
                <w:color w:val="auto"/>
              </w:rPr>
              <w:t>153,824</w:t>
            </w:r>
          </w:p>
        </w:tc>
        <w:tc>
          <w:tcPr>
            <w:tcW w:w="2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11.35%</w:t>
            </w:r>
          </w:p>
        </w:tc>
      </w:tr>
      <w:tr>
        <w:trPr>
          <w:trHeight w:val="274"/>
        </w:trPr>
        <w:tc>
          <w:tcPr>
            <w:tcW w:w="2740" w:type="dxa"/>
            <w:vAlign w:val="bottom"/>
          </w:tcPr>
          <w:p>
            <w:pPr>
              <w:spacing w:after="0"/>
              <w:rPr>
                <w:sz w:val="20"/>
                <w:szCs w:val="20"/>
                <w:color w:val="auto"/>
              </w:rPr>
            </w:pPr>
            <w:r>
              <w:rPr>
                <w:rFonts w:ascii="Arial" w:cs="Arial" w:eastAsia="Arial" w:hAnsi="Arial"/>
                <w:sz w:val="20"/>
                <w:szCs w:val="20"/>
                <w:color w:val="auto"/>
              </w:rPr>
              <w:t>Columbus, Ohio</w:t>
            </w:r>
          </w:p>
        </w:tc>
        <w:tc>
          <w:tcPr>
            <w:tcW w:w="780" w:type="dxa"/>
            <w:vAlign w:val="bottom"/>
          </w:tcPr>
          <w:p>
            <w:pPr>
              <w:spacing w:after="0"/>
              <w:rPr>
                <w:sz w:val="23"/>
                <w:szCs w:val="23"/>
                <w:color w:val="auto"/>
              </w:rPr>
            </w:pPr>
          </w:p>
        </w:tc>
        <w:tc>
          <w:tcPr>
            <w:tcW w:w="1980" w:type="dxa"/>
            <w:vAlign w:val="bottom"/>
          </w:tcPr>
          <w:p>
            <w:pPr>
              <w:jc w:val="right"/>
              <w:ind w:right="360"/>
              <w:spacing w:after="0"/>
              <w:rPr>
                <w:sz w:val="20"/>
                <w:szCs w:val="20"/>
                <w:color w:val="auto"/>
              </w:rPr>
            </w:pPr>
            <w:r>
              <w:rPr>
                <w:rFonts w:ascii="Arial" w:cs="Arial" w:eastAsia="Arial" w:hAnsi="Arial"/>
                <w:sz w:val="20"/>
                <w:szCs w:val="20"/>
                <w:color w:val="auto"/>
              </w:rPr>
              <w:t>120,649</w:t>
            </w:r>
          </w:p>
        </w:tc>
        <w:tc>
          <w:tcPr>
            <w:tcW w:w="2020" w:type="dxa"/>
            <w:vAlign w:val="bottom"/>
          </w:tcPr>
          <w:p>
            <w:pPr>
              <w:jc w:val="right"/>
              <w:spacing w:after="0"/>
              <w:rPr>
                <w:sz w:val="20"/>
                <w:szCs w:val="20"/>
                <w:color w:val="auto"/>
              </w:rPr>
            </w:pPr>
            <w:r>
              <w:rPr>
                <w:rFonts w:ascii="Arial" w:cs="Arial" w:eastAsia="Arial" w:hAnsi="Arial"/>
                <w:sz w:val="20"/>
                <w:szCs w:val="20"/>
                <w:color w:val="auto"/>
              </w:rPr>
              <w:t>8.90%</w:t>
            </w:r>
          </w:p>
        </w:tc>
      </w:tr>
      <w:tr>
        <w:trPr>
          <w:trHeight w:val="41"/>
        </w:trPr>
        <w:tc>
          <w:tcPr>
            <w:tcW w:w="2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020" w:type="dxa"/>
            <w:vAlign w:val="bottom"/>
          </w:tcPr>
          <w:p>
            <w:pPr>
              <w:spacing w:after="0"/>
              <w:rPr>
                <w:sz w:val="3"/>
                <w:szCs w:val="3"/>
                <w:color w:val="auto"/>
              </w:rPr>
            </w:pPr>
          </w:p>
        </w:tc>
      </w:tr>
      <w:tr>
        <w:trPr>
          <w:trHeight w:val="294"/>
        </w:trPr>
        <w:tc>
          <w:tcPr>
            <w:tcW w:w="2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Greater Indianapolis, Indiana</w:t>
            </w:r>
          </w:p>
        </w:tc>
        <w:tc>
          <w:tcPr>
            <w:tcW w:w="780" w:type="dxa"/>
            <w:vAlign w:val="bottom"/>
            <w:tcBorders>
              <w:bottom w:val="single" w:sz="8" w:color="CFF0FC"/>
            </w:tcBorders>
            <w:shd w:val="clear" w:color="auto" w:fill="CFF0FC"/>
          </w:tcPr>
          <w:p>
            <w:pPr>
              <w:spacing w:after="0"/>
              <w:rPr>
                <w:sz w:val="24"/>
                <w:szCs w:val="24"/>
                <w:color w:val="auto"/>
              </w:rPr>
            </w:pPr>
          </w:p>
        </w:tc>
        <w:tc>
          <w:tcPr>
            <w:tcW w:w="1980" w:type="dxa"/>
            <w:vAlign w:val="bottom"/>
            <w:tcBorders>
              <w:bottom w:val="single" w:sz="8" w:color="CFF0FC"/>
            </w:tcBorders>
            <w:shd w:val="clear" w:color="auto" w:fill="CFF0FC"/>
          </w:tcPr>
          <w:p>
            <w:pPr>
              <w:jc w:val="right"/>
              <w:ind w:right="360"/>
              <w:spacing w:after="0"/>
              <w:rPr>
                <w:sz w:val="20"/>
                <w:szCs w:val="20"/>
                <w:color w:val="auto"/>
              </w:rPr>
            </w:pPr>
            <w:r>
              <w:rPr>
                <w:rFonts w:ascii="Arial" w:cs="Arial" w:eastAsia="Arial" w:hAnsi="Arial"/>
                <w:sz w:val="20"/>
                <w:szCs w:val="20"/>
                <w:color w:val="auto"/>
              </w:rPr>
              <w:t>88,343</w:t>
            </w:r>
          </w:p>
        </w:tc>
        <w:tc>
          <w:tcPr>
            <w:tcW w:w="2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6.52%</w:t>
            </w:r>
          </w:p>
        </w:tc>
      </w:tr>
      <w:tr>
        <w:trPr>
          <w:trHeight w:val="274"/>
        </w:trPr>
        <w:tc>
          <w:tcPr>
            <w:tcW w:w="2740" w:type="dxa"/>
            <w:vAlign w:val="bottom"/>
          </w:tcPr>
          <w:p>
            <w:pPr>
              <w:spacing w:after="0"/>
              <w:rPr>
                <w:sz w:val="20"/>
                <w:szCs w:val="20"/>
                <w:color w:val="auto"/>
              </w:rPr>
            </w:pPr>
            <w:r>
              <w:rPr>
                <w:rFonts w:ascii="Arial" w:cs="Arial" w:eastAsia="Arial" w:hAnsi="Arial"/>
                <w:sz w:val="20"/>
                <w:szCs w:val="20"/>
                <w:color w:val="auto"/>
              </w:rPr>
              <w:t>Dayton/Cincinnati, Ohio</w:t>
            </w:r>
          </w:p>
        </w:tc>
        <w:tc>
          <w:tcPr>
            <w:tcW w:w="780" w:type="dxa"/>
            <w:vAlign w:val="bottom"/>
          </w:tcPr>
          <w:p>
            <w:pPr>
              <w:spacing w:after="0"/>
              <w:rPr>
                <w:sz w:val="23"/>
                <w:szCs w:val="23"/>
                <w:color w:val="auto"/>
              </w:rPr>
            </w:pPr>
          </w:p>
        </w:tc>
        <w:tc>
          <w:tcPr>
            <w:tcW w:w="1980" w:type="dxa"/>
            <w:vAlign w:val="bottom"/>
          </w:tcPr>
          <w:p>
            <w:pPr>
              <w:jc w:val="right"/>
              <w:ind w:right="360"/>
              <w:spacing w:after="0"/>
              <w:rPr>
                <w:sz w:val="20"/>
                <w:szCs w:val="20"/>
                <w:color w:val="auto"/>
              </w:rPr>
            </w:pPr>
            <w:r>
              <w:rPr>
                <w:rFonts w:ascii="Arial" w:cs="Arial" w:eastAsia="Arial" w:hAnsi="Arial"/>
                <w:sz w:val="20"/>
                <w:szCs w:val="20"/>
                <w:color w:val="auto"/>
              </w:rPr>
              <w:t>61,625</w:t>
            </w:r>
          </w:p>
        </w:tc>
        <w:tc>
          <w:tcPr>
            <w:tcW w:w="2020" w:type="dxa"/>
            <w:vAlign w:val="bottom"/>
          </w:tcPr>
          <w:p>
            <w:pPr>
              <w:jc w:val="right"/>
              <w:spacing w:after="0"/>
              <w:rPr>
                <w:sz w:val="20"/>
                <w:szCs w:val="20"/>
                <w:color w:val="auto"/>
              </w:rPr>
            </w:pPr>
            <w:r>
              <w:rPr>
                <w:rFonts w:ascii="Arial" w:cs="Arial" w:eastAsia="Arial" w:hAnsi="Arial"/>
                <w:sz w:val="20"/>
                <w:szCs w:val="20"/>
                <w:color w:val="auto"/>
              </w:rPr>
              <w:t>4.54%</w:t>
            </w:r>
          </w:p>
        </w:tc>
      </w:tr>
      <w:tr>
        <w:trPr>
          <w:trHeight w:val="41"/>
        </w:trPr>
        <w:tc>
          <w:tcPr>
            <w:tcW w:w="2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020" w:type="dxa"/>
            <w:vAlign w:val="bottom"/>
          </w:tcPr>
          <w:p>
            <w:pPr>
              <w:spacing w:after="0"/>
              <w:rPr>
                <w:sz w:val="3"/>
                <w:szCs w:val="3"/>
                <w:color w:val="auto"/>
              </w:rPr>
            </w:pPr>
          </w:p>
        </w:tc>
      </w:tr>
      <w:tr>
        <w:trPr>
          <w:trHeight w:val="304"/>
        </w:trPr>
        <w:tc>
          <w:tcPr>
            <w:tcW w:w="2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w:t>
            </w:r>
          </w:p>
        </w:tc>
        <w:tc>
          <w:tcPr>
            <w:tcW w:w="780" w:type="dxa"/>
            <w:vAlign w:val="bottom"/>
            <w:tcBorders>
              <w:bottom w:val="single" w:sz="8" w:color="CFF0FC"/>
            </w:tcBorders>
            <w:shd w:val="clear" w:color="auto" w:fill="CFF0FC"/>
          </w:tcPr>
          <w:p>
            <w:pPr>
              <w:spacing w:after="0"/>
              <w:rPr>
                <w:sz w:val="24"/>
                <w:szCs w:val="24"/>
                <w:color w:val="auto"/>
              </w:rPr>
            </w:pPr>
          </w:p>
        </w:tc>
        <w:tc>
          <w:tcPr>
            <w:tcW w:w="1980" w:type="dxa"/>
            <w:vAlign w:val="bottom"/>
            <w:tcBorders>
              <w:bottom w:val="single" w:sz="8" w:color="CFF0FC"/>
            </w:tcBorders>
            <w:shd w:val="clear" w:color="auto" w:fill="CFF0FC"/>
          </w:tcPr>
          <w:p>
            <w:pPr>
              <w:jc w:val="right"/>
              <w:ind w:right="360"/>
              <w:spacing w:after="0"/>
              <w:rPr>
                <w:sz w:val="20"/>
                <w:szCs w:val="20"/>
                <w:color w:val="auto"/>
              </w:rPr>
            </w:pPr>
            <w:r>
              <w:rPr>
                <w:rFonts w:ascii="Arial" w:cs="Arial" w:eastAsia="Arial" w:hAnsi="Arial"/>
                <w:sz w:val="20"/>
                <w:szCs w:val="20"/>
                <w:color w:val="auto"/>
              </w:rPr>
              <w:t>130,766</w:t>
            </w:r>
          </w:p>
        </w:tc>
        <w:tc>
          <w:tcPr>
            <w:tcW w:w="2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9.65%</w:t>
            </w:r>
          </w:p>
        </w:tc>
      </w:tr>
      <w:tr>
        <w:trPr>
          <w:trHeight w:val="296"/>
        </w:trPr>
        <w:tc>
          <w:tcPr>
            <w:tcW w:w="2740" w:type="dxa"/>
            <w:vAlign w:val="bottom"/>
          </w:tcPr>
          <w:p>
            <w:pPr>
              <w:ind w:left="80"/>
              <w:spacing w:after="0"/>
              <w:rPr>
                <w:sz w:val="20"/>
                <w:szCs w:val="20"/>
                <w:color w:val="auto"/>
              </w:rPr>
            </w:pPr>
            <w:r>
              <w:rPr>
                <w:rFonts w:ascii="Arial" w:cs="Arial" w:eastAsia="Arial" w:hAnsi="Arial"/>
                <w:sz w:val="20"/>
                <w:szCs w:val="20"/>
                <w:color w:val="auto"/>
              </w:rPr>
              <w:t>Total CRE</w:t>
            </w:r>
          </w:p>
        </w:tc>
        <w:tc>
          <w:tcPr>
            <w:tcW w:w="78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980" w:type="dxa"/>
            <w:vAlign w:val="bottom"/>
          </w:tcPr>
          <w:p>
            <w:pPr>
              <w:jc w:val="right"/>
              <w:ind w:right="360"/>
              <w:spacing w:after="0"/>
              <w:rPr>
                <w:sz w:val="20"/>
                <w:szCs w:val="20"/>
                <w:color w:val="auto"/>
              </w:rPr>
            </w:pPr>
            <w:r>
              <w:rPr>
                <w:rFonts w:ascii="Arial" w:cs="Arial" w:eastAsia="Arial" w:hAnsi="Arial"/>
                <w:sz w:val="20"/>
                <w:szCs w:val="20"/>
                <w:color w:val="auto"/>
              </w:rPr>
              <w:t>1,355,571</w:t>
            </w:r>
          </w:p>
        </w:tc>
        <w:tc>
          <w:tcPr>
            <w:tcW w:w="2020" w:type="dxa"/>
            <w:vAlign w:val="bottom"/>
          </w:tcPr>
          <w:p>
            <w:pPr>
              <w:jc w:val="right"/>
              <w:spacing w:after="0"/>
              <w:rPr>
                <w:sz w:val="20"/>
                <w:szCs w:val="20"/>
                <w:color w:val="auto"/>
              </w:rPr>
            </w:pPr>
            <w:r>
              <w:rPr>
                <w:rFonts w:ascii="Arial" w:cs="Arial" w:eastAsia="Arial" w:hAnsi="Arial"/>
                <w:sz w:val="20"/>
                <w:szCs w:val="20"/>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-1597660</wp:posOffset>
            </wp:positionV>
            <wp:extent cx="465899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7">
                      <a:extLst>
                        <a:ext uri="{28A0092B-C50C-407E-A947-70E740481C1C}"/>
                      </a:extLst>
                    </a:blip>
                    <a:srcRect/>
                    <a:stretch>
                      <a:fillRect/>
                    </a:stretch>
                  </pic:blipFill>
                  <pic:spPr bwMode="auto">
                    <a:xfrm>
                      <a:off x="0" y="0"/>
                      <a:ext cx="4658995" cy="635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-193675</wp:posOffset>
            </wp:positionV>
            <wp:extent cx="276479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8">
                      <a:extLst>
                        <a:ext uri="{28A0092B-C50C-407E-A947-70E740481C1C}"/>
                      </a:extLst>
                    </a:blip>
                    <a:srcRect/>
                    <a:stretch>
                      <a:fillRect/>
                    </a:stretch>
                  </pic:blipFill>
                  <pic:spPr bwMode="auto">
                    <a:xfrm>
                      <a:off x="0" y="0"/>
                      <a:ext cx="2764790" cy="635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11430</wp:posOffset>
            </wp:positionV>
            <wp:extent cx="2649855" cy="285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9">
                      <a:extLst>
                        <a:ext uri="{28A0092B-C50C-407E-A947-70E740481C1C}"/>
                      </a:extLst>
                    </a:blip>
                    <a:srcRect/>
                    <a:stretch>
                      <a:fillRect/>
                    </a:stretch>
                  </pic:blipFill>
                  <pic:spPr bwMode="auto">
                    <a:xfrm>
                      <a:off x="0" y="0"/>
                      <a:ext cx="264985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1960" w:type="dxa"/>
            <w:vAlign w:val="bottom"/>
          </w:tcPr>
          <w:p>
            <w:pPr>
              <w:spacing w:after="0"/>
              <w:rPr>
                <w:sz w:val="19"/>
                <w:szCs w:val="19"/>
                <w:color w:val="auto"/>
              </w:rPr>
            </w:pPr>
          </w:p>
        </w:tc>
        <w:tc>
          <w:tcPr>
            <w:tcW w:w="2080" w:type="dxa"/>
            <w:vAlign w:val="bottom"/>
          </w:tcPr>
          <w:p>
            <w:pPr>
              <w:jc w:val="right"/>
              <w:ind w:right="420"/>
              <w:spacing w:after="0"/>
              <w:rPr>
                <w:sz w:val="20"/>
                <w:szCs w:val="20"/>
                <w:color w:val="auto"/>
              </w:rPr>
            </w:pPr>
            <w:r>
              <w:rPr>
                <w:rFonts w:ascii="Arial" w:cs="Arial" w:eastAsia="Arial" w:hAnsi="Arial"/>
                <w:sz w:val="20"/>
                <w:szCs w:val="20"/>
                <w:color w:val="auto"/>
              </w:rPr>
              <w:t>December 31,</w:t>
            </w:r>
          </w:p>
        </w:tc>
        <w:tc>
          <w:tcPr>
            <w:tcW w:w="1820" w:type="dxa"/>
            <w:vAlign w:val="bottom"/>
          </w:tcPr>
          <w:p>
            <w:pPr>
              <w:jc w:val="right"/>
              <w:ind w:right="420"/>
              <w:spacing w:after="0"/>
              <w:rPr>
                <w:sz w:val="20"/>
                <w:szCs w:val="20"/>
                <w:color w:val="auto"/>
              </w:rPr>
            </w:pPr>
            <w:r>
              <w:rPr>
                <w:rFonts w:ascii="Arial" w:cs="Arial" w:eastAsia="Arial" w:hAnsi="Arial"/>
                <w:sz w:val="20"/>
                <w:szCs w:val="20"/>
                <w:color w:val="auto"/>
              </w:rPr>
              <w:t>December 31,</w:t>
            </w:r>
          </w:p>
        </w:tc>
        <w:tc>
          <w:tcPr>
            <w:tcW w:w="1660" w:type="dxa"/>
            <w:vAlign w:val="bottom"/>
          </w:tcPr>
          <w:p>
            <w:pPr>
              <w:jc w:val="right"/>
              <w:ind w:right="280"/>
              <w:spacing w:after="0"/>
              <w:rPr>
                <w:sz w:val="20"/>
                <w:szCs w:val="20"/>
                <w:color w:val="auto"/>
              </w:rPr>
            </w:pPr>
            <w:r>
              <w:rPr>
                <w:rFonts w:ascii="Arial" w:cs="Arial" w:eastAsia="Arial" w:hAnsi="Arial"/>
                <w:sz w:val="20"/>
                <w:szCs w:val="20"/>
                <w:color w:val="auto"/>
              </w:rPr>
              <w:t>December 31,</w:t>
            </w:r>
          </w:p>
        </w:tc>
      </w:tr>
      <w:tr>
        <w:trPr>
          <w:trHeight w:val="300"/>
        </w:trPr>
        <w:tc>
          <w:tcPr>
            <w:tcW w:w="1960" w:type="dxa"/>
            <w:vAlign w:val="bottom"/>
          </w:tcPr>
          <w:p>
            <w:pPr>
              <w:jc w:val="center"/>
              <w:spacing w:after="0"/>
              <w:rPr>
                <w:sz w:val="20"/>
                <w:szCs w:val="20"/>
                <w:color w:val="auto"/>
              </w:rPr>
            </w:pPr>
            <w:r>
              <w:rPr>
                <w:rFonts w:ascii="Arial" w:cs="Arial" w:eastAsia="Arial" w:hAnsi="Arial"/>
                <w:sz w:val="20"/>
                <w:szCs w:val="20"/>
                <w:color w:val="auto"/>
                <w:w w:val="88"/>
              </w:rPr>
              <w:t>CRE Grades</w:t>
            </w:r>
          </w:p>
        </w:tc>
        <w:tc>
          <w:tcPr>
            <w:tcW w:w="2080" w:type="dxa"/>
            <w:vAlign w:val="bottom"/>
          </w:tcPr>
          <w:p>
            <w:pPr>
              <w:jc w:val="right"/>
              <w:ind w:right="760"/>
              <w:spacing w:after="0"/>
              <w:rPr>
                <w:sz w:val="20"/>
                <w:szCs w:val="20"/>
                <w:color w:val="auto"/>
              </w:rPr>
            </w:pPr>
            <w:r>
              <w:rPr>
                <w:rFonts w:ascii="Arial" w:cs="Arial" w:eastAsia="Arial" w:hAnsi="Arial"/>
                <w:sz w:val="20"/>
                <w:szCs w:val="20"/>
                <w:color w:val="auto"/>
              </w:rPr>
              <w:t>2025</w:t>
            </w:r>
          </w:p>
        </w:tc>
        <w:tc>
          <w:tcPr>
            <w:tcW w:w="1820" w:type="dxa"/>
            <w:vAlign w:val="bottom"/>
          </w:tcPr>
          <w:p>
            <w:pPr>
              <w:jc w:val="right"/>
              <w:ind w:right="760"/>
              <w:spacing w:after="0"/>
              <w:rPr>
                <w:sz w:val="20"/>
                <w:szCs w:val="20"/>
                <w:color w:val="auto"/>
              </w:rPr>
            </w:pPr>
            <w:r>
              <w:rPr>
                <w:rFonts w:ascii="Arial" w:cs="Arial" w:eastAsia="Arial" w:hAnsi="Arial"/>
                <w:sz w:val="20"/>
                <w:szCs w:val="20"/>
                <w:color w:val="auto"/>
              </w:rPr>
              <w:t>2024</w:t>
            </w:r>
          </w:p>
        </w:tc>
        <w:tc>
          <w:tcPr>
            <w:tcW w:w="1660" w:type="dxa"/>
            <w:vAlign w:val="bottom"/>
          </w:tcPr>
          <w:p>
            <w:pPr>
              <w:jc w:val="right"/>
              <w:ind w:right="600"/>
              <w:spacing w:after="0"/>
              <w:rPr>
                <w:sz w:val="20"/>
                <w:szCs w:val="20"/>
                <w:color w:val="auto"/>
              </w:rPr>
            </w:pPr>
            <w:r>
              <w:rPr>
                <w:rFonts w:ascii="Arial" w:cs="Arial" w:eastAsia="Arial" w:hAnsi="Arial"/>
                <w:sz w:val="20"/>
                <w:szCs w:val="20"/>
                <w:color w:val="auto"/>
              </w:rPr>
              <w:t>2023</w:t>
            </w:r>
          </w:p>
        </w:tc>
      </w:tr>
      <w:tr>
        <w:trPr>
          <w:trHeight w:val="51"/>
        </w:trPr>
        <w:tc>
          <w:tcPr>
            <w:tcW w:w="1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94"/>
        </w:trPr>
        <w:tc>
          <w:tcPr>
            <w:tcW w:w="19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2</w:t>
            </w:r>
          </w:p>
        </w:tc>
        <w:tc>
          <w:tcPr>
            <w:tcW w:w="20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1.78%</w:t>
            </w:r>
          </w:p>
        </w:tc>
        <w:tc>
          <w:tcPr>
            <w:tcW w:w="18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0.53%</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0.55%</w:t>
            </w:r>
          </w:p>
        </w:tc>
      </w:tr>
      <w:tr>
        <w:trPr>
          <w:trHeight w:val="274"/>
        </w:trPr>
        <w:tc>
          <w:tcPr>
            <w:tcW w:w="196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2080" w:type="dxa"/>
            <w:vAlign w:val="bottom"/>
          </w:tcPr>
          <w:p>
            <w:pPr>
              <w:jc w:val="right"/>
              <w:ind w:right="80"/>
              <w:spacing w:after="0"/>
              <w:rPr>
                <w:sz w:val="20"/>
                <w:szCs w:val="20"/>
                <w:color w:val="auto"/>
              </w:rPr>
            </w:pPr>
            <w:r>
              <w:rPr>
                <w:rFonts w:ascii="Arial" w:cs="Arial" w:eastAsia="Arial" w:hAnsi="Arial"/>
                <w:sz w:val="20"/>
                <w:szCs w:val="20"/>
                <w:color w:val="auto"/>
              </w:rPr>
              <w:t>44.21%</w:t>
            </w:r>
          </w:p>
        </w:tc>
        <w:tc>
          <w:tcPr>
            <w:tcW w:w="1820" w:type="dxa"/>
            <w:vAlign w:val="bottom"/>
          </w:tcPr>
          <w:p>
            <w:pPr>
              <w:jc w:val="right"/>
              <w:ind w:right="80"/>
              <w:spacing w:after="0"/>
              <w:rPr>
                <w:sz w:val="20"/>
                <w:szCs w:val="20"/>
                <w:color w:val="auto"/>
              </w:rPr>
            </w:pPr>
            <w:r>
              <w:rPr>
                <w:rFonts w:ascii="Arial" w:cs="Arial" w:eastAsia="Arial" w:hAnsi="Arial"/>
                <w:sz w:val="20"/>
                <w:szCs w:val="20"/>
                <w:color w:val="auto"/>
              </w:rPr>
              <w:t>38.99%</w:t>
            </w:r>
          </w:p>
        </w:tc>
        <w:tc>
          <w:tcPr>
            <w:tcW w:w="1660" w:type="dxa"/>
            <w:vAlign w:val="bottom"/>
          </w:tcPr>
          <w:p>
            <w:pPr>
              <w:jc w:val="right"/>
              <w:spacing w:after="0"/>
              <w:rPr>
                <w:sz w:val="20"/>
                <w:szCs w:val="20"/>
                <w:color w:val="auto"/>
              </w:rPr>
            </w:pPr>
            <w:r>
              <w:rPr>
                <w:rFonts w:ascii="Arial" w:cs="Arial" w:eastAsia="Arial" w:hAnsi="Arial"/>
                <w:sz w:val="20"/>
                <w:szCs w:val="20"/>
                <w:color w:val="auto"/>
              </w:rPr>
              <w:t>36.33%</w:t>
            </w:r>
          </w:p>
        </w:tc>
      </w:tr>
      <w:tr>
        <w:trPr>
          <w:trHeight w:val="41"/>
        </w:trPr>
        <w:tc>
          <w:tcPr>
            <w:tcW w:w="19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94"/>
        </w:trPr>
        <w:tc>
          <w:tcPr>
            <w:tcW w:w="19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4</w:t>
            </w:r>
          </w:p>
        </w:tc>
        <w:tc>
          <w:tcPr>
            <w:tcW w:w="20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45.55%</w:t>
            </w:r>
          </w:p>
        </w:tc>
        <w:tc>
          <w:tcPr>
            <w:tcW w:w="18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56.69%</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58.00%</w:t>
            </w:r>
          </w:p>
        </w:tc>
      </w:tr>
      <w:tr>
        <w:trPr>
          <w:trHeight w:val="274"/>
        </w:trPr>
        <w:tc>
          <w:tcPr>
            <w:tcW w:w="1960" w:type="dxa"/>
            <w:vAlign w:val="bottom"/>
          </w:tcPr>
          <w:p>
            <w:pPr>
              <w:jc w:val="center"/>
              <w:spacing w:after="0"/>
              <w:rPr>
                <w:sz w:val="20"/>
                <w:szCs w:val="20"/>
                <w:color w:val="auto"/>
              </w:rPr>
            </w:pPr>
            <w:r>
              <w:rPr>
                <w:rFonts w:ascii="Arial" w:cs="Arial" w:eastAsia="Arial" w:hAnsi="Arial"/>
                <w:sz w:val="20"/>
                <w:szCs w:val="20"/>
                <w:color w:val="auto"/>
                <w:w w:val="89"/>
              </w:rPr>
              <w:t>5</w:t>
            </w:r>
          </w:p>
        </w:tc>
        <w:tc>
          <w:tcPr>
            <w:tcW w:w="2080" w:type="dxa"/>
            <w:vAlign w:val="bottom"/>
          </w:tcPr>
          <w:p>
            <w:pPr>
              <w:jc w:val="right"/>
              <w:ind w:right="80"/>
              <w:spacing w:after="0"/>
              <w:rPr>
                <w:sz w:val="20"/>
                <w:szCs w:val="20"/>
                <w:color w:val="auto"/>
              </w:rPr>
            </w:pPr>
            <w:r>
              <w:rPr>
                <w:rFonts w:ascii="Arial" w:cs="Arial" w:eastAsia="Arial" w:hAnsi="Arial"/>
                <w:sz w:val="20"/>
                <w:szCs w:val="20"/>
                <w:color w:val="auto"/>
              </w:rPr>
              <w:t>4.16%</w:t>
            </w:r>
          </w:p>
        </w:tc>
        <w:tc>
          <w:tcPr>
            <w:tcW w:w="1820" w:type="dxa"/>
            <w:vAlign w:val="bottom"/>
          </w:tcPr>
          <w:p>
            <w:pPr>
              <w:jc w:val="right"/>
              <w:ind w:right="80"/>
              <w:spacing w:after="0"/>
              <w:rPr>
                <w:sz w:val="20"/>
                <w:szCs w:val="20"/>
                <w:color w:val="auto"/>
              </w:rPr>
            </w:pPr>
            <w:r>
              <w:rPr>
                <w:rFonts w:ascii="Arial" w:cs="Arial" w:eastAsia="Arial" w:hAnsi="Arial"/>
                <w:sz w:val="20"/>
                <w:szCs w:val="20"/>
                <w:color w:val="auto"/>
              </w:rPr>
              <w:t>1.12%</w:t>
            </w:r>
          </w:p>
        </w:tc>
        <w:tc>
          <w:tcPr>
            <w:tcW w:w="1660" w:type="dxa"/>
            <w:vAlign w:val="bottom"/>
          </w:tcPr>
          <w:p>
            <w:pPr>
              <w:jc w:val="right"/>
              <w:spacing w:after="0"/>
              <w:rPr>
                <w:sz w:val="20"/>
                <w:szCs w:val="20"/>
                <w:color w:val="auto"/>
              </w:rPr>
            </w:pPr>
            <w:r>
              <w:rPr>
                <w:rFonts w:ascii="Arial" w:cs="Arial" w:eastAsia="Arial" w:hAnsi="Arial"/>
                <w:sz w:val="20"/>
                <w:szCs w:val="20"/>
                <w:color w:val="auto"/>
              </w:rPr>
              <w:t>5.07%</w:t>
            </w:r>
          </w:p>
        </w:tc>
      </w:tr>
      <w:tr>
        <w:trPr>
          <w:trHeight w:val="41"/>
        </w:trPr>
        <w:tc>
          <w:tcPr>
            <w:tcW w:w="19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304"/>
        </w:trPr>
        <w:tc>
          <w:tcPr>
            <w:tcW w:w="19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6</w:t>
            </w:r>
          </w:p>
        </w:tc>
        <w:tc>
          <w:tcPr>
            <w:tcW w:w="20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4.30%</w:t>
            </w:r>
          </w:p>
        </w:tc>
        <w:tc>
          <w:tcPr>
            <w:tcW w:w="18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2.67%</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0.05%</w:t>
            </w:r>
          </w:p>
        </w:tc>
      </w:tr>
      <w:tr>
        <w:trPr>
          <w:trHeight w:val="274"/>
        </w:trPr>
        <w:tc>
          <w:tcPr>
            <w:tcW w:w="1960" w:type="dxa"/>
            <w:vAlign w:val="bottom"/>
          </w:tcPr>
          <w:p>
            <w:pPr>
              <w:spacing w:after="0"/>
              <w:rPr>
                <w:sz w:val="23"/>
                <w:szCs w:val="23"/>
                <w:color w:val="auto"/>
              </w:rPr>
            </w:pPr>
          </w:p>
        </w:tc>
        <w:tc>
          <w:tcPr>
            <w:tcW w:w="2080" w:type="dxa"/>
            <w:vAlign w:val="bottom"/>
          </w:tcPr>
          <w:p>
            <w:pPr>
              <w:jc w:val="right"/>
              <w:ind w:right="80"/>
              <w:spacing w:after="0"/>
              <w:rPr>
                <w:sz w:val="20"/>
                <w:szCs w:val="20"/>
                <w:color w:val="auto"/>
              </w:rPr>
            </w:pPr>
            <w:r>
              <w:rPr>
                <w:rFonts w:ascii="Arial" w:cs="Arial" w:eastAsia="Arial" w:hAnsi="Arial"/>
                <w:sz w:val="20"/>
                <w:szCs w:val="20"/>
                <w:color w:val="auto"/>
              </w:rPr>
              <w:t>100.00%</w:t>
            </w:r>
          </w:p>
        </w:tc>
        <w:tc>
          <w:tcPr>
            <w:tcW w:w="1820" w:type="dxa"/>
            <w:vAlign w:val="bottom"/>
          </w:tcPr>
          <w:p>
            <w:pPr>
              <w:jc w:val="right"/>
              <w:ind w:right="80"/>
              <w:spacing w:after="0"/>
              <w:rPr>
                <w:sz w:val="20"/>
                <w:szCs w:val="20"/>
                <w:color w:val="auto"/>
              </w:rPr>
            </w:pPr>
            <w:r>
              <w:rPr>
                <w:rFonts w:ascii="Arial" w:cs="Arial" w:eastAsia="Arial" w:hAnsi="Arial"/>
                <w:sz w:val="20"/>
                <w:szCs w:val="20"/>
                <w:color w:val="auto"/>
              </w:rPr>
              <w:t>100.00%</w:t>
            </w:r>
          </w:p>
        </w:tc>
        <w:tc>
          <w:tcPr>
            <w:tcW w:w="1660" w:type="dxa"/>
            <w:vAlign w:val="bottom"/>
          </w:tcPr>
          <w:p>
            <w:pPr>
              <w:jc w:val="right"/>
              <w:spacing w:after="0"/>
              <w:rPr>
                <w:sz w:val="20"/>
                <w:szCs w:val="20"/>
                <w:color w:val="auto"/>
              </w:rPr>
            </w:pPr>
            <w:r>
              <w:rPr>
                <w:rFonts w:ascii="Arial" w:cs="Arial" w:eastAsia="Arial" w:hAnsi="Arial"/>
                <w:sz w:val="20"/>
                <w:szCs w:val="20"/>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-1184275</wp:posOffset>
            </wp:positionV>
            <wp:extent cx="465899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0">
                      <a:extLst>
                        <a:ext uri="{28A0092B-C50C-407E-A947-70E740481C1C}"/>
                      </a:extLst>
                    </a:blip>
                    <a:srcRect/>
                    <a:stretch>
                      <a:fillRect/>
                    </a:stretch>
                  </pic:blipFill>
                  <pic:spPr bwMode="auto">
                    <a:xfrm>
                      <a:off x="0" y="0"/>
                      <a:ext cx="4658995" cy="6350"/>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-179705</wp:posOffset>
            </wp:positionV>
            <wp:extent cx="332359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1">
                      <a:extLst>
                        <a:ext uri="{28A0092B-C50C-407E-A947-70E740481C1C}"/>
                      </a:extLst>
                    </a:blip>
                    <a:srcRect/>
                    <a:stretch>
                      <a:fillRect/>
                    </a:stretch>
                  </pic:blipFill>
                  <pic:spPr bwMode="auto">
                    <a:xfrm>
                      <a:off x="0" y="0"/>
                      <a:ext cx="3323590" cy="6350"/>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26035</wp:posOffset>
            </wp:positionV>
            <wp:extent cx="3208655" cy="285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2">
                      <a:extLst>
                        <a:ext uri="{28A0092B-C50C-407E-A947-70E740481C1C}"/>
                      </a:extLst>
                    </a:blip>
                    <a:srcRect/>
                    <a:stretch>
                      <a:fillRect/>
                    </a:stretch>
                  </pic:blipFill>
                  <pic:spPr bwMode="auto">
                    <a:xfrm>
                      <a:off x="0" y="0"/>
                      <a:ext cx="3208655" cy="2857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line="302" w:lineRule="auto"/>
        <w:rPr>
          <w:sz w:val="20"/>
          <w:szCs w:val="20"/>
          <w:color w:val="auto"/>
        </w:rPr>
      </w:pPr>
      <w:r>
        <w:rPr>
          <w:rFonts w:ascii="Arial" w:cs="Arial" w:eastAsia="Arial" w:hAnsi="Arial"/>
          <w:sz w:val="20"/>
          <w:szCs w:val="20"/>
          <w:color w:val="auto"/>
        </w:rPr>
        <w:t>The following table shows the contractual maturity by portfolio segment at amortized cost excluding fair value adjustments related to acquisitions as of December 31, 2025:</w:t>
      </w:r>
    </w:p>
    <w:p>
      <w:pPr>
        <w:spacing w:after="0" w:line="386"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2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20"/>
                <w:szCs w:val="20"/>
                <w:color w:val="auto"/>
              </w:rPr>
              <w:t>(In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2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Arial" w:cs="Arial" w:eastAsia="Arial" w:hAnsi="Arial"/>
                <w:sz w:val="20"/>
                <w:szCs w:val="20"/>
                <w:color w:val="auto"/>
              </w:rPr>
              <w:t>After One</w:t>
            </w:r>
          </w:p>
        </w:tc>
        <w:tc>
          <w:tcPr>
            <w:tcW w:w="1060" w:type="dxa"/>
            <w:vAlign w:val="bottom"/>
          </w:tcPr>
          <w:p>
            <w:pPr>
              <w:jc w:val="center"/>
              <w:spacing w:after="0"/>
              <w:rPr>
                <w:sz w:val="20"/>
                <w:szCs w:val="20"/>
                <w:color w:val="auto"/>
              </w:rPr>
            </w:pPr>
            <w:r>
              <w:rPr>
                <w:rFonts w:ascii="Arial" w:cs="Arial" w:eastAsia="Arial" w:hAnsi="Arial"/>
                <w:sz w:val="20"/>
                <w:szCs w:val="20"/>
                <w:color w:val="auto"/>
                <w:w w:val="95"/>
              </w:rPr>
              <w:t>After Five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vMerge w:val="restart"/>
          </w:tcPr>
          <w:p>
            <w:pPr>
              <w:jc w:val="right"/>
              <w:ind w:right="160"/>
              <w:spacing w:after="0"/>
              <w:rPr>
                <w:sz w:val="20"/>
                <w:szCs w:val="20"/>
                <w:color w:val="auto"/>
              </w:rPr>
            </w:pPr>
            <w:r>
              <w:rPr>
                <w:rFonts w:ascii="Arial" w:cs="Arial" w:eastAsia="Arial" w:hAnsi="Arial"/>
                <w:sz w:val="20"/>
                <w:szCs w:val="20"/>
                <w:color w:val="auto"/>
                <w:w w:val="97"/>
              </w:rPr>
              <w:t>Within</w:t>
            </w:r>
          </w:p>
        </w:tc>
        <w:tc>
          <w:tcPr>
            <w:tcW w:w="22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0"/>
                <w:szCs w:val="20"/>
                <w:color w:val="auto"/>
              </w:rPr>
              <w:t>Year</w:t>
            </w:r>
          </w:p>
        </w:tc>
        <w:tc>
          <w:tcPr>
            <w:tcW w:w="1060" w:type="dxa"/>
            <w:vAlign w:val="bottom"/>
          </w:tcPr>
          <w:p>
            <w:pPr>
              <w:jc w:val="right"/>
              <w:ind w:right="220"/>
              <w:spacing w:after="0"/>
              <w:rPr>
                <w:sz w:val="20"/>
                <w:szCs w:val="20"/>
                <w:color w:val="auto"/>
              </w:rPr>
            </w:pPr>
            <w:r>
              <w:rPr>
                <w:rFonts w:ascii="Arial" w:cs="Arial" w:eastAsia="Arial" w:hAnsi="Arial"/>
                <w:sz w:val="20"/>
                <w:szCs w:val="20"/>
                <w:color w:val="auto"/>
              </w:rPr>
              <w:t>Years</w:t>
            </w:r>
          </w:p>
        </w:tc>
        <w:tc>
          <w:tcPr>
            <w:tcW w:w="1040" w:type="dxa"/>
            <w:vAlign w:val="bottom"/>
            <w:vMerge w:val="restart"/>
          </w:tcPr>
          <w:p>
            <w:pPr>
              <w:jc w:val="right"/>
              <w:ind w:right="200"/>
              <w:spacing w:after="0"/>
              <w:rPr>
                <w:sz w:val="20"/>
                <w:szCs w:val="20"/>
                <w:color w:val="auto"/>
              </w:rPr>
            </w:pPr>
            <w:r>
              <w:rPr>
                <w:rFonts w:ascii="Arial" w:cs="Arial" w:eastAsia="Arial" w:hAnsi="Arial"/>
                <w:sz w:val="20"/>
                <w:szCs w:val="20"/>
                <w:color w:val="auto"/>
              </w:rPr>
              <w:t>After</w:t>
            </w:r>
          </w:p>
        </w:tc>
        <w:tc>
          <w:tcPr>
            <w:tcW w:w="0" w:type="dxa"/>
            <w:vAlign w:val="bottom"/>
          </w:tcPr>
          <w:p>
            <w:pPr>
              <w:spacing w:after="0"/>
              <w:rPr>
                <w:sz w:val="1"/>
                <w:szCs w:val="1"/>
                <w:color w:val="auto"/>
              </w:rPr>
            </w:pPr>
          </w:p>
        </w:tc>
      </w:tr>
      <w:tr>
        <w:trPr>
          <w:trHeight w:val="150"/>
        </w:trPr>
        <w:tc>
          <w:tcPr>
            <w:tcW w:w="2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140"/>
              <w:spacing w:after="0"/>
              <w:rPr>
                <w:sz w:val="20"/>
                <w:szCs w:val="20"/>
                <w:color w:val="auto"/>
              </w:rPr>
            </w:pPr>
            <w:r>
              <w:rPr>
                <w:rFonts w:ascii="Arial" w:cs="Arial" w:eastAsia="Arial" w:hAnsi="Arial"/>
                <w:sz w:val="20"/>
                <w:szCs w:val="20"/>
                <w:color w:val="auto"/>
              </w:rPr>
              <w:t>Within</w:t>
            </w:r>
          </w:p>
        </w:tc>
        <w:tc>
          <w:tcPr>
            <w:tcW w:w="1060" w:type="dxa"/>
            <w:vAlign w:val="bottom"/>
            <w:vMerge w:val="restart"/>
          </w:tcPr>
          <w:p>
            <w:pPr>
              <w:jc w:val="center"/>
              <w:spacing w:after="0"/>
              <w:rPr>
                <w:sz w:val="20"/>
                <w:szCs w:val="20"/>
                <w:color w:val="auto"/>
              </w:rPr>
            </w:pPr>
            <w:r>
              <w:rPr>
                <w:rFonts w:ascii="Arial" w:cs="Arial" w:eastAsia="Arial" w:hAnsi="Arial"/>
                <w:sz w:val="20"/>
                <w:szCs w:val="20"/>
                <w:color w:val="auto"/>
                <w:w w:val="97"/>
              </w:rPr>
              <w:t>Within</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2780" w:type="dxa"/>
            <w:vAlign w:val="bottom"/>
          </w:tcPr>
          <w:p>
            <w:pPr>
              <w:spacing w:after="0"/>
              <w:rPr>
                <w:sz w:val="24"/>
                <w:szCs w:val="24"/>
                <w:color w:val="auto"/>
              </w:rPr>
            </w:pPr>
          </w:p>
        </w:tc>
        <w:tc>
          <w:tcPr>
            <w:tcW w:w="160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One Year</w:t>
            </w:r>
          </w:p>
        </w:tc>
        <w:tc>
          <w:tcPr>
            <w:tcW w:w="22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20"/>
                <w:szCs w:val="20"/>
                <w:color w:val="auto"/>
              </w:rPr>
              <w:t>Five</w:t>
            </w:r>
          </w:p>
        </w:tc>
        <w:tc>
          <w:tcPr>
            <w:tcW w:w="1060" w:type="dxa"/>
            <w:vAlign w:val="bottom"/>
          </w:tcPr>
          <w:p>
            <w:pPr>
              <w:jc w:val="right"/>
              <w:ind w:right="180"/>
              <w:spacing w:after="0"/>
              <w:rPr>
                <w:sz w:val="20"/>
                <w:szCs w:val="20"/>
                <w:color w:val="auto"/>
              </w:rPr>
            </w:pPr>
            <w:r>
              <w:rPr>
                <w:rFonts w:ascii="Arial" w:cs="Arial" w:eastAsia="Arial" w:hAnsi="Arial"/>
                <w:sz w:val="20"/>
                <w:szCs w:val="20"/>
                <w:color w:val="auto"/>
              </w:rPr>
              <w:t>Fifteen</w:t>
            </w:r>
          </w:p>
        </w:tc>
        <w:tc>
          <w:tcPr>
            <w:tcW w:w="1040" w:type="dxa"/>
            <w:vAlign w:val="bottom"/>
          </w:tcPr>
          <w:p>
            <w:pPr>
              <w:jc w:val="right"/>
              <w:ind w:right="160"/>
              <w:spacing w:after="0"/>
              <w:rPr>
                <w:sz w:val="20"/>
                <w:szCs w:val="20"/>
                <w:color w:val="auto"/>
              </w:rPr>
            </w:pPr>
            <w:r>
              <w:rPr>
                <w:rFonts w:ascii="Arial" w:cs="Arial" w:eastAsia="Arial" w:hAnsi="Arial"/>
                <w:sz w:val="20"/>
                <w:szCs w:val="20"/>
                <w:color w:val="auto"/>
              </w:rPr>
              <w:t>Fifteen</w:t>
            </w:r>
          </w:p>
        </w:tc>
        <w:tc>
          <w:tcPr>
            <w:tcW w:w="0" w:type="dxa"/>
            <w:vAlign w:val="bottom"/>
          </w:tcPr>
          <w:p>
            <w:pPr>
              <w:spacing w:after="0"/>
              <w:rPr>
                <w:sz w:val="1"/>
                <w:szCs w:val="1"/>
                <w:color w:val="auto"/>
              </w:rPr>
            </w:pPr>
          </w:p>
        </w:tc>
      </w:tr>
      <w:tr>
        <w:trPr>
          <w:trHeight w:val="150"/>
        </w:trPr>
        <w:tc>
          <w:tcPr>
            <w:tcW w:w="278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ind w:left="60"/>
              <w:spacing w:after="0"/>
              <w:rPr>
                <w:sz w:val="20"/>
                <w:szCs w:val="20"/>
                <w:color w:val="auto"/>
              </w:rPr>
            </w:pPr>
            <w:r>
              <w:rPr>
                <w:rFonts w:ascii="Arial" w:cs="Arial" w:eastAsia="Arial" w:hAnsi="Arial"/>
                <w:sz w:val="20"/>
                <w:szCs w:val="20"/>
                <w:color w:val="auto"/>
              </w:rPr>
              <w:t>Years</w:t>
            </w:r>
          </w:p>
        </w:tc>
        <w:tc>
          <w:tcPr>
            <w:tcW w:w="1060" w:type="dxa"/>
            <w:vAlign w:val="bottom"/>
            <w:vMerge w:val="restart"/>
          </w:tcPr>
          <w:p>
            <w:pPr>
              <w:jc w:val="center"/>
              <w:spacing w:after="0"/>
              <w:rPr>
                <w:sz w:val="20"/>
                <w:szCs w:val="20"/>
                <w:color w:val="auto"/>
              </w:rPr>
            </w:pPr>
            <w:r>
              <w:rPr>
                <w:rFonts w:ascii="Arial" w:cs="Arial" w:eastAsia="Arial" w:hAnsi="Arial"/>
                <w:sz w:val="20"/>
                <w:szCs w:val="20"/>
                <w:color w:val="auto"/>
                <w:w w:val="87"/>
              </w:rPr>
              <w:t>Years</w:t>
            </w:r>
          </w:p>
        </w:tc>
        <w:tc>
          <w:tcPr>
            <w:tcW w:w="1040" w:type="dxa"/>
            <w:vAlign w:val="bottom"/>
            <w:vMerge w:val="restart"/>
          </w:tcPr>
          <w:p>
            <w:pPr>
              <w:jc w:val="right"/>
              <w:ind w:right="180"/>
              <w:spacing w:after="0"/>
              <w:rPr>
                <w:sz w:val="20"/>
                <w:szCs w:val="20"/>
                <w:color w:val="auto"/>
              </w:rPr>
            </w:pPr>
            <w:r>
              <w:rPr>
                <w:rFonts w:ascii="Arial" w:cs="Arial" w:eastAsia="Arial" w:hAnsi="Arial"/>
                <w:sz w:val="20"/>
                <w:szCs w:val="20"/>
                <w:color w:val="auto"/>
              </w:rPr>
              <w:t>Years</w:t>
            </w:r>
          </w:p>
        </w:tc>
        <w:tc>
          <w:tcPr>
            <w:tcW w:w="0" w:type="dxa"/>
            <w:vAlign w:val="bottom"/>
          </w:tcPr>
          <w:p>
            <w:pPr>
              <w:spacing w:after="0"/>
              <w:rPr>
                <w:sz w:val="1"/>
                <w:szCs w:val="1"/>
                <w:color w:val="auto"/>
              </w:rPr>
            </w:pPr>
          </w:p>
        </w:tc>
      </w:tr>
      <w:tr>
        <w:trPr>
          <w:trHeight w:val="150"/>
        </w:trPr>
        <w:tc>
          <w:tcPr>
            <w:tcW w:w="2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Consumer Real Estate</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11,427</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w w:val="89"/>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25,060</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$ 188,320</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$ 302,571</w:t>
            </w:r>
          </w:p>
        </w:tc>
        <w:tc>
          <w:tcPr>
            <w:tcW w:w="0" w:type="dxa"/>
            <w:vAlign w:val="bottom"/>
          </w:tcPr>
          <w:p>
            <w:pPr>
              <w:spacing w:after="0"/>
              <w:rPr>
                <w:sz w:val="1"/>
                <w:szCs w:val="1"/>
                <w:color w:val="auto"/>
              </w:rPr>
            </w:pPr>
          </w:p>
        </w:tc>
      </w:tr>
      <w:tr>
        <w:trPr>
          <w:trHeight w:val="274"/>
        </w:trPr>
        <w:tc>
          <w:tcPr>
            <w:tcW w:w="2780" w:type="dxa"/>
            <w:vAlign w:val="bottom"/>
          </w:tcPr>
          <w:p>
            <w:pPr>
              <w:spacing w:after="0"/>
              <w:rPr>
                <w:sz w:val="20"/>
                <w:szCs w:val="20"/>
                <w:color w:val="auto"/>
              </w:rPr>
            </w:pPr>
            <w:r>
              <w:rPr>
                <w:rFonts w:ascii="Arial" w:cs="Arial" w:eastAsia="Arial" w:hAnsi="Arial"/>
                <w:sz w:val="20"/>
                <w:szCs w:val="20"/>
                <w:color w:val="auto"/>
              </w:rPr>
              <w:t>Agricultural Real Estate</w:t>
            </w:r>
          </w:p>
        </w:tc>
        <w:tc>
          <w:tcPr>
            <w:tcW w:w="7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10,367</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8,974</w:t>
            </w:r>
          </w:p>
        </w:tc>
        <w:tc>
          <w:tcPr>
            <w:tcW w:w="1060" w:type="dxa"/>
            <w:vAlign w:val="bottom"/>
          </w:tcPr>
          <w:p>
            <w:pPr>
              <w:jc w:val="right"/>
              <w:spacing w:after="0"/>
              <w:rPr>
                <w:sz w:val="20"/>
                <w:szCs w:val="20"/>
                <w:color w:val="auto"/>
              </w:rPr>
            </w:pPr>
            <w:r>
              <w:rPr>
                <w:rFonts w:ascii="Arial" w:cs="Arial" w:eastAsia="Arial" w:hAnsi="Arial"/>
                <w:sz w:val="20"/>
                <w:szCs w:val="20"/>
                <w:color w:val="auto"/>
              </w:rPr>
              <w:t>67,475</w:t>
            </w:r>
          </w:p>
        </w:tc>
        <w:tc>
          <w:tcPr>
            <w:tcW w:w="1040" w:type="dxa"/>
            <w:vAlign w:val="bottom"/>
          </w:tcPr>
          <w:p>
            <w:pPr>
              <w:jc w:val="right"/>
              <w:spacing w:after="0"/>
              <w:rPr>
                <w:sz w:val="20"/>
                <w:szCs w:val="20"/>
                <w:color w:val="auto"/>
              </w:rPr>
            </w:pPr>
            <w:r>
              <w:rPr>
                <w:rFonts w:ascii="Arial" w:cs="Arial" w:eastAsia="Arial" w:hAnsi="Arial"/>
                <w:sz w:val="20"/>
                <w:szCs w:val="20"/>
                <w:color w:val="auto"/>
              </w:rPr>
              <w:t>130,126</w:t>
            </w:r>
          </w:p>
        </w:tc>
        <w:tc>
          <w:tcPr>
            <w:tcW w:w="0" w:type="dxa"/>
            <w:vAlign w:val="bottom"/>
          </w:tcPr>
          <w:p>
            <w:pPr>
              <w:spacing w:after="0"/>
              <w:rPr>
                <w:sz w:val="1"/>
                <w:szCs w:val="1"/>
                <w:color w:val="auto"/>
              </w:rPr>
            </w:pPr>
          </w:p>
        </w:tc>
      </w:tr>
      <w:tr>
        <w:trPr>
          <w:trHeight w:val="41"/>
        </w:trPr>
        <w:tc>
          <w:tcPr>
            <w:tcW w:w="2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Agricultural</w:t>
            </w:r>
          </w:p>
        </w:tc>
        <w:tc>
          <w:tcPr>
            <w:tcW w:w="7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6"/>
              </w:rPr>
              <w:t>117,961</w:t>
            </w:r>
          </w:p>
        </w:tc>
        <w:tc>
          <w:tcPr>
            <w:tcW w:w="2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64,885</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31,115</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4,386</w:t>
            </w:r>
          </w:p>
        </w:tc>
        <w:tc>
          <w:tcPr>
            <w:tcW w:w="0" w:type="dxa"/>
            <w:vAlign w:val="bottom"/>
          </w:tcPr>
          <w:p>
            <w:pPr>
              <w:spacing w:after="0"/>
              <w:rPr>
                <w:sz w:val="1"/>
                <w:szCs w:val="1"/>
                <w:color w:val="auto"/>
              </w:rPr>
            </w:pPr>
          </w:p>
        </w:tc>
      </w:tr>
      <w:tr>
        <w:trPr>
          <w:trHeight w:val="274"/>
        </w:trPr>
        <w:tc>
          <w:tcPr>
            <w:tcW w:w="2780" w:type="dxa"/>
            <w:vAlign w:val="bottom"/>
          </w:tcPr>
          <w:p>
            <w:pPr>
              <w:spacing w:after="0"/>
              <w:rPr>
                <w:sz w:val="20"/>
                <w:szCs w:val="20"/>
                <w:color w:val="auto"/>
              </w:rPr>
            </w:pPr>
            <w:r>
              <w:rPr>
                <w:rFonts w:ascii="Arial" w:cs="Arial" w:eastAsia="Arial" w:hAnsi="Arial"/>
                <w:sz w:val="20"/>
                <w:szCs w:val="20"/>
                <w:color w:val="auto"/>
              </w:rPr>
              <w:t>Commercial Real Estate</w:t>
            </w:r>
          </w:p>
        </w:tc>
        <w:tc>
          <w:tcPr>
            <w:tcW w:w="7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60,694</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6"/>
              </w:rPr>
              <w:t>569,512</w:t>
            </w:r>
          </w:p>
        </w:tc>
        <w:tc>
          <w:tcPr>
            <w:tcW w:w="1060" w:type="dxa"/>
            <w:vAlign w:val="bottom"/>
          </w:tcPr>
          <w:p>
            <w:pPr>
              <w:jc w:val="right"/>
              <w:spacing w:after="0"/>
              <w:rPr>
                <w:sz w:val="20"/>
                <w:szCs w:val="20"/>
                <w:color w:val="auto"/>
              </w:rPr>
            </w:pPr>
            <w:r>
              <w:rPr>
                <w:rFonts w:ascii="Arial" w:cs="Arial" w:eastAsia="Arial" w:hAnsi="Arial"/>
                <w:sz w:val="20"/>
                <w:szCs w:val="20"/>
                <w:color w:val="auto"/>
              </w:rPr>
              <w:t>545,044</w:t>
            </w:r>
          </w:p>
        </w:tc>
        <w:tc>
          <w:tcPr>
            <w:tcW w:w="1040" w:type="dxa"/>
            <w:vAlign w:val="bottom"/>
          </w:tcPr>
          <w:p>
            <w:pPr>
              <w:jc w:val="right"/>
              <w:spacing w:after="0"/>
              <w:rPr>
                <w:sz w:val="20"/>
                <w:szCs w:val="20"/>
                <w:color w:val="auto"/>
              </w:rPr>
            </w:pPr>
            <w:r>
              <w:rPr>
                <w:rFonts w:ascii="Arial" w:cs="Arial" w:eastAsia="Arial" w:hAnsi="Arial"/>
                <w:sz w:val="20"/>
                <w:szCs w:val="20"/>
                <w:color w:val="auto"/>
              </w:rPr>
              <w:t>177,786</w:t>
            </w:r>
          </w:p>
        </w:tc>
        <w:tc>
          <w:tcPr>
            <w:tcW w:w="0" w:type="dxa"/>
            <w:vAlign w:val="bottom"/>
          </w:tcPr>
          <w:p>
            <w:pPr>
              <w:spacing w:after="0"/>
              <w:rPr>
                <w:sz w:val="1"/>
                <w:szCs w:val="1"/>
                <w:color w:val="auto"/>
              </w:rPr>
            </w:pPr>
          </w:p>
        </w:tc>
      </w:tr>
      <w:tr>
        <w:trPr>
          <w:trHeight w:val="41"/>
        </w:trPr>
        <w:tc>
          <w:tcPr>
            <w:tcW w:w="2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Commercial and Industrial</w:t>
            </w:r>
          </w:p>
        </w:tc>
        <w:tc>
          <w:tcPr>
            <w:tcW w:w="7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6"/>
              </w:rPr>
              <w:t>139,242</w:t>
            </w:r>
          </w:p>
        </w:tc>
        <w:tc>
          <w:tcPr>
            <w:tcW w:w="2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6"/>
              </w:rPr>
              <w:t>114,499</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59,486</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922</w:t>
            </w:r>
          </w:p>
        </w:tc>
        <w:tc>
          <w:tcPr>
            <w:tcW w:w="0" w:type="dxa"/>
            <w:vAlign w:val="bottom"/>
          </w:tcPr>
          <w:p>
            <w:pPr>
              <w:spacing w:after="0"/>
              <w:rPr>
                <w:sz w:val="1"/>
                <w:szCs w:val="1"/>
                <w:color w:val="auto"/>
              </w:rPr>
            </w:pPr>
          </w:p>
        </w:tc>
      </w:tr>
      <w:tr>
        <w:trPr>
          <w:trHeight w:val="274"/>
        </w:trPr>
        <w:tc>
          <w:tcPr>
            <w:tcW w:w="2780" w:type="dxa"/>
            <w:vAlign w:val="bottom"/>
          </w:tcPr>
          <w:p>
            <w:pPr>
              <w:spacing w:after="0"/>
              <w:rPr>
                <w:sz w:val="20"/>
                <w:szCs w:val="20"/>
                <w:color w:val="auto"/>
              </w:rPr>
            </w:pPr>
            <w:r>
              <w:rPr>
                <w:rFonts w:ascii="Arial" w:cs="Arial" w:eastAsia="Arial" w:hAnsi="Arial"/>
                <w:sz w:val="20"/>
                <w:szCs w:val="20"/>
                <w:color w:val="auto"/>
              </w:rPr>
              <w:t>Consumer</w:t>
            </w:r>
          </w:p>
        </w:tc>
        <w:tc>
          <w:tcPr>
            <w:tcW w:w="7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2,588</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41,292</w:t>
            </w:r>
          </w:p>
        </w:tc>
        <w:tc>
          <w:tcPr>
            <w:tcW w:w="1060" w:type="dxa"/>
            <w:vAlign w:val="bottom"/>
          </w:tcPr>
          <w:p>
            <w:pPr>
              <w:jc w:val="right"/>
              <w:spacing w:after="0"/>
              <w:rPr>
                <w:sz w:val="20"/>
                <w:szCs w:val="20"/>
                <w:color w:val="auto"/>
              </w:rPr>
            </w:pPr>
            <w:r>
              <w:rPr>
                <w:rFonts w:ascii="Arial" w:cs="Arial" w:eastAsia="Arial" w:hAnsi="Arial"/>
                <w:sz w:val="20"/>
                <w:szCs w:val="20"/>
                <w:color w:val="auto"/>
              </w:rPr>
              <w:t>15,660</w:t>
            </w:r>
          </w:p>
        </w:tc>
        <w:tc>
          <w:tcPr>
            <w:tcW w:w="1040" w:type="dxa"/>
            <w:vAlign w:val="bottom"/>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41"/>
        </w:trPr>
        <w:tc>
          <w:tcPr>
            <w:tcW w:w="2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w:t>
            </w:r>
          </w:p>
        </w:tc>
        <w:tc>
          <w:tcPr>
            <w:tcW w:w="7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194</w:t>
            </w:r>
          </w:p>
        </w:tc>
        <w:tc>
          <w:tcPr>
            <w:tcW w:w="2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1,618</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21,321</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4"/>
        </w:trPr>
        <w:tc>
          <w:tcPr>
            <w:tcW w:w="27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w w:val="96"/>
              </w:rPr>
              <w:t>342,473</w:t>
            </w:r>
          </w:p>
        </w:tc>
        <w:tc>
          <w:tcPr>
            <w:tcW w:w="220" w:type="dxa"/>
            <w:vAlign w:val="bottom"/>
          </w:tcPr>
          <w:p>
            <w:pPr>
              <w:ind w:left="100"/>
              <w:spacing w:after="0"/>
              <w:rPr>
                <w:sz w:val="20"/>
                <w:szCs w:val="20"/>
                <w:color w:val="auto"/>
              </w:rPr>
            </w:pPr>
            <w:r>
              <w:rPr>
                <w:rFonts w:ascii="Arial" w:cs="Arial" w:eastAsia="Arial" w:hAnsi="Arial"/>
                <w:sz w:val="20"/>
                <w:szCs w:val="20"/>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color w:val="auto"/>
                <w:w w:val="96"/>
              </w:rPr>
              <w:t>825,840</w:t>
            </w:r>
          </w:p>
        </w:tc>
        <w:tc>
          <w:tcPr>
            <w:tcW w:w="1060" w:type="dxa"/>
            <w:vAlign w:val="bottom"/>
          </w:tcPr>
          <w:p>
            <w:pPr>
              <w:jc w:val="right"/>
              <w:spacing w:after="0"/>
              <w:rPr>
                <w:sz w:val="20"/>
                <w:szCs w:val="20"/>
                <w:color w:val="auto"/>
              </w:rPr>
            </w:pPr>
            <w:r>
              <w:rPr>
                <w:rFonts w:ascii="Arial" w:cs="Arial" w:eastAsia="Arial" w:hAnsi="Arial"/>
                <w:sz w:val="20"/>
                <w:szCs w:val="20"/>
                <w:color w:val="auto"/>
              </w:rPr>
              <w:t>$ 928,421</w:t>
            </w:r>
          </w:p>
        </w:tc>
        <w:tc>
          <w:tcPr>
            <w:tcW w:w="1040" w:type="dxa"/>
            <w:vAlign w:val="bottom"/>
          </w:tcPr>
          <w:p>
            <w:pPr>
              <w:jc w:val="right"/>
              <w:spacing w:after="0"/>
              <w:rPr>
                <w:sz w:val="20"/>
                <w:szCs w:val="20"/>
                <w:color w:val="auto"/>
              </w:rPr>
            </w:pPr>
            <w:r>
              <w:rPr>
                <w:rFonts w:ascii="Arial" w:cs="Arial" w:eastAsia="Arial" w:hAnsi="Arial"/>
                <w:sz w:val="20"/>
                <w:szCs w:val="20"/>
                <w:color w:val="auto"/>
              </w:rPr>
              <w:t>$ 615,826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-2569845</wp:posOffset>
            </wp:positionV>
            <wp:extent cx="2545715"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3">
                      <a:extLst>
                        <a:ext uri="{28A0092B-C50C-407E-A947-70E740481C1C}"/>
                      </a:extLst>
                    </a:blip>
                    <a:srcRect/>
                    <a:stretch>
                      <a:fillRect/>
                    </a:stretch>
                  </pic:blipFill>
                  <pic:spPr bwMode="auto">
                    <a:xfrm>
                      <a:off x="0" y="0"/>
                      <a:ext cx="2545715" cy="635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-1583690</wp:posOffset>
            </wp:positionV>
            <wp:extent cx="2545715"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4">
                      <a:extLst>
                        <a:ext uri="{28A0092B-C50C-407E-A947-70E740481C1C}"/>
                      </a:extLst>
                    </a:blip>
                    <a:srcRect/>
                    <a:stretch>
                      <a:fillRect/>
                    </a:stretch>
                  </pic:blipFill>
                  <pic:spPr bwMode="auto">
                    <a:xfrm>
                      <a:off x="0" y="0"/>
                      <a:ext cx="2545715" cy="635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-179705</wp:posOffset>
            </wp:positionV>
            <wp:extent cx="259270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5">
                      <a:extLst>
                        <a:ext uri="{28A0092B-C50C-407E-A947-70E740481C1C}"/>
                      </a:extLst>
                    </a:blip>
                    <a:srcRect/>
                    <a:stretch>
                      <a:fillRect/>
                    </a:stretch>
                  </pic:blipFill>
                  <pic:spPr bwMode="auto">
                    <a:xfrm>
                      <a:off x="0" y="0"/>
                      <a:ext cx="2592705" cy="635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26035</wp:posOffset>
            </wp:positionV>
            <wp:extent cx="2545715" cy="285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6">
                      <a:extLst>
                        <a:ext uri="{28A0092B-C50C-407E-A947-70E740481C1C}"/>
                      </a:extLst>
                    </a:blip>
                    <a:srcRect/>
                    <a:stretch>
                      <a:fillRect/>
                    </a:stretch>
                  </pic:blipFill>
                  <pic:spPr bwMode="auto">
                    <a:xfrm>
                      <a:off x="0" y="0"/>
                      <a:ext cx="2545715" cy="28575"/>
                    </a:xfrm>
                    <a:prstGeom prst="rect">
                      <a:avLst/>
                    </a:prstGeom>
                    <a:noFill/>
                  </pic:spPr>
                </pic:pic>
              </a:graphicData>
            </a:graphic>
          </wp:anchor>
        </w:drawing>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23 / 25</w:t>
      </w:r>
    </w:p>
    <w:p>
      <w:pPr>
        <w:sectPr>
          <w:pgSz w:w="11900" w:h="16838" w:orient="portrait"/>
          <w:cols w:equalWidth="0" w:num="1">
            <w:col w:w="9320"/>
          </w:cols>
          <w:pgMar w:left="1260" w:top="1440" w:right="1326" w:bottom="0" w:gutter="0" w:footer="0" w:header="0"/>
          <w:type w:val="continuous"/>
        </w:sectPr>
      </w:pPr>
    </w:p>
    <w:bookmarkStart w:id="86" w:name="page87"/>
    <w:bookmarkEnd w:id="86"/>
    <w:p>
      <w:pPr>
        <w:spacing w:after="0" w:line="273"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24 / 25</w:t>
      </w:r>
    </w:p>
    <w:p>
      <w:pPr>
        <w:sectPr>
          <w:pgSz w:w="11900" w:h="16838" w:orient="portrait"/>
          <w:cols w:equalWidth="0" w:num="1">
            <w:col w:w="9026"/>
          </w:cols>
          <w:pgMar w:left="1440" w:top="1440" w:right="1440" w:bottom="0" w:gutter="0" w:footer="0" w:header="0"/>
          <w:type w:val="continuous"/>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spacing w:after="0" w:line="302" w:lineRule="auto"/>
        <w:rPr>
          <w:sz w:val="20"/>
          <w:szCs w:val="20"/>
          <w:color w:val="auto"/>
        </w:rPr>
      </w:pPr>
      <w:r>
        <w:rPr>
          <w:rFonts w:ascii="Arial" w:cs="Arial" w:eastAsia="Arial" w:hAnsi="Arial"/>
          <w:sz w:val="20"/>
          <w:szCs w:val="20"/>
          <w:color w:val="auto"/>
        </w:rPr>
        <w:t>The following table shows the distribution of fixed and variable rate loans by portfolio segment as of December 31, 2025:</w:t>
      </w:r>
    </w:p>
    <w:p>
      <w:pPr>
        <w:spacing w:after="0" w:line="386"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80" w:type="dxa"/>
            <w:vAlign w:val="bottom"/>
            <w:gridSpan w:val="3"/>
          </w:tcPr>
          <w:p>
            <w:pPr>
              <w:jc w:val="right"/>
              <w:ind w:right="700"/>
              <w:spacing w:after="0"/>
              <w:rPr>
                <w:sz w:val="20"/>
                <w:szCs w:val="20"/>
                <w:color w:val="auto"/>
              </w:rPr>
            </w:pPr>
            <w:r>
              <w:rPr>
                <w:rFonts w:ascii="Arial" w:cs="Arial" w:eastAsia="Arial" w:hAnsi="Arial"/>
                <w:sz w:val="20"/>
                <w:szCs w:val="20"/>
                <w:color w:val="auto"/>
              </w:rPr>
              <w:t>(In Thousands)</w:t>
            </w:r>
          </w:p>
        </w:tc>
      </w:tr>
      <w:tr>
        <w:trPr>
          <w:trHeight w:val="324"/>
        </w:trPr>
        <w:tc>
          <w:tcPr>
            <w:tcW w:w="3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jc w:val="right"/>
              <w:ind w:right="380"/>
              <w:spacing w:after="0"/>
              <w:rPr>
                <w:sz w:val="20"/>
                <w:szCs w:val="20"/>
                <w:color w:val="auto"/>
              </w:rPr>
            </w:pPr>
            <w:r>
              <w:rPr>
                <w:rFonts w:ascii="Arial" w:cs="Arial" w:eastAsia="Arial" w:hAnsi="Arial"/>
                <w:sz w:val="20"/>
                <w:szCs w:val="20"/>
                <w:color w:val="auto"/>
              </w:rPr>
              <w:t>Fixed</w:t>
            </w:r>
          </w:p>
        </w:tc>
        <w:tc>
          <w:tcPr>
            <w:tcW w:w="300" w:type="dxa"/>
            <w:vAlign w:val="bottom"/>
          </w:tcPr>
          <w:p>
            <w:pPr>
              <w:spacing w:after="0"/>
              <w:rPr>
                <w:sz w:val="24"/>
                <w:szCs w:val="24"/>
                <w:color w:val="auto"/>
              </w:rPr>
            </w:pPr>
          </w:p>
        </w:tc>
        <w:tc>
          <w:tcPr>
            <w:tcW w:w="1100" w:type="dxa"/>
            <w:vAlign w:val="bottom"/>
          </w:tcPr>
          <w:p>
            <w:pPr>
              <w:jc w:val="right"/>
              <w:ind w:right="240"/>
              <w:spacing w:after="0"/>
              <w:rPr>
                <w:sz w:val="20"/>
                <w:szCs w:val="20"/>
                <w:color w:val="auto"/>
              </w:rPr>
            </w:pPr>
            <w:r>
              <w:rPr>
                <w:rFonts w:ascii="Arial" w:cs="Arial" w:eastAsia="Arial" w:hAnsi="Arial"/>
                <w:sz w:val="20"/>
                <w:szCs w:val="20"/>
                <w:color w:val="auto"/>
              </w:rPr>
              <w:t>Variable</w:t>
            </w:r>
          </w:p>
        </w:tc>
      </w:tr>
      <w:tr>
        <w:trPr>
          <w:trHeight w:val="314"/>
        </w:trPr>
        <w:tc>
          <w:tcPr>
            <w:tcW w:w="3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jc w:val="right"/>
              <w:ind w:right="440"/>
              <w:spacing w:after="0"/>
              <w:rPr>
                <w:sz w:val="20"/>
                <w:szCs w:val="20"/>
                <w:color w:val="auto"/>
              </w:rPr>
            </w:pPr>
            <w:r>
              <w:rPr>
                <w:rFonts w:ascii="Arial" w:cs="Arial" w:eastAsia="Arial" w:hAnsi="Arial"/>
                <w:sz w:val="20"/>
                <w:szCs w:val="20"/>
                <w:color w:val="auto"/>
              </w:rPr>
              <w:t>Rate</w:t>
            </w:r>
          </w:p>
        </w:tc>
        <w:tc>
          <w:tcPr>
            <w:tcW w:w="300" w:type="dxa"/>
            <w:vAlign w:val="bottom"/>
          </w:tcPr>
          <w:p>
            <w:pPr>
              <w:spacing w:after="0"/>
              <w:rPr>
                <w:sz w:val="24"/>
                <w:szCs w:val="24"/>
                <w:color w:val="auto"/>
              </w:rPr>
            </w:pPr>
          </w:p>
        </w:tc>
        <w:tc>
          <w:tcPr>
            <w:tcW w:w="1100" w:type="dxa"/>
            <w:vAlign w:val="bottom"/>
          </w:tcPr>
          <w:p>
            <w:pPr>
              <w:jc w:val="right"/>
              <w:ind w:right="400"/>
              <w:spacing w:after="0"/>
              <w:rPr>
                <w:sz w:val="20"/>
                <w:szCs w:val="20"/>
                <w:color w:val="auto"/>
              </w:rPr>
            </w:pPr>
            <w:r>
              <w:rPr>
                <w:rFonts w:ascii="Arial" w:cs="Arial" w:eastAsia="Arial" w:hAnsi="Arial"/>
                <w:sz w:val="20"/>
                <w:szCs w:val="20"/>
                <w:color w:val="auto"/>
              </w:rPr>
              <w:t>Rate</w:t>
            </w:r>
          </w:p>
        </w:tc>
      </w:tr>
      <w:tr>
        <w:trPr>
          <w:trHeight w:val="51"/>
        </w:trPr>
        <w:tc>
          <w:tcPr>
            <w:tcW w:w="34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94"/>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Consumer Real Estate</w:t>
            </w:r>
          </w:p>
        </w:tc>
        <w:tc>
          <w:tcPr>
            <w:tcW w:w="15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267,368</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259,071</w:t>
            </w:r>
          </w:p>
        </w:tc>
      </w:tr>
      <w:tr>
        <w:trPr>
          <w:trHeight w:val="274"/>
        </w:trPr>
        <w:tc>
          <w:tcPr>
            <w:tcW w:w="3480" w:type="dxa"/>
            <w:vAlign w:val="bottom"/>
          </w:tcPr>
          <w:p>
            <w:pPr>
              <w:spacing w:after="0"/>
              <w:rPr>
                <w:sz w:val="20"/>
                <w:szCs w:val="20"/>
                <w:color w:val="auto"/>
              </w:rPr>
            </w:pPr>
            <w:r>
              <w:rPr>
                <w:rFonts w:ascii="Arial" w:cs="Arial" w:eastAsia="Arial" w:hAnsi="Arial"/>
                <w:sz w:val="20"/>
                <w:szCs w:val="20"/>
                <w:color w:val="auto"/>
              </w:rPr>
              <w:t>Agricultural Real Estate</w:t>
            </w:r>
          </w:p>
        </w:tc>
        <w:tc>
          <w:tcPr>
            <w:tcW w:w="15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104,902</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112,132</w:t>
            </w:r>
          </w:p>
        </w:tc>
      </w:tr>
      <w:tr>
        <w:trPr>
          <w:trHeight w:val="41"/>
        </w:trPr>
        <w:tc>
          <w:tcPr>
            <w:tcW w:w="34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4"/>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Agricultural</w:t>
            </w:r>
          </w:p>
        </w:tc>
        <w:tc>
          <w:tcPr>
            <w:tcW w:w="15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63,789</w:t>
            </w:r>
          </w:p>
        </w:tc>
        <w:tc>
          <w:tcPr>
            <w:tcW w:w="3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154,261</w:t>
            </w:r>
          </w:p>
        </w:tc>
      </w:tr>
      <w:tr>
        <w:trPr>
          <w:trHeight w:val="274"/>
        </w:trPr>
        <w:tc>
          <w:tcPr>
            <w:tcW w:w="3480" w:type="dxa"/>
            <w:vAlign w:val="bottom"/>
          </w:tcPr>
          <w:p>
            <w:pPr>
              <w:spacing w:after="0"/>
              <w:rPr>
                <w:sz w:val="20"/>
                <w:szCs w:val="20"/>
                <w:color w:val="auto"/>
              </w:rPr>
            </w:pPr>
            <w:r>
              <w:rPr>
                <w:rFonts w:ascii="Arial" w:cs="Arial" w:eastAsia="Arial" w:hAnsi="Arial"/>
                <w:sz w:val="20"/>
                <w:szCs w:val="20"/>
                <w:color w:val="auto"/>
              </w:rPr>
              <w:t>Commercial Real Estate</w:t>
            </w:r>
          </w:p>
        </w:tc>
        <w:tc>
          <w:tcPr>
            <w:tcW w:w="15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800,127</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555,444</w:t>
            </w:r>
          </w:p>
        </w:tc>
      </w:tr>
      <w:tr>
        <w:trPr>
          <w:trHeight w:val="41"/>
        </w:trPr>
        <w:tc>
          <w:tcPr>
            <w:tcW w:w="34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4"/>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Commercial and Industrial</w:t>
            </w:r>
          </w:p>
        </w:tc>
        <w:tc>
          <w:tcPr>
            <w:tcW w:w="15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147,465</w:t>
            </w:r>
          </w:p>
        </w:tc>
        <w:tc>
          <w:tcPr>
            <w:tcW w:w="3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166,940</w:t>
            </w:r>
          </w:p>
        </w:tc>
      </w:tr>
      <w:tr>
        <w:trPr>
          <w:trHeight w:val="274"/>
        </w:trPr>
        <w:tc>
          <w:tcPr>
            <w:tcW w:w="3480" w:type="dxa"/>
            <w:vAlign w:val="bottom"/>
          </w:tcPr>
          <w:p>
            <w:pPr>
              <w:spacing w:after="0"/>
              <w:rPr>
                <w:sz w:val="20"/>
                <w:szCs w:val="20"/>
                <w:color w:val="auto"/>
              </w:rPr>
            </w:pPr>
            <w:r>
              <w:rPr>
                <w:rFonts w:ascii="Arial" w:cs="Arial" w:eastAsia="Arial" w:hAnsi="Arial"/>
                <w:sz w:val="20"/>
                <w:szCs w:val="20"/>
                <w:color w:val="auto"/>
              </w:rPr>
              <w:t>Consumer</w:t>
            </w:r>
          </w:p>
        </w:tc>
        <w:tc>
          <w:tcPr>
            <w:tcW w:w="15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58,809</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41"/>
        </w:trPr>
        <w:tc>
          <w:tcPr>
            <w:tcW w:w="34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304"/>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w:t>
            </w:r>
          </w:p>
        </w:tc>
        <w:tc>
          <w:tcPr>
            <w:tcW w:w="15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13,709</w:t>
            </w:r>
          </w:p>
        </w:tc>
        <w:tc>
          <w:tcPr>
            <w:tcW w:w="3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9,424</w:t>
            </w:r>
          </w:p>
        </w:tc>
      </w:tr>
      <w:tr>
        <w:trPr>
          <w:trHeight w:val="274"/>
        </w:trPr>
        <w:tc>
          <w:tcPr>
            <w:tcW w:w="3480" w:type="dxa"/>
            <w:vAlign w:val="bottom"/>
          </w:tcPr>
          <w:p>
            <w:pPr>
              <w:spacing w:after="0"/>
              <w:rPr>
                <w:sz w:val="23"/>
                <w:szCs w:val="23"/>
                <w:color w:val="auto"/>
              </w:rPr>
            </w:pPr>
          </w:p>
        </w:tc>
        <w:tc>
          <w:tcPr>
            <w:tcW w:w="15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1,456,169</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1,257,301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-1988820</wp:posOffset>
            </wp:positionV>
            <wp:extent cx="166433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8">
                      <a:extLst>
                        <a:ext uri="{28A0092B-C50C-407E-A947-70E740481C1C}"/>
                      </a:extLst>
                    </a:blip>
                    <a:srcRect/>
                    <a:stretch>
                      <a:fillRect/>
                    </a:stretch>
                  </pic:blipFill>
                  <pic:spPr bwMode="auto">
                    <a:xfrm>
                      <a:off x="0" y="0"/>
                      <a:ext cx="1664335" cy="6350"/>
                    </a:xfrm>
                    <a:prstGeom prst="rect">
                      <a:avLst/>
                    </a:prstGeom>
                    <a:noFill/>
                  </pic:spPr>
                </pic:pic>
              </a:graphicData>
            </a:graphic>
          </wp:anchor>
        </w:drawing>
        <w:drawing>
          <wp:anchor simplePos="0" relativeHeight="251657728" behindDoc="1" locked="0" layoutInCell="0" allowOverlap="1">
            <wp:simplePos x="0" y="0"/>
            <wp:positionH relativeFrom="column">
              <wp:posOffset>3655060</wp:posOffset>
            </wp:positionH>
            <wp:positionV relativeFrom="paragraph">
              <wp:posOffset>-1583690</wp:posOffset>
            </wp:positionV>
            <wp:extent cx="166433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9">
                      <a:extLst>
                        <a:ext uri="{28A0092B-C50C-407E-A947-70E740481C1C}"/>
                      </a:extLst>
                    </a:blip>
                    <a:srcRect/>
                    <a:stretch>
                      <a:fillRect/>
                    </a:stretch>
                  </pic:blipFill>
                  <pic:spPr bwMode="auto">
                    <a:xfrm>
                      <a:off x="0" y="0"/>
                      <a:ext cx="1664335" cy="6350"/>
                    </a:xfrm>
                    <a:prstGeom prst="rect">
                      <a:avLst/>
                    </a:prstGeom>
                    <a:noFill/>
                  </pic:spPr>
                </pic:pic>
              </a:graphicData>
            </a:graphic>
          </wp:anchor>
        </w:drawing>
        <w:drawing>
          <wp:anchor simplePos="0" relativeHeight="251657728" behindDoc="1" locked="0" layoutInCell="0" allowOverlap="1">
            <wp:simplePos x="0" y="0"/>
            <wp:positionH relativeFrom="column">
              <wp:posOffset>3655060</wp:posOffset>
            </wp:positionH>
            <wp:positionV relativeFrom="paragraph">
              <wp:posOffset>-179705</wp:posOffset>
            </wp:positionV>
            <wp:extent cx="171196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0">
                      <a:extLst>
                        <a:ext uri="{28A0092B-C50C-407E-A947-70E740481C1C}"/>
                      </a:extLst>
                    </a:blip>
                    <a:srcRect/>
                    <a:stretch>
                      <a:fillRect/>
                    </a:stretch>
                  </pic:blipFill>
                  <pic:spPr bwMode="auto">
                    <a:xfrm>
                      <a:off x="0" y="0"/>
                      <a:ext cx="1711960" cy="6350"/>
                    </a:xfrm>
                    <a:prstGeom prst="rect">
                      <a:avLst/>
                    </a:prstGeom>
                    <a:noFill/>
                  </pic:spPr>
                </pic:pic>
              </a:graphicData>
            </a:graphic>
          </wp:anchor>
        </w:drawing>
        <w:drawing>
          <wp:anchor simplePos="0" relativeHeight="251657728" behindDoc="1" locked="0" layoutInCell="0" allowOverlap="1">
            <wp:simplePos x="0" y="0"/>
            <wp:positionH relativeFrom="column">
              <wp:posOffset>3655060</wp:posOffset>
            </wp:positionH>
            <wp:positionV relativeFrom="paragraph">
              <wp:posOffset>26035</wp:posOffset>
            </wp:positionV>
            <wp:extent cx="1664335" cy="285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1">
                      <a:extLst>
                        <a:ext uri="{28A0092B-C50C-407E-A947-70E740481C1C}"/>
                      </a:extLst>
                    </a:blip>
                    <a:srcRect/>
                    <a:stretch>
                      <a:fillRect/>
                    </a:stretch>
                  </pic:blipFill>
                  <pic:spPr bwMode="auto">
                    <a:xfrm>
                      <a:off x="0" y="0"/>
                      <a:ext cx="1664335" cy="2857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right="40"/>
        <w:spacing w:after="0" w:line="302" w:lineRule="auto"/>
        <w:rPr>
          <w:sz w:val="20"/>
          <w:szCs w:val="20"/>
          <w:color w:val="auto"/>
        </w:rPr>
      </w:pPr>
      <w:r>
        <w:rPr>
          <w:rFonts w:ascii="Arial" w:cs="Arial" w:eastAsia="Arial" w:hAnsi="Arial"/>
          <w:sz w:val="20"/>
          <w:szCs w:val="20"/>
          <w:color w:val="auto"/>
        </w:rPr>
        <w:t>Variable rate loans that have reached ceiling or floor limits are reported as fixed rate loans until such time as their rates adjust away from those limits.</w:t>
      </w:r>
    </w:p>
    <w:p>
      <w:pPr>
        <w:spacing w:after="0" w:line="261" w:lineRule="exact"/>
        <w:rPr>
          <w:sz w:val="20"/>
          <w:szCs w:val="20"/>
          <w:color w:val="auto"/>
        </w:rPr>
      </w:pPr>
    </w:p>
    <w:p>
      <w:pPr>
        <w:spacing w:after="0" w:line="302" w:lineRule="auto"/>
        <w:rPr>
          <w:sz w:val="20"/>
          <w:szCs w:val="20"/>
          <w:color w:val="auto"/>
        </w:rPr>
      </w:pPr>
      <w:r>
        <w:rPr>
          <w:rFonts w:ascii="Arial" w:cs="Arial" w:eastAsia="Arial" w:hAnsi="Arial"/>
          <w:sz w:val="20"/>
          <w:szCs w:val="20"/>
          <w:color w:val="auto"/>
        </w:rPr>
        <w:t>The following tables present the Company's amortized cost of nonaccrual loans by portfolio segment as of December 31, 2025 and 2024:</w:t>
      </w:r>
    </w:p>
    <w:p>
      <w:pPr>
        <w:spacing w:after="0" w:line="356" w:lineRule="exact"/>
        <w:rPr>
          <w:sz w:val="20"/>
          <w:szCs w:val="20"/>
          <w:color w:val="auto"/>
        </w:rPr>
      </w:pPr>
    </w:p>
    <w:p>
      <w:pPr>
        <w:jc w:val="center"/>
        <w:ind w:left="3240"/>
        <w:spacing w:after="0"/>
        <w:rPr>
          <w:sz w:val="20"/>
          <w:szCs w:val="20"/>
          <w:color w:val="auto"/>
        </w:rPr>
      </w:pPr>
      <w:r>
        <w:rPr>
          <w:rFonts w:ascii="Arial" w:cs="Arial" w:eastAsia="Arial" w:hAnsi="Arial"/>
          <w:sz w:val="20"/>
          <w:szCs w:val="20"/>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2111375</wp:posOffset>
            </wp:positionH>
            <wp:positionV relativeFrom="paragraph">
              <wp:posOffset>26035</wp:posOffset>
            </wp:positionV>
            <wp:extent cx="379285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2">
                      <a:extLst>
                        <a:ext uri="{28A0092B-C50C-407E-A947-70E740481C1C}"/>
                      </a:extLst>
                    </a:blip>
                    <a:srcRect/>
                    <a:stretch>
                      <a:fillRect/>
                    </a:stretch>
                  </pic:blipFill>
                  <pic:spPr bwMode="auto">
                    <a:xfrm>
                      <a:off x="0" y="0"/>
                      <a:ext cx="3792855" cy="6350"/>
                    </a:xfrm>
                    <a:prstGeom prst="rect">
                      <a:avLst/>
                    </a:prstGeom>
                    <a:noFill/>
                  </pic:spPr>
                </pic:pic>
              </a:graphicData>
            </a:graphic>
          </wp:anchor>
        </w:drawing>
      </w:r>
    </w:p>
    <w:p>
      <w:pPr>
        <w:spacing w:after="0" w:line="74" w:lineRule="exact"/>
        <w:rPr>
          <w:sz w:val="20"/>
          <w:szCs w:val="20"/>
          <w:color w:val="auto"/>
        </w:rPr>
      </w:pPr>
    </w:p>
    <w:p>
      <w:pPr>
        <w:jc w:val="center"/>
        <w:ind w:left="3240"/>
        <w:spacing w:after="0"/>
        <w:rPr>
          <w:sz w:val="20"/>
          <w:szCs w:val="20"/>
          <w:color w:val="auto"/>
        </w:rPr>
      </w:pPr>
      <w:r>
        <w:rPr>
          <w:rFonts w:ascii="Arial" w:cs="Arial" w:eastAsia="Arial" w:hAnsi="Arial"/>
          <w:sz w:val="20"/>
          <w:szCs w:val="20"/>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2111375</wp:posOffset>
            </wp:positionH>
            <wp:positionV relativeFrom="paragraph">
              <wp:posOffset>26035</wp:posOffset>
            </wp:positionV>
            <wp:extent cx="3792855"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3">
                      <a:extLst>
                        <a:ext uri="{28A0092B-C50C-407E-A947-70E740481C1C}"/>
                      </a:extLst>
                    </a:blip>
                    <a:srcRect/>
                    <a:stretch>
                      <a:fillRect/>
                    </a:stretch>
                  </pic:blipFill>
                  <pic:spPr bwMode="auto">
                    <a:xfrm>
                      <a:off x="0" y="0"/>
                      <a:ext cx="3792855" cy="6350"/>
                    </a:xfrm>
                    <a:prstGeom prst="rect">
                      <a:avLst/>
                    </a:prstGeom>
                    <a:noFill/>
                  </pic:spPr>
                </pic:pic>
              </a:graphicData>
            </a:graphic>
          </wp:anchor>
        </w:drawing>
      </w:r>
    </w:p>
    <w:p>
      <w:pPr>
        <w:spacing w:after="0" w:line="74" w:lineRule="exact"/>
        <w:rPr>
          <w:sz w:val="20"/>
          <w:szCs w:val="20"/>
          <w:color w:val="auto"/>
        </w:rPr>
      </w:pPr>
    </w:p>
    <w:p>
      <w:pPr>
        <w:ind w:left="3720"/>
        <w:spacing w:after="0"/>
        <w:tabs>
          <w:tab w:leader="none" w:pos="7920" w:val="left"/>
        </w:tabs>
        <w:rPr>
          <w:sz w:val="20"/>
          <w:szCs w:val="20"/>
          <w:color w:val="auto"/>
        </w:rPr>
      </w:pPr>
      <w:r>
        <w:rPr>
          <w:rFonts w:ascii="Arial" w:cs="Arial" w:eastAsia="Arial" w:hAnsi="Arial"/>
          <w:sz w:val="20"/>
          <w:szCs w:val="20"/>
          <w:color w:val="auto"/>
        </w:rPr>
        <w:t>Nonaccrual</w:t>
      </w:r>
      <w:r>
        <w:rPr>
          <w:sz w:val="20"/>
          <w:szCs w:val="20"/>
          <w:color w:val="auto"/>
        </w:rPr>
        <w:tab/>
      </w:r>
      <w:r>
        <w:rPr>
          <w:rFonts w:ascii="Arial" w:cs="Arial" w:eastAsia="Arial" w:hAnsi="Arial"/>
          <w:sz w:val="20"/>
          <w:szCs w:val="20"/>
          <w:color w:val="auto"/>
        </w:rPr>
        <w:t>Loans Past</w:t>
      </w:r>
    </w:p>
    <w:p>
      <w:pPr>
        <w:spacing w:after="0" w:line="84" w:lineRule="exact"/>
        <w:rPr>
          <w:sz w:val="20"/>
          <w:szCs w:val="20"/>
          <w:color w:val="auto"/>
        </w:rPr>
      </w:pPr>
    </w:p>
    <w:p>
      <w:pPr>
        <w:ind w:left="3840"/>
        <w:spacing w:after="0"/>
        <w:tabs>
          <w:tab w:leader="none" w:pos="7960" w:val="left"/>
        </w:tabs>
        <w:rPr>
          <w:sz w:val="20"/>
          <w:szCs w:val="20"/>
          <w:color w:val="auto"/>
        </w:rPr>
      </w:pPr>
      <w:r>
        <w:rPr>
          <w:rFonts w:ascii="Arial" w:cs="Arial" w:eastAsia="Arial" w:hAnsi="Arial"/>
          <w:sz w:val="20"/>
          <w:szCs w:val="20"/>
          <w:color w:val="auto"/>
        </w:rPr>
        <w:t>With No</w:t>
      </w:r>
      <w:r>
        <w:rPr>
          <w:sz w:val="20"/>
          <w:szCs w:val="20"/>
          <w:color w:val="auto"/>
        </w:rPr>
        <w:tab/>
      </w:r>
      <w:r>
        <w:rPr>
          <w:rFonts w:ascii="Arial" w:cs="Arial" w:eastAsia="Arial" w:hAnsi="Arial"/>
          <w:sz w:val="18"/>
          <w:szCs w:val="18"/>
          <w:color w:val="auto"/>
        </w:rPr>
        <w:t>Due Over</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 / 25</w:t>
      </w:r>
    </w:p>
    <w:p>
      <w:pPr>
        <w:sectPr>
          <w:pgSz w:w="11900" w:h="16838" w:orient="portrait"/>
          <w:cols w:equalWidth="0" w:num="1">
            <w:col w:w="9380"/>
          </w:cols>
          <w:pgMar w:left="1260" w:top="1440" w:right="1266" w:bottom="0" w:gutter="0" w:footer="0" w:header="0"/>
          <w:type w:val="continuous"/>
        </w:sectPr>
      </w:pPr>
    </w:p>
    <w:bookmarkStart w:id="88" w:name="page89"/>
    <w:bookmarkEnd w:id="88"/>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Credit Loss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Nonaccrual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Still Accruing</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Consumer Real Estate</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3,339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4,050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Agricultural Real Estate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5,347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5,347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Agricultural</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30</w:t>
      </w:r>
    </w:p>
    <w:p>
      <w:pPr>
        <w:sectPr>
          <w:pgSz w:w="11900" w:h="16838" w:orient="portrait"/>
          <w:cols w:equalWidth="0" w:num="1">
            <w:col w:w="9400"/>
          </w:cols>
          <w:pgMar w:left="1260" w:top="1440" w:right="1246" w:bottom="0" w:gutter="0" w:footer="0" w:header="0"/>
          <w:type w:val="continuous"/>
        </w:sectPr>
      </w:pPr>
    </w:p>
    <w:bookmarkStart w:id="89" w:name="page90"/>
    <w:bookmarkEnd w:id="89"/>
    <w:p>
      <w:pPr>
        <w:spacing w:after="0" w:line="2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Commercial Real Estate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Commercial &amp; Industrial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Consumer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143</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30</w:t>
      </w:r>
    </w:p>
    <w:p>
      <w:pPr>
        <w:sectPr>
          <w:pgSz w:w="11900" w:h="16838" w:orient="portrait"/>
          <w:cols w:equalWidth="0" w:num="1">
            <w:col w:w="9400"/>
          </w:cols>
          <w:pgMar w:left="1260" w:top="1440" w:right="1246" w:bottom="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20"/>
          <w:szCs w:val="20"/>
          <w:color w:val="auto"/>
        </w:rPr>
        <w: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Total</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10,411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11,256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ind w:right="300"/>
              <w:spacing w:after="0"/>
              <w:rPr>
                <w:sz w:val="20"/>
                <w:szCs w:val="20"/>
                <w:color w:val="auto"/>
              </w:rPr>
            </w:pPr>
            <w:r>
              <w:rPr>
                <w:rFonts w:ascii="Arial" w:cs="Arial" w:eastAsia="Arial" w:hAnsi="Arial"/>
                <w:sz w:val="20"/>
                <w:szCs w:val="20"/>
                <w:color w:val="auto"/>
              </w:rPr>
              <w:t>(In Thousands)</w:t>
            </w: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4"/>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jc w:val="right"/>
              <w:ind w:right="120"/>
              <w:spacing w:after="0"/>
              <w:rPr>
                <w:sz w:val="20"/>
                <w:szCs w:val="20"/>
                <w:color w:val="auto"/>
              </w:rPr>
            </w:pPr>
            <w:r>
              <w:rPr>
                <w:rFonts w:ascii="Arial" w:cs="Arial" w:eastAsia="Arial" w:hAnsi="Arial"/>
                <w:sz w:val="20"/>
                <w:szCs w:val="20"/>
                <w:color w:val="auto"/>
                <w:w w:val="91"/>
              </w:rPr>
              <w:t>December 31, 2024</w:t>
            </w: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4"/>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jc w:val="center"/>
              <w:ind w:right="240"/>
              <w:spacing w:after="0"/>
              <w:rPr>
                <w:sz w:val="20"/>
                <w:szCs w:val="20"/>
                <w:color w:val="auto"/>
              </w:rPr>
            </w:pPr>
            <w:r>
              <w:rPr>
                <w:rFonts w:ascii="Arial" w:cs="Arial" w:eastAsia="Arial" w:hAnsi="Arial"/>
                <w:sz w:val="20"/>
                <w:szCs w:val="20"/>
                <w:color w:val="auto"/>
                <w:w w:val="90"/>
              </w:rPr>
              <w:t>Nonaccrual</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jc w:val="center"/>
              <w:ind w:right="240"/>
              <w:spacing w:after="0"/>
              <w:rPr>
                <w:sz w:val="20"/>
                <w:szCs w:val="20"/>
                <w:color w:val="auto"/>
              </w:rPr>
            </w:pPr>
            <w:r>
              <w:rPr>
                <w:rFonts w:ascii="Arial" w:cs="Arial" w:eastAsia="Arial" w:hAnsi="Arial"/>
                <w:sz w:val="20"/>
                <w:szCs w:val="20"/>
                <w:color w:val="auto"/>
                <w:w w:val="87"/>
              </w:rPr>
              <w:t>Loans Past</w:t>
            </w:r>
          </w:p>
        </w:tc>
      </w:tr>
      <w:tr>
        <w:trPr>
          <w:trHeight w:val="314"/>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jc w:val="center"/>
              <w:ind w:right="260"/>
              <w:spacing w:after="0"/>
              <w:rPr>
                <w:sz w:val="20"/>
                <w:szCs w:val="20"/>
                <w:color w:val="auto"/>
              </w:rPr>
            </w:pPr>
            <w:r>
              <w:rPr>
                <w:rFonts w:ascii="Arial" w:cs="Arial" w:eastAsia="Arial" w:hAnsi="Arial"/>
                <w:sz w:val="20"/>
                <w:szCs w:val="20"/>
                <w:color w:val="auto"/>
                <w:w w:val="98"/>
              </w:rPr>
              <w:t>With No</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jc w:val="center"/>
              <w:ind w:right="220"/>
              <w:spacing w:after="0"/>
              <w:rPr>
                <w:sz w:val="20"/>
                <w:szCs w:val="20"/>
                <w:color w:val="auto"/>
              </w:rPr>
            </w:pPr>
            <w:r>
              <w:rPr>
                <w:rFonts w:ascii="Arial" w:cs="Arial" w:eastAsia="Arial" w:hAnsi="Arial"/>
                <w:sz w:val="20"/>
                <w:szCs w:val="20"/>
                <w:color w:val="auto"/>
                <w:w w:val="91"/>
              </w:rPr>
              <w:t>Due Over</w:t>
            </w:r>
          </w:p>
        </w:tc>
      </w:tr>
      <w:tr>
        <w:trPr>
          <w:trHeight w:val="314"/>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jc w:val="center"/>
              <w:ind w:right="260"/>
              <w:spacing w:after="0"/>
              <w:rPr>
                <w:sz w:val="20"/>
                <w:szCs w:val="20"/>
                <w:color w:val="auto"/>
              </w:rPr>
            </w:pPr>
            <w:r>
              <w:rPr>
                <w:rFonts w:ascii="Arial" w:cs="Arial" w:eastAsia="Arial" w:hAnsi="Arial"/>
                <w:sz w:val="20"/>
                <w:szCs w:val="20"/>
                <w:color w:val="auto"/>
                <w:w w:val="94"/>
              </w:rPr>
              <w:t>Allowance</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jc w:val="center"/>
              <w:ind w:right="220"/>
              <w:spacing w:after="0"/>
              <w:rPr>
                <w:sz w:val="20"/>
                <w:szCs w:val="20"/>
                <w:color w:val="auto"/>
              </w:rPr>
            </w:pPr>
            <w:r>
              <w:rPr>
                <w:rFonts w:ascii="Arial" w:cs="Arial" w:eastAsia="Arial" w:hAnsi="Arial"/>
                <w:sz w:val="20"/>
                <w:szCs w:val="20"/>
                <w:color w:val="auto"/>
                <w:w w:val="89"/>
              </w:rPr>
              <w:t>89 Days</w:t>
            </w:r>
          </w:p>
        </w:tc>
      </w:tr>
      <w:tr>
        <w:trPr>
          <w:trHeight w:val="314"/>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jc w:val="center"/>
              <w:ind w:right="240"/>
              <w:spacing w:after="0"/>
              <w:rPr>
                <w:sz w:val="20"/>
                <w:szCs w:val="20"/>
                <w:color w:val="auto"/>
              </w:rPr>
            </w:pPr>
            <w:r>
              <w:rPr>
                <w:rFonts w:ascii="Arial" w:cs="Arial" w:eastAsia="Arial" w:hAnsi="Arial"/>
                <w:sz w:val="20"/>
                <w:szCs w:val="20"/>
                <w:color w:val="auto"/>
                <w:w w:val="92"/>
              </w:rPr>
              <w:t>for Credit Loss</w:t>
            </w:r>
          </w:p>
        </w:tc>
        <w:tc>
          <w:tcPr>
            <w:tcW w:w="280" w:type="dxa"/>
            <w:vAlign w:val="bottom"/>
          </w:tcPr>
          <w:p>
            <w:pPr>
              <w:spacing w:after="0"/>
              <w:rPr>
                <w:sz w:val="24"/>
                <w:szCs w:val="24"/>
                <w:color w:val="auto"/>
              </w:rPr>
            </w:pPr>
          </w:p>
        </w:tc>
        <w:tc>
          <w:tcPr>
            <w:tcW w:w="1840" w:type="dxa"/>
            <w:vAlign w:val="bottom"/>
          </w:tcPr>
          <w:p>
            <w:pPr>
              <w:jc w:val="right"/>
              <w:ind w:right="500"/>
              <w:spacing w:after="0"/>
              <w:rPr>
                <w:sz w:val="20"/>
                <w:szCs w:val="20"/>
                <w:color w:val="auto"/>
              </w:rPr>
            </w:pPr>
            <w:r>
              <w:rPr>
                <w:rFonts w:ascii="Arial" w:cs="Arial" w:eastAsia="Arial" w:hAnsi="Arial"/>
                <w:sz w:val="20"/>
                <w:szCs w:val="20"/>
                <w:color w:val="auto"/>
              </w:rPr>
              <w:t>Nonaccrual</w:t>
            </w:r>
          </w:p>
        </w:tc>
        <w:tc>
          <w:tcPr>
            <w:tcW w:w="380" w:type="dxa"/>
            <w:vAlign w:val="bottom"/>
          </w:tcPr>
          <w:p>
            <w:pPr>
              <w:spacing w:after="0"/>
              <w:rPr>
                <w:sz w:val="24"/>
                <w:szCs w:val="24"/>
                <w:color w:val="auto"/>
              </w:rPr>
            </w:pPr>
          </w:p>
        </w:tc>
        <w:tc>
          <w:tcPr>
            <w:tcW w:w="1740" w:type="dxa"/>
            <w:vAlign w:val="bottom"/>
          </w:tcPr>
          <w:p>
            <w:pPr>
              <w:jc w:val="center"/>
              <w:ind w:right="240"/>
              <w:spacing w:after="0"/>
              <w:rPr>
                <w:sz w:val="20"/>
                <w:szCs w:val="20"/>
                <w:color w:val="auto"/>
              </w:rPr>
            </w:pPr>
            <w:r>
              <w:rPr>
                <w:rFonts w:ascii="Arial" w:cs="Arial" w:eastAsia="Arial" w:hAnsi="Arial"/>
                <w:sz w:val="20"/>
                <w:szCs w:val="20"/>
                <w:color w:val="auto"/>
                <w:w w:val="96"/>
              </w:rPr>
              <w:t>Still Accruing</w:t>
            </w:r>
          </w:p>
        </w:tc>
      </w:tr>
      <w:tr>
        <w:trPr>
          <w:trHeight w:val="51"/>
        </w:trPr>
        <w:tc>
          <w:tcPr>
            <w:tcW w:w="2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94"/>
        </w:trPr>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Consumer Real Estate</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1,637</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2,369</w:t>
            </w:r>
          </w:p>
        </w:tc>
        <w:tc>
          <w:tcPr>
            <w:tcW w:w="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2640" w:type="dxa"/>
            <w:vAlign w:val="bottom"/>
          </w:tcPr>
          <w:p>
            <w:pPr>
              <w:spacing w:after="0"/>
              <w:rPr>
                <w:sz w:val="20"/>
                <w:szCs w:val="20"/>
                <w:color w:val="auto"/>
              </w:rPr>
            </w:pPr>
            <w:r>
              <w:rPr>
                <w:rFonts w:ascii="Arial" w:cs="Arial" w:eastAsia="Arial" w:hAnsi="Arial"/>
                <w:sz w:val="20"/>
                <w:szCs w:val="20"/>
                <w:color w:val="auto"/>
              </w:rPr>
              <w:t>Agricultural Real Estate</w:t>
            </w:r>
          </w:p>
        </w:tc>
        <w:tc>
          <w:tcPr>
            <w:tcW w:w="820" w:type="dxa"/>
            <w:vAlign w:val="bottom"/>
          </w:tcPr>
          <w:p>
            <w:pPr>
              <w:spacing w:after="0"/>
              <w:rPr>
                <w:sz w:val="23"/>
                <w:szCs w:val="23"/>
                <w:color w:val="auto"/>
              </w:rPr>
            </w:pPr>
          </w:p>
        </w:tc>
        <w:tc>
          <w:tcPr>
            <w:tcW w:w="1700" w:type="dxa"/>
            <w:vAlign w:val="bottom"/>
          </w:tcPr>
          <w:p>
            <w:pPr>
              <w:jc w:val="right"/>
              <w:ind w:right="60"/>
              <w:spacing w:after="0"/>
              <w:rPr>
                <w:sz w:val="20"/>
                <w:szCs w:val="20"/>
                <w:color w:val="auto"/>
              </w:rPr>
            </w:pPr>
            <w:r>
              <w:rPr>
                <w:rFonts w:ascii="Arial" w:cs="Arial" w:eastAsia="Arial" w:hAnsi="Arial"/>
                <w:sz w:val="20"/>
                <w:szCs w:val="20"/>
                <w:color w:val="auto"/>
              </w:rPr>
              <w:t>130</w:t>
            </w:r>
          </w:p>
        </w:tc>
        <w:tc>
          <w:tcPr>
            <w:tcW w:w="280" w:type="dxa"/>
            <w:vAlign w:val="bottom"/>
          </w:tcPr>
          <w:p>
            <w:pPr>
              <w:spacing w:after="0"/>
              <w:rPr>
                <w:sz w:val="23"/>
                <w:szCs w:val="23"/>
                <w:color w:val="auto"/>
              </w:rPr>
            </w:pPr>
          </w:p>
        </w:tc>
        <w:tc>
          <w:tcPr>
            <w:tcW w:w="1840" w:type="dxa"/>
            <w:vAlign w:val="bottom"/>
          </w:tcPr>
          <w:p>
            <w:pPr>
              <w:jc w:val="right"/>
              <w:ind w:right="40"/>
              <w:spacing w:after="0"/>
              <w:rPr>
                <w:sz w:val="20"/>
                <w:szCs w:val="20"/>
                <w:color w:val="auto"/>
              </w:rPr>
            </w:pPr>
            <w:r>
              <w:rPr>
                <w:rFonts w:ascii="Arial" w:cs="Arial" w:eastAsia="Arial" w:hAnsi="Arial"/>
                <w:sz w:val="20"/>
                <w:szCs w:val="20"/>
                <w:color w:val="auto"/>
              </w:rPr>
              <w:t>130</w:t>
            </w:r>
          </w:p>
        </w:tc>
        <w:tc>
          <w:tcPr>
            <w:tcW w:w="380" w:type="dxa"/>
            <w:vAlign w:val="bottom"/>
          </w:tcPr>
          <w:p>
            <w:pPr>
              <w:spacing w:after="0"/>
              <w:rPr>
                <w:sz w:val="23"/>
                <w:szCs w:val="23"/>
                <w:color w:val="auto"/>
              </w:rPr>
            </w:pPr>
          </w:p>
        </w:tc>
        <w:tc>
          <w:tcPr>
            <w:tcW w:w="174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2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94"/>
        </w:trPr>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Agricultural</w:t>
            </w:r>
          </w:p>
        </w:tc>
        <w:tc>
          <w:tcPr>
            <w:tcW w:w="82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90</w:t>
            </w:r>
          </w:p>
        </w:tc>
        <w:tc>
          <w:tcPr>
            <w:tcW w:w="280" w:type="dxa"/>
            <w:vAlign w:val="bottom"/>
            <w:tcBorders>
              <w:bottom w:val="single" w:sz="8" w:color="CFF0FC"/>
            </w:tcBorders>
            <w:shd w:val="clear" w:color="auto" w:fill="CFF0FC"/>
          </w:tcPr>
          <w:p>
            <w:pPr>
              <w:spacing w:after="0"/>
              <w:rPr>
                <w:sz w:val="24"/>
                <w:szCs w:val="24"/>
                <w:color w:val="auto"/>
              </w:rPr>
            </w:pPr>
          </w:p>
        </w:tc>
        <w:tc>
          <w:tcPr>
            <w:tcW w:w="1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90</w:t>
            </w:r>
          </w:p>
        </w:tc>
        <w:tc>
          <w:tcPr>
            <w:tcW w:w="38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2640" w:type="dxa"/>
            <w:vAlign w:val="bottom"/>
          </w:tcPr>
          <w:p>
            <w:pPr>
              <w:spacing w:after="0"/>
              <w:rPr>
                <w:sz w:val="20"/>
                <w:szCs w:val="20"/>
                <w:color w:val="auto"/>
              </w:rPr>
            </w:pPr>
            <w:r>
              <w:rPr>
                <w:rFonts w:ascii="Arial" w:cs="Arial" w:eastAsia="Arial" w:hAnsi="Arial"/>
                <w:sz w:val="20"/>
                <w:szCs w:val="20"/>
                <w:color w:val="auto"/>
              </w:rPr>
              <w:t>Commercial Real Estate</w:t>
            </w:r>
          </w:p>
        </w:tc>
        <w:tc>
          <w:tcPr>
            <w:tcW w:w="820" w:type="dxa"/>
            <w:vAlign w:val="bottom"/>
          </w:tcPr>
          <w:p>
            <w:pPr>
              <w:spacing w:after="0"/>
              <w:rPr>
                <w:sz w:val="23"/>
                <w:szCs w:val="23"/>
                <w:color w:val="auto"/>
              </w:rPr>
            </w:pPr>
          </w:p>
        </w:tc>
        <w:tc>
          <w:tcPr>
            <w:tcW w:w="1700" w:type="dxa"/>
            <w:vAlign w:val="bottom"/>
          </w:tcPr>
          <w:p>
            <w:pPr>
              <w:jc w:val="right"/>
              <w:ind w:right="60"/>
              <w:spacing w:after="0"/>
              <w:rPr>
                <w:sz w:val="20"/>
                <w:szCs w:val="20"/>
                <w:color w:val="auto"/>
              </w:rPr>
            </w:pPr>
            <w:r>
              <w:rPr>
                <w:rFonts w:ascii="Arial" w:cs="Arial" w:eastAsia="Arial" w:hAnsi="Arial"/>
                <w:sz w:val="20"/>
                <w:szCs w:val="20"/>
                <w:color w:val="auto"/>
              </w:rPr>
              <w:t>360</w:t>
            </w:r>
          </w:p>
        </w:tc>
        <w:tc>
          <w:tcPr>
            <w:tcW w:w="280" w:type="dxa"/>
            <w:vAlign w:val="bottom"/>
          </w:tcPr>
          <w:p>
            <w:pPr>
              <w:spacing w:after="0"/>
              <w:rPr>
                <w:sz w:val="23"/>
                <w:szCs w:val="23"/>
                <w:color w:val="auto"/>
              </w:rPr>
            </w:pPr>
          </w:p>
        </w:tc>
        <w:tc>
          <w:tcPr>
            <w:tcW w:w="1840" w:type="dxa"/>
            <w:vAlign w:val="bottom"/>
          </w:tcPr>
          <w:p>
            <w:pPr>
              <w:jc w:val="right"/>
              <w:ind w:right="40"/>
              <w:spacing w:after="0"/>
              <w:rPr>
                <w:sz w:val="20"/>
                <w:szCs w:val="20"/>
                <w:color w:val="auto"/>
              </w:rPr>
            </w:pPr>
            <w:r>
              <w:rPr>
                <w:rFonts w:ascii="Arial" w:cs="Arial" w:eastAsia="Arial" w:hAnsi="Arial"/>
                <w:sz w:val="20"/>
                <w:szCs w:val="20"/>
                <w:color w:val="auto"/>
              </w:rPr>
              <w:t>360</w:t>
            </w:r>
          </w:p>
        </w:tc>
        <w:tc>
          <w:tcPr>
            <w:tcW w:w="380" w:type="dxa"/>
            <w:vAlign w:val="bottom"/>
          </w:tcPr>
          <w:p>
            <w:pPr>
              <w:spacing w:after="0"/>
              <w:rPr>
                <w:sz w:val="23"/>
                <w:szCs w:val="23"/>
                <w:color w:val="auto"/>
              </w:rPr>
            </w:pPr>
          </w:p>
        </w:tc>
        <w:tc>
          <w:tcPr>
            <w:tcW w:w="174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2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94"/>
        </w:trPr>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Commercial &amp; Industrial</w:t>
            </w:r>
          </w:p>
        </w:tc>
        <w:tc>
          <w:tcPr>
            <w:tcW w:w="82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57</w:t>
            </w:r>
          </w:p>
        </w:tc>
        <w:tc>
          <w:tcPr>
            <w:tcW w:w="280" w:type="dxa"/>
            <w:vAlign w:val="bottom"/>
            <w:tcBorders>
              <w:bottom w:val="single" w:sz="8" w:color="CFF0FC"/>
            </w:tcBorders>
            <w:shd w:val="clear" w:color="auto" w:fill="CFF0FC"/>
          </w:tcPr>
          <w:p>
            <w:pPr>
              <w:spacing w:after="0"/>
              <w:rPr>
                <w:sz w:val="24"/>
                <w:szCs w:val="24"/>
                <w:color w:val="auto"/>
              </w:rPr>
            </w:pPr>
          </w:p>
        </w:tc>
        <w:tc>
          <w:tcPr>
            <w:tcW w:w="1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57</w:t>
            </w:r>
          </w:p>
        </w:tc>
        <w:tc>
          <w:tcPr>
            <w:tcW w:w="38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2640" w:type="dxa"/>
            <w:vAlign w:val="bottom"/>
          </w:tcPr>
          <w:p>
            <w:pPr>
              <w:spacing w:after="0"/>
              <w:rPr>
                <w:sz w:val="20"/>
                <w:szCs w:val="20"/>
                <w:color w:val="auto"/>
              </w:rPr>
            </w:pPr>
            <w:r>
              <w:rPr>
                <w:rFonts w:ascii="Arial" w:cs="Arial" w:eastAsia="Arial" w:hAnsi="Arial"/>
                <w:sz w:val="20"/>
                <w:szCs w:val="20"/>
                <w:color w:val="auto"/>
              </w:rPr>
              <w:t>Consumer</w:t>
            </w:r>
          </w:p>
        </w:tc>
        <w:tc>
          <w:tcPr>
            <w:tcW w:w="820" w:type="dxa"/>
            <w:vAlign w:val="bottom"/>
          </w:tcPr>
          <w:p>
            <w:pPr>
              <w:spacing w:after="0"/>
              <w:rPr>
                <w:sz w:val="23"/>
                <w:szCs w:val="23"/>
                <w:color w:val="auto"/>
              </w:rPr>
            </w:pPr>
          </w:p>
        </w:tc>
        <w:tc>
          <w:tcPr>
            <w:tcW w:w="1700" w:type="dxa"/>
            <w:vAlign w:val="bottom"/>
          </w:tcPr>
          <w:p>
            <w:pPr>
              <w:jc w:val="right"/>
              <w:ind w:right="60"/>
              <w:spacing w:after="0"/>
              <w:rPr>
                <w:sz w:val="20"/>
                <w:szCs w:val="20"/>
                <w:color w:val="auto"/>
              </w:rPr>
            </w:pPr>
            <w:r>
              <w:rPr>
                <w:rFonts w:ascii="Arial" w:cs="Arial" w:eastAsia="Arial" w:hAnsi="Arial"/>
                <w:sz w:val="20"/>
                <w:szCs w:val="20"/>
                <w:color w:val="auto"/>
              </w:rPr>
              <w:t>118</w:t>
            </w:r>
          </w:p>
        </w:tc>
        <w:tc>
          <w:tcPr>
            <w:tcW w:w="280" w:type="dxa"/>
            <w:vAlign w:val="bottom"/>
          </w:tcPr>
          <w:p>
            <w:pPr>
              <w:spacing w:after="0"/>
              <w:rPr>
                <w:sz w:val="23"/>
                <w:szCs w:val="23"/>
                <w:color w:val="auto"/>
              </w:rPr>
            </w:pPr>
          </w:p>
        </w:tc>
        <w:tc>
          <w:tcPr>
            <w:tcW w:w="1840" w:type="dxa"/>
            <w:vAlign w:val="bottom"/>
          </w:tcPr>
          <w:p>
            <w:pPr>
              <w:jc w:val="right"/>
              <w:ind w:right="40"/>
              <w:spacing w:after="0"/>
              <w:rPr>
                <w:sz w:val="20"/>
                <w:szCs w:val="20"/>
                <w:color w:val="auto"/>
              </w:rPr>
            </w:pPr>
            <w:r>
              <w:rPr>
                <w:rFonts w:ascii="Arial" w:cs="Arial" w:eastAsia="Arial" w:hAnsi="Arial"/>
                <w:sz w:val="20"/>
                <w:szCs w:val="20"/>
                <w:color w:val="auto"/>
              </w:rPr>
              <w:t>118</w:t>
            </w:r>
          </w:p>
        </w:tc>
        <w:tc>
          <w:tcPr>
            <w:tcW w:w="380" w:type="dxa"/>
            <w:vAlign w:val="bottom"/>
          </w:tcPr>
          <w:p>
            <w:pPr>
              <w:spacing w:after="0"/>
              <w:rPr>
                <w:sz w:val="23"/>
                <w:szCs w:val="23"/>
                <w:color w:val="auto"/>
              </w:rPr>
            </w:pPr>
          </w:p>
        </w:tc>
        <w:tc>
          <w:tcPr>
            <w:tcW w:w="174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2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329"/>
        </w:trPr>
        <w:tc>
          <w:tcPr>
            <w:tcW w:w="2640" w:type="dxa"/>
            <w:vAlign w:val="bottom"/>
            <w:shd w:val="clear" w:color="auto" w:fill="CFF0FC"/>
          </w:tcPr>
          <w:p>
            <w:pPr>
              <w:ind w:left="1320"/>
              <w:spacing w:after="0"/>
              <w:rPr>
                <w:sz w:val="20"/>
                <w:szCs w:val="20"/>
                <w:color w:val="auto"/>
              </w:rPr>
            </w:pPr>
            <w:r>
              <w:rPr>
                <w:rFonts w:ascii="Arial" w:cs="Arial" w:eastAsia="Arial" w:hAnsi="Arial"/>
                <w:sz w:val="20"/>
                <w:szCs w:val="20"/>
                <w:color w:val="auto"/>
              </w:rPr>
              <w:t>Total</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0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2,392</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3,124</w:t>
            </w:r>
          </w:p>
        </w:tc>
        <w:tc>
          <w:tcPr>
            <w:tcW w:w="3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7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264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170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184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17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-2449195</wp:posOffset>
            </wp:positionV>
            <wp:extent cx="382587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4">
                      <a:extLst>
                        <a:ext uri="{28A0092B-C50C-407E-A947-70E740481C1C}"/>
                      </a:extLst>
                    </a:blip>
                    <a:srcRect/>
                    <a:stretch>
                      <a:fillRect/>
                    </a:stretch>
                  </pic:blipFill>
                  <pic:spPr bwMode="auto">
                    <a:xfrm>
                      <a:off x="0" y="0"/>
                      <a:ext cx="3825875" cy="635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-2242820</wp:posOffset>
            </wp:positionV>
            <wp:extent cx="3825875"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5">
                      <a:extLst>
                        <a:ext uri="{28A0092B-C50C-407E-A947-70E740481C1C}"/>
                      </a:extLst>
                    </a:blip>
                    <a:srcRect/>
                    <a:stretch>
                      <a:fillRect/>
                    </a:stretch>
                  </pic:blipFill>
                  <pic:spPr bwMode="auto">
                    <a:xfrm>
                      <a:off x="0" y="0"/>
                      <a:ext cx="3825875" cy="635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-1438275</wp:posOffset>
            </wp:positionV>
            <wp:extent cx="382587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6">
                      <a:extLst>
                        <a:ext uri="{28A0092B-C50C-407E-A947-70E740481C1C}"/>
                      </a:extLst>
                    </a:blip>
                    <a:srcRect/>
                    <a:stretch>
                      <a:fillRect/>
                    </a:stretch>
                  </pic:blipFill>
                  <pic:spPr bwMode="auto">
                    <a:xfrm>
                      <a:off x="0" y="0"/>
                      <a:ext cx="3825875" cy="635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-233680</wp:posOffset>
            </wp:positionV>
            <wp:extent cx="3884930" cy="2343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7">
                      <a:extLst>
                        <a:ext uri="{28A0092B-C50C-407E-A947-70E740481C1C}"/>
                      </a:extLst>
                    </a:blip>
                    <a:srcRect/>
                    <a:stretch>
                      <a:fillRect/>
                    </a:stretch>
                  </pic:blipFill>
                  <pic:spPr bwMode="auto">
                    <a:xfrm>
                      <a:off x="0" y="0"/>
                      <a:ext cx="3884930" cy="234315"/>
                    </a:xfrm>
                    <a:prstGeom prst="rect">
                      <a:avLst/>
                    </a:prstGeom>
                    <a:noFill/>
                  </pic:spPr>
                </pic:pic>
              </a:graphicData>
            </a:graphic>
          </wp:anchor>
        </w:drawing>
      </w:r>
    </w:p>
    <w:p>
      <w:pPr>
        <w:spacing w:after="0" w:line="319"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Although loans may be classified as non-performing, some pay on a regular basis, and many continue to pay interest irregularly or at less than original contractual rates. Interest income that would have been recorded under the original terms of these loans would have aggregated $1.2 million as of December 31, 2025, $794 thousand as of December 31, 2024 and $1.2 million as of December 31, 2023. Any collections of interest on nonaccrual loans are included in interest income when collected unless it is on a loan with expected credit loss and with a specific allocation. A collection of interest on a loan with an expected credit loss and with a specific allocation is applied to the loan balance to decrease the allocation. Total interest collections, whether on an accrued or cash basis, amounted to $152 thousand for 2025, $1.2 million for 2024 and $431 thousand for 2023.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30</w:t>
      </w:r>
    </w:p>
    <w:p>
      <w:pPr>
        <w:sectPr>
          <w:pgSz w:w="11900" w:h="16838" w:orient="portrait"/>
          <w:cols w:equalWidth="0" w:num="1">
            <w:col w:w="9400"/>
          </w:cols>
          <w:pgMar w:left="1260" w:top="1163" w:right="1246" w:bottom="0" w:gutter="0" w:footer="0" w:header="0"/>
          <w:type w:val="continuous"/>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40"/>
        <w:spacing w:after="0" w:line="330" w:lineRule="auto"/>
        <w:rPr>
          <w:sz w:val="20"/>
          <w:szCs w:val="20"/>
          <w:color w:val="auto"/>
        </w:rPr>
      </w:pPr>
      <w:r>
        <w:rPr>
          <w:rFonts w:ascii="Arial" w:cs="Arial" w:eastAsia="Arial" w:hAnsi="Arial"/>
          <w:sz w:val="19"/>
          <w:szCs w:val="19"/>
          <w:color w:val="auto"/>
        </w:rPr>
        <w:t>Loans are placed on nonaccrual status in the event that the loan is in past due status for more than 90 days or payment in full of principal and interest is not expected. The Bank had nonaccrual loan balances of $11.3 million at December 31, 2025 compared to balances of $3.1 million and $22.4 million as of year-end 2024 and 2023, respectively. All of the balances of nonaccrual loans for the past three years were collaterally secured.</w:t>
      </w:r>
    </w:p>
    <w:p>
      <w:pPr>
        <w:spacing w:after="0" w:line="238" w:lineRule="exact"/>
        <w:rPr>
          <w:sz w:val="20"/>
          <w:szCs w:val="20"/>
          <w:color w:val="auto"/>
        </w:rPr>
      </w:pPr>
    </w:p>
    <w:p>
      <w:pPr>
        <w:jc w:val="both"/>
        <w:ind w:right="40"/>
        <w:spacing w:after="0" w:line="329" w:lineRule="auto"/>
        <w:rPr>
          <w:sz w:val="20"/>
          <w:szCs w:val="20"/>
          <w:color w:val="auto"/>
        </w:rPr>
      </w:pPr>
      <w:r>
        <w:rPr>
          <w:rFonts w:ascii="Arial" w:cs="Arial" w:eastAsia="Arial" w:hAnsi="Arial"/>
          <w:sz w:val="19"/>
          <w:szCs w:val="19"/>
          <w:color w:val="auto"/>
        </w:rPr>
        <w:t>As of December 31, 2025, the Bank had $164.3 million of loans which it considers to be “potential problem loans” in that the borrowers are experiencing financial difficulties which are not reflected in the table above. Commercial real estate, agriculture, commercial and agricultural real estate loans totaled $113.0 million, $21.0 million, $18.2 million and $7.9 million respectively. As of December 31, 2024, the Bank had $63.0 million of these loans. Commercial real estate, agricultural real estate, commercial and agricultural loans comprised $49.8 million, $6.1 million, $5.0 million and $1.5 million respectively. At December 31, 2023, the Bank had $102.8 million of these loans. These loans are subject to constant management attention and are reviewed at least monthly. The amount of the potential problem loans was considered in management’s determination of the allowance for credit losses at December 31, 2025, 2024 and 2023.</w:t>
      </w:r>
    </w:p>
    <w:p>
      <w:pPr>
        <w:spacing w:after="0" w:line="244" w:lineRule="exact"/>
        <w:rPr>
          <w:sz w:val="20"/>
          <w:szCs w:val="20"/>
          <w:color w:val="auto"/>
        </w:rPr>
      </w:pPr>
    </w:p>
    <w:p>
      <w:pPr>
        <w:jc w:val="both"/>
        <w:ind w:right="20"/>
        <w:spacing w:after="0" w:line="310" w:lineRule="auto"/>
        <w:rPr>
          <w:sz w:val="20"/>
          <w:szCs w:val="20"/>
          <w:color w:val="auto"/>
        </w:rPr>
      </w:pPr>
      <w:r>
        <w:rPr>
          <w:rFonts w:ascii="Arial" w:cs="Arial" w:eastAsia="Arial" w:hAnsi="Arial"/>
          <w:sz w:val="20"/>
          <w:szCs w:val="20"/>
          <w:color w:val="auto"/>
        </w:rPr>
        <w:t>In extending credit to families, businesses and governments, banks accept a measure of risk against which an allowance for possible credit losses is established by way of expense charges to earnings. This expense is determined by management based on a detailed monthly review of the risk factors affecting the loan portfolio, including general economic conditions, changes in the portfolio mix, past due loan-loss experience and the financial condition of the Bank’s borrowers.</w:t>
      </w:r>
    </w:p>
    <w:p>
      <w:pPr>
        <w:spacing w:after="0" w:line="255" w:lineRule="exact"/>
        <w:rPr>
          <w:sz w:val="20"/>
          <w:szCs w:val="20"/>
          <w:color w:val="auto"/>
        </w:rPr>
      </w:pPr>
    </w:p>
    <w:p>
      <w:pPr>
        <w:jc w:val="both"/>
        <w:ind w:right="40"/>
        <w:spacing w:after="0" w:line="352" w:lineRule="auto"/>
        <w:rPr>
          <w:sz w:val="20"/>
          <w:szCs w:val="20"/>
          <w:color w:val="auto"/>
        </w:rPr>
      </w:pPr>
      <w:r>
        <w:rPr>
          <w:rFonts w:ascii="Arial" w:cs="Arial" w:eastAsia="Arial" w:hAnsi="Arial"/>
          <w:sz w:val="18"/>
          <w:szCs w:val="18"/>
          <w:color w:val="auto"/>
        </w:rPr>
        <w:t>As of December 31, 2025, the Bank had loans outstanding to individuals and firms engaged in the various fields of agriculture in the amount of $218.1 million with an additional $217.0 million in agricultural real estate loans which compared to $152.1 and $216.4 million, respectively, as of December 31, 2024. The ratio of this segment of loans to the total loan portfolio is not considered unusual for a bank engaged in and servicing rural communities.</w:t>
      </w:r>
    </w:p>
    <w:p>
      <w:pPr>
        <w:spacing w:after="0" w:line="226"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As of December 31, 2025 and 2024, the Bank had $51 and $65 thousand, respectively, of its loans that were considered modified for borrowers experiencing financial difficulty, none of which was included in nonaccrual loans. As of December 31, 2023, the Bank had $357 thousand of its loans that were considered modified for borrowers experiencing financial difficulty, of which $255 thousand was included in nonaccrual loans. Such loans do not include interest rate modifications to reflect a decrease in market interest rates or maintain a relationship with the debtor, where the debtor is not experiencing financial difficulty and can obtain funding from other sources.</w:t>
      </w:r>
    </w:p>
    <w:p>
      <w:pPr>
        <w:spacing w:after="0" w:line="229" w:lineRule="exact"/>
        <w:rPr>
          <w:sz w:val="20"/>
          <w:szCs w:val="20"/>
          <w:color w:val="auto"/>
        </w:rPr>
      </w:pPr>
    </w:p>
    <w:p>
      <w:pPr>
        <w:jc w:val="both"/>
        <w:ind w:right="40"/>
        <w:spacing w:after="0" w:line="309" w:lineRule="auto"/>
        <w:rPr>
          <w:sz w:val="20"/>
          <w:szCs w:val="20"/>
          <w:color w:val="auto"/>
        </w:rPr>
      </w:pPr>
      <w:r>
        <w:rPr>
          <w:rFonts w:ascii="Arial" w:cs="Arial" w:eastAsia="Arial" w:hAnsi="Arial"/>
          <w:sz w:val="20"/>
          <w:szCs w:val="20"/>
          <w:color w:val="auto"/>
        </w:rPr>
        <w:t>Updated appraisals are required on all collateral dependent loans. The Bank may also require an updated appraisal of a watch list loan which the Bank monitors under its loan policy. On a quarterly basis, Bank management reviews properties supporting asset dependent loans to consider market events that may indicate a change in value has occurred.</w:t>
      </w:r>
    </w:p>
    <w:p>
      <w:pPr>
        <w:spacing w:after="0" w:line="256"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To determine observable market value, collateral asset values securing a collateral dependent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existing collateral value used.</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 / 30</w:t>
      </w:r>
    </w:p>
    <w:p>
      <w:pPr>
        <w:sectPr>
          <w:pgSz w:w="11900" w:h="16838" w:orient="portrait"/>
          <w:cols w:equalWidth="0" w:num="1">
            <w:col w:w="9380"/>
          </w:cols>
          <w:pgMar w:left="1260" w:top="1440" w:right="1266" w:bottom="0" w:gutter="0" w:footer="0" w:header="0"/>
          <w:type w:val="continuous"/>
        </w:sectPr>
      </w:pPr>
    </w:p>
    <w:bookmarkStart w:id="92" w:name="page93"/>
    <w:bookmarkEnd w:id="92"/>
    <w:p>
      <w:pPr>
        <w:jc w:val="both"/>
        <w:spacing w:after="0" w:line="310" w:lineRule="auto"/>
        <w:rPr>
          <w:sz w:val="20"/>
          <w:szCs w:val="20"/>
          <w:color w:val="auto"/>
        </w:rPr>
      </w:pPr>
      <w:r>
        <w:rPr>
          <w:rFonts w:ascii="Arial" w:cs="Arial" w:eastAsia="Arial" w:hAnsi="Arial"/>
          <w:sz w:val="20"/>
          <w:szCs w:val="20"/>
          <w:color w:val="auto"/>
        </w:rPr>
        <w:t>Performing “non-watch list” loans secured in whole or in part by real estate, do not require an updated appraisal unless the loan is rewritten and additional funds advanced. Watch List loans secured in whole or in part by real estate require updated appraisals every two years. All loans are subject to loan-to-value limitations as found in the Bank’s loan policies irrespective of their grade. The Bank’s watch list is reviewed on a quarterly basis by management and any questions as to value are addressed at that time.</w:t>
      </w:r>
    </w:p>
    <w:p>
      <w:pPr>
        <w:spacing w:after="0" w:line="255"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The majority of the Bank’s loans are made by lenders who live and work in the market area. Thus, their evaluation of the independent valuation is also valuable and serves as a double check.</w:t>
      </w:r>
    </w:p>
    <w:p>
      <w:pPr>
        <w:spacing w:after="0" w:line="261"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On extremely rare occasions, the Bank will make adjustments to the recorded values of collateral securing commercial real estate loans without acquiring an updated appraisal for the subject property. The Bank has no formalized policy for determining when collateral value adjustments between regularly scheduled appraisals are necessary, nor does it use any specific methodology for applying such adjustments. However, on a quarterly basis as part of its normal operations, the Bank’s senior management and the Credit Analyst Department will meet to review all commercial credits either deemed to be collateral dependent or on the Bank’s watch list. An external review by an independent firm of 35% of our larger credits is also completed annually. In addition to analyzing the recent performance of these loans, management and the Enterprise Risk Management Committee will also consider any general market conditions that might warrant adjustments to the value of particular real estate collateralizing commercial loans. In addition, management conducts annual reviews of all commercial loans exceeding certain outstanding balance thresholds. In each of these situations, any information available to management regarding market conditions impacting a specific property or other relevant factors are considered, and lenders familiar with a particular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 / 30</w:t>
      </w:r>
    </w:p>
    <w:p>
      <w:pPr>
        <w:sectPr>
          <w:pgSz w:w="11900" w:h="16838" w:orient="portrait"/>
          <w:cols w:equalWidth="0" w:num="1">
            <w:col w:w="9380"/>
          </w:cols>
          <w:pgMar w:left="1260" w:top="1173" w:right="1266" w:bottom="0"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commercial real estate loan and the underlying collateral may be present to provide their opinion on such factors. If the available information leads management to conclude a valuation adjustment is warranted, such an adjustment may be applied on the basis of the information available. If management concludes that an adjustment is warranted but lacks the specific information needed to reasonably quantify the adjustment, management will order a new appraisal on the subject property even though one may not be required under the Bank’s general policies for updating appraisals.</w:t>
      </w:r>
    </w:p>
    <w:p>
      <w:pPr>
        <w:spacing w:after="0" w:line="252" w:lineRule="exact"/>
        <w:rPr>
          <w:sz w:val="20"/>
          <w:szCs w:val="20"/>
          <w:color w:val="auto"/>
        </w:rPr>
      </w:pPr>
    </w:p>
    <w:p>
      <w:pPr>
        <w:jc w:val="both"/>
        <w:ind w:right="60"/>
        <w:spacing w:after="0" w:line="302" w:lineRule="auto"/>
        <w:rPr>
          <w:sz w:val="20"/>
          <w:szCs w:val="20"/>
          <w:color w:val="auto"/>
        </w:rPr>
      </w:pPr>
      <w:r>
        <w:rPr>
          <w:rFonts w:ascii="Arial" w:cs="Arial" w:eastAsia="Arial" w:hAnsi="Arial"/>
          <w:sz w:val="20"/>
          <w:szCs w:val="20"/>
          <w:color w:val="auto"/>
        </w:rPr>
        <w:t>Note 4 of the consolidated financial statements may also be reviewed for additional tables dealing with the Bank’s loans and ACL.</w:t>
      </w:r>
    </w:p>
    <w:p>
      <w:pPr>
        <w:spacing w:after="0" w:line="261"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The Company adopted ASU 2016-13 on January 1, 2023, using the modified retrospective method for all financial assets measured at amortized cost and off balance sheet credit exposures. ASU 2016-13 requires an expected credit losses approach, referred to as the Current Expected Credit Losses (CECL) approach to evaluating the allowance for credit losses.</w:t>
      </w:r>
    </w:p>
    <w:p>
      <w:pPr>
        <w:spacing w:after="0" w:line="256"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The transition adjustment of the CECL adoption included an increase in the allowance for credit losses of $3.6 million, increase in the allowance for unfunded loan commitment and letters of credit of $0.9 million and a $3.4 million decrease to the retained earnings account to reflect the cumulative effect of adopting CECL on our consolidated balance sheets, with the $1.1 million tax impact portion being recorded as part of the deferred tax asset in other assets on our consolidated balance sheets. Actual charge-off of loan balances is based upon periodic evaluations of the loan portfolio by management. These evaluations consider several factors, including, but not limited to, general economic conditions, financial condition of the borrower, and collateral. For regulatory capital calculations, the capital decrease of $3.4 million was amortized over a 3 year period.</w:t>
      </w:r>
    </w:p>
    <w:p>
      <w:pPr>
        <w:spacing w:after="0" w:line="244" w:lineRule="exact"/>
        <w:rPr>
          <w:sz w:val="20"/>
          <w:szCs w:val="20"/>
          <w:color w:val="auto"/>
        </w:rPr>
      </w:pPr>
    </w:p>
    <w:p>
      <w:pPr>
        <w:jc w:val="both"/>
        <w:ind w:right="60"/>
        <w:spacing w:after="0" w:line="329" w:lineRule="auto"/>
        <w:rPr>
          <w:sz w:val="20"/>
          <w:szCs w:val="20"/>
          <w:color w:val="auto"/>
        </w:rPr>
      </w:pPr>
      <w:r>
        <w:rPr>
          <w:rFonts w:ascii="Arial" w:cs="Arial" w:eastAsia="Arial" w:hAnsi="Arial"/>
          <w:sz w:val="19"/>
          <w:szCs w:val="19"/>
          <w:color w:val="auto"/>
        </w:rPr>
        <w:t>As discussed previously and presented in the table on the next page, charge-offs increased to $1.0 million for 2025. 73.7% of the charge-offs stemmed from the consumer portfolio segment. Charge-offs were $480 thousand for 2024 and $990 thousand for 2023. Recoveries were $294 thousand in 2025 compared to $338 and $439 thousand for 2024 and 2023, respectively. The net charge-offs for the last three years were all under $800 thousand with 2025 the highest at $734 thousand and 2024 the lowest at $142 thousand. Management has factored in the continuing impact of high interest rates and inflationary pressures on borrowers' repayment capacity, especially in rate-sensitive consumer real estate, agricultural and commercial portfolio segments. These trends resulted in a higher modeled loss rate and adjustment to qualitative reserves.</w:t>
      </w:r>
    </w:p>
    <w:p>
      <w:pPr>
        <w:spacing w:after="0" w:line="244" w:lineRule="exact"/>
        <w:rPr>
          <w:sz w:val="20"/>
          <w:szCs w:val="20"/>
          <w:color w:val="auto"/>
        </w:rPr>
      </w:pPr>
    </w:p>
    <w:p>
      <w:pPr>
        <w:jc w:val="both"/>
        <w:ind w:right="20"/>
        <w:spacing w:after="0" w:line="329" w:lineRule="auto"/>
        <w:rPr>
          <w:sz w:val="20"/>
          <w:szCs w:val="20"/>
          <w:color w:val="auto"/>
        </w:rPr>
      </w:pPr>
      <w:r>
        <w:rPr>
          <w:rFonts w:ascii="Arial" w:cs="Arial" w:eastAsia="Arial" w:hAnsi="Arial"/>
          <w:sz w:val="19"/>
          <w:szCs w:val="19"/>
          <w:color w:val="auto"/>
        </w:rPr>
        <w:t>During 2025, nonaccrual loans increased $8.1 million or 260.3% as compared to 2024 to $11.3 million. This increase was comprised of $1.7 million in consumer real estate, $5.2 million in agricultural real estate and $1.4 million in agricultural portfolio segments. One relationship accounts for $6.3 million of 2025 nonaccruals in the agricultural related portfolio segments. The increase to nonaccruals caused the ratio of the allowance for credit losses to nonaccrual loans to decrease to 245.98% at December 31, 2025. At December 31, 2024, two borrower relationships resulted in a decrease to nonaccrual totals in the agricultural real estate and agricultural portfolio segments. The decrease to nonaccruals caused the ratio of the allowance for credit losses to nonaccrual loans to increase from 111.95% at December 31, 2023 to 826.70% at December 31, 2024.</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30</w:t>
      </w:r>
    </w:p>
    <w:p>
      <w:pPr>
        <w:sectPr>
          <w:pgSz w:w="11900" w:h="16838" w:orient="portrait"/>
          <w:cols w:equalWidth="0" w:num="1">
            <w:col w:w="9400"/>
          </w:cols>
          <w:pgMar w:left="1260" w:top="1440" w:right="1246" w:bottom="0" w:gutter="0" w:footer="0" w:header="0"/>
          <w:type w:val="continuous"/>
        </w:sectPr>
      </w:pPr>
    </w:p>
    <w:bookmarkStart w:id="94" w:name="page95"/>
    <w:bookmarkEnd w:id="94"/>
    <w:p>
      <w:pPr>
        <w:jc w:val="both"/>
        <w:spacing w:after="0" w:line="309" w:lineRule="auto"/>
        <w:rPr>
          <w:sz w:val="20"/>
          <w:szCs w:val="20"/>
          <w:color w:val="auto"/>
        </w:rPr>
      </w:pPr>
      <w:r>
        <w:rPr>
          <w:rFonts w:ascii="Arial" w:cs="Arial" w:eastAsia="Arial" w:hAnsi="Arial"/>
          <w:sz w:val="20"/>
          <w:szCs w:val="20"/>
          <w:color w:val="auto"/>
        </w:rPr>
        <w:t>For 2025, increased net charge-offs and loan growth contributed to an increase in provision expense as compared to 2024 and 2023 where controlled loan originations resulted in lower provision expense. Overall, the ACL increased from $25.0 million at year-end 2023 to $27.7 million at year-end 2025. After adding the allowance for unfunded loan commitments, the ACL ended 2025 at $28.7 million.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 / 30</w:t>
      </w:r>
    </w:p>
    <w:p>
      <w:pPr>
        <w:sectPr>
          <w:pgSz w:w="11900" w:h="16838" w:orient="portrait"/>
          <w:cols w:equalWidth="0" w:num="1">
            <w:col w:w="9380"/>
          </w:cols>
          <w:pgMar w:left="1260" w:top="1173" w:right="1266" w:bottom="0" w:gutter="0" w:footer="0" w:header="0"/>
          <w:type w:val="continuous"/>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The following table breaks down the activity within the ACL for each portfolio segment and shows the contribution provided by both the recoveries and the provision along with the reduction of the allowance caused by charge-offs for the years ended December 31, 2025, 2024 and 2023:</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94"/>
        </w:trPr>
        <w:tc>
          <w:tcPr>
            <w:tcW w:w="4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24"/>
                <w:szCs w:val="24"/>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24"/>
                <w:szCs w:val="24"/>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2023</w:t>
            </w:r>
          </w:p>
        </w:tc>
      </w:tr>
      <w:tr>
        <w:trPr>
          <w:trHeight w:val="46"/>
        </w:trPr>
        <w:tc>
          <w:tcPr>
            <w:tcW w:w="4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48"/>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Loans, amortized cost</w:t>
            </w: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2,711,959</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2,560,795</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2,578,472</w:t>
            </w:r>
          </w:p>
        </w:tc>
      </w:tr>
      <w:tr>
        <w:trPr>
          <w:trHeight w:val="81"/>
        </w:trPr>
        <w:tc>
          <w:tcPr>
            <w:tcW w:w="414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120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20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r>
      <w:tr>
        <w:trPr>
          <w:trHeight w:val="248"/>
        </w:trPr>
        <w:tc>
          <w:tcPr>
            <w:tcW w:w="4140" w:type="dxa"/>
            <w:vAlign w:val="bottom"/>
          </w:tcPr>
          <w:p>
            <w:pPr>
              <w:spacing w:after="0"/>
              <w:rPr>
                <w:sz w:val="20"/>
                <w:szCs w:val="20"/>
                <w:color w:val="auto"/>
              </w:rPr>
            </w:pPr>
            <w:r>
              <w:rPr>
                <w:rFonts w:ascii="Arial" w:cs="Arial" w:eastAsia="Arial" w:hAnsi="Arial"/>
                <w:sz w:val="18"/>
                <w:szCs w:val="18"/>
                <w:color w:val="auto"/>
              </w:rPr>
              <w:t>Daily average of outstanding loans</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2,630,673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2,555,701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2,491,502</w:t>
            </w:r>
          </w:p>
        </w:tc>
      </w:tr>
      <w:tr>
        <w:trPr>
          <w:trHeight w:val="81"/>
        </w:trPr>
        <w:tc>
          <w:tcPr>
            <w:tcW w:w="4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64"/>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Nonaccrual loans</w:t>
            </w:r>
          </w:p>
        </w:tc>
        <w:tc>
          <w:tcPr>
            <w:tcW w:w="10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11,256</w:t>
            </w:r>
          </w:p>
        </w:tc>
        <w:tc>
          <w:tcPr>
            <w:tcW w:w="3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3,124</w:t>
            </w:r>
          </w:p>
        </w:tc>
        <w:tc>
          <w:tcPr>
            <w:tcW w:w="3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22,353</w:t>
            </w:r>
          </w:p>
        </w:tc>
      </w:tr>
      <w:tr>
        <w:trPr>
          <w:trHeight w:val="248"/>
        </w:trPr>
        <w:tc>
          <w:tcPr>
            <w:tcW w:w="4140" w:type="dxa"/>
            <w:vAlign w:val="bottom"/>
          </w:tcPr>
          <w:p>
            <w:pPr>
              <w:spacing w:after="0"/>
              <w:rPr>
                <w:sz w:val="20"/>
                <w:szCs w:val="20"/>
                <w:color w:val="auto"/>
              </w:rPr>
            </w:pPr>
            <w:r>
              <w:rPr>
                <w:rFonts w:ascii="Arial" w:cs="Arial" w:eastAsia="Arial" w:hAnsi="Arial"/>
                <w:sz w:val="18"/>
                <w:szCs w:val="18"/>
                <w:color w:val="auto"/>
              </w:rPr>
              <w:t>Nonperforming loans*</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11,256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3,124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22,353</w:t>
            </w:r>
          </w:p>
        </w:tc>
      </w:tr>
      <w:tr>
        <w:trPr>
          <w:trHeight w:val="36"/>
        </w:trPr>
        <w:tc>
          <w:tcPr>
            <w:tcW w:w="4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Credit Losses - Jan 1</w:t>
            </w:r>
          </w:p>
        </w:tc>
        <w:tc>
          <w:tcPr>
            <w:tcW w:w="10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25,826</w:t>
            </w:r>
          </w:p>
        </w:tc>
        <w:tc>
          <w:tcPr>
            <w:tcW w:w="3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25,024</w:t>
            </w:r>
          </w:p>
        </w:tc>
        <w:tc>
          <w:tcPr>
            <w:tcW w:w="3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20,313</w:t>
            </w:r>
          </w:p>
        </w:tc>
      </w:tr>
      <w:tr>
        <w:trPr>
          <w:trHeight w:val="248"/>
        </w:trPr>
        <w:tc>
          <w:tcPr>
            <w:tcW w:w="4140" w:type="dxa"/>
            <w:vAlign w:val="bottom"/>
          </w:tcPr>
          <w:p>
            <w:pPr>
              <w:ind w:left="80"/>
              <w:spacing w:after="0"/>
              <w:rPr>
                <w:sz w:val="20"/>
                <w:szCs w:val="20"/>
                <w:color w:val="auto"/>
              </w:rPr>
            </w:pPr>
            <w:r>
              <w:rPr>
                <w:rFonts w:ascii="Arial" w:cs="Arial" w:eastAsia="Arial" w:hAnsi="Arial"/>
                <w:sz w:val="18"/>
                <w:szCs w:val="18"/>
                <w:color w:val="auto"/>
              </w:rPr>
              <w:t>Adjust for accounting change (ASU 2016-13)</w:t>
            </w:r>
          </w:p>
        </w:tc>
        <w:tc>
          <w:tcPr>
            <w:tcW w:w="10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3,564</w:t>
            </w:r>
          </w:p>
        </w:tc>
      </w:tr>
      <w:tr>
        <w:trPr>
          <w:trHeight w:val="36"/>
        </w:trPr>
        <w:tc>
          <w:tcPr>
            <w:tcW w:w="4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Loans Charged off:</w:t>
            </w:r>
          </w:p>
        </w:tc>
        <w:tc>
          <w:tcPr>
            <w:tcW w:w="10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r>
      <w:tr>
        <w:trPr>
          <w:trHeight w:val="248"/>
        </w:trPr>
        <w:tc>
          <w:tcPr>
            <w:tcW w:w="4140" w:type="dxa"/>
            <w:vAlign w:val="bottom"/>
          </w:tcPr>
          <w:p>
            <w:pPr>
              <w:ind w:left="180"/>
              <w:spacing w:after="0"/>
              <w:rPr>
                <w:sz w:val="20"/>
                <w:szCs w:val="20"/>
                <w:color w:val="auto"/>
              </w:rPr>
            </w:pPr>
            <w:r>
              <w:rPr>
                <w:rFonts w:ascii="Arial" w:cs="Arial" w:eastAsia="Arial" w:hAnsi="Arial"/>
                <w:sz w:val="18"/>
                <w:szCs w:val="18"/>
                <w:color w:val="auto"/>
              </w:rPr>
              <w:t>Consumer Real Estate</w:t>
            </w:r>
          </w:p>
        </w:tc>
        <w:tc>
          <w:tcPr>
            <w:tcW w:w="10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36"/>
        </w:trPr>
        <w:tc>
          <w:tcPr>
            <w:tcW w:w="4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Agricultural Real Estate</w:t>
            </w:r>
          </w:p>
        </w:tc>
        <w:tc>
          <w:tcPr>
            <w:tcW w:w="10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48"/>
        </w:trPr>
        <w:tc>
          <w:tcPr>
            <w:tcW w:w="4140" w:type="dxa"/>
            <w:vAlign w:val="bottom"/>
          </w:tcPr>
          <w:p>
            <w:pPr>
              <w:ind w:left="180"/>
              <w:spacing w:after="0"/>
              <w:rPr>
                <w:sz w:val="20"/>
                <w:szCs w:val="20"/>
                <w:color w:val="auto"/>
              </w:rPr>
            </w:pPr>
            <w:r>
              <w:rPr>
                <w:rFonts w:ascii="Arial" w:cs="Arial" w:eastAsia="Arial" w:hAnsi="Arial"/>
                <w:sz w:val="18"/>
                <w:szCs w:val="18"/>
                <w:color w:val="auto"/>
              </w:rPr>
              <w:t>Agricultural</w:t>
            </w:r>
          </w:p>
        </w:tc>
        <w:tc>
          <w:tcPr>
            <w:tcW w:w="10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36"/>
        </w:trPr>
        <w:tc>
          <w:tcPr>
            <w:tcW w:w="4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Commercial Real Estate</w:t>
            </w:r>
          </w:p>
        </w:tc>
        <w:tc>
          <w:tcPr>
            <w:tcW w:w="10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48"/>
        </w:trPr>
        <w:tc>
          <w:tcPr>
            <w:tcW w:w="414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0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250</w:t>
            </w: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565</w:t>
            </w:r>
          </w:p>
        </w:tc>
      </w:tr>
      <w:tr>
        <w:trPr>
          <w:trHeight w:val="36"/>
        </w:trPr>
        <w:tc>
          <w:tcPr>
            <w:tcW w:w="4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Consumer</w:t>
            </w:r>
          </w:p>
        </w:tc>
        <w:tc>
          <w:tcPr>
            <w:tcW w:w="10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758</w:t>
            </w: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346</w:t>
            </w: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425</w:t>
            </w:r>
          </w:p>
        </w:tc>
      </w:tr>
      <w:tr>
        <w:trPr>
          <w:trHeight w:val="258"/>
        </w:trPr>
        <w:tc>
          <w:tcPr>
            <w:tcW w:w="4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480</w:t>
            </w:r>
          </w:p>
        </w:tc>
        <w:tc>
          <w:tcPr>
            <w:tcW w:w="340" w:type="dxa"/>
            <w:vAlign w:val="bottom"/>
          </w:tcPr>
          <w:p>
            <w:pPr>
              <w:spacing w:after="0"/>
              <w:rPr>
                <w:sz w:val="22"/>
                <w:szCs w:val="22"/>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990</w:t>
            </w:r>
          </w:p>
        </w:tc>
      </w:tr>
      <w:tr>
        <w:trPr>
          <w:trHeight w:val="46"/>
        </w:trPr>
        <w:tc>
          <w:tcPr>
            <w:tcW w:w="4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4"/>
        </w:trPr>
        <w:tc>
          <w:tcPr>
            <w:tcW w:w="41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Loan Recoveries:</w:t>
            </w:r>
          </w:p>
        </w:tc>
        <w:tc>
          <w:tcPr>
            <w:tcW w:w="10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r>
      <w:tr>
        <w:trPr>
          <w:trHeight w:val="248"/>
        </w:trPr>
        <w:tc>
          <w:tcPr>
            <w:tcW w:w="4140" w:type="dxa"/>
            <w:vAlign w:val="bottom"/>
          </w:tcPr>
          <w:p>
            <w:pPr>
              <w:ind w:left="180"/>
              <w:spacing w:after="0"/>
              <w:rPr>
                <w:sz w:val="20"/>
                <w:szCs w:val="20"/>
                <w:color w:val="auto"/>
              </w:rPr>
            </w:pPr>
            <w:r>
              <w:rPr>
                <w:rFonts w:ascii="Arial" w:cs="Arial" w:eastAsia="Arial" w:hAnsi="Arial"/>
                <w:sz w:val="18"/>
                <w:szCs w:val="18"/>
                <w:color w:val="auto"/>
              </w:rPr>
              <w:t>Consumer Real Estate</w:t>
            </w:r>
          </w:p>
        </w:tc>
        <w:tc>
          <w:tcPr>
            <w:tcW w:w="10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35</w:t>
            </w:r>
          </w:p>
        </w:tc>
      </w:tr>
      <w:tr>
        <w:trPr>
          <w:trHeight w:val="36"/>
        </w:trPr>
        <w:tc>
          <w:tcPr>
            <w:tcW w:w="4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Agricultural Real Estate</w:t>
            </w:r>
          </w:p>
        </w:tc>
        <w:tc>
          <w:tcPr>
            <w:tcW w:w="10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105</w:t>
            </w:r>
          </w:p>
        </w:tc>
      </w:tr>
      <w:tr>
        <w:trPr>
          <w:trHeight w:val="248"/>
        </w:trPr>
        <w:tc>
          <w:tcPr>
            <w:tcW w:w="4140" w:type="dxa"/>
            <w:vAlign w:val="bottom"/>
          </w:tcPr>
          <w:p>
            <w:pPr>
              <w:ind w:left="180"/>
              <w:spacing w:after="0"/>
              <w:rPr>
                <w:sz w:val="20"/>
                <w:szCs w:val="20"/>
                <w:color w:val="auto"/>
              </w:rPr>
            </w:pPr>
            <w:r>
              <w:rPr>
                <w:rFonts w:ascii="Arial" w:cs="Arial" w:eastAsia="Arial" w:hAnsi="Arial"/>
                <w:sz w:val="18"/>
                <w:szCs w:val="18"/>
                <w:color w:val="auto"/>
              </w:rPr>
              <w:t>Agricultural</w:t>
            </w:r>
          </w:p>
        </w:tc>
        <w:tc>
          <w:tcPr>
            <w:tcW w:w="10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36"/>
        </w:trPr>
        <w:tc>
          <w:tcPr>
            <w:tcW w:w="4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Commercial Real Estate</w:t>
            </w:r>
          </w:p>
        </w:tc>
        <w:tc>
          <w:tcPr>
            <w:tcW w:w="10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8</w:t>
            </w:r>
          </w:p>
        </w:tc>
      </w:tr>
      <w:tr>
        <w:trPr>
          <w:trHeight w:val="248"/>
        </w:trPr>
        <w:tc>
          <w:tcPr>
            <w:tcW w:w="414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0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84</w:t>
            </w:r>
          </w:p>
        </w:tc>
      </w:tr>
      <w:tr>
        <w:trPr>
          <w:trHeight w:val="36"/>
        </w:trPr>
        <w:tc>
          <w:tcPr>
            <w:tcW w:w="4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Consumer</w:t>
            </w:r>
          </w:p>
        </w:tc>
        <w:tc>
          <w:tcPr>
            <w:tcW w:w="10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221</w:t>
            </w: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189</w:t>
            </w: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197</w:t>
            </w:r>
          </w:p>
        </w:tc>
      </w:tr>
      <w:tr>
        <w:trPr>
          <w:trHeight w:val="258"/>
        </w:trPr>
        <w:tc>
          <w:tcPr>
            <w:tcW w:w="4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294</w:t>
            </w:r>
          </w:p>
        </w:tc>
        <w:tc>
          <w:tcPr>
            <w:tcW w:w="34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338</w:t>
            </w:r>
          </w:p>
        </w:tc>
        <w:tc>
          <w:tcPr>
            <w:tcW w:w="340" w:type="dxa"/>
            <w:vAlign w:val="bottom"/>
          </w:tcPr>
          <w:p>
            <w:pPr>
              <w:spacing w:after="0"/>
              <w:rPr>
                <w:sz w:val="22"/>
                <w:szCs w:val="22"/>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439</w:t>
            </w:r>
          </w:p>
        </w:tc>
      </w:tr>
      <w:tr>
        <w:trPr>
          <w:trHeight w:val="46"/>
        </w:trPr>
        <w:tc>
          <w:tcPr>
            <w:tcW w:w="4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4"/>
        </w:trPr>
        <w:tc>
          <w:tcPr>
            <w:tcW w:w="41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Net Charge-offs (Recoveries):</w:t>
            </w:r>
          </w:p>
        </w:tc>
        <w:tc>
          <w:tcPr>
            <w:tcW w:w="10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r>
      <w:tr>
        <w:trPr>
          <w:trHeight w:val="248"/>
        </w:trPr>
        <w:tc>
          <w:tcPr>
            <w:tcW w:w="4140" w:type="dxa"/>
            <w:vAlign w:val="bottom"/>
          </w:tcPr>
          <w:p>
            <w:pPr>
              <w:ind w:left="180"/>
              <w:spacing w:after="0"/>
              <w:rPr>
                <w:sz w:val="20"/>
                <w:szCs w:val="20"/>
                <w:color w:val="auto"/>
              </w:rPr>
            </w:pPr>
            <w:r>
              <w:rPr>
                <w:rFonts w:ascii="Arial" w:cs="Arial" w:eastAsia="Arial" w:hAnsi="Arial"/>
                <w:sz w:val="18"/>
                <w:szCs w:val="18"/>
                <w:color w:val="auto"/>
              </w:rPr>
              <w:t>Consumer Real Estate</w:t>
            </w:r>
          </w:p>
        </w:tc>
        <w:tc>
          <w:tcPr>
            <w:tcW w:w="10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36"/>
        </w:trPr>
        <w:tc>
          <w:tcPr>
            <w:tcW w:w="4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Agricultural Real Estate</w:t>
            </w:r>
          </w:p>
        </w:tc>
        <w:tc>
          <w:tcPr>
            <w:tcW w:w="10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r>
      <w:tr>
        <w:trPr>
          <w:trHeight w:val="248"/>
        </w:trPr>
        <w:tc>
          <w:tcPr>
            <w:tcW w:w="4140" w:type="dxa"/>
            <w:vAlign w:val="bottom"/>
          </w:tcPr>
          <w:p>
            <w:pPr>
              <w:ind w:left="180"/>
              <w:spacing w:after="0"/>
              <w:rPr>
                <w:sz w:val="20"/>
                <w:szCs w:val="20"/>
                <w:color w:val="auto"/>
              </w:rPr>
            </w:pPr>
            <w:r>
              <w:rPr>
                <w:rFonts w:ascii="Arial" w:cs="Arial" w:eastAsia="Arial" w:hAnsi="Arial"/>
                <w:sz w:val="18"/>
                <w:szCs w:val="18"/>
                <w:color w:val="auto"/>
              </w:rPr>
              <w:t>Agricultural</w:t>
            </w:r>
          </w:p>
        </w:tc>
        <w:tc>
          <w:tcPr>
            <w:tcW w:w="10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36"/>
        </w:trPr>
        <w:tc>
          <w:tcPr>
            <w:tcW w:w="4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Commercial Real Estate</w:t>
            </w:r>
          </w:p>
        </w:tc>
        <w:tc>
          <w:tcPr>
            <w:tcW w:w="10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r>
      <w:tr>
        <w:trPr>
          <w:trHeight w:val="248"/>
        </w:trPr>
        <w:tc>
          <w:tcPr>
            <w:tcW w:w="414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0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216</w:t>
            </w:r>
          </w:p>
        </w:tc>
        <w:tc>
          <w:tcPr>
            <w:tcW w:w="34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481</w:t>
            </w:r>
          </w:p>
        </w:tc>
      </w:tr>
      <w:tr>
        <w:trPr>
          <w:trHeight w:val="36"/>
        </w:trPr>
        <w:tc>
          <w:tcPr>
            <w:tcW w:w="4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Consumer</w:t>
            </w:r>
          </w:p>
        </w:tc>
        <w:tc>
          <w:tcPr>
            <w:tcW w:w="10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537</w:t>
            </w: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157</w:t>
            </w: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228</w:t>
            </w:r>
          </w:p>
        </w:tc>
      </w:tr>
      <w:tr>
        <w:trPr>
          <w:trHeight w:val="258"/>
        </w:trPr>
        <w:tc>
          <w:tcPr>
            <w:tcW w:w="4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734</w:t>
            </w:r>
          </w:p>
        </w:tc>
        <w:tc>
          <w:tcPr>
            <w:tcW w:w="340" w:type="dxa"/>
            <w:vAlign w:val="bottom"/>
          </w:tcPr>
          <w:p>
            <w:pPr>
              <w:spacing w:after="0"/>
              <w:rPr>
                <w:sz w:val="22"/>
                <w:szCs w:val="22"/>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22"/>
                <w:szCs w:val="22"/>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551</w:t>
            </w:r>
          </w:p>
        </w:tc>
      </w:tr>
      <w:tr>
        <w:trPr>
          <w:trHeight w:val="46"/>
        </w:trPr>
        <w:tc>
          <w:tcPr>
            <w:tcW w:w="4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4"/>
        </w:trPr>
        <w:tc>
          <w:tcPr>
            <w:tcW w:w="4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Provision for credit losses</w:t>
            </w:r>
          </w:p>
        </w:tc>
        <w:tc>
          <w:tcPr>
            <w:tcW w:w="10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2,596</w:t>
            </w: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944</w:t>
            </w:r>
          </w:p>
        </w:tc>
        <w:tc>
          <w:tcPr>
            <w:tcW w:w="3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1,698</w:t>
            </w:r>
          </w:p>
        </w:tc>
      </w:tr>
      <w:tr>
        <w:trPr>
          <w:trHeight w:val="248"/>
        </w:trPr>
        <w:tc>
          <w:tcPr>
            <w:tcW w:w="4140" w:type="dxa"/>
            <w:vAlign w:val="bottom"/>
          </w:tcPr>
          <w:p>
            <w:pPr>
              <w:spacing w:after="0"/>
              <w:rPr>
                <w:sz w:val="20"/>
                <w:szCs w:val="20"/>
                <w:color w:val="auto"/>
              </w:rPr>
            </w:pPr>
            <w:r>
              <w:rPr>
                <w:rFonts w:ascii="Arial" w:cs="Arial" w:eastAsia="Arial" w:hAnsi="Arial"/>
                <w:sz w:val="18"/>
                <w:szCs w:val="18"/>
                <w:color w:val="auto"/>
              </w:rPr>
              <w:t>Allowance for Credit Losses - Dec 31</w:t>
            </w:r>
          </w:p>
        </w:tc>
        <w:tc>
          <w:tcPr>
            <w:tcW w:w="10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27,688</w:t>
            </w: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25,826</w:t>
            </w:r>
          </w:p>
        </w:tc>
        <w:tc>
          <w:tcPr>
            <w:tcW w:w="34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25,024</w:t>
            </w:r>
          </w:p>
        </w:tc>
      </w:tr>
      <w:tr>
        <w:trPr>
          <w:trHeight w:val="36"/>
        </w:trPr>
        <w:tc>
          <w:tcPr>
            <w:tcW w:w="4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8"/>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w:t>
            </w:r>
          </w:p>
        </w:tc>
        <w:tc>
          <w:tcPr>
            <w:tcW w:w="10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86"/>
        </w:trPr>
        <w:tc>
          <w:tcPr>
            <w:tcW w:w="4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Commitments &amp; Letters of Credit - Dec 31</w:t>
            </w:r>
          </w:p>
        </w:tc>
        <w:tc>
          <w:tcPr>
            <w:tcW w:w="10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1,035</w:t>
            </w:r>
          </w:p>
        </w:tc>
        <w:tc>
          <w:tcPr>
            <w:tcW w:w="3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1,541</w:t>
            </w:r>
          </w:p>
        </w:tc>
        <w:tc>
          <w:tcPr>
            <w:tcW w:w="3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2,212</w:t>
            </w:r>
          </w:p>
        </w:tc>
      </w:tr>
      <w:tr>
        <w:trPr>
          <w:trHeight w:val="248"/>
        </w:trPr>
        <w:tc>
          <w:tcPr>
            <w:tcW w:w="4140" w:type="dxa"/>
            <w:vAlign w:val="bottom"/>
          </w:tcPr>
          <w:p>
            <w:pPr>
              <w:spacing w:after="0"/>
              <w:rPr>
                <w:sz w:val="20"/>
                <w:szCs w:val="20"/>
                <w:color w:val="auto"/>
              </w:rPr>
            </w:pPr>
            <w:r>
              <w:rPr>
                <w:rFonts w:ascii="Arial" w:cs="Arial" w:eastAsia="Arial" w:hAnsi="Arial"/>
                <w:sz w:val="18"/>
                <w:szCs w:val="18"/>
                <w:color w:val="auto"/>
              </w:rPr>
              <w:t>Total Allowance for Credit Losses - Dec 31</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28,723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27,367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27,236</w:t>
            </w:r>
          </w:p>
        </w:tc>
      </w:tr>
      <w:tr>
        <w:trPr>
          <w:trHeight w:val="81"/>
        </w:trPr>
        <w:tc>
          <w:tcPr>
            <w:tcW w:w="4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48"/>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Ratio of Net Charge-offs to Average</w:t>
            </w:r>
          </w:p>
        </w:tc>
        <w:tc>
          <w:tcPr>
            <w:tcW w:w="10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86"/>
        </w:trPr>
        <w:tc>
          <w:tcPr>
            <w:tcW w:w="4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Outstanding Loans</w:t>
            </w:r>
          </w:p>
        </w:tc>
        <w:tc>
          <w:tcPr>
            <w:tcW w:w="10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0.02%</w:t>
            </w:r>
          </w:p>
        </w:tc>
      </w:tr>
      <w:tr>
        <w:trPr>
          <w:trHeight w:val="248"/>
        </w:trPr>
        <w:tc>
          <w:tcPr>
            <w:tcW w:w="4140" w:type="dxa"/>
            <w:vAlign w:val="bottom"/>
          </w:tcPr>
          <w:p>
            <w:pPr>
              <w:spacing w:after="0"/>
              <w:rPr>
                <w:sz w:val="20"/>
                <w:szCs w:val="20"/>
                <w:color w:val="auto"/>
              </w:rPr>
            </w:pPr>
            <w:r>
              <w:rPr>
                <w:rFonts w:ascii="Arial" w:cs="Arial" w:eastAsia="Arial" w:hAnsi="Arial"/>
                <w:sz w:val="18"/>
                <w:szCs w:val="18"/>
                <w:color w:val="auto"/>
              </w:rPr>
              <w:t>Ratio of Nonaccrual Loans to Loans</w:t>
            </w:r>
          </w:p>
        </w:tc>
        <w:tc>
          <w:tcPr>
            <w:tcW w:w="10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0.42%</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-7138035</wp:posOffset>
            </wp:positionV>
            <wp:extent cx="2733675"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1">
                      <a:extLst>
                        <a:ext uri="{28A0092B-C50C-407E-A947-70E740481C1C}"/>
                      </a:extLst>
                    </a:blip>
                    <a:srcRect/>
                    <a:stretch>
                      <a:fillRect/>
                    </a:stretch>
                  </pic:blipFill>
                  <pic:spPr bwMode="auto">
                    <a:xfrm>
                      <a:off x="0" y="0"/>
                      <a:ext cx="2733675" cy="635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-6950710</wp:posOffset>
            </wp:positionV>
            <wp:extent cx="2733675"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2">
                      <a:extLst>
                        <a:ext uri="{28A0092B-C50C-407E-A947-70E740481C1C}"/>
                      </a:extLst>
                    </a:blip>
                    <a:srcRect/>
                    <a:stretch>
                      <a:fillRect/>
                    </a:stretch>
                  </pic:blipFill>
                  <pic:spPr bwMode="auto">
                    <a:xfrm>
                      <a:off x="0" y="0"/>
                      <a:ext cx="2733675" cy="635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-6764020</wp:posOffset>
            </wp:positionV>
            <wp:extent cx="2838450" cy="285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3">
                      <a:extLst>
                        <a:ext uri="{28A0092B-C50C-407E-A947-70E740481C1C}"/>
                      </a:extLst>
                    </a:blip>
                    <a:srcRect/>
                    <a:stretch>
                      <a:fillRect/>
                    </a:stretch>
                  </pic:blipFill>
                  <pic:spPr bwMode="auto">
                    <a:xfrm>
                      <a:off x="0" y="0"/>
                      <a:ext cx="2838450" cy="2857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-6554470</wp:posOffset>
            </wp:positionV>
            <wp:extent cx="2733675" cy="285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4">
                      <a:extLst>
                        <a:ext uri="{28A0092B-C50C-407E-A947-70E740481C1C}"/>
                      </a:extLst>
                    </a:blip>
                    <a:srcRect/>
                    <a:stretch>
                      <a:fillRect/>
                    </a:stretch>
                  </pic:blipFill>
                  <pic:spPr bwMode="auto">
                    <a:xfrm>
                      <a:off x="0" y="0"/>
                      <a:ext cx="2733675" cy="2857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-4539615</wp:posOffset>
            </wp:positionV>
            <wp:extent cx="2733675" cy="1930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5">
                      <a:extLst>
                        <a:ext uri="{28A0092B-C50C-407E-A947-70E740481C1C}"/>
                      </a:extLst>
                    </a:blip>
                    <a:srcRect/>
                    <a:stretch>
                      <a:fillRect/>
                    </a:stretch>
                  </pic:blipFill>
                  <pic:spPr bwMode="auto">
                    <a:xfrm>
                      <a:off x="0" y="0"/>
                      <a:ext cx="2733675" cy="19304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-3082290</wp:posOffset>
            </wp:positionV>
            <wp:extent cx="2733675" cy="1930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6">
                      <a:extLst>
                        <a:ext uri="{28A0092B-C50C-407E-A947-70E740481C1C}"/>
                      </a:extLst>
                    </a:blip>
                    <a:srcRect/>
                    <a:stretch>
                      <a:fillRect/>
                    </a:stretch>
                  </pic:blipFill>
                  <pic:spPr bwMode="auto">
                    <a:xfrm>
                      <a:off x="0" y="0"/>
                      <a:ext cx="2733675" cy="19304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-1624965</wp:posOffset>
            </wp:positionV>
            <wp:extent cx="2733675" cy="1930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7">
                      <a:extLst>
                        <a:ext uri="{28A0092B-C50C-407E-A947-70E740481C1C}"/>
                      </a:extLst>
                    </a:blip>
                    <a:srcRect/>
                    <a:stretch>
                      <a:fillRect/>
                    </a:stretch>
                  </pic:blipFill>
                  <pic:spPr bwMode="auto">
                    <a:xfrm>
                      <a:off x="0" y="0"/>
                      <a:ext cx="2733675" cy="19304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-724535</wp:posOffset>
            </wp:positionV>
            <wp:extent cx="283845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8">
                      <a:extLst>
                        <a:ext uri="{28A0092B-C50C-407E-A947-70E740481C1C}"/>
                      </a:extLst>
                    </a:blip>
                    <a:srcRect/>
                    <a:stretch>
                      <a:fillRect/>
                    </a:stretch>
                  </pic:blipFill>
                  <pic:spPr bwMode="auto">
                    <a:xfrm>
                      <a:off x="0" y="0"/>
                      <a:ext cx="2838450" cy="635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-537845</wp:posOffset>
            </wp:positionV>
            <wp:extent cx="2733675" cy="285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9">
                      <a:extLst>
                        <a:ext uri="{28A0092B-C50C-407E-A947-70E740481C1C}"/>
                      </a:extLst>
                    </a:blip>
                    <a:srcRect/>
                    <a:stretch>
                      <a:fillRect/>
                    </a:stretch>
                  </pic:blipFill>
                  <pic:spPr bwMode="auto">
                    <a:xfrm>
                      <a:off x="0" y="0"/>
                      <a:ext cx="2733675" cy="2857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-185420</wp:posOffset>
            </wp:positionV>
            <wp:extent cx="2838450" cy="285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0">
                      <a:extLst>
                        <a:ext uri="{28A0092B-C50C-407E-A947-70E740481C1C}"/>
                      </a:extLst>
                    </a:blip>
                    <a:srcRect/>
                    <a:stretch>
                      <a:fillRect/>
                    </a:stretch>
                  </pic:blipFill>
                  <pic:spPr bwMode="auto">
                    <a:xfrm>
                      <a:off x="0" y="0"/>
                      <a:ext cx="2838450" cy="2857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22860</wp:posOffset>
            </wp:positionV>
            <wp:extent cx="2733675" cy="285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1">
                      <a:extLst>
                        <a:ext uri="{28A0092B-C50C-407E-A947-70E740481C1C}"/>
                      </a:extLst>
                    </a:blip>
                    <a:srcRect/>
                    <a:stretch>
                      <a:fillRect/>
                    </a:stretch>
                  </pic:blipFill>
                  <pic:spPr bwMode="auto">
                    <a:xfrm>
                      <a:off x="0" y="0"/>
                      <a:ext cx="2733675"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30</w:t>
      </w:r>
    </w:p>
    <w:p>
      <w:pPr>
        <w:sectPr>
          <w:pgSz w:w="11900" w:h="16838" w:orient="portrait"/>
          <w:cols w:equalWidth="0" w:num="1">
            <w:col w:w="9400"/>
          </w:cols>
          <w:pgMar w:left="1260" w:top="1440" w:right="1246" w:bottom="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48"/>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Ratio of the Allowance for Credit</w:t>
            </w:r>
          </w:p>
        </w:tc>
        <w:tc>
          <w:tcPr>
            <w:tcW w:w="27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86"/>
        </w:trPr>
        <w:tc>
          <w:tcPr>
            <w:tcW w:w="40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Losses to Loans</w:t>
            </w:r>
          </w:p>
        </w:tc>
        <w:tc>
          <w:tcPr>
            <w:tcW w:w="270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rPr>
              <w:t>1.02%</w:t>
            </w:r>
          </w:p>
        </w:tc>
        <w:tc>
          <w:tcPr>
            <w:tcW w:w="154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rPr>
              <w:t>1.01%</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0.97%</w:t>
            </w:r>
          </w:p>
        </w:tc>
      </w:tr>
      <w:tr>
        <w:trPr>
          <w:trHeight w:val="248"/>
        </w:trPr>
        <w:tc>
          <w:tcPr>
            <w:tcW w:w="4040" w:type="dxa"/>
            <w:vAlign w:val="bottom"/>
          </w:tcPr>
          <w:p>
            <w:pPr>
              <w:spacing w:after="0"/>
              <w:rPr>
                <w:sz w:val="20"/>
                <w:szCs w:val="20"/>
                <w:color w:val="auto"/>
              </w:rPr>
            </w:pPr>
            <w:r>
              <w:rPr>
                <w:rFonts w:ascii="Arial" w:cs="Arial" w:eastAsia="Arial" w:hAnsi="Arial"/>
                <w:sz w:val="18"/>
                <w:szCs w:val="18"/>
                <w:color w:val="auto"/>
              </w:rPr>
              <w:t>Ratio of the Allowance for Credit</w:t>
            </w:r>
          </w:p>
        </w:tc>
        <w:tc>
          <w:tcPr>
            <w:tcW w:w="2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4040" w:type="dxa"/>
            <w:vAlign w:val="bottom"/>
          </w:tcPr>
          <w:p>
            <w:pPr>
              <w:ind w:left="120"/>
              <w:spacing w:after="0"/>
              <w:rPr>
                <w:sz w:val="20"/>
                <w:szCs w:val="20"/>
                <w:color w:val="auto"/>
              </w:rPr>
            </w:pPr>
            <w:r>
              <w:rPr>
                <w:rFonts w:ascii="Arial" w:cs="Arial" w:eastAsia="Arial" w:hAnsi="Arial"/>
                <w:sz w:val="18"/>
                <w:szCs w:val="18"/>
                <w:color w:val="auto"/>
              </w:rPr>
              <w:t>Losses to Nonaccrual Loans</w:t>
            </w:r>
          </w:p>
        </w:tc>
        <w:tc>
          <w:tcPr>
            <w:tcW w:w="2700" w:type="dxa"/>
            <w:vAlign w:val="bottom"/>
          </w:tcPr>
          <w:p>
            <w:pPr>
              <w:jc w:val="right"/>
              <w:ind w:right="350"/>
              <w:spacing w:after="0"/>
              <w:rPr>
                <w:sz w:val="20"/>
                <w:szCs w:val="20"/>
                <w:color w:val="auto"/>
              </w:rPr>
            </w:pPr>
            <w:r>
              <w:rPr>
                <w:rFonts w:ascii="Arial" w:cs="Arial" w:eastAsia="Arial" w:hAnsi="Arial"/>
                <w:sz w:val="18"/>
                <w:szCs w:val="18"/>
                <w:color w:val="auto"/>
              </w:rPr>
              <w:t>245.98%</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826.70%</w:t>
            </w:r>
          </w:p>
        </w:tc>
        <w:tc>
          <w:tcPr>
            <w:tcW w:w="1120" w:type="dxa"/>
            <w:vAlign w:val="bottom"/>
          </w:tcPr>
          <w:p>
            <w:pPr>
              <w:jc w:val="right"/>
              <w:spacing w:after="0"/>
              <w:rPr>
                <w:sz w:val="20"/>
                <w:szCs w:val="20"/>
                <w:color w:val="auto"/>
              </w:rPr>
            </w:pPr>
            <w:r>
              <w:rPr>
                <w:rFonts w:ascii="Arial" w:cs="Arial" w:eastAsia="Arial" w:hAnsi="Arial"/>
                <w:sz w:val="18"/>
                <w:szCs w:val="18"/>
                <w:color w:val="auto"/>
              </w:rPr>
              <w:t>111.95%</w:t>
            </w:r>
          </w:p>
        </w:tc>
      </w:tr>
      <w:tr>
        <w:trPr>
          <w:trHeight w:val="36"/>
        </w:trPr>
        <w:tc>
          <w:tcPr>
            <w:tcW w:w="40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8"/>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Ratio of the Allowance for Credit</w:t>
            </w:r>
          </w:p>
        </w:tc>
        <w:tc>
          <w:tcPr>
            <w:tcW w:w="27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70"/>
        </w:trPr>
        <w:tc>
          <w:tcPr>
            <w:tcW w:w="4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Losses to Nonperforming Loans</w:t>
            </w:r>
          </w:p>
        </w:tc>
        <w:tc>
          <w:tcPr>
            <w:tcW w:w="270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245.98%</w:t>
            </w:r>
          </w:p>
        </w:tc>
        <w:tc>
          <w:tcPr>
            <w:tcW w:w="1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826.70%</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111.95%</w:t>
            </w:r>
          </w:p>
        </w:tc>
      </w:tr>
      <w:tr>
        <w:trPr>
          <w:trHeight w:val="36"/>
        </w:trPr>
        <w:tc>
          <w:tcPr>
            <w:tcW w:w="4040" w:type="dxa"/>
            <w:vAlign w:val="bottom"/>
            <w:shd w:val="clear" w:color="auto" w:fill="CFF0FC"/>
          </w:tcPr>
          <w:p>
            <w:pPr>
              <w:spacing w:after="0"/>
              <w:rPr>
                <w:sz w:val="3"/>
                <w:szCs w:val="3"/>
                <w:color w:val="auto"/>
              </w:rPr>
            </w:pPr>
          </w:p>
        </w:tc>
        <w:tc>
          <w:tcPr>
            <w:tcW w:w="2700" w:type="dxa"/>
            <w:vAlign w:val="bottom"/>
            <w:shd w:val="clear" w:color="auto" w:fill="CFF0FC"/>
          </w:tcPr>
          <w:p>
            <w:pPr>
              <w:spacing w:after="0"/>
              <w:rPr>
                <w:sz w:val="3"/>
                <w:szCs w:val="3"/>
                <w:color w:val="auto"/>
              </w:rPr>
            </w:pPr>
          </w:p>
        </w:tc>
        <w:tc>
          <w:tcPr>
            <w:tcW w:w="154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-732155</wp:posOffset>
            </wp:positionV>
            <wp:extent cx="2838450" cy="285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2">
                      <a:extLst>
                        <a:ext uri="{28A0092B-C50C-407E-A947-70E740481C1C}"/>
                      </a:extLst>
                    </a:blip>
                    <a:srcRect/>
                    <a:stretch>
                      <a:fillRect/>
                    </a:stretch>
                  </pic:blipFill>
                  <pic:spPr bwMode="auto">
                    <a:xfrm>
                      <a:off x="0" y="0"/>
                      <a:ext cx="2838450" cy="2857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-379730</wp:posOffset>
            </wp:positionV>
            <wp:extent cx="2733675" cy="285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3">
                      <a:extLst>
                        <a:ext uri="{28A0092B-C50C-407E-A947-70E740481C1C}"/>
                      </a:extLst>
                    </a:blip>
                    <a:srcRect/>
                    <a:stretch>
                      <a:fillRect/>
                    </a:stretch>
                  </pic:blipFill>
                  <pic:spPr bwMode="auto">
                    <a:xfrm>
                      <a:off x="0" y="0"/>
                      <a:ext cx="2733675" cy="2857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-27940</wp:posOffset>
            </wp:positionV>
            <wp:extent cx="2838450" cy="285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4">
                      <a:extLst>
                        <a:ext uri="{28A0092B-C50C-407E-A947-70E740481C1C}"/>
                      </a:extLst>
                    </a:blip>
                    <a:srcRect/>
                    <a:stretch>
                      <a:fillRect/>
                    </a:stretch>
                  </pic:blipFill>
                  <pic:spPr bwMode="auto">
                    <a:xfrm>
                      <a:off x="0" y="0"/>
                      <a:ext cx="2838450" cy="2857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*Nonperforming loans are defined as all loans on nonaccrual, plus any loans past due 90 days not on nonaccrual.</w:t>
      </w:r>
    </w:p>
    <w:p>
      <w:pPr>
        <w:spacing w:after="0" w:line="333"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The balance of loans, amortized cost at December 31, 2025, 2024 and 2023 within this chart do not include a fair value basis adjustment for derivatives of $1.7 million, $1.1 million and $2.7 million, respectively, or a daily average outstanding balance of $1.7 million and $1.5 million at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30</w:t>
      </w:r>
    </w:p>
    <w:p>
      <w:pPr>
        <w:sectPr>
          <w:pgSz w:w="11900" w:h="16838" w:orient="portrait"/>
          <w:cols w:equalWidth="0" w:num="1">
            <w:col w:w="9400"/>
          </w:cols>
          <w:pgMar w:left="1260" w:top="1133" w:right="1246" w:bottom="0" w:gutter="0" w:footer="0" w:header="0"/>
          <w:type w:val="continuous"/>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The following table presents the balances for allowance for credit losses per portfolio segment in terms of dollars, as a percentage of ACL and as a percentage of loans: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jc w:val="right"/>
              <w:ind w:right="180"/>
              <w:spacing w:after="0"/>
              <w:rPr>
                <w:sz w:val="20"/>
                <w:szCs w:val="20"/>
                <w:color w:val="auto"/>
              </w:rPr>
            </w:pPr>
            <w:r>
              <w:rPr>
                <w:rFonts w:ascii="Arial" w:cs="Arial" w:eastAsia="Arial" w:hAnsi="Arial"/>
                <w:sz w:val="16"/>
                <w:szCs w:val="16"/>
                <w:color w:val="auto"/>
              </w:rPr>
              <w:t>2025</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jc w:val="right"/>
              <w:ind w:right="180"/>
              <w:spacing w:after="0"/>
              <w:rPr>
                <w:sz w:val="20"/>
                <w:szCs w:val="20"/>
                <w:color w:val="auto"/>
              </w:rPr>
            </w:pPr>
            <w:r>
              <w:rPr>
                <w:rFonts w:ascii="Arial" w:cs="Arial" w:eastAsia="Arial" w:hAnsi="Arial"/>
                <w:sz w:val="16"/>
                <w:szCs w:val="16"/>
                <w:color w:val="auto"/>
              </w:rPr>
              <w:t>2024</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jc w:val="right"/>
              <w:ind w:right="180"/>
              <w:spacing w:after="0"/>
              <w:rPr>
                <w:sz w:val="20"/>
                <w:szCs w:val="20"/>
                <w:color w:val="auto"/>
              </w:rPr>
            </w:pPr>
            <w:r>
              <w:rPr>
                <w:rFonts w:ascii="Arial" w:cs="Arial" w:eastAsia="Arial" w:hAnsi="Arial"/>
                <w:sz w:val="16"/>
                <w:szCs w:val="16"/>
                <w:color w:val="auto"/>
              </w:rPr>
              <w:t>2023</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9"/>
        </w:trPr>
        <w:tc>
          <w:tcPr>
            <w:tcW w:w="2140" w:type="dxa"/>
            <w:vAlign w:val="bottom"/>
          </w:tcPr>
          <w:p>
            <w:pPr>
              <w:spacing w:after="0"/>
              <w:rPr>
                <w:sz w:val="24"/>
                <w:szCs w:val="24"/>
                <w:color w:val="auto"/>
              </w:rPr>
            </w:pPr>
          </w:p>
        </w:tc>
        <w:tc>
          <w:tcPr>
            <w:tcW w:w="980" w:type="dxa"/>
            <w:vAlign w:val="bottom"/>
            <w:gridSpan w:val="2"/>
          </w:tcPr>
          <w:p>
            <w:pPr>
              <w:ind w:left="280"/>
              <w:spacing w:after="0"/>
              <w:rPr>
                <w:sz w:val="20"/>
                <w:szCs w:val="20"/>
                <w:color w:val="auto"/>
              </w:rPr>
            </w:pPr>
            <w:r>
              <w:rPr>
                <w:rFonts w:ascii="Arial" w:cs="Arial" w:eastAsia="Arial" w:hAnsi="Arial"/>
                <w:sz w:val="16"/>
                <w:szCs w:val="16"/>
                <w:color w:val="auto"/>
              </w:rPr>
              <w:t>Amount</w:t>
            </w:r>
          </w:p>
        </w:tc>
        <w:tc>
          <w:tcPr>
            <w:tcW w:w="800" w:type="dxa"/>
            <w:vAlign w:val="bottom"/>
          </w:tcPr>
          <w:p>
            <w:pPr>
              <w:jc w:val="right"/>
              <w:ind w:right="240"/>
              <w:spacing w:after="0"/>
              <w:rPr>
                <w:sz w:val="20"/>
                <w:szCs w:val="20"/>
                <w:color w:val="auto"/>
              </w:rPr>
            </w:pPr>
            <w:r>
              <w:rPr>
                <w:rFonts w:ascii="Arial" w:cs="Arial" w:eastAsia="Arial" w:hAnsi="Arial"/>
                <w:sz w:val="16"/>
                <w:szCs w:val="16"/>
                <w:color w:val="auto"/>
              </w:rPr>
              <w:t>% of</w:t>
            </w:r>
          </w:p>
        </w:tc>
        <w:tc>
          <w:tcPr>
            <w:tcW w:w="740" w:type="dxa"/>
            <w:vAlign w:val="bottom"/>
          </w:tcPr>
          <w:p>
            <w:pPr>
              <w:jc w:val="right"/>
              <w:ind w:right="180"/>
              <w:spacing w:after="0"/>
              <w:rPr>
                <w:sz w:val="20"/>
                <w:szCs w:val="20"/>
                <w:color w:val="auto"/>
              </w:rPr>
            </w:pPr>
            <w:r>
              <w:rPr>
                <w:rFonts w:ascii="Arial" w:cs="Arial" w:eastAsia="Arial" w:hAnsi="Arial"/>
                <w:sz w:val="16"/>
                <w:szCs w:val="16"/>
                <w:color w:val="auto"/>
              </w:rPr>
              <w:t>% of</w:t>
            </w:r>
          </w:p>
        </w:tc>
        <w:tc>
          <w:tcPr>
            <w:tcW w:w="820" w:type="dxa"/>
            <w:vAlign w:val="bottom"/>
            <w:gridSpan w:val="2"/>
          </w:tcPr>
          <w:p>
            <w:pPr>
              <w:ind w:left="120"/>
              <w:spacing w:after="0"/>
              <w:rPr>
                <w:sz w:val="20"/>
                <w:szCs w:val="20"/>
                <w:color w:val="auto"/>
              </w:rPr>
            </w:pPr>
            <w:r>
              <w:rPr>
                <w:rFonts w:ascii="Arial" w:cs="Arial" w:eastAsia="Arial" w:hAnsi="Arial"/>
                <w:sz w:val="16"/>
                <w:szCs w:val="16"/>
                <w:color w:val="auto"/>
              </w:rPr>
              <w:t>Amount</w:t>
            </w:r>
          </w:p>
        </w:tc>
        <w:tc>
          <w:tcPr>
            <w:tcW w:w="780" w:type="dxa"/>
            <w:vAlign w:val="bottom"/>
          </w:tcPr>
          <w:p>
            <w:pPr>
              <w:jc w:val="right"/>
              <w:ind w:right="220"/>
              <w:spacing w:after="0"/>
              <w:rPr>
                <w:sz w:val="20"/>
                <w:szCs w:val="20"/>
                <w:color w:val="auto"/>
              </w:rPr>
            </w:pPr>
            <w:r>
              <w:rPr>
                <w:rFonts w:ascii="Arial" w:cs="Arial" w:eastAsia="Arial" w:hAnsi="Arial"/>
                <w:sz w:val="16"/>
                <w:szCs w:val="16"/>
                <w:color w:val="auto"/>
              </w:rPr>
              <w:t>% of</w:t>
            </w:r>
          </w:p>
        </w:tc>
        <w:tc>
          <w:tcPr>
            <w:tcW w:w="760" w:type="dxa"/>
            <w:vAlign w:val="bottom"/>
          </w:tcPr>
          <w:p>
            <w:pPr>
              <w:jc w:val="right"/>
              <w:ind w:right="180"/>
              <w:spacing w:after="0"/>
              <w:rPr>
                <w:sz w:val="20"/>
                <w:szCs w:val="20"/>
                <w:color w:val="auto"/>
              </w:rPr>
            </w:pPr>
            <w:r>
              <w:rPr>
                <w:rFonts w:ascii="Arial" w:cs="Arial" w:eastAsia="Arial" w:hAnsi="Arial"/>
                <w:sz w:val="16"/>
                <w:szCs w:val="16"/>
                <w:color w:val="auto"/>
              </w:rPr>
              <w:t>% of</w:t>
            </w:r>
          </w:p>
        </w:tc>
        <w:tc>
          <w:tcPr>
            <w:tcW w:w="800" w:type="dxa"/>
            <w:vAlign w:val="bottom"/>
            <w:gridSpan w:val="2"/>
          </w:tcPr>
          <w:p>
            <w:pPr>
              <w:ind w:left="100"/>
              <w:spacing w:after="0"/>
              <w:rPr>
                <w:sz w:val="20"/>
                <w:szCs w:val="20"/>
                <w:color w:val="auto"/>
              </w:rPr>
            </w:pPr>
            <w:r>
              <w:rPr>
                <w:rFonts w:ascii="Arial" w:cs="Arial" w:eastAsia="Arial" w:hAnsi="Arial"/>
                <w:sz w:val="16"/>
                <w:szCs w:val="16"/>
                <w:color w:val="auto"/>
              </w:rPr>
              <w:t>Amount</w:t>
            </w:r>
          </w:p>
        </w:tc>
        <w:tc>
          <w:tcPr>
            <w:tcW w:w="800" w:type="dxa"/>
            <w:vAlign w:val="bottom"/>
          </w:tcPr>
          <w:p>
            <w:pPr>
              <w:jc w:val="right"/>
              <w:ind w:right="240"/>
              <w:spacing w:after="0"/>
              <w:rPr>
                <w:sz w:val="20"/>
                <w:szCs w:val="20"/>
                <w:color w:val="auto"/>
              </w:rPr>
            </w:pPr>
            <w:r>
              <w:rPr>
                <w:rFonts w:ascii="Arial" w:cs="Arial" w:eastAsia="Arial" w:hAnsi="Arial"/>
                <w:sz w:val="16"/>
                <w:szCs w:val="16"/>
                <w:color w:val="auto"/>
              </w:rPr>
              <w:t>% of</w:t>
            </w:r>
          </w:p>
        </w:tc>
        <w:tc>
          <w:tcPr>
            <w:tcW w:w="780" w:type="dxa"/>
            <w:vAlign w:val="bottom"/>
          </w:tcPr>
          <w:p>
            <w:pPr>
              <w:jc w:val="right"/>
              <w:ind w:right="200"/>
              <w:spacing w:after="0"/>
              <w:rPr>
                <w:sz w:val="20"/>
                <w:szCs w:val="20"/>
                <w:color w:val="auto"/>
              </w:rPr>
            </w:pPr>
            <w:r>
              <w:rPr>
                <w:rFonts w:ascii="Arial" w:cs="Arial" w:eastAsia="Arial" w:hAnsi="Arial"/>
                <w:sz w:val="16"/>
                <w:szCs w:val="16"/>
                <w:color w:val="auto"/>
              </w:rPr>
              <w:t>% of</w:t>
            </w:r>
          </w:p>
        </w:tc>
        <w:tc>
          <w:tcPr>
            <w:tcW w:w="0" w:type="dxa"/>
            <w:vAlign w:val="bottom"/>
          </w:tcPr>
          <w:p>
            <w:pPr>
              <w:spacing w:after="0"/>
              <w:rPr>
                <w:sz w:val="1"/>
                <w:szCs w:val="1"/>
                <w:color w:val="auto"/>
              </w:rPr>
            </w:pPr>
          </w:p>
        </w:tc>
      </w:tr>
      <w:tr>
        <w:trPr>
          <w:trHeight w:val="254"/>
        </w:trPr>
        <w:tc>
          <w:tcPr>
            <w:tcW w:w="214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(000's)</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ACL</w:t>
            </w:r>
          </w:p>
        </w:tc>
        <w:tc>
          <w:tcPr>
            <w:tcW w:w="740" w:type="dxa"/>
            <w:vAlign w:val="bottom"/>
          </w:tcPr>
          <w:p>
            <w:pPr>
              <w:jc w:val="right"/>
              <w:ind w:right="160"/>
              <w:spacing w:after="0"/>
              <w:rPr>
                <w:sz w:val="20"/>
                <w:szCs w:val="20"/>
                <w:color w:val="auto"/>
              </w:rPr>
            </w:pPr>
            <w:r>
              <w:rPr>
                <w:rFonts w:ascii="Arial" w:cs="Arial" w:eastAsia="Arial" w:hAnsi="Arial"/>
                <w:sz w:val="16"/>
                <w:szCs w:val="16"/>
                <w:color w:val="auto"/>
              </w:rPr>
              <w:t>Loan</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(000's)</w:t>
            </w:r>
          </w:p>
        </w:tc>
        <w:tc>
          <w:tcPr>
            <w:tcW w:w="780" w:type="dxa"/>
            <w:vAlign w:val="bottom"/>
          </w:tcPr>
          <w:p>
            <w:pPr>
              <w:jc w:val="right"/>
              <w:ind w:right="220"/>
              <w:spacing w:after="0"/>
              <w:rPr>
                <w:sz w:val="20"/>
                <w:szCs w:val="20"/>
                <w:color w:val="auto"/>
              </w:rPr>
            </w:pPr>
            <w:r>
              <w:rPr>
                <w:rFonts w:ascii="Arial" w:cs="Arial" w:eastAsia="Arial" w:hAnsi="Arial"/>
                <w:sz w:val="16"/>
                <w:szCs w:val="16"/>
                <w:color w:val="auto"/>
              </w:rPr>
              <w:t>ACL</w:t>
            </w:r>
          </w:p>
        </w:tc>
        <w:tc>
          <w:tcPr>
            <w:tcW w:w="760" w:type="dxa"/>
            <w:vAlign w:val="bottom"/>
          </w:tcPr>
          <w:p>
            <w:pPr>
              <w:jc w:val="right"/>
              <w:ind w:right="180"/>
              <w:spacing w:after="0"/>
              <w:rPr>
                <w:sz w:val="20"/>
                <w:szCs w:val="20"/>
                <w:color w:val="auto"/>
              </w:rPr>
            </w:pPr>
            <w:r>
              <w:rPr>
                <w:rFonts w:ascii="Arial" w:cs="Arial" w:eastAsia="Arial" w:hAnsi="Arial"/>
                <w:sz w:val="16"/>
                <w:szCs w:val="16"/>
                <w:color w:val="auto"/>
              </w:rPr>
              <w:t>Loan</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(000's)</w:t>
            </w:r>
          </w:p>
        </w:tc>
        <w:tc>
          <w:tcPr>
            <w:tcW w:w="800" w:type="dxa"/>
            <w:vAlign w:val="bottom"/>
          </w:tcPr>
          <w:p>
            <w:pPr>
              <w:jc w:val="right"/>
              <w:ind w:right="240"/>
              <w:spacing w:after="0"/>
              <w:rPr>
                <w:sz w:val="20"/>
                <w:szCs w:val="20"/>
                <w:color w:val="auto"/>
              </w:rPr>
            </w:pPr>
            <w:r>
              <w:rPr>
                <w:rFonts w:ascii="Arial" w:cs="Arial" w:eastAsia="Arial" w:hAnsi="Arial"/>
                <w:sz w:val="16"/>
                <w:szCs w:val="16"/>
                <w:color w:val="auto"/>
              </w:rPr>
              <w:t>ACL</w:t>
            </w:r>
          </w:p>
        </w:tc>
        <w:tc>
          <w:tcPr>
            <w:tcW w:w="780" w:type="dxa"/>
            <w:vAlign w:val="bottom"/>
          </w:tcPr>
          <w:p>
            <w:pPr>
              <w:jc w:val="right"/>
              <w:ind w:right="200"/>
              <w:spacing w:after="0"/>
              <w:rPr>
                <w:sz w:val="20"/>
                <w:szCs w:val="20"/>
                <w:color w:val="auto"/>
              </w:rPr>
            </w:pPr>
            <w:r>
              <w:rPr>
                <w:rFonts w:ascii="Arial" w:cs="Arial" w:eastAsia="Arial" w:hAnsi="Arial"/>
                <w:sz w:val="16"/>
                <w:szCs w:val="16"/>
                <w:color w:val="auto"/>
              </w:rPr>
              <w:t>Loan</w:t>
            </w:r>
          </w:p>
        </w:tc>
        <w:tc>
          <w:tcPr>
            <w:tcW w:w="0" w:type="dxa"/>
            <w:vAlign w:val="bottom"/>
          </w:tcPr>
          <w:p>
            <w:pPr>
              <w:spacing w:after="0"/>
              <w:rPr>
                <w:sz w:val="1"/>
                <w:szCs w:val="1"/>
                <w:color w:val="auto"/>
              </w:rPr>
            </w:pPr>
          </w:p>
        </w:tc>
      </w:tr>
      <w:tr>
        <w:trPr>
          <w:trHeight w:val="42"/>
        </w:trPr>
        <w:tc>
          <w:tcPr>
            <w:tcW w:w="2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140" w:type="dxa"/>
            <w:vAlign w:val="bottom"/>
            <w:shd w:val="clear" w:color="auto" w:fill="CFF0FC"/>
          </w:tcPr>
          <w:p>
            <w:pPr>
              <w:spacing w:after="0"/>
              <w:rPr>
                <w:sz w:val="20"/>
                <w:szCs w:val="20"/>
                <w:color w:val="auto"/>
              </w:rPr>
            </w:pPr>
            <w:r>
              <w:rPr>
                <w:rFonts w:ascii="Arial" w:cs="Arial" w:eastAsia="Arial" w:hAnsi="Arial"/>
                <w:sz w:val="16"/>
                <w:szCs w:val="16"/>
                <w:color w:val="auto"/>
              </w:rPr>
              <w:t>Balance at End of Period</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Applicable To:</w:t>
            </w:r>
          </w:p>
        </w:tc>
        <w:tc>
          <w:tcPr>
            <w:tcW w:w="3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140" w:type="dxa"/>
            <w:vAlign w:val="bottom"/>
          </w:tcPr>
          <w:p>
            <w:pPr>
              <w:spacing w:after="0"/>
              <w:rPr>
                <w:sz w:val="20"/>
                <w:szCs w:val="20"/>
                <w:color w:val="auto"/>
              </w:rPr>
            </w:pPr>
            <w:r>
              <w:rPr>
                <w:rFonts w:ascii="Arial" w:cs="Arial" w:eastAsia="Arial" w:hAnsi="Arial"/>
                <w:sz w:val="16"/>
                <w:szCs w:val="16"/>
                <w:color w:val="auto"/>
              </w:rPr>
              <w:t>Consumer Real Estate</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4,266</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15.41</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19.44</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3,543</w:t>
            </w:r>
          </w:p>
        </w:tc>
        <w:tc>
          <w:tcPr>
            <w:tcW w:w="780" w:type="dxa"/>
            <w:vAlign w:val="bottom"/>
          </w:tcPr>
          <w:p>
            <w:pPr>
              <w:jc w:val="right"/>
              <w:ind w:right="100"/>
              <w:spacing w:after="0"/>
              <w:rPr>
                <w:sz w:val="20"/>
                <w:szCs w:val="20"/>
                <w:color w:val="auto"/>
              </w:rPr>
            </w:pPr>
            <w:r>
              <w:rPr>
                <w:rFonts w:ascii="Arial" w:cs="Arial" w:eastAsia="Arial" w:hAnsi="Arial"/>
                <w:sz w:val="16"/>
                <w:szCs w:val="16"/>
                <w:color w:val="auto"/>
              </w:rPr>
              <w:t>13.72</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20.32</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3,581</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14.31</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Agricultural Real Estate</w:t>
            </w:r>
          </w:p>
        </w:tc>
        <w:tc>
          <w:tcPr>
            <w:tcW w:w="3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735</w:t>
            </w:r>
          </w:p>
        </w:tc>
        <w:tc>
          <w:tcPr>
            <w:tcW w:w="8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2.65</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8.00</w:t>
            </w:r>
          </w:p>
        </w:tc>
        <w:tc>
          <w:tcPr>
            <w:tcW w:w="2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895</w:t>
            </w:r>
          </w:p>
        </w:tc>
        <w:tc>
          <w:tcPr>
            <w:tcW w:w="7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3.47</w:t>
            </w:r>
          </w:p>
        </w:tc>
        <w:tc>
          <w:tcPr>
            <w:tcW w:w="7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8.44</w:t>
            </w:r>
          </w:p>
        </w:tc>
        <w:tc>
          <w:tcPr>
            <w:tcW w:w="1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312</w:t>
            </w:r>
          </w:p>
        </w:tc>
        <w:tc>
          <w:tcPr>
            <w:tcW w:w="8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1.25</w:t>
            </w:r>
          </w:p>
        </w:tc>
        <w:tc>
          <w:tcPr>
            <w:tcW w:w="7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22"/>
        </w:trPr>
        <w:tc>
          <w:tcPr>
            <w:tcW w:w="2140" w:type="dxa"/>
            <w:vAlign w:val="bottom"/>
          </w:tcPr>
          <w:p>
            <w:pPr>
              <w:spacing w:after="0"/>
              <w:rPr>
                <w:sz w:val="20"/>
                <w:szCs w:val="20"/>
                <w:color w:val="auto"/>
              </w:rPr>
            </w:pPr>
            <w:r>
              <w:rPr>
                <w:rFonts w:ascii="Arial" w:cs="Arial" w:eastAsia="Arial" w:hAnsi="Arial"/>
                <w:sz w:val="16"/>
                <w:szCs w:val="16"/>
                <w:color w:val="auto"/>
              </w:rPr>
              <w:t>Agricultural</w:t>
            </w:r>
          </w:p>
        </w:tc>
        <w:tc>
          <w:tcPr>
            <w:tcW w:w="380" w:type="dxa"/>
            <w:vAlign w:val="bottom"/>
          </w:tcPr>
          <w:p>
            <w:pPr>
              <w:spacing w:after="0"/>
              <w:rPr>
                <w:sz w:val="19"/>
                <w:szCs w:val="19"/>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474</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1.71</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8.05</w:t>
            </w:r>
          </w:p>
        </w:tc>
        <w:tc>
          <w:tcPr>
            <w:tcW w:w="200" w:type="dxa"/>
            <w:vAlign w:val="bottom"/>
          </w:tcPr>
          <w:p>
            <w:pPr>
              <w:spacing w:after="0"/>
              <w:rPr>
                <w:sz w:val="19"/>
                <w:szCs w:val="19"/>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285</w:t>
            </w:r>
          </w:p>
        </w:tc>
        <w:tc>
          <w:tcPr>
            <w:tcW w:w="780" w:type="dxa"/>
            <w:vAlign w:val="bottom"/>
          </w:tcPr>
          <w:p>
            <w:pPr>
              <w:jc w:val="right"/>
              <w:ind w:right="100"/>
              <w:spacing w:after="0"/>
              <w:rPr>
                <w:sz w:val="20"/>
                <w:szCs w:val="20"/>
                <w:color w:val="auto"/>
              </w:rPr>
            </w:pPr>
            <w:r>
              <w:rPr>
                <w:rFonts w:ascii="Arial" w:cs="Arial" w:eastAsia="Arial" w:hAnsi="Arial"/>
                <w:sz w:val="16"/>
                <w:szCs w:val="16"/>
                <w:color w:val="auto"/>
              </w:rPr>
              <w:t>1.10</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5.95</w:t>
            </w:r>
          </w:p>
        </w:tc>
        <w:tc>
          <w:tcPr>
            <w:tcW w:w="180" w:type="dxa"/>
            <w:vAlign w:val="bottom"/>
          </w:tcPr>
          <w:p>
            <w:pPr>
              <w:spacing w:after="0"/>
              <w:rPr>
                <w:sz w:val="19"/>
                <w:szCs w:val="19"/>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336</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1.34</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Commercial Real Estate</w:t>
            </w:r>
          </w:p>
        </w:tc>
        <w:tc>
          <w:tcPr>
            <w:tcW w:w="3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85"/>
              </w:rPr>
              <w:t>17,428</w:t>
            </w:r>
          </w:p>
        </w:tc>
        <w:tc>
          <w:tcPr>
            <w:tcW w:w="8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62.95</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49.89</w:t>
            </w:r>
          </w:p>
        </w:tc>
        <w:tc>
          <w:tcPr>
            <w:tcW w:w="2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85"/>
              </w:rPr>
              <w:t>16,560</w:t>
            </w:r>
          </w:p>
        </w:tc>
        <w:tc>
          <w:tcPr>
            <w:tcW w:w="7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64.12</w:t>
            </w:r>
          </w:p>
        </w:tc>
        <w:tc>
          <w:tcPr>
            <w:tcW w:w="7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51.10</w:t>
            </w:r>
          </w:p>
        </w:tc>
        <w:tc>
          <w:tcPr>
            <w:tcW w:w="1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89"/>
              </w:rPr>
              <w:t>17,400</w:t>
            </w:r>
          </w:p>
        </w:tc>
        <w:tc>
          <w:tcPr>
            <w:tcW w:w="8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69.53</w:t>
            </w:r>
          </w:p>
        </w:tc>
        <w:tc>
          <w:tcPr>
            <w:tcW w:w="7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51.77</w:t>
            </w:r>
          </w:p>
        </w:tc>
        <w:tc>
          <w:tcPr>
            <w:tcW w:w="0" w:type="dxa"/>
            <w:vAlign w:val="bottom"/>
          </w:tcPr>
          <w:p>
            <w:pPr>
              <w:spacing w:after="0"/>
              <w:rPr>
                <w:sz w:val="1"/>
                <w:szCs w:val="1"/>
                <w:color w:val="auto"/>
              </w:rPr>
            </w:pPr>
          </w:p>
        </w:tc>
      </w:tr>
      <w:tr>
        <w:trPr>
          <w:trHeight w:val="222"/>
        </w:trPr>
        <w:tc>
          <w:tcPr>
            <w:tcW w:w="2140" w:type="dxa"/>
            <w:vAlign w:val="bottom"/>
          </w:tcPr>
          <w:p>
            <w:pPr>
              <w:spacing w:after="0"/>
              <w:rPr>
                <w:sz w:val="20"/>
                <w:szCs w:val="20"/>
                <w:color w:val="auto"/>
              </w:rPr>
            </w:pPr>
            <w:r>
              <w:rPr>
                <w:rFonts w:ascii="Arial" w:cs="Arial" w:eastAsia="Arial" w:hAnsi="Arial"/>
                <w:sz w:val="16"/>
                <w:szCs w:val="16"/>
                <w:color w:val="auto"/>
              </w:rPr>
              <w:t>Commercial and Industrial</w:t>
            </w:r>
          </w:p>
        </w:tc>
        <w:tc>
          <w:tcPr>
            <w:tcW w:w="380" w:type="dxa"/>
            <w:vAlign w:val="bottom"/>
          </w:tcPr>
          <w:p>
            <w:pPr>
              <w:spacing w:after="0"/>
              <w:rPr>
                <w:sz w:val="19"/>
                <w:szCs w:val="19"/>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3,286</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11.87</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11.58</w:t>
            </w:r>
          </w:p>
        </w:tc>
        <w:tc>
          <w:tcPr>
            <w:tcW w:w="200" w:type="dxa"/>
            <w:vAlign w:val="bottom"/>
          </w:tcPr>
          <w:p>
            <w:pPr>
              <w:spacing w:after="0"/>
              <w:rPr>
                <w:sz w:val="19"/>
                <w:szCs w:val="19"/>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2,969</w:t>
            </w:r>
          </w:p>
        </w:tc>
        <w:tc>
          <w:tcPr>
            <w:tcW w:w="780" w:type="dxa"/>
            <w:vAlign w:val="bottom"/>
          </w:tcPr>
          <w:p>
            <w:pPr>
              <w:jc w:val="right"/>
              <w:ind w:right="100"/>
              <w:spacing w:after="0"/>
              <w:rPr>
                <w:sz w:val="20"/>
                <w:szCs w:val="20"/>
                <w:color w:val="auto"/>
              </w:rPr>
            </w:pPr>
            <w:r>
              <w:rPr>
                <w:rFonts w:ascii="Arial" w:cs="Arial" w:eastAsia="Arial" w:hAnsi="Arial"/>
                <w:sz w:val="16"/>
                <w:szCs w:val="16"/>
                <w:color w:val="auto"/>
              </w:rPr>
              <w:t>11.50</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10.73</w:t>
            </w:r>
          </w:p>
        </w:tc>
        <w:tc>
          <w:tcPr>
            <w:tcW w:w="180" w:type="dxa"/>
            <w:vAlign w:val="bottom"/>
          </w:tcPr>
          <w:p>
            <w:pPr>
              <w:spacing w:after="0"/>
              <w:rPr>
                <w:sz w:val="19"/>
                <w:szCs w:val="19"/>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1,766</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7.06</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Consumer</w:t>
            </w:r>
          </w:p>
        </w:tc>
        <w:tc>
          <w:tcPr>
            <w:tcW w:w="3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953</w:t>
            </w:r>
          </w:p>
        </w:tc>
        <w:tc>
          <w:tcPr>
            <w:tcW w:w="8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3.44</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2.19</w:t>
            </w:r>
          </w:p>
        </w:tc>
        <w:tc>
          <w:tcPr>
            <w:tcW w:w="2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1,012</w:t>
            </w:r>
          </w:p>
        </w:tc>
        <w:tc>
          <w:tcPr>
            <w:tcW w:w="7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3.92</w:t>
            </w:r>
          </w:p>
        </w:tc>
        <w:tc>
          <w:tcPr>
            <w:tcW w:w="7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2.48</w:t>
            </w:r>
          </w:p>
        </w:tc>
        <w:tc>
          <w:tcPr>
            <w:tcW w:w="1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1,302</w:t>
            </w:r>
          </w:p>
        </w:tc>
        <w:tc>
          <w:tcPr>
            <w:tcW w:w="8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5.20</w:t>
            </w:r>
          </w:p>
        </w:tc>
        <w:tc>
          <w:tcPr>
            <w:tcW w:w="7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32"/>
        </w:trPr>
        <w:tc>
          <w:tcPr>
            <w:tcW w:w="2140" w:type="dxa"/>
            <w:vAlign w:val="bottom"/>
          </w:tcPr>
          <w:p>
            <w:pPr>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546</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1.97</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0.85</w:t>
            </w:r>
          </w:p>
        </w:tc>
        <w:tc>
          <w:tcPr>
            <w:tcW w:w="200" w:type="dxa"/>
            <w:vAlign w:val="bottom"/>
          </w:tcPr>
          <w:p>
            <w:pPr>
              <w:spacing w:after="0"/>
              <w:rPr>
                <w:sz w:val="20"/>
                <w:szCs w:val="20"/>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562</w:t>
            </w:r>
          </w:p>
        </w:tc>
        <w:tc>
          <w:tcPr>
            <w:tcW w:w="780" w:type="dxa"/>
            <w:vAlign w:val="bottom"/>
          </w:tcPr>
          <w:p>
            <w:pPr>
              <w:jc w:val="right"/>
              <w:ind w:right="100"/>
              <w:spacing w:after="0"/>
              <w:rPr>
                <w:sz w:val="20"/>
                <w:szCs w:val="20"/>
                <w:color w:val="auto"/>
              </w:rPr>
            </w:pPr>
            <w:r>
              <w:rPr>
                <w:rFonts w:ascii="Arial" w:cs="Arial" w:eastAsia="Arial" w:hAnsi="Arial"/>
                <w:sz w:val="16"/>
                <w:szCs w:val="16"/>
                <w:color w:val="auto"/>
              </w:rPr>
              <w:t>2.17</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0.98</w:t>
            </w:r>
          </w:p>
        </w:tc>
        <w:tc>
          <w:tcPr>
            <w:tcW w:w="180" w:type="dxa"/>
            <w:vAlign w:val="bottom"/>
          </w:tcPr>
          <w:p>
            <w:pPr>
              <w:spacing w:after="0"/>
              <w:rPr>
                <w:sz w:val="20"/>
                <w:szCs w:val="20"/>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327</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1.31</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Allowance for Credit Losses</w:t>
            </w:r>
          </w:p>
        </w:tc>
        <w:tc>
          <w:tcPr>
            <w:tcW w:w="3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85"/>
              </w:rPr>
              <w:t>27,688</w:t>
            </w:r>
          </w:p>
        </w:tc>
        <w:tc>
          <w:tcPr>
            <w:tcW w:w="8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100.00</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100.00</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85"/>
              </w:rPr>
              <w:t>25,826</w:t>
            </w:r>
          </w:p>
        </w:tc>
        <w:tc>
          <w:tcPr>
            <w:tcW w:w="7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100.00</w:t>
            </w:r>
          </w:p>
        </w:tc>
        <w:tc>
          <w:tcPr>
            <w:tcW w:w="7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100.00</w:t>
            </w:r>
          </w:p>
        </w:tc>
        <w:tc>
          <w:tcPr>
            <w:tcW w:w="1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89"/>
              </w:rPr>
              <w:t>25,024</w:t>
            </w:r>
          </w:p>
        </w:tc>
        <w:tc>
          <w:tcPr>
            <w:tcW w:w="8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100.00</w:t>
            </w:r>
          </w:p>
        </w:tc>
        <w:tc>
          <w:tcPr>
            <w:tcW w:w="7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22"/>
        </w:trPr>
        <w:tc>
          <w:tcPr>
            <w:tcW w:w="2140" w:type="dxa"/>
            <w:vAlign w:val="bottom"/>
          </w:tcPr>
          <w:p>
            <w:pPr>
              <w:jc w:val="center"/>
              <w:ind w:right="820"/>
              <w:spacing w:after="0"/>
              <w:rPr>
                <w:sz w:val="20"/>
                <w:szCs w:val="20"/>
                <w:color w:val="auto"/>
              </w:rPr>
            </w:pPr>
            <w:r>
              <w:rPr>
                <w:rFonts w:ascii="Arial" w:cs="Arial" w:eastAsia="Arial" w:hAnsi="Arial"/>
                <w:sz w:val="16"/>
                <w:szCs w:val="16"/>
                <w:color w:val="auto"/>
                <w:w w:val="89"/>
              </w:rPr>
              <w:t>Off Balance Sheet</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140" w:type="dxa"/>
            <w:vAlign w:val="bottom"/>
          </w:tcPr>
          <w:p>
            <w:pPr>
              <w:jc w:val="center"/>
              <w:ind w:right="840"/>
              <w:spacing w:after="0"/>
              <w:rPr>
                <w:sz w:val="20"/>
                <w:szCs w:val="20"/>
                <w:color w:val="auto"/>
              </w:rPr>
            </w:pPr>
            <w:r>
              <w:rPr>
                <w:rFonts w:ascii="Arial" w:cs="Arial" w:eastAsia="Arial" w:hAnsi="Arial"/>
                <w:sz w:val="16"/>
                <w:szCs w:val="16"/>
                <w:color w:val="auto"/>
                <w:w w:val="91"/>
              </w:rPr>
              <w:t>Commitments</w:t>
            </w:r>
          </w:p>
        </w:tc>
        <w:tc>
          <w:tcPr>
            <w:tcW w:w="38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1,035</w:t>
            </w: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1,541</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2,212</w:t>
            </w: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140" w:type="dxa"/>
            <w:vAlign w:val="bottom"/>
            <w:shd w:val="clear" w:color="auto" w:fill="CFF0FC"/>
          </w:tcPr>
          <w:p>
            <w:pPr>
              <w:ind w:left="80"/>
              <w:spacing w:after="0"/>
              <w:rPr>
                <w:sz w:val="20"/>
                <w:szCs w:val="20"/>
                <w:color w:val="auto"/>
              </w:rPr>
            </w:pPr>
            <w:r>
              <w:rPr>
                <w:rFonts w:ascii="Arial" w:cs="Arial" w:eastAsia="Arial" w:hAnsi="Arial"/>
                <w:sz w:val="16"/>
                <w:szCs w:val="16"/>
                <w:color w:val="auto"/>
              </w:rPr>
              <w:t>Total Allowance for</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140" w:type="dxa"/>
            <w:vAlign w:val="bottom"/>
            <w:vMerge w:val="restart"/>
            <w:shd w:val="clear" w:color="auto" w:fill="CFF0FC"/>
          </w:tcPr>
          <w:p>
            <w:pPr>
              <w:jc w:val="center"/>
              <w:ind w:right="780"/>
              <w:spacing w:after="0"/>
              <w:rPr>
                <w:sz w:val="20"/>
                <w:szCs w:val="20"/>
                <w:color w:val="auto"/>
              </w:rPr>
            </w:pPr>
            <w:r>
              <w:rPr>
                <w:rFonts w:ascii="Arial" w:cs="Arial" w:eastAsia="Arial" w:hAnsi="Arial"/>
                <w:sz w:val="16"/>
                <w:szCs w:val="16"/>
                <w:color w:val="auto"/>
                <w:w w:val="89"/>
              </w:rPr>
              <w:t>Credit Losses</w:t>
            </w:r>
          </w:p>
        </w:tc>
        <w:tc>
          <w:tcPr>
            <w:tcW w:w="380" w:type="dxa"/>
            <w:vAlign w:val="bottom"/>
            <w:shd w:val="clear" w:color="auto" w:fill="CFF0FC"/>
          </w:tcPr>
          <w:p>
            <w:pPr>
              <w:ind w:left="28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85"/>
              </w:rPr>
              <w:t>28,723</w:t>
            </w: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ind w:left="10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85"/>
              </w:rPr>
              <w:t>27,367</w:t>
            </w:r>
          </w:p>
        </w:tc>
        <w:tc>
          <w:tcPr>
            <w:tcW w:w="7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ind w:left="10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89"/>
              </w:rPr>
              <w:t>27,236</w:t>
            </w:r>
          </w:p>
        </w:tc>
        <w:tc>
          <w:tcPr>
            <w:tcW w:w="8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140" w:type="dxa"/>
            <w:vAlign w:val="bottom"/>
            <w:vMerge w:val="continue"/>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214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-2743835</wp:posOffset>
            </wp:positionV>
            <wp:extent cx="436689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6">
                      <a:extLst>
                        <a:ext uri="{28A0092B-C50C-407E-A947-70E740481C1C}"/>
                      </a:extLst>
                    </a:blip>
                    <a:srcRect/>
                    <a:stretch>
                      <a:fillRect/>
                    </a:stretch>
                  </pic:blipFill>
                  <pic:spPr bwMode="auto">
                    <a:xfrm>
                      <a:off x="0" y="0"/>
                      <a:ext cx="4366895" cy="635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-2252345</wp:posOffset>
            </wp:positionV>
            <wp:extent cx="436689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7">
                      <a:extLst>
                        <a:ext uri="{28A0092B-C50C-407E-A947-70E740481C1C}"/>
                      </a:extLst>
                    </a:blip>
                    <a:srcRect/>
                    <a:stretch>
                      <a:fillRect/>
                    </a:stretch>
                  </pic:blipFill>
                  <pic:spPr bwMode="auto">
                    <a:xfrm>
                      <a:off x="0" y="0"/>
                      <a:ext cx="4366895" cy="635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-801370</wp:posOffset>
            </wp:positionV>
            <wp:extent cx="43668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8">
                      <a:extLst>
                        <a:ext uri="{28A0092B-C50C-407E-A947-70E740481C1C}"/>
                      </a:extLst>
                    </a:blip>
                    <a:srcRect/>
                    <a:stretch>
                      <a:fillRect/>
                    </a:stretch>
                  </pic:blipFill>
                  <pic:spPr bwMode="auto">
                    <a:xfrm>
                      <a:off x="0" y="0"/>
                      <a:ext cx="4366895" cy="1270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-319405</wp:posOffset>
            </wp:positionV>
            <wp:extent cx="35242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9">
                      <a:extLst>
                        <a:ext uri="{28A0092B-C50C-407E-A947-70E740481C1C}"/>
                      </a:extLst>
                    </a:blip>
                    <a:srcRect/>
                    <a:stretch>
                      <a:fillRect/>
                    </a:stretch>
                  </pic:blipFill>
                  <pic:spPr bwMode="auto">
                    <a:xfrm>
                      <a:off x="0" y="0"/>
                      <a:ext cx="352425" cy="635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-319405</wp:posOffset>
            </wp:positionV>
            <wp:extent cx="35242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0">
                      <a:extLst>
                        <a:ext uri="{28A0092B-C50C-407E-A947-70E740481C1C}"/>
                      </a:extLst>
                    </a:blip>
                    <a:srcRect/>
                    <a:stretch>
                      <a:fillRect/>
                    </a:stretch>
                  </pic:blipFill>
                  <pic:spPr bwMode="auto">
                    <a:xfrm>
                      <a:off x="0" y="0"/>
                      <a:ext cx="352425" cy="635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-319405</wp:posOffset>
            </wp:positionV>
            <wp:extent cx="352425"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1">
                      <a:extLst>
                        <a:ext uri="{28A0092B-C50C-407E-A947-70E740481C1C}"/>
                      </a:extLst>
                    </a:blip>
                    <a:srcRect/>
                    <a:stretch>
                      <a:fillRect/>
                    </a:stretch>
                  </pic:blipFill>
                  <pic:spPr bwMode="auto">
                    <a:xfrm>
                      <a:off x="0" y="0"/>
                      <a:ext cx="352425" cy="635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-27940</wp:posOffset>
            </wp:positionV>
            <wp:extent cx="412115" cy="285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2">
                      <a:extLst>
                        <a:ext uri="{28A0092B-C50C-407E-A947-70E740481C1C}"/>
                      </a:extLst>
                    </a:blip>
                    <a:srcRect/>
                    <a:stretch>
                      <a:fillRect/>
                    </a:stretch>
                  </pic:blipFill>
                  <pic:spPr bwMode="auto">
                    <a:xfrm>
                      <a:off x="0" y="0"/>
                      <a:ext cx="412115" cy="28575"/>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-27940</wp:posOffset>
            </wp:positionV>
            <wp:extent cx="412115" cy="285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3">
                      <a:extLst>
                        <a:ext uri="{28A0092B-C50C-407E-A947-70E740481C1C}"/>
                      </a:extLst>
                    </a:blip>
                    <a:srcRect/>
                    <a:stretch>
                      <a:fillRect/>
                    </a:stretch>
                  </pic:blipFill>
                  <pic:spPr bwMode="auto">
                    <a:xfrm>
                      <a:off x="0" y="0"/>
                      <a:ext cx="412115" cy="2857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-27940</wp:posOffset>
            </wp:positionV>
            <wp:extent cx="412115" cy="285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4">
                      <a:extLst>
                        <a:ext uri="{28A0092B-C50C-407E-A947-70E740481C1C}"/>
                      </a:extLst>
                    </a:blip>
                    <a:srcRect/>
                    <a:stretch>
                      <a:fillRect/>
                    </a:stretch>
                  </pic:blipFill>
                  <pic:spPr bwMode="auto">
                    <a:xfrm>
                      <a:off x="0" y="0"/>
                      <a:ext cx="41211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30</w:t>
      </w:r>
    </w:p>
    <w:p>
      <w:pPr>
        <w:sectPr>
          <w:pgSz w:w="11900" w:h="16838" w:orient="portrait"/>
          <w:cols w:equalWidth="0" w:num="1">
            <w:col w:w="9400"/>
          </w:cols>
          <w:pgMar w:left="1260" w:top="1440" w:right="1246" w:bottom="0" w:gutter="0" w:footer="0" w:header="0"/>
          <w:type w:val="continuous"/>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Deposits</w:t>
      </w:r>
    </w:p>
    <w:p>
      <w:pPr>
        <w:spacing w:after="0" w:line="200" w:lineRule="exact"/>
        <w:rPr>
          <w:sz w:val="20"/>
          <w:szCs w:val="20"/>
          <w:color w:val="auto"/>
        </w:rPr>
      </w:pPr>
    </w:p>
    <w:p>
      <w:pPr>
        <w:ind w:right="20"/>
        <w:spacing w:after="0" w:line="331" w:lineRule="auto"/>
        <w:rPr>
          <w:sz w:val="20"/>
          <w:szCs w:val="20"/>
          <w:color w:val="auto"/>
        </w:rPr>
      </w:pPr>
      <w:r>
        <w:rPr>
          <w:rFonts w:ascii="Arial" w:cs="Arial" w:eastAsia="Arial" w:hAnsi="Arial"/>
          <w:sz w:val="19"/>
          <w:szCs w:val="19"/>
          <w:color w:val="auto"/>
        </w:rPr>
        <w:t>The amount of outstanding time certificates of deposits and other time deposits in amounts of $100,000 or more by maturity both in total and uninsured greater than $250,000 as of December 31, 2025 are as follows:</w:t>
      </w:r>
    </w:p>
    <w:p>
      <w:pPr>
        <w:spacing w:after="0" w:line="32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3"/>
          </w:tcPr>
          <w:p>
            <w:pPr>
              <w:jc w:val="right"/>
              <w:ind w:right="59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94"/>
        </w:trPr>
        <w:tc>
          <w:tcPr>
            <w:tcW w:w="2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0"/>
              </w:rPr>
              <w:t>Over Three</w:t>
            </w:r>
          </w:p>
        </w:tc>
        <w:tc>
          <w:tcPr>
            <w:tcW w:w="220" w:type="dxa"/>
            <w:vAlign w:val="bottom"/>
          </w:tcPr>
          <w:p>
            <w:pPr>
              <w:spacing w:after="0"/>
              <w:rPr>
                <w:sz w:val="24"/>
                <w:szCs w:val="24"/>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5"/>
              </w:rPr>
              <w:t>Over Six</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4"/>
        </w:trPr>
        <w:tc>
          <w:tcPr>
            <w:tcW w:w="2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1"/>
              </w:rPr>
              <w:t>Months</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2"/>
              </w:rPr>
              <w:t>Months Less</w:t>
            </w:r>
          </w:p>
        </w:tc>
        <w:tc>
          <w:tcPr>
            <w:tcW w:w="320" w:type="dxa"/>
            <w:vAlign w:val="bottom"/>
          </w:tcPr>
          <w:p>
            <w:pPr>
              <w:spacing w:after="0"/>
              <w:rPr>
                <w:sz w:val="24"/>
                <w:szCs w:val="24"/>
                <w:color w:val="auto"/>
              </w:rPr>
            </w:pPr>
          </w:p>
        </w:tc>
        <w:tc>
          <w:tcPr>
            <w:tcW w:w="880" w:type="dxa"/>
            <w:vAlign w:val="bottom"/>
          </w:tcPr>
          <w:p>
            <w:pPr>
              <w:jc w:val="center"/>
              <w:ind w:right="230"/>
              <w:spacing w:after="0"/>
              <w:rPr>
                <w:sz w:val="20"/>
                <w:szCs w:val="20"/>
                <w:color w:val="auto"/>
              </w:rPr>
            </w:pPr>
            <w:r>
              <w:rPr>
                <w:rFonts w:ascii="Arial" w:cs="Arial" w:eastAsia="Arial" w:hAnsi="Arial"/>
                <w:sz w:val="18"/>
                <w:szCs w:val="18"/>
                <w:color w:val="auto"/>
                <w:w w:val="92"/>
              </w:rPr>
              <w:t>Over</w:t>
            </w:r>
          </w:p>
        </w:tc>
      </w:tr>
      <w:tr>
        <w:trPr>
          <w:trHeight w:val="284"/>
        </w:trPr>
        <w:tc>
          <w:tcPr>
            <w:tcW w:w="2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jc w:val="center"/>
              <w:ind w:right="190"/>
              <w:spacing w:after="0"/>
              <w:rPr>
                <w:sz w:val="20"/>
                <w:szCs w:val="20"/>
                <w:color w:val="auto"/>
              </w:rPr>
            </w:pPr>
            <w:r>
              <w:rPr>
                <w:rFonts w:ascii="Arial" w:cs="Arial" w:eastAsia="Arial" w:hAnsi="Arial"/>
                <w:sz w:val="18"/>
                <w:szCs w:val="18"/>
                <w:color w:val="auto"/>
                <w:w w:val="93"/>
              </w:rPr>
              <w:t>Under</w:t>
            </w:r>
          </w:p>
        </w:tc>
        <w:tc>
          <w:tcPr>
            <w:tcW w:w="220" w:type="dxa"/>
            <w:vAlign w:val="bottom"/>
          </w:tcPr>
          <w:p>
            <w:pPr>
              <w:spacing w:after="0"/>
              <w:rPr>
                <w:sz w:val="24"/>
                <w:szCs w:val="24"/>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Less Than</w:t>
            </w:r>
          </w:p>
        </w:tc>
        <w:tc>
          <w:tcPr>
            <w:tcW w:w="220" w:type="dxa"/>
            <w:vAlign w:val="bottom"/>
          </w:tcPr>
          <w:p>
            <w:pPr>
              <w:spacing w:after="0"/>
              <w:rPr>
                <w:sz w:val="24"/>
                <w:szCs w:val="24"/>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Than One</w:t>
            </w:r>
          </w:p>
        </w:tc>
        <w:tc>
          <w:tcPr>
            <w:tcW w:w="320" w:type="dxa"/>
            <w:vAlign w:val="bottom"/>
          </w:tcPr>
          <w:p>
            <w:pPr>
              <w:spacing w:after="0"/>
              <w:rPr>
                <w:sz w:val="24"/>
                <w:szCs w:val="24"/>
                <w:color w:val="auto"/>
              </w:rPr>
            </w:pPr>
          </w:p>
        </w:tc>
        <w:tc>
          <w:tcPr>
            <w:tcW w:w="880" w:type="dxa"/>
            <w:vAlign w:val="bottom"/>
          </w:tcPr>
          <w:p>
            <w:pPr>
              <w:jc w:val="center"/>
              <w:ind w:right="210"/>
              <w:spacing w:after="0"/>
              <w:rPr>
                <w:sz w:val="20"/>
                <w:szCs w:val="20"/>
                <w:color w:val="auto"/>
              </w:rPr>
            </w:pPr>
            <w:r>
              <w:rPr>
                <w:rFonts w:ascii="Arial" w:cs="Arial" w:eastAsia="Arial" w:hAnsi="Arial"/>
                <w:sz w:val="18"/>
                <w:szCs w:val="18"/>
                <w:color w:val="auto"/>
                <w:w w:val="88"/>
              </w:rPr>
              <w:t>One</w:t>
            </w:r>
          </w:p>
        </w:tc>
      </w:tr>
      <w:tr>
        <w:trPr>
          <w:trHeight w:val="284"/>
        </w:trPr>
        <w:tc>
          <w:tcPr>
            <w:tcW w:w="2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89"/>
              </w:rPr>
              <w:t>Three</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2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40" w:type="dxa"/>
            <w:vAlign w:val="bottom"/>
          </w:tcPr>
          <w:p>
            <w:pPr>
              <w:jc w:val="center"/>
              <w:ind w:right="190"/>
              <w:spacing w:after="0"/>
              <w:rPr>
                <w:sz w:val="20"/>
                <w:szCs w:val="20"/>
                <w:color w:val="auto"/>
              </w:rPr>
            </w:pPr>
            <w:r>
              <w:rPr>
                <w:rFonts w:ascii="Arial" w:cs="Arial" w:eastAsia="Arial" w:hAnsi="Arial"/>
                <w:sz w:val="18"/>
                <w:szCs w:val="18"/>
                <w:color w:val="auto"/>
                <w:w w:val="91"/>
              </w:rPr>
              <w:t>Months</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2"/>
              </w:rPr>
              <w:t>Six Months</w:t>
            </w:r>
          </w:p>
        </w:tc>
        <w:tc>
          <w:tcPr>
            <w:tcW w:w="220" w:type="dxa"/>
            <w:vAlign w:val="bottom"/>
          </w:tcPr>
          <w:p>
            <w:pPr>
              <w:spacing w:after="0"/>
              <w:rPr>
                <w:sz w:val="23"/>
                <w:szCs w:val="23"/>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9"/>
              </w:rPr>
              <w:t>Year</w:t>
            </w:r>
          </w:p>
        </w:tc>
        <w:tc>
          <w:tcPr>
            <w:tcW w:w="320" w:type="dxa"/>
            <w:vAlign w:val="bottom"/>
          </w:tcPr>
          <w:p>
            <w:pPr>
              <w:spacing w:after="0"/>
              <w:rPr>
                <w:sz w:val="23"/>
                <w:szCs w:val="23"/>
                <w:color w:val="auto"/>
              </w:rPr>
            </w:pPr>
          </w:p>
        </w:tc>
        <w:tc>
          <w:tcPr>
            <w:tcW w:w="880" w:type="dxa"/>
            <w:vAlign w:val="bottom"/>
          </w:tcPr>
          <w:p>
            <w:pPr>
              <w:jc w:val="center"/>
              <w:ind w:right="230"/>
              <w:spacing w:after="0"/>
              <w:rPr>
                <w:sz w:val="20"/>
                <w:szCs w:val="20"/>
                <w:color w:val="auto"/>
              </w:rPr>
            </w:pPr>
            <w:r>
              <w:rPr>
                <w:rFonts w:ascii="Arial" w:cs="Arial" w:eastAsia="Arial" w:hAnsi="Arial"/>
                <w:sz w:val="18"/>
                <w:szCs w:val="18"/>
                <w:color w:val="auto"/>
                <w:w w:val="94"/>
              </w:rPr>
              <w:t>Year</w:t>
            </w:r>
          </w:p>
        </w:tc>
      </w:tr>
      <w:tr>
        <w:trPr>
          <w:trHeight w:val="46"/>
        </w:trPr>
        <w:tc>
          <w:tcPr>
            <w:tcW w:w="2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48"/>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Time Deposits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117,806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84,914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93,967</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75,521</w:t>
            </w:r>
          </w:p>
        </w:tc>
      </w:tr>
      <w:tr>
        <w:trPr>
          <w:trHeight w:val="81"/>
        </w:trPr>
        <w:tc>
          <w:tcPr>
            <w:tcW w:w="278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r>
      <w:tr>
        <w:trPr>
          <w:trHeight w:val="248"/>
        </w:trPr>
        <w:tc>
          <w:tcPr>
            <w:tcW w:w="2780" w:type="dxa"/>
            <w:vAlign w:val="bottom"/>
          </w:tcPr>
          <w:p>
            <w:pPr>
              <w:spacing w:after="0"/>
              <w:rPr>
                <w:sz w:val="20"/>
                <w:szCs w:val="20"/>
                <w:color w:val="auto"/>
              </w:rPr>
            </w:pPr>
            <w:r>
              <w:rPr>
                <w:rFonts w:ascii="Arial" w:cs="Arial" w:eastAsia="Arial" w:hAnsi="Arial"/>
                <w:sz w:val="18"/>
                <w:szCs w:val="18"/>
                <w:color w:val="auto"/>
              </w:rPr>
              <w:t>Uninsured Time Deposits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44,572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39,158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27,850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52,898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-1272540</wp:posOffset>
            </wp:positionV>
            <wp:extent cx="296164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6">
                      <a:extLst>
                        <a:ext uri="{28A0092B-C50C-407E-A947-70E740481C1C}"/>
                      </a:extLst>
                    </a:blip>
                    <a:srcRect/>
                    <a:stretch>
                      <a:fillRect/>
                    </a:stretch>
                  </pic:blipFill>
                  <pic:spPr bwMode="auto">
                    <a:xfrm>
                      <a:off x="0" y="0"/>
                      <a:ext cx="2961640" cy="635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-372745</wp:posOffset>
            </wp:positionV>
            <wp:extent cx="296164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7">
                      <a:extLst>
                        <a:ext uri="{28A0092B-C50C-407E-A947-70E740481C1C}"/>
                      </a:extLst>
                    </a:blip>
                    <a:srcRect/>
                    <a:stretch>
                      <a:fillRect/>
                    </a:stretch>
                  </pic:blipFill>
                  <pic:spPr bwMode="auto">
                    <a:xfrm>
                      <a:off x="0" y="0"/>
                      <a:ext cx="2961640" cy="635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-185420</wp:posOffset>
            </wp:positionV>
            <wp:extent cx="3014980" cy="285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8">
                      <a:extLst>
                        <a:ext uri="{28A0092B-C50C-407E-A947-70E740481C1C}"/>
                      </a:extLst>
                    </a:blip>
                    <a:srcRect/>
                    <a:stretch>
                      <a:fillRect/>
                    </a:stretch>
                  </pic:blipFill>
                  <pic:spPr bwMode="auto">
                    <a:xfrm>
                      <a:off x="0" y="0"/>
                      <a:ext cx="3014980" cy="28575"/>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22860</wp:posOffset>
            </wp:positionV>
            <wp:extent cx="2961640" cy="285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9">
                      <a:extLst>
                        <a:ext uri="{28A0092B-C50C-407E-A947-70E740481C1C}"/>
                      </a:extLst>
                    </a:blip>
                    <a:srcRect/>
                    <a:stretch>
                      <a:fillRect/>
                    </a:stretch>
                  </pic:blipFill>
                  <pic:spPr bwMode="auto">
                    <a:xfrm>
                      <a:off x="0" y="0"/>
                      <a:ext cx="2961640" cy="28575"/>
                    </a:xfrm>
                    <a:prstGeom prst="rect">
                      <a:avLst/>
                    </a:prstGeom>
                    <a:noFill/>
                  </pic:spPr>
                </pic:pic>
              </a:graphicData>
            </a:graphic>
          </wp:anchor>
        </w:drawing>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following table presents the average amount of and average rate paid on each deposit category:</w:t>
      </w:r>
    </w:p>
    <w:p>
      <w:pPr>
        <w:spacing w:after="0" w:line="200" w:lineRule="exact"/>
        <w:rPr>
          <w:sz w:val="20"/>
          <w:szCs w:val="20"/>
          <w:color w:val="auto"/>
        </w:rPr>
      </w:pP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3"/>
          </w:tcPr>
          <w:p>
            <w:pPr>
              <w:jc w:val="right"/>
              <w:ind w:right="860"/>
              <w:spacing w:after="0"/>
              <w:rPr>
                <w:sz w:val="20"/>
                <w:szCs w:val="20"/>
                <w:color w:val="auto"/>
              </w:rPr>
            </w:pPr>
            <w:r>
              <w:rPr>
                <w:rFonts w:ascii="Arial" w:cs="Arial" w:eastAsia="Arial" w:hAnsi="Arial"/>
                <w:sz w:val="20"/>
                <w:szCs w:val="20"/>
                <w:color w:val="auto"/>
              </w:rPr>
              <w:t>(In Thousands)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24"/>
        </w:trPr>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jc w:val="right"/>
              <w:ind w:right="280"/>
              <w:spacing w:after="0"/>
              <w:rPr>
                <w:sz w:val="20"/>
                <w:szCs w:val="20"/>
                <w:color w:val="auto"/>
              </w:rPr>
            </w:pPr>
            <w:r>
              <w:rPr>
                <w:rFonts w:ascii="Arial" w:cs="Arial" w:eastAsia="Arial" w:hAnsi="Arial"/>
                <w:sz w:val="20"/>
                <w:szCs w:val="20"/>
                <w:color w:val="auto"/>
                <w:w w:val="89"/>
              </w:rPr>
              <w:t>Noninterest</w:t>
            </w:r>
          </w:p>
        </w:tc>
        <w:tc>
          <w:tcPr>
            <w:tcW w:w="260" w:type="dxa"/>
            <w:vAlign w:val="bottom"/>
          </w:tcPr>
          <w:p>
            <w:pPr>
              <w:spacing w:after="0"/>
              <w:rPr>
                <w:sz w:val="24"/>
                <w:szCs w:val="24"/>
                <w:color w:val="auto"/>
              </w:rPr>
            </w:pPr>
          </w:p>
        </w:tc>
        <w:tc>
          <w:tcPr>
            <w:tcW w:w="1200" w:type="dxa"/>
            <w:vAlign w:val="bottom"/>
          </w:tcPr>
          <w:p>
            <w:pPr>
              <w:jc w:val="right"/>
              <w:ind w:right="420"/>
              <w:spacing w:after="0"/>
              <w:rPr>
                <w:sz w:val="20"/>
                <w:szCs w:val="20"/>
                <w:color w:val="auto"/>
              </w:rPr>
            </w:pPr>
            <w:r>
              <w:rPr>
                <w:rFonts w:ascii="Arial" w:cs="Arial" w:eastAsia="Arial" w:hAnsi="Arial"/>
                <w:sz w:val="20"/>
                <w:szCs w:val="20"/>
                <w:color w:val="auto"/>
                <w:w w:val="98"/>
              </w:rPr>
              <w:t>Interest</w:t>
            </w:r>
          </w:p>
        </w:tc>
        <w:tc>
          <w:tcPr>
            <w:tcW w:w="220" w:type="dxa"/>
            <w:vAlign w:val="bottom"/>
          </w:tcPr>
          <w:p>
            <w:pPr>
              <w:spacing w:after="0"/>
              <w:rPr>
                <w:sz w:val="24"/>
                <w:szCs w:val="24"/>
                <w:color w:val="auto"/>
              </w:rPr>
            </w:pPr>
          </w:p>
        </w:tc>
        <w:tc>
          <w:tcPr>
            <w:tcW w:w="1240" w:type="dxa"/>
            <w:vAlign w:val="bottom"/>
          </w:tcPr>
          <w:p>
            <w:pPr>
              <w:jc w:val="right"/>
              <w:ind w:right="400"/>
              <w:spacing w:after="0"/>
              <w:rPr>
                <w:sz w:val="20"/>
                <w:szCs w:val="20"/>
                <w:color w:val="auto"/>
              </w:rPr>
            </w:pPr>
            <w:r>
              <w:rPr>
                <w:rFonts w:ascii="Arial" w:cs="Arial" w:eastAsia="Arial" w:hAnsi="Arial"/>
                <w:sz w:val="20"/>
                <w:szCs w:val="20"/>
                <w:color w:val="auto"/>
              </w:rPr>
              <w:t>Savings</w:t>
            </w:r>
          </w:p>
        </w:tc>
        <w:tc>
          <w:tcPr>
            <w:tcW w:w="220" w:type="dxa"/>
            <w:vAlign w:val="bottom"/>
          </w:tcPr>
          <w:p>
            <w:pPr>
              <w:spacing w:after="0"/>
              <w:rPr>
                <w:sz w:val="24"/>
                <w:szCs w:val="24"/>
                <w:color w:val="auto"/>
              </w:rPr>
            </w:pPr>
          </w:p>
        </w:tc>
        <w:tc>
          <w:tcPr>
            <w:tcW w:w="1180" w:type="dxa"/>
            <w:vAlign w:val="bottom"/>
          </w:tcPr>
          <w:p>
            <w:pPr>
              <w:jc w:val="right"/>
              <w:ind w:right="440"/>
              <w:spacing w:after="0"/>
              <w:rPr>
                <w:sz w:val="20"/>
                <w:szCs w:val="20"/>
                <w:color w:val="auto"/>
              </w:rPr>
            </w:pPr>
            <w:r>
              <w:rPr>
                <w:rFonts w:ascii="Arial" w:cs="Arial" w:eastAsia="Arial" w:hAnsi="Arial"/>
                <w:sz w:val="20"/>
                <w:szCs w:val="20"/>
                <w:color w:val="auto"/>
              </w:rPr>
              <w:t>Time</w:t>
            </w:r>
          </w:p>
        </w:tc>
      </w:tr>
      <w:tr>
        <w:trPr>
          <w:trHeight w:val="314"/>
        </w:trPr>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jc w:val="right"/>
              <w:ind w:right="480"/>
              <w:spacing w:after="0"/>
              <w:rPr>
                <w:sz w:val="20"/>
                <w:szCs w:val="20"/>
                <w:color w:val="auto"/>
              </w:rPr>
            </w:pPr>
            <w:r>
              <w:rPr>
                <w:rFonts w:ascii="Arial" w:cs="Arial" w:eastAsia="Arial" w:hAnsi="Arial"/>
                <w:sz w:val="20"/>
                <w:szCs w:val="20"/>
                <w:color w:val="auto"/>
              </w:rPr>
              <w:t>DDAs</w:t>
            </w:r>
          </w:p>
        </w:tc>
        <w:tc>
          <w:tcPr>
            <w:tcW w:w="260" w:type="dxa"/>
            <w:vAlign w:val="bottom"/>
          </w:tcPr>
          <w:p>
            <w:pPr>
              <w:spacing w:after="0"/>
              <w:rPr>
                <w:sz w:val="24"/>
                <w:szCs w:val="24"/>
                <w:color w:val="auto"/>
              </w:rPr>
            </w:pPr>
          </w:p>
        </w:tc>
        <w:tc>
          <w:tcPr>
            <w:tcW w:w="1200" w:type="dxa"/>
            <w:vAlign w:val="bottom"/>
          </w:tcPr>
          <w:p>
            <w:pPr>
              <w:jc w:val="right"/>
              <w:ind w:right="460"/>
              <w:spacing w:after="0"/>
              <w:rPr>
                <w:sz w:val="20"/>
                <w:szCs w:val="20"/>
                <w:color w:val="auto"/>
              </w:rPr>
            </w:pPr>
            <w:r>
              <w:rPr>
                <w:rFonts w:ascii="Arial" w:cs="Arial" w:eastAsia="Arial" w:hAnsi="Arial"/>
                <w:sz w:val="20"/>
                <w:szCs w:val="20"/>
                <w:color w:val="auto"/>
              </w:rPr>
              <w:t>DDAs</w:t>
            </w:r>
          </w:p>
        </w:tc>
        <w:tc>
          <w:tcPr>
            <w:tcW w:w="220" w:type="dxa"/>
            <w:vAlign w:val="bottom"/>
          </w:tcPr>
          <w:p>
            <w:pPr>
              <w:spacing w:after="0"/>
              <w:rPr>
                <w:sz w:val="24"/>
                <w:szCs w:val="24"/>
                <w:color w:val="auto"/>
              </w:rPr>
            </w:pPr>
          </w:p>
        </w:tc>
        <w:tc>
          <w:tcPr>
            <w:tcW w:w="1240" w:type="dxa"/>
            <w:vAlign w:val="bottom"/>
          </w:tcPr>
          <w:p>
            <w:pPr>
              <w:jc w:val="right"/>
              <w:ind w:right="340"/>
              <w:spacing w:after="0"/>
              <w:rPr>
                <w:sz w:val="20"/>
                <w:szCs w:val="20"/>
                <w:color w:val="auto"/>
              </w:rPr>
            </w:pPr>
            <w:r>
              <w:rPr>
                <w:rFonts w:ascii="Arial" w:cs="Arial" w:eastAsia="Arial" w:hAnsi="Arial"/>
                <w:sz w:val="20"/>
                <w:szCs w:val="20"/>
                <w:color w:val="auto"/>
                <w:w w:val="94"/>
              </w:rPr>
              <w:t>Accounts</w:t>
            </w:r>
          </w:p>
        </w:tc>
        <w:tc>
          <w:tcPr>
            <w:tcW w:w="220" w:type="dxa"/>
            <w:vAlign w:val="bottom"/>
          </w:tcPr>
          <w:p>
            <w:pPr>
              <w:spacing w:after="0"/>
              <w:rPr>
                <w:sz w:val="24"/>
                <w:szCs w:val="24"/>
                <w:color w:val="auto"/>
              </w:rPr>
            </w:pPr>
          </w:p>
        </w:tc>
        <w:tc>
          <w:tcPr>
            <w:tcW w:w="1180" w:type="dxa"/>
            <w:vAlign w:val="bottom"/>
          </w:tcPr>
          <w:p>
            <w:pPr>
              <w:jc w:val="right"/>
              <w:ind w:right="280"/>
              <w:spacing w:after="0"/>
              <w:rPr>
                <w:sz w:val="20"/>
                <w:szCs w:val="20"/>
                <w:color w:val="auto"/>
              </w:rPr>
            </w:pPr>
            <w:r>
              <w:rPr>
                <w:rFonts w:ascii="Arial" w:cs="Arial" w:eastAsia="Arial" w:hAnsi="Arial"/>
                <w:sz w:val="20"/>
                <w:szCs w:val="20"/>
                <w:color w:val="auto"/>
                <w:w w:val="94"/>
              </w:rPr>
              <w:t>Accounts</w:t>
            </w:r>
          </w:p>
        </w:tc>
      </w:tr>
      <w:tr>
        <w:trPr>
          <w:trHeight w:val="51"/>
        </w:trPr>
        <w:tc>
          <w:tcPr>
            <w:tcW w:w="1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94"/>
        </w:trPr>
        <w:tc>
          <w:tcPr>
            <w:tcW w:w="1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December 31, 2025:</w:t>
            </w:r>
          </w:p>
        </w:tc>
        <w:tc>
          <w:tcPr>
            <w:tcW w:w="5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r>
      <w:tr>
        <w:trPr>
          <w:trHeight w:val="274"/>
        </w:trPr>
        <w:tc>
          <w:tcPr>
            <w:tcW w:w="2180" w:type="dxa"/>
            <w:vAlign w:val="bottom"/>
            <w:gridSpan w:val="2"/>
          </w:tcPr>
          <w:p>
            <w:pPr>
              <w:ind w:left="60"/>
              <w:spacing w:after="0"/>
              <w:rPr>
                <w:sz w:val="20"/>
                <w:szCs w:val="20"/>
                <w:color w:val="auto"/>
              </w:rPr>
            </w:pPr>
            <w:r>
              <w:rPr>
                <w:rFonts w:ascii="Arial" w:cs="Arial" w:eastAsia="Arial" w:hAnsi="Arial"/>
                <w:sz w:val="20"/>
                <w:szCs w:val="20"/>
                <w:color w:val="auto"/>
              </w:rPr>
              <w:t>Average balance</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160"/>
              <w:spacing w:after="0"/>
              <w:rPr>
                <w:sz w:val="20"/>
                <w:szCs w:val="20"/>
                <w:color w:val="auto"/>
              </w:rPr>
            </w:pPr>
            <w:r>
              <w:rPr>
                <w:rFonts w:ascii="Arial" w:cs="Arial" w:eastAsia="Arial" w:hAnsi="Arial"/>
                <w:sz w:val="20"/>
                <w:szCs w:val="20"/>
                <w:color w:val="auto"/>
              </w:rPr>
              <w:t>501,423</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60"/>
              <w:spacing w:after="0"/>
              <w:rPr>
                <w:sz w:val="20"/>
                <w:szCs w:val="20"/>
                <w:color w:val="auto"/>
              </w:rPr>
            </w:pPr>
            <w:r>
              <w:rPr>
                <w:rFonts w:ascii="Arial" w:cs="Arial" w:eastAsia="Arial" w:hAnsi="Arial"/>
                <w:sz w:val="20"/>
                <w:szCs w:val="20"/>
                <w:color w:val="auto"/>
              </w:rPr>
              <w:t>872,302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60"/>
              <w:spacing w:after="0"/>
              <w:rPr>
                <w:sz w:val="20"/>
                <w:szCs w:val="20"/>
                <w:color w:val="auto"/>
              </w:rPr>
            </w:pPr>
            <w:r>
              <w:rPr>
                <w:rFonts w:ascii="Arial" w:cs="Arial" w:eastAsia="Arial" w:hAnsi="Arial"/>
                <w:sz w:val="20"/>
                <w:szCs w:val="20"/>
                <w:color w:val="auto"/>
              </w:rPr>
              <w:t>707,250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00"/>
              <w:spacing w:after="0"/>
              <w:rPr>
                <w:sz w:val="20"/>
                <w:szCs w:val="20"/>
                <w:color w:val="auto"/>
              </w:rPr>
            </w:pPr>
            <w:r>
              <w:rPr>
                <w:rFonts w:ascii="Arial" w:cs="Arial" w:eastAsia="Arial" w:hAnsi="Arial"/>
                <w:sz w:val="20"/>
                <w:szCs w:val="20"/>
                <w:color w:val="auto"/>
              </w:rPr>
              <w:t>618,230</w:t>
            </w:r>
          </w:p>
        </w:tc>
      </w:tr>
      <w:tr>
        <w:trPr>
          <w:trHeight w:val="41"/>
        </w:trPr>
        <w:tc>
          <w:tcPr>
            <w:tcW w:w="1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4"/>
        </w:trPr>
        <w:tc>
          <w:tcPr>
            <w:tcW w:w="218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Average rate</w:t>
            </w:r>
          </w:p>
        </w:tc>
        <w:tc>
          <w:tcPr>
            <w:tcW w:w="64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0.00%</w:t>
            </w:r>
          </w:p>
        </w:tc>
        <w:tc>
          <w:tcPr>
            <w:tcW w:w="2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2.93%</w:t>
            </w: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1.67%</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3.38%</w:t>
            </w:r>
          </w:p>
        </w:tc>
      </w:tr>
      <w:tr>
        <w:trPr>
          <w:trHeight w:val="254"/>
        </w:trPr>
        <w:tc>
          <w:tcPr>
            <w:tcW w:w="2180" w:type="dxa"/>
            <w:vAlign w:val="bottom"/>
            <w:gridSpan w:val="2"/>
          </w:tcPr>
          <w:p>
            <w:pPr>
              <w:spacing w:after="0"/>
              <w:rPr>
                <w:sz w:val="20"/>
                <w:szCs w:val="20"/>
                <w:color w:val="auto"/>
              </w:rPr>
            </w:pPr>
            <w:r>
              <w:rPr>
                <w:rFonts w:ascii="Arial" w:cs="Arial" w:eastAsia="Arial" w:hAnsi="Arial"/>
                <w:sz w:val="20"/>
                <w:szCs w:val="20"/>
                <w:color w:val="auto"/>
              </w:rPr>
              <w:t>December 31, 2024:</w:t>
            </w:r>
          </w:p>
        </w:tc>
        <w:tc>
          <w:tcPr>
            <w:tcW w:w="6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41"/>
        </w:trPr>
        <w:tc>
          <w:tcPr>
            <w:tcW w:w="164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4"/>
        </w:trPr>
        <w:tc>
          <w:tcPr>
            <w:tcW w:w="218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Average balance</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479,059</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832,358</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670,007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663,320</w:t>
            </w:r>
          </w:p>
        </w:tc>
      </w:tr>
      <w:tr>
        <w:trPr>
          <w:trHeight w:val="274"/>
        </w:trPr>
        <w:tc>
          <w:tcPr>
            <w:tcW w:w="2180" w:type="dxa"/>
            <w:vAlign w:val="bottom"/>
            <w:gridSpan w:val="2"/>
          </w:tcPr>
          <w:p>
            <w:pPr>
              <w:ind w:left="60"/>
              <w:spacing w:after="0"/>
              <w:rPr>
                <w:sz w:val="20"/>
                <w:szCs w:val="20"/>
                <w:color w:val="auto"/>
              </w:rPr>
            </w:pPr>
            <w:r>
              <w:rPr>
                <w:rFonts w:ascii="Arial" w:cs="Arial" w:eastAsia="Arial" w:hAnsi="Arial"/>
                <w:sz w:val="20"/>
                <w:szCs w:val="20"/>
                <w:color w:val="auto"/>
              </w:rPr>
              <w:t>Average rate</w:t>
            </w:r>
          </w:p>
        </w:tc>
        <w:tc>
          <w:tcPr>
            <w:tcW w:w="6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0.00%</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3.30%</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1.84%</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3.73%</w:t>
            </w:r>
          </w:p>
        </w:tc>
      </w:tr>
      <w:tr>
        <w:trPr>
          <w:trHeight w:val="41"/>
        </w:trPr>
        <w:tc>
          <w:tcPr>
            <w:tcW w:w="1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4"/>
        </w:trPr>
        <w:tc>
          <w:tcPr>
            <w:tcW w:w="1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December 31, 2023:</w:t>
            </w:r>
          </w:p>
        </w:tc>
        <w:tc>
          <w:tcPr>
            <w:tcW w:w="5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r>
      <w:tr>
        <w:trPr>
          <w:trHeight w:val="274"/>
        </w:trPr>
        <w:tc>
          <w:tcPr>
            <w:tcW w:w="2180" w:type="dxa"/>
            <w:vAlign w:val="bottom"/>
            <w:gridSpan w:val="2"/>
          </w:tcPr>
          <w:p>
            <w:pPr>
              <w:ind w:left="60"/>
              <w:spacing w:after="0"/>
              <w:rPr>
                <w:sz w:val="20"/>
                <w:szCs w:val="20"/>
                <w:color w:val="auto"/>
              </w:rPr>
            </w:pPr>
            <w:r>
              <w:rPr>
                <w:rFonts w:ascii="Arial" w:cs="Arial" w:eastAsia="Arial" w:hAnsi="Arial"/>
                <w:sz w:val="20"/>
                <w:szCs w:val="20"/>
                <w:color w:val="auto"/>
              </w:rPr>
              <w:t>Average balance</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160"/>
              <w:spacing w:after="0"/>
              <w:rPr>
                <w:sz w:val="20"/>
                <w:szCs w:val="20"/>
                <w:color w:val="auto"/>
              </w:rPr>
            </w:pPr>
            <w:r>
              <w:rPr>
                <w:rFonts w:ascii="Arial" w:cs="Arial" w:eastAsia="Arial" w:hAnsi="Arial"/>
                <w:sz w:val="20"/>
                <w:szCs w:val="20"/>
                <w:color w:val="auto"/>
              </w:rPr>
              <w:t>493,820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60"/>
              <w:spacing w:after="0"/>
              <w:rPr>
                <w:sz w:val="20"/>
                <w:szCs w:val="20"/>
                <w:color w:val="auto"/>
              </w:rPr>
            </w:pPr>
            <w:r>
              <w:rPr>
                <w:rFonts w:ascii="Arial" w:cs="Arial" w:eastAsia="Arial" w:hAnsi="Arial"/>
                <w:sz w:val="20"/>
                <w:szCs w:val="20"/>
                <w:color w:val="auto"/>
              </w:rPr>
              <w:t>766,158</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60"/>
              <w:spacing w:after="0"/>
              <w:rPr>
                <w:sz w:val="20"/>
                <w:szCs w:val="20"/>
                <w:color w:val="auto"/>
              </w:rPr>
            </w:pPr>
            <w:r>
              <w:rPr>
                <w:rFonts w:ascii="Arial" w:cs="Arial" w:eastAsia="Arial" w:hAnsi="Arial"/>
                <w:sz w:val="20"/>
                <w:szCs w:val="20"/>
                <w:color w:val="auto"/>
              </w:rPr>
              <w:t>610,160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00"/>
              <w:spacing w:after="0"/>
              <w:rPr>
                <w:sz w:val="20"/>
                <w:szCs w:val="20"/>
                <w:color w:val="auto"/>
              </w:rPr>
            </w:pPr>
            <w:r>
              <w:rPr>
                <w:rFonts w:ascii="Arial" w:cs="Arial" w:eastAsia="Arial" w:hAnsi="Arial"/>
                <w:sz w:val="20"/>
                <w:szCs w:val="20"/>
                <w:color w:val="auto"/>
              </w:rPr>
              <w:t>640,390</w:t>
            </w:r>
          </w:p>
        </w:tc>
      </w:tr>
      <w:tr>
        <w:trPr>
          <w:trHeight w:val="41"/>
        </w:trPr>
        <w:tc>
          <w:tcPr>
            <w:tcW w:w="1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4"/>
        </w:trPr>
        <w:tc>
          <w:tcPr>
            <w:tcW w:w="2180" w:type="dxa"/>
            <w:vAlign w:val="bottom"/>
            <w:gridSpan w:val="2"/>
            <w:shd w:val="clear" w:color="auto" w:fill="CFF0FC"/>
          </w:tcPr>
          <w:p>
            <w:pPr>
              <w:ind w:left="60"/>
              <w:spacing w:after="0"/>
              <w:rPr>
                <w:sz w:val="20"/>
                <w:szCs w:val="20"/>
                <w:color w:val="auto"/>
              </w:rPr>
            </w:pPr>
            <w:r>
              <w:rPr>
                <w:rFonts w:ascii="Arial" w:cs="Arial" w:eastAsia="Arial" w:hAnsi="Arial"/>
                <w:sz w:val="20"/>
                <w:szCs w:val="20"/>
                <w:color w:val="auto"/>
              </w:rPr>
              <w:t>Average rate</w:t>
            </w:r>
          </w:p>
        </w:tc>
        <w:tc>
          <w:tcPr>
            <w:tcW w:w="64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0.00%</w:t>
            </w:r>
          </w:p>
        </w:tc>
        <w:tc>
          <w:tcPr>
            <w:tcW w:w="26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2.84%</w:t>
            </w:r>
          </w:p>
        </w:tc>
        <w:tc>
          <w:tcPr>
            <w:tcW w:w="22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0.93%</w:t>
            </w:r>
          </w:p>
        </w:tc>
        <w:tc>
          <w:tcPr>
            <w:tcW w:w="220" w:type="dxa"/>
            <w:vAlign w:val="bottom"/>
            <w:shd w:val="clear" w:color="auto" w:fill="CFF0FC"/>
          </w:tcPr>
          <w:p>
            <w:pPr>
              <w:spacing w:after="0"/>
              <w:rPr>
                <w:sz w:val="23"/>
                <w:szCs w:val="2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3.10%</w:t>
            </w:r>
          </w:p>
        </w:tc>
      </w:tr>
      <w:tr>
        <w:trPr>
          <w:trHeight w:val="41"/>
        </w:trPr>
        <w:tc>
          <w:tcPr>
            <w:tcW w:w="1640" w:type="dxa"/>
            <w:vAlign w:val="bottom"/>
            <w:shd w:val="clear" w:color="auto" w:fill="CFF0FC"/>
          </w:tcPr>
          <w:p>
            <w:pPr>
              <w:spacing w:after="0"/>
              <w:rPr>
                <w:sz w:val="3"/>
                <w:szCs w:val="3"/>
                <w:color w:val="auto"/>
              </w:rPr>
            </w:pPr>
          </w:p>
        </w:tc>
        <w:tc>
          <w:tcPr>
            <w:tcW w:w="54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132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2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-2207895</wp:posOffset>
            </wp:positionV>
            <wp:extent cx="353123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0">
                      <a:extLst>
                        <a:ext uri="{28A0092B-C50C-407E-A947-70E740481C1C}"/>
                      </a:extLst>
                    </a:blip>
                    <a:srcRect/>
                    <a:stretch>
                      <a:fillRect/>
                    </a:stretch>
                  </pic:blipFill>
                  <pic:spPr bwMode="auto">
                    <a:xfrm>
                      <a:off x="0" y="0"/>
                      <a:ext cx="3531235" cy="635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-1802765</wp:posOffset>
            </wp:positionV>
            <wp:extent cx="3531235"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1">
                      <a:extLst>
                        <a:ext uri="{28A0092B-C50C-407E-A947-70E740481C1C}"/>
                      </a:extLst>
                    </a:blip>
                    <a:srcRect/>
                    <a:stretch>
                      <a:fillRect/>
                    </a:stretch>
                  </pic:blipFill>
                  <pic:spPr bwMode="auto">
                    <a:xfrm>
                      <a:off x="0" y="0"/>
                      <a:ext cx="3531235" cy="6350"/>
                    </a:xfrm>
                    <a:prstGeom prst="rect">
                      <a:avLst/>
                    </a:prstGeom>
                    <a:noFill/>
                  </pic:spPr>
                </pic:pic>
              </a:graphicData>
            </a:graphic>
          </wp:anchor>
        </w:drawing>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Uninsured deposits greater than $250,000 are presented by year in the table below:</w:t>
      </w:r>
    </w:p>
    <w:p>
      <w:pPr>
        <w:spacing w:after="0" w:line="200" w:lineRule="exact"/>
        <w:rPr>
          <w:sz w:val="20"/>
          <w:szCs w:val="20"/>
          <w:color w:val="auto"/>
        </w:rPr>
      </w:pPr>
    </w:p>
    <w:p>
      <w:pPr>
        <w:spacing w:after="0" w:line="244"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20"/>
                <w:szCs w:val="20"/>
                <w:color w:val="auto"/>
                <w:w w:val="90"/>
              </w:rPr>
              <w:t>(In Thousands)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24"/>
        </w:trPr>
        <w:tc>
          <w:tcPr>
            <w:tcW w:w="2940" w:type="dxa"/>
            <w:vAlign w:val="bottom"/>
          </w:tcPr>
          <w:p>
            <w:pPr>
              <w:spacing w:after="0"/>
              <w:rPr>
                <w:sz w:val="24"/>
                <w:szCs w:val="24"/>
                <w:color w:val="auto"/>
              </w:rPr>
            </w:pPr>
          </w:p>
        </w:tc>
        <w:tc>
          <w:tcPr>
            <w:tcW w:w="2300" w:type="dxa"/>
            <w:vAlign w:val="bottom"/>
          </w:tcPr>
          <w:p>
            <w:pPr>
              <w:jc w:val="right"/>
              <w:ind w:right="180"/>
              <w:spacing w:after="0"/>
              <w:rPr>
                <w:sz w:val="20"/>
                <w:szCs w:val="20"/>
                <w:color w:val="auto"/>
              </w:rPr>
            </w:pPr>
            <w:r>
              <w:rPr>
                <w:rFonts w:ascii="Arial" w:cs="Arial" w:eastAsia="Arial" w:hAnsi="Arial"/>
                <w:sz w:val="20"/>
                <w:szCs w:val="20"/>
                <w:color w:val="auto"/>
              </w:rPr>
              <w:t>2025</w:t>
            </w:r>
          </w:p>
        </w:tc>
        <w:tc>
          <w:tcPr>
            <w:tcW w:w="1260" w:type="dxa"/>
            <w:vAlign w:val="bottom"/>
          </w:tcPr>
          <w:p>
            <w:pPr>
              <w:jc w:val="right"/>
              <w:ind w:right="340"/>
              <w:spacing w:after="0"/>
              <w:rPr>
                <w:sz w:val="20"/>
                <w:szCs w:val="20"/>
                <w:color w:val="auto"/>
              </w:rPr>
            </w:pPr>
            <w:r>
              <w:rPr>
                <w:rFonts w:ascii="Arial" w:cs="Arial" w:eastAsia="Arial" w:hAnsi="Arial"/>
                <w:sz w:val="20"/>
                <w:szCs w:val="20"/>
                <w:color w:val="auto"/>
              </w:rPr>
              <w:t>2024</w:t>
            </w:r>
          </w:p>
        </w:tc>
        <w:tc>
          <w:tcPr>
            <w:tcW w:w="20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20"/>
                <w:szCs w:val="20"/>
                <w:color w:val="auto"/>
              </w:rPr>
              <w:t>2023</w:t>
            </w:r>
          </w:p>
        </w:tc>
      </w:tr>
      <w:tr>
        <w:trPr>
          <w:trHeight w:val="51"/>
        </w:trPr>
        <w:tc>
          <w:tcPr>
            <w:tcW w:w="29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4"/>
        </w:trPr>
        <w:tc>
          <w:tcPr>
            <w:tcW w:w="2940" w:type="dxa"/>
            <w:vAlign w:val="bottom"/>
            <w:shd w:val="clear" w:color="auto" w:fill="CFF0FC"/>
          </w:tcPr>
          <w:p>
            <w:pPr>
              <w:spacing w:after="0"/>
              <w:rPr>
                <w:sz w:val="20"/>
                <w:szCs w:val="20"/>
                <w:color w:val="auto"/>
              </w:rPr>
            </w:pPr>
            <w:r>
              <w:rPr>
                <w:rFonts w:ascii="Arial" w:cs="Arial" w:eastAsia="Arial" w:hAnsi="Arial"/>
                <w:sz w:val="20"/>
                <w:szCs w:val="20"/>
                <w:color w:val="auto"/>
              </w:rPr>
              <w:t>Uninsured Deposits</w:t>
            </w:r>
          </w:p>
        </w:tc>
        <w:tc>
          <w:tcPr>
            <w:tcW w:w="2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  349,421</w:t>
            </w:r>
          </w:p>
        </w:tc>
        <w:tc>
          <w:tcPr>
            <w:tcW w:w="126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  278,677</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shd w:val="clear" w:color="auto" w:fill="CFF0FC"/>
          </w:tcPr>
          <w:p>
            <w:pPr>
              <w:ind w:left="80"/>
              <w:spacing w:after="0"/>
              <w:rPr>
                <w:sz w:val="20"/>
                <w:szCs w:val="20"/>
                <w:color w:val="auto"/>
              </w:rPr>
            </w:pPr>
            <w:r>
              <w:rPr>
                <w:rFonts w:ascii="Arial" w:cs="Arial" w:eastAsia="Arial" w:hAnsi="Arial"/>
                <w:sz w:val="20"/>
                <w:szCs w:val="20"/>
                <w:color w:val="auto"/>
                <w:w w:val="99"/>
              </w:rPr>
              <w:t>282,991</w:t>
            </w:r>
          </w:p>
        </w:tc>
      </w:tr>
      <w:tr>
        <w:trPr>
          <w:trHeight w:val="86"/>
        </w:trPr>
        <w:tc>
          <w:tcPr>
            <w:tcW w:w="2940" w:type="dxa"/>
            <w:vAlign w:val="bottom"/>
            <w:shd w:val="clear" w:color="auto" w:fill="CFF0FC"/>
          </w:tcPr>
          <w:p>
            <w:pPr>
              <w:spacing w:after="0"/>
              <w:rPr>
                <w:sz w:val="7"/>
                <w:szCs w:val="7"/>
                <w:color w:val="auto"/>
              </w:rPr>
            </w:pPr>
          </w:p>
        </w:tc>
        <w:tc>
          <w:tcPr>
            <w:tcW w:w="2300" w:type="dxa"/>
            <w:vAlign w:val="bottom"/>
            <w:shd w:val="clear" w:color="auto" w:fill="CFF0FC"/>
          </w:tcPr>
          <w:p>
            <w:pPr>
              <w:spacing w:after="0"/>
              <w:rPr>
                <w:sz w:val="7"/>
                <w:szCs w:val="7"/>
                <w:color w:val="auto"/>
              </w:rPr>
            </w:pPr>
          </w:p>
        </w:tc>
        <w:tc>
          <w:tcPr>
            <w:tcW w:w="12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-440055</wp:posOffset>
            </wp:positionV>
            <wp:extent cx="198882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2">
                      <a:extLst>
                        <a:ext uri="{28A0092B-C50C-407E-A947-70E740481C1C}"/>
                      </a:extLst>
                    </a:blip>
                    <a:srcRect/>
                    <a:stretch>
                      <a:fillRect/>
                    </a:stretch>
                  </pic:blipFill>
                  <pic:spPr bwMode="auto">
                    <a:xfrm>
                      <a:off x="0" y="0"/>
                      <a:ext cx="1988820" cy="635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-233680</wp:posOffset>
            </wp:positionV>
            <wp:extent cx="198882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3">
                      <a:extLst>
                        <a:ext uri="{28A0092B-C50C-407E-A947-70E740481C1C}"/>
                      </a:extLst>
                    </a:blip>
                    <a:srcRect/>
                    <a:stretch>
                      <a:fillRect/>
                    </a:stretch>
                  </pic:blipFill>
                  <pic:spPr bwMode="auto">
                    <a:xfrm>
                      <a:off x="0" y="0"/>
                      <a:ext cx="1988820" cy="635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-27940</wp:posOffset>
            </wp:positionV>
            <wp:extent cx="2036445" cy="285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4">
                      <a:extLst>
                        <a:ext uri="{28A0092B-C50C-407E-A947-70E740481C1C}"/>
                      </a:extLst>
                    </a:blip>
                    <a:srcRect/>
                    <a:stretch>
                      <a:fillRect/>
                    </a:stretch>
                  </pic:blipFill>
                  <pic:spPr bwMode="auto">
                    <a:xfrm>
                      <a:off x="0" y="0"/>
                      <a:ext cx="2036445" cy="2857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200"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Competition for deposits has become a constant factor in the liquidity challenge for financial institutions. Gone are the years of abundant deposits provided through government intervention during the COVID years. Time deposits which had been off the balance sheets of many, returned vigorously in 2023 and 2024. In 2025, we strived to limit the reliance on these instruments due to the expense and the focus on short term rates due to the inverted and still slightly inverted yield curve. Time deposits (CDs) reached a high in average balances in 2024 at $663.3 million costing 3.73%. Average balances of CDs dropped to $618.2 million with a carrying cost of 3.38% in 2025 by design. Overall deposits still grew at just over 2% or $54.3 million in 2025 as compared to 2024. Nice increases can be seen</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 / 30</w:t>
      </w:r>
    </w:p>
    <w:p>
      <w:pPr>
        <w:sectPr>
          <w:pgSz w:w="11900" w:h="16838" w:orient="portrait"/>
          <w:cols w:equalWidth="0" w:num="1">
            <w:col w:w="9360"/>
          </w:cols>
          <w:pgMar w:left="1260" w:top="1440" w:right="1286" w:bottom="0" w:gutter="0" w:footer="0" w:header="0"/>
          <w:type w:val="continuous"/>
        </w:sectPr>
      </w:pPr>
    </w:p>
    <w:bookmarkStart w:id="99" w:name="page100"/>
    <w:bookmarkEnd w:id="99"/>
    <w:p>
      <w:pPr>
        <w:jc w:val="both"/>
        <w:spacing w:after="0" w:line="350" w:lineRule="auto"/>
        <w:rPr>
          <w:sz w:val="20"/>
          <w:szCs w:val="20"/>
          <w:color w:val="auto"/>
        </w:rPr>
      </w:pPr>
      <w:r>
        <w:rPr>
          <w:rFonts w:ascii="Arial" w:cs="Arial" w:eastAsia="Arial" w:hAnsi="Arial"/>
          <w:sz w:val="18"/>
          <w:szCs w:val="18"/>
          <w:color w:val="auto"/>
        </w:rPr>
        <w:t>in all the other three categories and especially in the beneficial noninterest-bearing DDAs. A new product, “Bank at Work” was introduced is 2025 along with increasing commercial relationships and focused on the gathering of DDAs. The Bank began testing “smart safes” enabling our commercial customers to have safes on site and receiving credit for the cash balances being held in their deposit accounts at the Bank. The Bank continues to offer this service to more of our cash heavy customers. Interest and noninterest-bearing DDAs accounted for $62.3 million of growth over 2024 average balances. These are vital to the success of the Bank as they also provide opportunities for additional noninterest fee revenue with service charges and Treasury management fees.</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auto"/>
        </w:rPr>
        <w:t>The Company continued holding bi-weekly, what is termed “sub-ALCO”, meetings along with continuing the use of a liquidity dashboard and cashflow projection in 2025. The liquidity dashboard and cashflow projection are actively managed documents which continue to be enhanced to provide the most accurate forecast of liquidity positions for the next five months. The cashflow projection includes loan pipeline expectations and runoffs and maturities of both sources and uses of funds.</w:t>
      </w:r>
    </w:p>
    <w:p>
      <w:pPr>
        <w:spacing w:after="0" w:line="255"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The strategy of 2024 of slowing loan growth was modified to leveling and providing additional funds in our newer markets and to meet the needs of existing customers. Loan balances reversed the decreasing position of 2024 and grew in average balances 2.9% or $75.2 million. Excess cash balances funded a portion of this growth, decreasing $70.1 million. The Bank obtained</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 / 30</w:t>
      </w:r>
    </w:p>
    <w:p>
      <w:pPr>
        <w:sectPr>
          <w:pgSz w:w="11900" w:h="16838" w:orient="portrait"/>
          <w:cols w:equalWidth="0" w:num="1">
            <w:col w:w="9340"/>
          </w:cols>
          <w:pgMar w:left="1260" w:top="1173" w:right="1306" w:bottom="0" w:gutter="0" w:footer="0" w:header="0"/>
          <w:type w:val="continuous"/>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color w:val="auto"/>
        </w:rPr>
        <w:t>additional sources for funding and the interest rate earned on cash balances was no longer as favorable in the declining rate environment of 2025 which fostered maintaining a lower cash holding position.</w:t>
      </w:r>
    </w:p>
    <w:p>
      <w:pPr>
        <w:spacing w:after="0" w:line="261"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In addition to cash and cash equivalent balances of $97.7 million, the Bank has access to $213 million in unsecured Federal Funds lines for overnight funds from our correspondent banking relationships, of which a $50 million line of credit was added in the fourth quarter. The Company also has a $15 million line of credit. Federal Home Loan Bank borrowings decreased $18.7 million during the year and the Bank currently has $227.4 million borrowed at various terms and rates as of December 31, 2025. A cash management advance access of $167.9 million also exists with the FHLB. The Bank has also established four market sources for brokered CDs which were utilized in 2024 to fund similar termed fixed rate loans to maintain margin for profitability for a total of $26.9 million and verify accessibility of funds. Lastly, the Bank’s secured borrowing capacity limits at the FHLB would have allowed draws based on current collateral pledging of $103.4 million in availability to borrow; however, any amount borrowed over $10.3 million may require additional stock purchases. Pledged collateral included eligible 1-4 family, home equity, and specific commercial and multi-family real estate loans.</w:t>
      </w:r>
    </w:p>
    <w:p>
      <w:pPr>
        <w:spacing w:after="0" w:line="229" w:lineRule="exact"/>
        <w:rPr>
          <w:sz w:val="20"/>
          <w:szCs w:val="20"/>
          <w:color w:val="auto"/>
        </w:rPr>
      </w:pPr>
    </w:p>
    <w:p>
      <w:pPr>
        <w:jc w:val="both"/>
        <w:ind w:right="20"/>
        <w:spacing w:after="0" w:line="330" w:lineRule="auto"/>
        <w:rPr>
          <w:sz w:val="20"/>
          <w:szCs w:val="20"/>
          <w:color w:val="auto"/>
        </w:rPr>
      </w:pPr>
      <w:r>
        <w:rPr>
          <w:rFonts w:ascii="Arial" w:cs="Arial" w:eastAsia="Arial" w:hAnsi="Arial"/>
          <w:sz w:val="19"/>
          <w:szCs w:val="19"/>
          <w:color w:val="auto"/>
        </w:rPr>
        <w:t>The investment portfolio of the Bank has $266.5 million of pledged securities with $149.2 million available to use as collateral for future pledged borrowings. Currently, securities may be pledged to offset public deposits, our repurchase agreement portfolio or at the Federal Discount Window. Purchases of $49.7 million in the portfolio during 2025 were mainly to increase our holdings in Community Reinvestment Act (CRA) qualifying securities, liquidity, and contingency planning and as a means of balance sheet gap management.</w:t>
      </w:r>
    </w:p>
    <w:p>
      <w:pPr>
        <w:spacing w:after="0" w:line="238"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color w:val="auto"/>
        </w:rPr>
        <w:t>The Company has the tools to monitor liquidity and can manage the risks to ensure adequate liquidity is maintained. With multiple funding sources and daily access, the Company put the money to work with earning assets at 95% of total assets for 2025.</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Asset/Liability Management</w:t>
      </w:r>
    </w:p>
    <w:p>
      <w:pPr>
        <w:spacing w:after="0" w:line="200" w:lineRule="exact"/>
        <w:rPr>
          <w:sz w:val="20"/>
          <w:szCs w:val="20"/>
          <w:color w:val="auto"/>
        </w:rPr>
      </w:pPr>
    </w:p>
    <w:p>
      <w:pPr>
        <w:jc w:val="both"/>
        <w:spacing w:after="0" w:line="351" w:lineRule="auto"/>
        <w:rPr>
          <w:sz w:val="20"/>
          <w:szCs w:val="20"/>
          <w:color w:val="auto"/>
        </w:rPr>
      </w:pPr>
      <w:r>
        <w:rPr>
          <w:rFonts w:ascii="Arial" w:cs="Arial" w:eastAsia="Arial" w:hAnsi="Arial"/>
          <w:sz w:val="18"/>
          <w:szCs w:val="18"/>
          <w:color w:val="auto"/>
        </w:rPr>
        <w:t>The primary functions of asset/liability management are to assure adequate liquidity and maintain an appropriate balance between interest earning assets and interest-bearing liabilities. It involves the management of the balance sheet mix, maturities, re-pricing characteristics and pricing components to provide an adequate and stable net interest margin with an acceptable level of risk. Interest rate sensitivity management seeks to avoid fluctuating net interest margins and to enhance consistent growth of net interest income through periods of changing interest rates.</w:t>
      </w:r>
    </w:p>
    <w:p>
      <w:pPr>
        <w:spacing w:after="0" w:line="226" w:lineRule="exact"/>
        <w:rPr>
          <w:sz w:val="20"/>
          <w:szCs w:val="20"/>
          <w:color w:val="auto"/>
        </w:rPr>
      </w:pPr>
    </w:p>
    <w:p>
      <w:pPr>
        <w:jc w:val="both"/>
        <w:ind w:right="40"/>
        <w:spacing w:after="0" w:line="355" w:lineRule="auto"/>
        <w:rPr>
          <w:sz w:val="20"/>
          <w:szCs w:val="20"/>
          <w:color w:val="auto"/>
        </w:rPr>
      </w:pPr>
      <w:r>
        <w:rPr>
          <w:rFonts w:ascii="Arial" w:cs="Arial" w:eastAsia="Arial" w:hAnsi="Arial"/>
          <w:sz w:val="18"/>
          <w:szCs w:val="18"/>
          <w:color w:val="auto"/>
        </w:rPr>
        <w:t>Changes in net income, other than those related to volume arise when interest rates on assets re-price in a time frame or interest rate environment that is different from that of the re-pricing period for liabilities. Changes in net interest income also arise from changes in the mix of interest-earning assets and interest-bearing liabilities.</w:t>
      </w:r>
    </w:p>
    <w:p>
      <w:pPr>
        <w:spacing w:after="0" w:line="222" w:lineRule="exact"/>
        <w:rPr>
          <w:sz w:val="20"/>
          <w:szCs w:val="20"/>
          <w:color w:val="auto"/>
        </w:rPr>
      </w:pPr>
    </w:p>
    <w:p>
      <w:pPr>
        <w:jc w:val="both"/>
        <w:ind w:right="20"/>
        <w:spacing w:after="0" w:line="350" w:lineRule="auto"/>
        <w:rPr>
          <w:sz w:val="20"/>
          <w:szCs w:val="20"/>
          <w:color w:val="auto"/>
        </w:rPr>
      </w:pPr>
      <w:r>
        <w:rPr>
          <w:rFonts w:ascii="Arial" w:cs="Arial" w:eastAsia="Arial" w:hAnsi="Arial"/>
          <w:sz w:val="18"/>
          <w:szCs w:val="18"/>
          <w:color w:val="auto"/>
        </w:rPr>
        <w:t>Historically, the Bank has maintained liquidity through cash flows generated in the normal course of business, loan repayments, maturing earning assets, the acquisition of new deposits, and borrowings. The Bank's asset and liability management program is designed to maximize net interest income over the long term while taking into consideration both credit and interest rate risk. Interest rate sensitivity varies with different types of interest-earning assets and interest-bearing liabilities. Overnight federal funds on which rates change daily and loans that are tied to the market rate differ considerably from long-term investment securities and fixed rate loans. Similarly, time deposits over $100,000 and money market accounts are much more interest rate sensitive than passbook savings accounts. The Bank utilizes shock analysis to examine the amount of exposure an immediate rate change of 100, 200, 300, 400 and</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 / 30</w:t>
      </w:r>
    </w:p>
    <w:p>
      <w:pPr>
        <w:sectPr>
          <w:pgSz w:w="11900" w:h="16838" w:orient="portrait"/>
          <w:cols w:equalWidth="0" w:num="1">
            <w:col w:w="9380"/>
          </w:cols>
          <w:pgMar w:left="1260" w:top="1440" w:right="1266" w:bottom="0" w:gutter="0" w:footer="0" w:header="0"/>
          <w:type w:val="continuous"/>
        </w:sectPr>
      </w:pPr>
    </w:p>
    <w:bookmarkStart w:id="101" w:name="page102"/>
    <w:bookmarkEnd w:id="101"/>
    <w:p>
      <w:pPr>
        <w:jc w:val="both"/>
        <w:spacing w:after="0" w:line="309" w:lineRule="auto"/>
        <w:rPr>
          <w:sz w:val="20"/>
          <w:szCs w:val="20"/>
          <w:color w:val="auto"/>
        </w:rPr>
      </w:pPr>
      <w:r>
        <w:rPr>
          <w:rFonts w:ascii="Arial" w:cs="Arial" w:eastAsia="Arial" w:hAnsi="Arial"/>
          <w:sz w:val="20"/>
          <w:szCs w:val="20"/>
          <w:color w:val="auto"/>
        </w:rPr>
        <w:t>500 basis points in both increasing and decreasing directions would have on the financials. The Bank may also utilize shock analysis to examine predicted federal fund rate changes to expedite our ability to respond more quickly with our adjustments. Acceptable ranges of earnings and equity at risk are established and decisions are made to maintain those levels based on the shock results.</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Throughout 2025, the Bank held bi-weekly "sub-ALCO" meetings to discuss various topics and rate scenarios.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Inflation and Changing Prices</w:t>
      </w:r>
    </w:p>
    <w:p>
      <w:pPr>
        <w:spacing w:after="0" w:line="200"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The consolidated financial statements and notes thereto presented herein have been prepared in accordance with generally accepted accounting principles, which require the measurement of financial position and operating results in terms of historical dollars without considering the changes in the relative purchasing power of money over time due to inflation. The impact of inflation is reflected in the increased cost of the Company’s operations. Unlike most industrial companies, nearly all the assets and liabilities of the Company are monetary in nature. As a result, interest rates have a greater impact on the Company’s performance than do the effects of general levels of inflation. Interest rates do not necessarily move in the same direction or to the same extent as the prices of goods and service.</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 / 30</w:t>
      </w:r>
    </w:p>
    <w:p>
      <w:pPr>
        <w:sectPr>
          <w:pgSz w:w="11900" w:h="16838" w:orient="portrait"/>
          <w:cols w:equalWidth="0" w:num="1">
            <w:col w:w="9340"/>
          </w:cols>
          <w:pgMar w:left="1260" w:top="1173" w:right="1306" w:bottom="0" w:gutter="0" w:footer="0" w:header="0"/>
          <w:type w:val="continuous"/>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w:t>
      </w:r>
    </w:p>
    <w:p>
      <w:pPr>
        <w:spacing w:after="0" w:line="200" w:lineRule="exact"/>
        <w:rPr>
          <w:sz w:val="20"/>
          <w:szCs w:val="20"/>
          <w:color w:val="auto"/>
        </w:rPr>
      </w:pPr>
    </w:p>
    <w:p>
      <w:pPr>
        <w:jc w:val="both"/>
        <w:ind w:right="20"/>
        <w:spacing w:after="0" w:line="311" w:lineRule="auto"/>
        <w:rPr>
          <w:sz w:val="20"/>
          <w:szCs w:val="20"/>
          <w:color w:val="auto"/>
        </w:rPr>
      </w:pPr>
      <w:r>
        <w:rPr>
          <w:rFonts w:ascii="Arial" w:cs="Arial" w:eastAsia="Arial" w:hAnsi="Arial"/>
          <w:sz w:val="20"/>
          <w:szCs w:val="20"/>
          <w:color w:val="auto"/>
        </w:rPr>
        <w:t>Contractual obligations of the Company totaled $909.5 million as of December 31, 2025. Time deposits, contractual agreements for certificates of deposits held by its customers, were $597.8 million. Securities sold under agreement to repurchase were $22.7 million. Short term debt consisted of $15.0 million of federal funds purchased at December 31, 2025. Long term debt was comprised of borrowings with the Federal Home Loan Bank of $227.4 million and subordinated notes of $35.0 million. Short term and long term debt is further defined in Note 10 of the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w:t>
      </w:r>
    </w:p>
    <w:p>
      <w:pPr>
        <w:spacing w:after="0" w:line="200" w:lineRule="exact"/>
        <w:rPr>
          <w:sz w:val="20"/>
          <w:szCs w:val="20"/>
          <w:color w:val="auto"/>
        </w:rPr>
      </w:pPr>
    </w:p>
    <w:p>
      <w:pPr>
        <w:jc w:val="both"/>
        <w:ind w:right="20"/>
        <w:spacing w:after="0" w:line="338" w:lineRule="auto"/>
        <w:rPr>
          <w:sz w:val="20"/>
          <w:szCs w:val="20"/>
          <w:color w:val="auto"/>
        </w:rPr>
      </w:pPr>
      <w:r>
        <w:rPr>
          <w:rFonts w:ascii="Arial" w:cs="Arial" w:eastAsia="Arial" w:hAnsi="Arial"/>
          <w:sz w:val="18"/>
          <w:szCs w:val="18"/>
          <w:color w:val="auto"/>
        </w:rPr>
        <w:t>A strong capital base is essential for the Company and the Bank. As of December 31, 2025, the Company had capital of $370.9 million, up $35.7 million, over December 31, 2024’s balance. Accumulated other comprehensive income (AOCI) improved $13.3 million to a loss position of $11.9 million at December 31, 2025 compared to a loss position of $25.3 million at December 31, 2024 which was the result of interest rate movements and the available-for-sale securities portfolio. Due to the commitment to provide a steady and ever-increasing dividend and improved profitability of the Company in 2025 over 2024, two dividend declaration increases occurred during 2025, one in the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quarter and one in the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quarter. Dividends declared in 2025 totaled $0.90 per share at a cost of over $12.3 million. Dividend payments received by our shareholders in 2024 were $0.89125 at a cost of $12.2 million. These costs encompass the additional expense associated with our restricted stock award program.</w:t>
      </w:r>
    </w:p>
    <w:p>
      <w:pPr>
        <w:spacing w:after="0" w:line="236"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The Company approved a Stock Repurchase Plan on January 28, 2025, by which 650,000 shares could be purchased in the open market, or in privately negotiated transactions, of our outstanding stock through December 31, 2025. No shares were purchased in 2025. A similar resolution was passed on January 27, 2026, authorizing share purchases of 650,000 under the same conditions and valid through December 31, 2026. On December 31, 2025, the Company held 816,351 shares in treasury stock compared to 864,889 shares as of the same date in 2024. The reduction in treasury stock for 2025 is attributed to the issuance of 60,673 shares of restricted stock awards and 8,200 shares as a portion of the Directors' retainer which was offset by forfeitures of restricted stock awards of 6,707 shares and 13,628 shares returned to account for tax payable on vested stock awards.</w:t>
      </w:r>
    </w:p>
    <w:p>
      <w:pPr>
        <w:spacing w:after="0" w:line="225" w:lineRule="exact"/>
        <w:rPr>
          <w:sz w:val="20"/>
          <w:szCs w:val="20"/>
          <w:color w:val="auto"/>
        </w:rPr>
      </w:pPr>
    </w:p>
    <w:p>
      <w:pPr>
        <w:jc w:val="both"/>
        <w:ind w:right="40"/>
        <w:spacing w:after="0" w:line="302" w:lineRule="auto"/>
        <w:rPr>
          <w:sz w:val="20"/>
          <w:szCs w:val="20"/>
          <w:color w:val="auto"/>
        </w:rPr>
      </w:pPr>
      <w:r>
        <w:rPr>
          <w:rFonts w:ascii="Arial" w:cs="Arial" w:eastAsia="Arial" w:hAnsi="Arial"/>
          <w:sz w:val="20"/>
          <w:szCs w:val="20"/>
          <w:color w:val="auto"/>
        </w:rPr>
        <w:t>The Company switched stock transfer agents on May 29, 2025, from Computershare to Broadridge Corporate Issuer Solutions, LLC.</w:t>
      </w:r>
    </w:p>
    <w:p>
      <w:pPr>
        <w:spacing w:after="0" w:line="261" w:lineRule="exact"/>
        <w:rPr>
          <w:sz w:val="20"/>
          <w:szCs w:val="20"/>
          <w:color w:val="auto"/>
        </w:rPr>
      </w:pPr>
    </w:p>
    <w:p>
      <w:pPr>
        <w:jc w:val="both"/>
        <w:spacing w:after="0" w:line="371" w:lineRule="auto"/>
        <w:rPr>
          <w:sz w:val="20"/>
          <w:szCs w:val="20"/>
          <w:color w:val="auto"/>
        </w:rPr>
      </w:pPr>
      <w:r>
        <w:rPr>
          <w:rFonts w:ascii="Arial" w:cs="Arial" w:eastAsia="Arial" w:hAnsi="Arial"/>
          <w:sz w:val="17"/>
          <w:szCs w:val="17"/>
          <w:color w:val="auto"/>
        </w:rPr>
        <w:t>Shareholders approved a 10-year long term stock incentive plan at our 2025 annual meeting under which Company stock may be used for employee stock awards and director compensation. This plan replaced the previous plan which had expired almost concurrently. Stock awarded to employees is generally a 3-year cliff vesting restricted stock offering. Shares totaling 60,673 were awarded to Senior Management on March 1, 2025, and other officers of the Company were awarded restricted stock shares on August 26, 2025, totaling 131 employees receiving restricted shares at those times. The Company may also use stock as a tool for new hires. During 2024, the Company awarded 60,169 shares to 111 employees with forfeits of 5,811. Shares forfeited during 2025 amounted to 6,707. During the vesting period of the aforementioned restricted stock awards, employees receive dividends or dividend equivalent compensation on the shares. The vesting period may be accelerated by approval of the Board or the Compensation Committee of the Board for terms stated in the agreement, generally for retirement of employees. Shares from restricted stock awards may also be returned to the Company to cover the tax liability of vested shares. 13,628 shares were returned to cover employees’ tax liability in 2025 compared to 16,891 shares in 2024. As of December 31,</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 / 30</w:t>
      </w:r>
    </w:p>
    <w:p>
      <w:pPr>
        <w:sectPr>
          <w:pgSz w:w="11900" w:h="16838" w:orient="portrait"/>
          <w:cols w:equalWidth="0" w:num="1">
            <w:col w:w="9380"/>
          </w:cols>
          <w:pgMar w:left="1260" w:top="1440" w:right="1266" w:bottom="0" w:gutter="0" w:footer="0" w:header="0"/>
          <w:type w:val="continuous"/>
        </w:sectPr>
      </w:pPr>
    </w:p>
    <w:bookmarkStart w:id="103" w:name="page104"/>
    <w:bookmarkEnd w:id="103"/>
    <w:p>
      <w:pPr>
        <w:jc w:val="both"/>
        <w:ind w:right="40"/>
        <w:spacing w:after="0" w:line="330" w:lineRule="auto"/>
        <w:rPr>
          <w:sz w:val="20"/>
          <w:szCs w:val="20"/>
          <w:color w:val="auto"/>
        </w:rPr>
      </w:pPr>
      <w:r>
        <w:rPr>
          <w:rFonts w:ascii="Arial" w:cs="Arial" w:eastAsia="Arial" w:hAnsi="Arial"/>
          <w:sz w:val="19"/>
          <w:szCs w:val="19"/>
          <w:color w:val="auto"/>
        </w:rPr>
        <w:t>2025,164,667 shares are being held in restricted stock awards to employees as compared to 158,183 the year prior. For more detailed information, please see Note 12: Employee Benefit Plans in the consolidated financial statements. 7,912 shares were given as part of our Director compensation on June 5, 2025, compared to 8,874 on June 6, 2024. Prorated shares of 288 and 54 were awarded to new Directors in 2025 and 2024, respectively. The number of shares given is impacted by the share price on day of grant.</w:t>
      </w:r>
    </w:p>
    <w:p>
      <w:pPr>
        <w:spacing w:after="0" w:line="238"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The Company’s strong capital base is supported by our regulatory capital ratios where a well-capitalized status is maintained by both the Company and the Bank. On December 31, 2025, the Bank had total risk-based capital ratio of 12.53% compared to 12.40% same date 2024. Core capital to risk-based assets ratio of 11.51% on December 31, 2025, compares to 11.40% on December 31, 2024. Both ratios are above regulatory guidelines. The Bank’s leverage ratio is 9.47% at yearend 2025 compared to 8.81% for yearend 2024 and is in excess of regulatory guidelines. Under Basel III, the common equity tier 1 capital to risk weighted assets ratio is well above the required 4.5% and 6.5% well capitalized levels with the Bank at 11.51%. Adding on the required conservation buffer of 2.5% to the previous regulatory ratios and the Bank remains well above the requirements. The Bank’s capital conservation buffer was 4.53% on December 31, 2025, and was 4.40% on December 31, 2024. For further discussion and analysis of regulatory capital requirements, refer to Note 16 of the Consolidated Audited Financial Statements.</w:t>
      </w:r>
    </w:p>
    <w:p>
      <w:pPr>
        <w:spacing w:after="0" w:line="230"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The Company’s subsidiary, the Bank, is restricted by regulations from making dividend distributions in excess of certain prescribed amounts. Upon prior regulatory approval, the Bank may be allowed to pay above the prescribed amounts. No such request was needed in 2024 or 2025.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 / 30</w:t>
      </w:r>
    </w:p>
    <w:p>
      <w:pPr>
        <w:sectPr>
          <w:pgSz w:w="11900" w:h="16838" w:orient="portrait"/>
          <w:cols w:equalWidth="0" w:num="1">
            <w:col w:w="9380"/>
          </w:cols>
          <w:pgMar w:left="1260" w:top="1173" w:right="1266" w:bottom="0" w:gutter="0" w:footer="0" w:header="0"/>
          <w:type w:val="continuous"/>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280"/>
        <w:spacing w:after="0" w:line="428" w:lineRule="auto"/>
        <w:rPr>
          <w:sz w:val="20"/>
          <w:szCs w:val="20"/>
          <w:color w:val="auto"/>
        </w:rPr>
      </w:pPr>
      <w:r>
        <w:rPr>
          <w:rFonts w:ascii="Arial" w:cs="Arial" w:eastAsia="Arial" w:hAnsi="Arial"/>
          <w:sz w:val="20"/>
          <w:szCs w:val="20"/>
          <w:b w:val="1"/>
          <w:bCs w:val="1"/>
          <w:u w:val="single" w:color="auto"/>
          <w:color w:val="auto"/>
        </w:rPr>
        <w:t xml:space="preserve">ITEM 7a. QUANTITATIVE AND QUALITATIVE DISCLOSURES ABOUT MARKET RISK </w:t>
      </w:r>
      <w:r>
        <w:rPr>
          <w:rFonts w:ascii="Arial" w:cs="Arial" w:eastAsia="Arial" w:hAnsi="Arial"/>
          <w:sz w:val="20"/>
          <w:szCs w:val="20"/>
          <w:b w:val="1"/>
          <w:bCs w:val="1"/>
          <w:color w:val="auto"/>
        </w:rPr>
        <w:t>Market Risk</w:t>
      </w:r>
    </w:p>
    <w:p>
      <w:pPr>
        <w:spacing w:after="0" w:line="20"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Market risk is the exposure to loss resulting from changes in interest rates and equity prices. The primary market risk to which we are subject is interest rate risk. Much of our interest rate risk arises from the instruments, positions and transactions entered for purposes other than trading such as loans, available for sale securities, interest bearing deposits, short-term borrowings and long-term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20"/>
          <w:szCs w:val="20"/>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effectively managed. If our asset/liabilities management strategies are unsuccessful, our profitability may be adversely affected. The Company employs a sensitivity analysis utilizing interest rate shocks to help in this analysis. The shocks presented below assume instantaneous rates shocks on a static balance sheet as of December 31, 2025.</w:t>
      </w:r>
    </w:p>
    <w:p>
      <w:pPr>
        <w:spacing w:after="0" w:line="254" w:lineRule="exact"/>
        <w:rPr>
          <w:sz w:val="20"/>
          <w:szCs w:val="20"/>
          <w:color w:val="auto"/>
        </w:rPr>
      </w:pPr>
    </w:p>
    <w:p>
      <w:pPr>
        <w:jc w:val="both"/>
        <w:ind w:right="80"/>
        <w:spacing w:after="0" w:line="302" w:lineRule="auto"/>
        <w:rPr>
          <w:sz w:val="20"/>
          <w:szCs w:val="20"/>
          <w:color w:val="auto"/>
        </w:rPr>
      </w:pPr>
      <w:r>
        <w:rPr>
          <w:rFonts w:ascii="Arial" w:cs="Arial" w:eastAsia="Arial" w:hAnsi="Arial"/>
          <w:sz w:val="20"/>
          <w:szCs w:val="20"/>
          <w:color w:val="auto"/>
        </w:rPr>
        <w:t>At December 31, 2025, the shocks presented below assume an immediate change of rate in the percentages and directions shown: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gridSpan w:val="2"/>
          </w:tcPr>
          <w:p>
            <w:pPr>
              <w:jc w:val="center"/>
              <w:ind w:right="40"/>
              <w:spacing w:after="0"/>
              <w:rPr>
                <w:sz w:val="20"/>
                <w:szCs w:val="20"/>
                <w:color w:val="auto"/>
              </w:rPr>
            </w:pPr>
            <w:r>
              <w:rPr>
                <w:rFonts w:ascii="Arial" w:cs="Arial" w:eastAsia="Arial" w:hAnsi="Arial"/>
                <w:sz w:val="20"/>
                <w:szCs w:val="20"/>
                <w:color w:val="auto"/>
                <w:w w:val="88"/>
              </w:rPr>
              <w:t>Interest Rate Shock on</w:t>
            </w:r>
          </w:p>
        </w:tc>
        <w:tc>
          <w:tcPr>
            <w:tcW w:w="15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180" w:type="dxa"/>
            <w:vAlign w:val="bottom"/>
            <w:gridSpan w:val="2"/>
          </w:tcPr>
          <w:p>
            <w:pPr>
              <w:jc w:val="center"/>
              <w:spacing w:after="0"/>
              <w:rPr>
                <w:sz w:val="20"/>
                <w:szCs w:val="20"/>
                <w:color w:val="auto"/>
              </w:rPr>
            </w:pPr>
            <w:r>
              <w:rPr>
                <w:rFonts w:ascii="Arial" w:cs="Arial" w:eastAsia="Arial" w:hAnsi="Arial"/>
                <w:sz w:val="20"/>
                <w:szCs w:val="20"/>
                <w:color w:val="auto"/>
                <w:w w:val="89"/>
              </w:rPr>
              <w:t>Interest Rate Shock on</w:t>
            </w:r>
          </w:p>
        </w:tc>
      </w:tr>
      <w:tr>
        <w:trPr>
          <w:trHeight w:val="314"/>
        </w:trPr>
        <w:tc>
          <w:tcPr>
            <w:tcW w:w="3140" w:type="dxa"/>
            <w:vAlign w:val="bottom"/>
            <w:gridSpan w:val="2"/>
          </w:tcPr>
          <w:p>
            <w:pPr>
              <w:jc w:val="center"/>
              <w:ind w:right="40"/>
              <w:spacing w:after="0"/>
              <w:rPr>
                <w:sz w:val="20"/>
                <w:szCs w:val="20"/>
                <w:color w:val="auto"/>
              </w:rPr>
            </w:pPr>
            <w:r>
              <w:rPr>
                <w:rFonts w:ascii="Arial" w:cs="Arial" w:eastAsia="Arial" w:hAnsi="Arial"/>
                <w:sz w:val="20"/>
                <w:szCs w:val="20"/>
                <w:color w:val="auto"/>
                <w:w w:val="91"/>
              </w:rPr>
              <w:t>Net Interest Margin</w:t>
            </w: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80" w:type="dxa"/>
            <w:vAlign w:val="bottom"/>
            <w:gridSpan w:val="2"/>
          </w:tcPr>
          <w:p>
            <w:pPr>
              <w:jc w:val="center"/>
              <w:spacing w:after="0"/>
              <w:rPr>
                <w:sz w:val="20"/>
                <w:szCs w:val="20"/>
                <w:color w:val="auto"/>
              </w:rPr>
            </w:pPr>
            <w:r>
              <w:rPr>
                <w:rFonts w:ascii="Arial" w:cs="Arial" w:eastAsia="Arial" w:hAnsi="Arial"/>
                <w:sz w:val="20"/>
                <w:szCs w:val="20"/>
                <w:color w:val="auto"/>
                <w:w w:val="90"/>
              </w:rPr>
              <w:t>Net Interest Income</w:t>
            </w:r>
          </w:p>
        </w:tc>
      </w:tr>
      <w:tr>
        <w:trPr>
          <w:trHeight w:val="324"/>
        </w:trPr>
        <w:tc>
          <w:tcPr>
            <w:tcW w:w="1560" w:type="dxa"/>
            <w:vAlign w:val="bottom"/>
          </w:tcPr>
          <w:p>
            <w:pPr>
              <w:jc w:val="center"/>
              <w:ind w:right="40"/>
              <w:spacing w:after="0"/>
              <w:rPr>
                <w:sz w:val="20"/>
                <w:szCs w:val="20"/>
                <w:color w:val="auto"/>
              </w:rPr>
            </w:pPr>
            <w:r>
              <w:rPr>
                <w:rFonts w:ascii="Arial" w:cs="Arial" w:eastAsia="Arial" w:hAnsi="Arial"/>
                <w:sz w:val="20"/>
                <w:szCs w:val="20"/>
                <w:color w:val="auto"/>
                <w:w w:val="90"/>
              </w:rPr>
              <w:t>Net Interest</w:t>
            </w:r>
          </w:p>
        </w:tc>
        <w:tc>
          <w:tcPr>
            <w:tcW w:w="1580" w:type="dxa"/>
            <w:vAlign w:val="bottom"/>
          </w:tcPr>
          <w:p>
            <w:pPr>
              <w:jc w:val="center"/>
              <w:spacing w:after="0"/>
              <w:rPr>
                <w:sz w:val="20"/>
                <w:szCs w:val="20"/>
                <w:color w:val="auto"/>
              </w:rPr>
            </w:pPr>
            <w:r>
              <w:rPr>
                <w:rFonts w:ascii="Arial" w:cs="Arial" w:eastAsia="Arial" w:hAnsi="Arial"/>
                <w:sz w:val="20"/>
                <w:szCs w:val="20"/>
                <w:color w:val="auto"/>
                <w:w w:val="89"/>
              </w:rPr>
              <w:t>% Change</w:t>
            </w:r>
          </w:p>
        </w:tc>
        <w:tc>
          <w:tcPr>
            <w:tcW w:w="1520" w:type="dxa"/>
            <w:vAlign w:val="bottom"/>
          </w:tcPr>
          <w:p>
            <w:pPr>
              <w:jc w:val="center"/>
              <w:spacing w:after="0"/>
              <w:rPr>
                <w:sz w:val="20"/>
                <w:szCs w:val="20"/>
                <w:color w:val="auto"/>
              </w:rPr>
            </w:pPr>
            <w:r>
              <w:rPr>
                <w:rFonts w:ascii="Arial" w:cs="Arial" w:eastAsia="Arial" w:hAnsi="Arial"/>
                <w:sz w:val="20"/>
                <w:szCs w:val="20"/>
                <w:color w:val="auto"/>
                <w:w w:val="89"/>
              </w:rPr>
              <w:t>Rate</w:t>
            </w:r>
          </w:p>
        </w:tc>
        <w:tc>
          <w:tcPr>
            <w:tcW w:w="1560" w:type="dxa"/>
            <w:vAlign w:val="bottom"/>
          </w:tcPr>
          <w:p>
            <w:pPr>
              <w:jc w:val="center"/>
              <w:spacing w:after="0"/>
              <w:rPr>
                <w:sz w:val="20"/>
                <w:szCs w:val="20"/>
                <w:color w:val="auto"/>
              </w:rPr>
            </w:pPr>
            <w:r>
              <w:rPr>
                <w:rFonts w:ascii="Arial" w:cs="Arial" w:eastAsia="Arial" w:hAnsi="Arial"/>
                <w:sz w:val="20"/>
                <w:szCs w:val="20"/>
                <w:color w:val="auto"/>
                <w:w w:val="85"/>
              </w:rPr>
              <w:t>Rate</w:t>
            </w:r>
          </w:p>
        </w:tc>
        <w:tc>
          <w:tcPr>
            <w:tcW w:w="1720" w:type="dxa"/>
            <w:vAlign w:val="bottom"/>
          </w:tcPr>
          <w:p>
            <w:pPr>
              <w:jc w:val="right"/>
              <w:ind w:right="360"/>
              <w:spacing w:after="0"/>
              <w:rPr>
                <w:sz w:val="20"/>
                <w:szCs w:val="20"/>
                <w:color w:val="auto"/>
              </w:rPr>
            </w:pPr>
            <w:r>
              <w:rPr>
                <w:rFonts w:ascii="Arial" w:cs="Arial" w:eastAsia="Arial" w:hAnsi="Arial"/>
                <w:sz w:val="20"/>
                <w:szCs w:val="20"/>
                <w:color w:val="auto"/>
              </w:rPr>
              <w:t>Cumulative</w:t>
            </w:r>
          </w:p>
        </w:tc>
        <w:tc>
          <w:tcPr>
            <w:tcW w:w="1460" w:type="dxa"/>
            <w:vAlign w:val="bottom"/>
          </w:tcPr>
          <w:p>
            <w:pPr>
              <w:jc w:val="center"/>
              <w:spacing w:after="0"/>
              <w:rPr>
                <w:sz w:val="20"/>
                <w:szCs w:val="20"/>
                <w:color w:val="auto"/>
              </w:rPr>
            </w:pPr>
            <w:r>
              <w:rPr>
                <w:rFonts w:ascii="Arial" w:cs="Arial" w:eastAsia="Arial" w:hAnsi="Arial"/>
                <w:sz w:val="20"/>
                <w:szCs w:val="20"/>
                <w:color w:val="auto"/>
                <w:w w:val="87"/>
              </w:rPr>
              <w:t>% Change</w:t>
            </w:r>
          </w:p>
        </w:tc>
      </w:tr>
      <w:tr>
        <w:trPr>
          <w:trHeight w:val="314"/>
        </w:trPr>
        <w:tc>
          <w:tcPr>
            <w:tcW w:w="1560" w:type="dxa"/>
            <w:vAlign w:val="bottom"/>
          </w:tcPr>
          <w:p>
            <w:pPr>
              <w:jc w:val="center"/>
              <w:ind w:right="60"/>
              <w:spacing w:after="0"/>
              <w:rPr>
                <w:sz w:val="20"/>
                <w:szCs w:val="20"/>
                <w:color w:val="auto"/>
              </w:rPr>
            </w:pPr>
            <w:r>
              <w:rPr>
                <w:rFonts w:ascii="Arial" w:cs="Arial" w:eastAsia="Arial" w:hAnsi="Arial"/>
                <w:sz w:val="20"/>
                <w:szCs w:val="20"/>
                <w:color w:val="auto"/>
                <w:w w:val="94"/>
              </w:rPr>
              <w:t>Margin (Ratio)</w:t>
            </w:r>
          </w:p>
        </w:tc>
        <w:tc>
          <w:tcPr>
            <w:tcW w:w="1580" w:type="dxa"/>
            <w:vAlign w:val="bottom"/>
          </w:tcPr>
          <w:p>
            <w:pPr>
              <w:jc w:val="center"/>
              <w:spacing w:after="0"/>
              <w:rPr>
                <w:sz w:val="20"/>
                <w:szCs w:val="20"/>
                <w:color w:val="auto"/>
              </w:rPr>
            </w:pPr>
            <w:r>
              <w:rPr>
                <w:rFonts w:ascii="Arial" w:cs="Arial" w:eastAsia="Arial" w:hAnsi="Arial"/>
                <w:sz w:val="20"/>
                <w:szCs w:val="20"/>
                <w:color w:val="auto"/>
                <w:w w:val="88"/>
              </w:rPr>
              <w:t>to Flat Rate</w:t>
            </w:r>
          </w:p>
        </w:tc>
        <w:tc>
          <w:tcPr>
            <w:tcW w:w="1520" w:type="dxa"/>
            <w:vAlign w:val="bottom"/>
          </w:tcPr>
          <w:p>
            <w:pPr>
              <w:jc w:val="center"/>
              <w:spacing w:after="0"/>
              <w:rPr>
                <w:sz w:val="20"/>
                <w:szCs w:val="20"/>
                <w:color w:val="auto"/>
              </w:rPr>
            </w:pPr>
            <w:r>
              <w:rPr>
                <w:rFonts w:ascii="Arial" w:cs="Arial" w:eastAsia="Arial" w:hAnsi="Arial"/>
                <w:sz w:val="20"/>
                <w:szCs w:val="20"/>
                <w:color w:val="auto"/>
                <w:w w:val="93"/>
              </w:rPr>
              <w:t>Direction</w:t>
            </w:r>
          </w:p>
        </w:tc>
        <w:tc>
          <w:tcPr>
            <w:tcW w:w="1560" w:type="dxa"/>
            <w:vAlign w:val="bottom"/>
          </w:tcPr>
          <w:p>
            <w:pPr>
              <w:jc w:val="center"/>
              <w:spacing w:after="0"/>
              <w:rPr>
                <w:sz w:val="20"/>
                <w:szCs w:val="20"/>
                <w:color w:val="auto"/>
              </w:rPr>
            </w:pPr>
            <w:r>
              <w:rPr>
                <w:rFonts w:ascii="Arial" w:cs="Arial" w:eastAsia="Arial" w:hAnsi="Arial"/>
                <w:sz w:val="20"/>
                <w:szCs w:val="20"/>
                <w:color w:val="auto"/>
                <w:w w:val="85"/>
              </w:rPr>
              <w:t>changes by</w:t>
            </w:r>
          </w:p>
        </w:tc>
        <w:tc>
          <w:tcPr>
            <w:tcW w:w="1720" w:type="dxa"/>
            <w:vAlign w:val="bottom"/>
          </w:tcPr>
          <w:p>
            <w:pPr>
              <w:jc w:val="right"/>
              <w:ind w:right="340"/>
              <w:spacing w:after="0"/>
              <w:rPr>
                <w:sz w:val="20"/>
                <w:szCs w:val="20"/>
                <w:color w:val="auto"/>
              </w:rPr>
            </w:pPr>
            <w:r>
              <w:rPr>
                <w:rFonts w:ascii="Arial" w:cs="Arial" w:eastAsia="Arial" w:hAnsi="Arial"/>
                <w:sz w:val="20"/>
                <w:szCs w:val="20"/>
                <w:color w:val="auto"/>
              </w:rPr>
              <w:t>Total ($000)</w:t>
            </w:r>
          </w:p>
        </w:tc>
        <w:tc>
          <w:tcPr>
            <w:tcW w:w="1460" w:type="dxa"/>
            <w:vAlign w:val="bottom"/>
          </w:tcPr>
          <w:p>
            <w:pPr>
              <w:jc w:val="center"/>
              <w:spacing w:after="0"/>
              <w:rPr>
                <w:sz w:val="20"/>
                <w:szCs w:val="20"/>
                <w:color w:val="auto"/>
              </w:rPr>
            </w:pPr>
            <w:r>
              <w:rPr>
                <w:rFonts w:ascii="Arial" w:cs="Arial" w:eastAsia="Arial" w:hAnsi="Arial"/>
                <w:sz w:val="20"/>
                <w:szCs w:val="20"/>
                <w:color w:val="auto"/>
                <w:w w:val="90"/>
              </w:rPr>
              <w:t>to Flat Rate</w:t>
            </w:r>
          </w:p>
        </w:tc>
      </w:tr>
      <w:tr>
        <w:trPr>
          <w:trHeight w:val="51"/>
        </w:trPr>
        <w:tc>
          <w:tcPr>
            <w:tcW w:w="15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94"/>
        </w:trPr>
        <w:tc>
          <w:tcPr>
            <w:tcW w:w="1560" w:type="dxa"/>
            <w:vAlign w:val="bottom"/>
            <w:tcBorders>
              <w:bottom w:val="single" w:sz="8" w:color="CFF0FC"/>
            </w:tcBorders>
            <w:shd w:val="clear" w:color="auto" w:fill="CFF0FC"/>
          </w:tcPr>
          <w:p>
            <w:pPr>
              <w:jc w:val="center"/>
              <w:ind w:right="60"/>
              <w:spacing w:after="0"/>
              <w:rPr>
                <w:sz w:val="20"/>
                <w:szCs w:val="20"/>
                <w:color w:val="auto"/>
              </w:rPr>
            </w:pPr>
            <w:r>
              <w:rPr>
                <w:rFonts w:ascii="Arial" w:cs="Arial" w:eastAsia="Arial" w:hAnsi="Arial"/>
                <w:sz w:val="20"/>
                <w:szCs w:val="20"/>
                <w:color w:val="auto"/>
                <w:w w:val="91"/>
              </w:rPr>
              <w:t>3.06%</w:t>
            </w:r>
          </w:p>
        </w:tc>
        <w:tc>
          <w:tcPr>
            <w:tcW w:w="15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1"/>
              </w:rPr>
              <w:t>-11.63%</w:t>
            </w:r>
          </w:p>
        </w:tc>
        <w:tc>
          <w:tcPr>
            <w:tcW w:w="1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7"/>
              </w:rPr>
              <w:t>Rising</w:t>
            </w:r>
          </w:p>
        </w:tc>
        <w:tc>
          <w:tcPr>
            <w:tcW w:w="15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1"/>
              </w:rPr>
              <w:t>3.00%</w:t>
            </w:r>
          </w:p>
        </w:tc>
        <w:tc>
          <w:tcPr>
            <w:tcW w:w="17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98,692</w:t>
            </w:r>
          </w:p>
        </w:tc>
        <w:tc>
          <w:tcPr>
            <w:tcW w:w="1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1"/>
              </w:rPr>
              <w:t>-11.78%</w:t>
            </w:r>
          </w:p>
        </w:tc>
      </w:tr>
      <w:tr>
        <w:trPr>
          <w:trHeight w:val="274"/>
        </w:trPr>
        <w:tc>
          <w:tcPr>
            <w:tcW w:w="1560" w:type="dxa"/>
            <w:vAlign w:val="bottom"/>
          </w:tcPr>
          <w:p>
            <w:pPr>
              <w:jc w:val="center"/>
              <w:ind w:right="60"/>
              <w:spacing w:after="0"/>
              <w:rPr>
                <w:sz w:val="20"/>
                <w:szCs w:val="20"/>
                <w:color w:val="auto"/>
              </w:rPr>
            </w:pPr>
            <w:r>
              <w:rPr>
                <w:rFonts w:ascii="Arial" w:cs="Arial" w:eastAsia="Arial" w:hAnsi="Arial"/>
                <w:sz w:val="20"/>
                <w:szCs w:val="20"/>
                <w:color w:val="auto"/>
                <w:w w:val="91"/>
              </w:rPr>
              <w:t>3.18%</w:t>
            </w:r>
          </w:p>
        </w:tc>
        <w:tc>
          <w:tcPr>
            <w:tcW w:w="1580" w:type="dxa"/>
            <w:vAlign w:val="bottom"/>
          </w:tcPr>
          <w:p>
            <w:pPr>
              <w:jc w:val="center"/>
              <w:ind w:right="20"/>
              <w:spacing w:after="0"/>
              <w:rPr>
                <w:sz w:val="20"/>
                <w:szCs w:val="20"/>
                <w:color w:val="auto"/>
              </w:rPr>
            </w:pPr>
            <w:r>
              <w:rPr>
                <w:rFonts w:ascii="Arial" w:cs="Arial" w:eastAsia="Arial" w:hAnsi="Arial"/>
                <w:sz w:val="20"/>
                <w:szCs w:val="20"/>
                <w:color w:val="auto"/>
                <w:w w:val="91"/>
              </w:rPr>
              <w:t>-8.23%</w:t>
            </w:r>
          </w:p>
        </w:tc>
        <w:tc>
          <w:tcPr>
            <w:tcW w:w="1520" w:type="dxa"/>
            <w:vAlign w:val="bottom"/>
          </w:tcPr>
          <w:p>
            <w:pPr>
              <w:jc w:val="center"/>
              <w:spacing w:after="0"/>
              <w:rPr>
                <w:sz w:val="20"/>
                <w:szCs w:val="20"/>
                <w:color w:val="auto"/>
              </w:rPr>
            </w:pPr>
            <w:r>
              <w:rPr>
                <w:rFonts w:ascii="Arial" w:cs="Arial" w:eastAsia="Arial" w:hAnsi="Arial"/>
                <w:sz w:val="20"/>
                <w:szCs w:val="20"/>
                <w:color w:val="auto"/>
                <w:w w:val="97"/>
              </w:rPr>
              <w:t>Rising</w:t>
            </w:r>
          </w:p>
        </w:tc>
        <w:tc>
          <w:tcPr>
            <w:tcW w:w="1560" w:type="dxa"/>
            <w:vAlign w:val="bottom"/>
          </w:tcPr>
          <w:p>
            <w:pPr>
              <w:jc w:val="center"/>
              <w:spacing w:after="0"/>
              <w:rPr>
                <w:sz w:val="20"/>
                <w:szCs w:val="20"/>
                <w:color w:val="auto"/>
              </w:rPr>
            </w:pPr>
            <w:r>
              <w:rPr>
                <w:rFonts w:ascii="Arial" w:cs="Arial" w:eastAsia="Arial" w:hAnsi="Arial"/>
                <w:sz w:val="20"/>
                <w:szCs w:val="20"/>
                <w:color w:val="auto"/>
                <w:w w:val="91"/>
              </w:rPr>
              <w:t>2.00%</w:t>
            </w:r>
          </w:p>
        </w:tc>
        <w:tc>
          <w:tcPr>
            <w:tcW w:w="1720" w:type="dxa"/>
            <w:vAlign w:val="bottom"/>
          </w:tcPr>
          <w:p>
            <w:pPr>
              <w:jc w:val="right"/>
              <w:ind w:right="140"/>
              <w:spacing w:after="0"/>
              <w:rPr>
                <w:sz w:val="20"/>
                <w:szCs w:val="20"/>
                <w:color w:val="auto"/>
              </w:rPr>
            </w:pPr>
            <w:r>
              <w:rPr>
                <w:rFonts w:ascii="Arial" w:cs="Arial" w:eastAsia="Arial" w:hAnsi="Arial"/>
                <w:sz w:val="20"/>
                <w:szCs w:val="20"/>
                <w:color w:val="auto"/>
              </w:rPr>
              <w:t>102,534</w:t>
            </w: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-8.34%</w:t>
            </w:r>
          </w:p>
        </w:tc>
      </w:tr>
      <w:tr>
        <w:trPr>
          <w:trHeight w:val="41"/>
        </w:trPr>
        <w:tc>
          <w:tcPr>
            <w:tcW w:w="15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94"/>
        </w:trPr>
        <w:tc>
          <w:tcPr>
            <w:tcW w:w="1560" w:type="dxa"/>
            <w:vAlign w:val="bottom"/>
            <w:tcBorders>
              <w:bottom w:val="single" w:sz="8" w:color="CFF0FC"/>
            </w:tcBorders>
            <w:shd w:val="clear" w:color="auto" w:fill="CFF0FC"/>
          </w:tcPr>
          <w:p>
            <w:pPr>
              <w:jc w:val="center"/>
              <w:ind w:right="60"/>
              <w:spacing w:after="0"/>
              <w:rPr>
                <w:sz w:val="20"/>
                <w:szCs w:val="20"/>
                <w:color w:val="auto"/>
              </w:rPr>
            </w:pPr>
            <w:r>
              <w:rPr>
                <w:rFonts w:ascii="Arial" w:cs="Arial" w:eastAsia="Arial" w:hAnsi="Arial"/>
                <w:sz w:val="20"/>
                <w:szCs w:val="20"/>
                <w:color w:val="auto"/>
                <w:w w:val="91"/>
              </w:rPr>
              <w:t>3.39%</w:t>
            </w:r>
          </w:p>
        </w:tc>
        <w:tc>
          <w:tcPr>
            <w:tcW w:w="1580" w:type="dxa"/>
            <w:vAlign w:val="bottom"/>
            <w:tcBorders>
              <w:bottom w:val="single" w:sz="8" w:color="CFF0FC"/>
            </w:tcBorders>
            <w:shd w:val="clear" w:color="auto" w:fill="CFF0FC"/>
          </w:tcPr>
          <w:p>
            <w:pPr>
              <w:jc w:val="center"/>
              <w:ind w:right="20"/>
              <w:spacing w:after="0"/>
              <w:rPr>
                <w:sz w:val="20"/>
                <w:szCs w:val="20"/>
                <w:color w:val="auto"/>
              </w:rPr>
            </w:pPr>
            <w:r>
              <w:rPr>
                <w:rFonts w:ascii="Arial" w:cs="Arial" w:eastAsia="Arial" w:hAnsi="Arial"/>
                <w:sz w:val="20"/>
                <w:szCs w:val="20"/>
                <w:color w:val="auto"/>
                <w:w w:val="91"/>
              </w:rPr>
              <w:t>-2.14%</w:t>
            </w:r>
          </w:p>
        </w:tc>
        <w:tc>
          <w:tcPr>
            <w:tcW w:w="1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7"/>
              </w:rPr>
              <w:t>Rising</w:t>
            </w:r>
          </w:p>
        </w:tc>
        <w:tc>
          <w:tcPr>
            <w:tcW w:w="15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1"/>
              </w:rPr>
              <w:t>1.00%</w:t>
            </w:r>
          </w:p>
        </w:tc>
        <w:tc>
          <w:tcPr>
            <w:tcW w:w="17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109,433</w:t>
            </w:r>
          </w:p>
        </w:tc>
        <w:tc>
          <w:tcPr>
            <w:tcW w:w="1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1"/>
              </w:rPr>
              <w:t>-2.18%</w:t>
            </w:r>
          </w:p>
        </w:tc>
      </w:tr>
      <w:tr>
        <w:trPr>
          <w:trHeight w:val="274"/>
        </w:trPr>
        <w:tc>
          <w:tcPr>
            <w:tcW w:w="1560" w:type="dxa"/>
            <w:vAlign w:val="bottom"/>
          </w:tcPr>
          <w:p>
            <w:pPr>
              <w:jc w:val="center"/>
              <w:ind w:right="60"/>
              <w:spacing w:after="0"/>
              <w:rPr>
                <w:sz w:val="20"/>
                <w:szCs w:val="20"/>
                <w:color w:val="auto"/>
              </w:rPr>
            </w:pPr>
            <w:r>
              <w:rPr>
                <w:rFonts w:ascii="Arial" w:cs="Arial" w:eastAsia="Arial" w:hAnsi="Arial"/>
                <w:sz w:val="20"/>
                <w:szCs w:val="20"/>
                <w:color w:val="auto"/>
                <w:w w:val="91"/>
              </w:rPr>
              <w:t>3.46%</w:t>
            </w:r>
          </w:p>
        </w:tc>
        <w:tc>
          <w:tcPr>
            <w:tcW w:w="1580" w:type="dxa"/>
            <w:vAlign w:val="bottom"/>
          </w:tcPr>
          <w:p>
            <w:pPr>
              <w:jc w:val="center"/>
              <w:spacing w:after="0"/>
              <w:rPr>
                <w:sz w:val="20"/>
                <w:szCs w:val="20"/>
                <w:color w:val="auto"/>
              </w:rPr>
            </w:pPr>
            <w:r>
              <w:rPr>
                <w:rFonts w:ascii="Arial" w:cs="Arial" w:eastAsia="Arial" w:hAnsi="Arial"/>
                <w:sz w:val="20"/>
                <w:szCs w:val="20"/>
                <w:color w:val="auto"/>
                <w:w w:val="91"/>
              </w:rPr>
              <w:t>0.00%</w:t>
            </w:r>
          </w:p>
        </w:tc>
        <w:tc>
          <w:tcPr>
            <w:tcW w:w="1520" w:type="dxa"/>
            <w:vAlign w:val="bottom"/>
          </w:tcPr>
          <w:p>
            <w:pPr>
              <w:jc w:val="center"/>
              <w:spacing w:after="0"/>
              <w:rPr>
                <w:sz w:val="20"/>
                <w:szCs w:val="20"/>
                <w:color w:val="auto"/>
              </w:rPr>
            </w:pPr>
            <w:r>
              <w:rPr>
                <w:rFonts w:ascii="Arial" w:cs="Arial" w:eastAsia="Arial" w:hAnsi="Arial"/>
                <w:sz w:val="20"/>
                <w:szCs w:val="20"/>
                <w:color w:val="auto"/>
                <w:w w:val="89"/>
              </w:rPr>
              <w:t>Flat</w:t>
            </w:r>
          </w:p>
        </w:tc>
        <w:tc>
          <w:tcPr>
            <w:tcW w:w="1560" w:type="dxa"/>
            <w:vAlign w:val="bottom"/>
          </w:tcPr>
          <w:p>
            <w:pPr>
              <w:jc w:val="center"/>
              <w:spacing w:after="0"/>
              <w:rPr>
                <w:sz w:val="20"/>
                <w:szCs w:val="20"/>
                <w:color w:val="auto"/>
              </w:rPr>
            </w:pPr>
            <w:r>
              <w:rPr>
                <w:rFonts w:ascii="Arial" w:cs="Arial" w:eastAsia="Arial" w:hAnsi="Arial"/>
                <w:sz w:val="20"/>
                <w:szCs w:val="20"/>
                <w:color w:val="auto"/>
                <w:w w:val="91"/>
              </w:rPr>
              <w:t>0.00%</w:t>
            </w:r>
          </w:p>
        </w:tc>
        <w:tc>
          <w:tcPr>
            <w:tcW w:w="1720" w:type="dxa"/>
            <w:vAlign w:val="bottom"/>
          </w:tcPr>
          <w:p>
            <w:pPr>
              <w:jc w:val="right"/>
              <w:ind w:right="140"/>
              <w:spacing w:after="0"/>
              <w:rPr>
                <w:sz w:val="20"/>
                <w:szCs w:val="20"/>
                <w:color w:val="auto"/>
              </w:rPr>
            </w:pPr>
            <w:r>
              <w:rPr>
                <w:rFonts w:ascii="Arial" w:cs="Arial" w:eastAsia="Arial" w:hAnsi="Arial"/>
                <w:sz w:val="20"/>
                <w:szCs w:val="20"/>
                <w:color w:val="auto"/>
              </w:rPr>
              <w:t>111,866</w:t>
            </w: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0.00%</w:t>
            </w:r>
          </w:p>
        </w:tc>
      </w:tr>
      <w:tr>
        <w:trPr>
          <w:trHeight w:val="41"/>
        </w:trPr>
        <w:tc>
          <w:tcPr>
            <w:tcW w:w="15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94"/>
        </w:trPr>
        <w:tc>
          <w:tcPr>
            <w:tcW w:w="1560" w:type="dxa"/>
            <w:vAlign w:val="bottom"/>
            <w:tcBorders>
              <w:bottom w:val="single" w:sz="8" w:color="CFF0FC"/>
            </w:tcBorders>
            <w:shd w:val="clear" w:color="auto" w:fill="CFF0FC"/>
          </w:tcPr>
          <w:p>
            <w:pPr>
              <w:jc w:val="center"/>
              <w:ind w:right="60"/>
              <w:spacing w:after="0"/>
              <w:rPr>
                <w:sz w:val="20"/>
                <w:szCs w:val="20"/>
                <w:color w:val="auto"/>
              </w:rPr>
            </w:pPr>
            <w:r>
              <w:rPr>
                <w:rFonts w:ascii="Arial" w:cs="Arial" w:eastAsia="Arial" w:hAnsi="Arial"/>
                <w:sz w:val="20"/>
                <w:szCs w:val="20"/>
                <w:color w:val="auto"/>
                <w:w w:val="91"/>
              </w:rPr>
              <w:t>3.48%</w:t>
            </w:r>
          </w:p>
        </w:tc>
        <w:tc>
          <w:tcPr>
            <w:tcW w:w="15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1"/>
              </w:rPr>
              <w:t>0.49%</w:t>
            </w:r>
          </w:p>
        </w:tc>
        <w:tc>
          <w:tcPr>
            <w:tcW w:w="1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8"/>
              </w:rPr>
              <w:t>Falling</w:t>
            </w:r>
          </w:p>
        </w:tc>
        <w:tc>
          <w:tcPr>
            <w:tcW w:w="15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1"/>
              </w:rPr>
              <w:t>-1.00%</w:t>
            </w:r>
          </w:p>
        </w:tc>
        <w:tc>
          <w:tcPr>
            <w:tcW w:w="17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112,429</w:t>
            </w:r>
          </w:p>
        </w:tc>
        <w:tc>
          <w:tcPr>
            <w:tcW w:w="1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1"/>
              </w:rPr>
              <w:t>0.50%</w:t>
            </w:r>
          </w:p>
        </w:tc>
      </w:tr>
      <w:tr>
        <w:trPr>
          <w:trHeight w:val="274"/>
        </w:trPr>
        <w:tc>
          <w:tcPr>
            <w:tcW w:w="1560" w:type="dxa"/>
            <w:vAlign w:val="bottom"/>
          </w:tcPr>
          <w:p>
            <w:pPr>
              <w:jc w:val="center"/>
              <w:ind w:right="60"/>
              <w:spacing w:after="0"/>
              <w:rPr>
                <w:sz w:val="20"/>
                <w:szCs w:val="20"/>
                <w:color w:val="auto"/>
              </w:rPr>
            </w:pPr>
            <w:r>
              <w:rPr>
                <w:rFonts w:ascii="Arial" w:cs="Arial" w:eastAsia="Arial" w:hAnsi="Arial"/>
                <w:sz w:val="20"/>
                <w:szCs w:val="20"/>
                <w:color w:val="auto"/>
                <w:w w:val="91"/>
              </w:rPr>
              <w:t>3.35%</w:t>
            </w:r>
          </w:p>
        </w:tc>
        <w:tc>
          <w:tcPr>
            <w:tcW w:w="1580" w:type="dxa"/>
            <w:vAlign w:val="bottom"/>
          </w:tcPr>
          <w:p>
            <w:pPr>
              <w:jc w:val="center"/>
              <w:ind w:right="20"/>
              <w:spacing w:after="0"/>
              <w:rPr>
                <w:sz w:val="20"/>
                <w:szCs w:val="20"/>
                <w:color w:val="auto"/>
              </w:rPr>
            </w:pPr>
            <w:r>
              <w:rPr>
                <w:rFonts w:ascii="Arial" w:cs="Arial" w:eastAsia="Arial" w:hAnsi="Arial"/>
                <w:sz w:val="20"/>
                <w:szCs w:val="20"/>
                <w:color w:val="auto"/>
                <w:w w:val="91"/>
              </w:rPr>
              <w:t>-3.21%</w:t>
            </w:r>
          </w:p>
        </w:tc>
        <w:tc>
          <w:tcPr>
            <w:tcW w:w="1520" w:type="dxa"/>
            <w:vAlign w:val="bottom"/>
          </w:tcPr>
          <w:p>
            <w:pPr>
              <w:jc w:val="center"/>
              <w:spacing w:after="0"/>
              <w:rPr>
                <w:sz w:val="20"/>
                <w:szCs w:val="20"/>
                <w:color w:val="auto"/>
              </w:rPr>
            </w:pPr>
            <w:r>
              <w:rPr>
                <w:rFonts w:ascii="Arial" w:cs="Arial" w:eastAsia="Arial" w:hAnsi="Arial"/>
                <w:sz w:val="20"/>
                <w:szCs w:val="20"/>
                <w:color w:val="auto"/>
                <w:w w:val="98"/>
              </w:rPr>
              <w:t>Falling</w:t>
            </w:r>
          </w:p>
        </w:tc>
        <w:tc>
          <w:tcPr>
            <w:tcW w:w="1560" w:type="dxa"/>
            <w:vAlign w:val="bottom"/>
          </w:tcPr>
          <w:p>
            <w:pPr>
              <w:jc w:val="center"/>
              <w:spacing w:after="0"/>
              <w:rPr>
                <w:sz w:val="20"/>
                <w:szCs w:val="20"/>
                <w:color w:val="auto"/>
              </w:rPr>
            </w:pPr>
            <w:r>
              <w:rPr>
                <w:rFonts w:ascii="Arial" w:cs="Arial" w:eastAsia="Arial" w:hAnsi="Arial"/>
                <w:sz w:val="20"/>
                <w:szCs w:val="20"/>
                <w:color w:val="auto"/>
                <w:w w:val="91"/>
              </w:rPr>
              <w:t>-2.00%</w:t>
            </w:r>
          </w:p>
        </w:tc>
        <w:tc>
          <w:tcPr>
            <w:tcW w:w="1720" w:type="dxa"/>
            <w:vAlign w:val="bottom"/>
          </w:tcPr>
          <w:p>
            <w:pPr>
              <w:jc w:val="right"/>
              <w:ind w:right="140"/>
              <w:spacing w:after="0"/>
              <w:rPr>
                <w:sz w:val="20"/>
                <w:szCs w:val="20"/>
                <w:color w:val="auto"/>
              </w:rPr>
            </w:pPr>
            <w:r>
              <w:rPr>
                <w:rFonts w:ascii="Arial" w:cs="Arial" w:eastAsia="Arial" w:hAnsi="Arial"/>
                <w:sz w:val="20"/>
                <w:szCs w:val="20"/>
                <w:color w:val="auto"/>
              </w:rPr>
              <w:t>108,246</w:t>
            </w:r>
          </w:p>
        </w:tc>
        <w:tc>
          <w:tcPr>
            <w:tcW w:w="1460" w:type="dxa"/>
            <w:vAlign w:val="bottom"/>
          </w:tcPr>
          <w:p>
            <w:pPr>
              <w:jc w:val="center"/>
              <w:spacing w:after="0"/>
              <w:rPr>
                <w:sz w:val="20"/>
                <w:szCs w:val="20"/>
                <w:color w:val="auto"/>
              </w:rPr>
            </w:pPr>
            <w:r>
              <w:rPr>
                <w:rFonts w:ascii="Arial" w:cs="Arial" w:eastAsia="Arial" w:hAnsi="Arial"/>
                <w:sz w:val="20"/>
                <w:szCs w:val="20"/>
                <w:color w:val="auto"/>
                <w:w w:val="91"/>
              </w:rPr>
              <w:t>-3.24%</w:t>
            </w:r>
          </w:p>
        </w:tc>
      </w:tr>
      <w:tr>
        <w:trPr>
          <w:trHeight w:val="41"/>
        </w:trPr>
        <w:tc>
          <w:tcPr>
            <w:tcW w:w="15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74"/>
        </w:trPr>
        <w:tc>
          <w:tcPr>
            <w:tcW w:w="1560" w:type="dxa"/>
            <w:vAlign w:val="bottom"/>
            <w:shd w:val="clear" w:color="auto" w:fill="CFF0FC"/>
          </w:tcPr>
          <w:p>
            <w:pPr>
              <w:jc w:val="center"/>
              <w:ind w:right="60"/>
              <w:spacing w:after="0"/>
              <w:rPr>
                <w:sz w:val="20"/>
                <w:szCs w:val="20"/>
                <w:color w:val="auto"/>
              </w:rPr>
            </w:pPr>
            <w:r>
              <w:rPr>
                <w:rFonts w:ascii="Arial" w:cs="Arial" w:eastAsia="Arial" w:hAnsi="Arial"/>
                <w:sz w:val="20"/>
                <w:szCs w:val="20"/>
                <w:color w:val="auto"/>
                <w:w w:val="91"/>
              </w:rPr>
              <w:t>3.30%</w:t>
            </w:r>
          </w:p>
        </w:tc>
        <w:tc>
          <w:tcPr>
            <w:tcW w:w="1580" w:type="dxa"/>
            <w:vAlign w:val="bottom"/>
            <w:shd w:val="clear" w:color="auto" w:fill="CFF0FC"/>
          </w:tcPr>
          <w:p>
            <w:pPr>
              <w:jc w:val="center"/>
              <w:ind w:right="20"/>
              <w:spacing w:after="0"/>
              <w:rPr>
                <w:sz w:val="20"/>
                <w:szCs w:val="20"/>
                <w:color w:val="auto"/>
              </w:rPr>
            </w:pPr>
            <w:r>
              <w:rPr>
                <w:rFonts w:ascii="Arial" w:cs="Arial" w:eastAsia="Arial" w:hAnsi="Arial"/>
                <w:sz w:val="20"/>
                <w:szCs w:val="20"/>
                <w:color w:val="auto"/>
                <w:w w:val="91"/>
              </w:rPr>
              <w:t>-4.64%</w:t>
            </w:r>
          </w:p>
        </w:tc>
        <w:tc>
          <w:tcPr>
            <w:tcW w:w="15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8"/>
              </w:rPr>
              <w:t>Falling</w:t>
            </w:r>
          </w:p>
        </w:tc>
        <w:tc>
          <w:tcPr>
            <w:tcW w:w="15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1"/>
              </w:rPr>
              <w:t>-3.00%</w:t>
            </w:r>
          </w:p>
        </w:tc>
        <w:tc>
          <w:tcPr>
            <w:tcW w:w="172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106,639</w:t>
            </w:r>
          </w:p>
        </w:tc>
        <w:tc>
          <w:tcPr>
            <w:tcW w:w="14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1"/>
              </w:rPr>
              <w:t>-4.67%</w:t>
            </w:r>
          </w:p>
        </w:tc>
      </w:tr>
      <w:tr>
        <w:trPr>
          <w:trHeight w:val="41"/>
        </w:trPr>
        <w:tc>
          <w:tcPr>
            <w:tcW w:w="1560" w:type="dxa"/>
            <w:vAlign w:val="bottom"/>
            <w:shd w:val="clear" w:color="auto" w:fill="CFF0FC"/>
          </w:tcPr>
          <w:p>
            <w:pPr>
              <w:spacing w:after="0"/>
              <w:rPr>
                <w:sz w:val="3"/>
                <w:szCs w:val="3"/>
                <w:color w:val="auto"/>
              </w:rPr>
            </w:pPr>
          </w:p>
        </w:tc>
        <w:tc>
          <w:tcPr>
            <w:tcW w:w="1580" w:type="dxa"/>
            <w:vAlign w:val="bottom"/>
            <w:shd w:val="clear" w:color="auto" w:fill="CFF0FC"/>
          </w:tcPr>
          <w:p>
            <w:pPr>
              <w:spacing w:after="0"/>
              <w:rPr>
                <w:sz w:val="3"/>
                <w:szCs w:val="3"/>
                <w:color w:val="auto"/>
              </w:rPr>
            </w:pPr>
          </w:p>
        </w:tc>
        <w:tc>
          <w:tcPr>
            <w:tcW w:w="1520" w:type="dxa"/>
            <w:vAlign w:val="bottom"/>
            <w:shd w:val="clear" w:color="auto" w:fill="CFF0FC"/>
          </w:tcPr>
          <w:p>
            <w:pPr>
              <w:spacing w:after="0"/>
              <w:rPr>
                <w:sz w:val="3"/>
                <w:szCs w:val="3"/>
                <w:color w:val="auto"/>
              </w:rPr>
            </w:pPr>
          </w:p>
        </w:tc>
        <w:tc>
          <w:tcPr>
            <w:tcW w:w="1560" w:type="dxa"/>
            <w:vAlign w:val="bottom"/>
            <w:shd w:val="clear" w:color="auto" w:fill="CFF0FC"/>
          </w:tcPr>
          <w:p>
            <w:pPr>
              <w:spacing w:after="0"/>
              <w:rPr>
                <w:sz w:val="3"/>
                <w:szCs w:val="3"/>
                <w:color w:val="auto"/>
              </w:rPr>
            </w:pPr>
          </w:p>
        </w:tc>
        <w:tc>
          <w:tcPr>
            <w:tcW w:w="1720" w:type="dxa"/>
            <w:vAlign w:val="bottom"/>
            <w:shd w:val="clear" w:color="auto" w:fill="CFF0FC"/>
          </w:tcPr>
          <w:p>
            <w:pPr>
              <w:spacing w:after="0"/>
              <w:rPr>
                <w:sz w:val="3"/>
                <w:szCs w:val="3"/>
                <w:color w:val="auto"/>
              </w:rPr>
            </w:pPr>
          </w:p>
        </w:tc>
        <w:tc>
          <w:tcPr>
            <w:tcW w:w="146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-1809115</wp:posOffset>
            </wp:positionV>
            <wp:extent cx="1923415"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8">
                      <a:extLst>
                        <a:ext uri="{28A0092B-C50C-407E-A947-70E740481C1C}"/>
                      </a:extLst>
                    </a:blip>
                    <a:srcRect/>
                    <a:stretch>
                      <a:fillRect/>
                    </a:stretch>
                  </pic:blipFill>
                  <pic:spPr bwMode="auto">
                    <a:xfrm>
                      <a:off x="0" y="0"/>
                      <a:ext cx="1923415" cy="6350"/>
                    </a:xfrm>
                    <a:prstGeom prst="rect">
                      <a:avLst/>
                    </a:prstGeom>
                    <a:noFill/>
                  </pic:spPr>
                </pic:pic>
              </a:graphicData>
            </a:graphic>
          </wp:anchor>
        </w:drawing>
        <w:drawing>
          <wp:anchor simplePos="0" relativeHeight="251657728" behindDoc="1" locked="0" layoutInCell="0" allowOverlap="1">
            <wp:simplePos x="0" y="0"/>
            <wp:positionH relativeFrom="column">
              <wp:posOffset>4013200</wp:posOffset>
            </wp:positionH>
            <wp:positionV relativeFrom="paragraph">
              <wp:posOffset>-1809115</wp:posOffset>
            </wp:positionV>
            <wp:extent cx="195072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9">
                      <a:extLst>
                        <a:ext uri="{28A0092B-C50C-407E-A947-70E740481C1C}"/>
                      </a:extLst>
                    </a:blip>
                    <a:srcRect/>
                    <a:stretch>
                      <a:fillRect/>
                    </a:stretch>
                  </pic:blipFill>
                  <pic:spPr bwMode="auto">
                    <a:xfrm>
                      <a:off x="0" y="0"/>
                      <a:ext cx="195072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-1403350</wp:posOffset>
            </wp:positionV>
            <wp:extent cx="596773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0">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319" w:lineRule="exact"/>
        <w:rPr>
          <w:sz w:val="20"/>
          <w:szCs w:val="20"/>
          <w:color w:val="auto"/>
        </w:rPr>
      </w:pPr>
    </w:p>
    <w:p>
      <w:pPr>
        <w:jc w:val="both"/>
        <w:ind w:right="80"/>
        <w:spacing w:after="0" w:line="329" w:lineRule="auto"/>
        <w:rPr>
          <w:sz w:val="20"/>
          <w:szCs w:val="20"/>
          <w:color w:val="auto"/>
        </w:rPr>
      </w:pPr>
      <w:r>
        <w:rPr>
          <w:rFonts w:ascii="Arial" w:cs="Arial" w:eastAsia="Arial" w:hAnsi="Arial"/>
          <w:sz w:val="19"/>
          <w:szCs w:val="19"/>
          <w:color w:val="auto"/>
        </w:rPr>
        <w:t>The Bank’s balance sheet is slightly asset-sensitive after coming through 175 basis points of Fed rate cuts from September 2024 through December 2025. The net interest margin represents the forecasted twelve-month margin. The Company also reviews shocks with a 5.00% fluctuation and over a 24-month time frame, as well as alternate yield curve scenarios. The goal of the Company is to gather more core deposits, such as checking and savings accounts. Checking accounts are preferable for the lower cost of funds and the opportunity to garner noninterest revenue from services provided. Savings and money market accounts are beneficial due to the variability of the interest in both rate and immediate option to reprice. Many of the CD renewals in 2025 went into shorter terms which are beneficial to the Bank in a falling rate environment.</w:t>
      </w:r>
    </w:p>
    <w:p>
      <w:pPr>
        <w:spacing w:after="0" w:line="244" w:lineRule="exact"/>
        <w:rPr>
          <w:sz w:val="20"/>
          <w:szCs w:val="20"/>
          <w:color w:val="auto"/>
        </w:rPr>
      </w:pPr>
    </w:p>
    <w:p>
      <w:pPr>
        <w:jc w:val="both"/>
        <w:ind w:right="60"/>
        <w:spacing w:after="0" w:line="355" w:lineRule="auto"/>
        <w:rPr>
          <w:sz w:val="20"/>
          <w:szCs w:val="20"/>
          <w:color w:val="auto"/>
        </w:rPr>
      </w:pPr>
      <w:r>
        <w:rPr>
          <w:rFonts w:ascii="Arial" w:cs="Arial" w:eastAsia="Arial" w:hAnsi="Arial"/>
          <w:sz w:val="18"/>
          <w:szCs w:val="18"/>
          <w:color w:val="auto"/>
        </w:rPr>
        <w:t>The Bank was aggressive in dropping its non-maturity deposit rates while the Fed was cutting their rate over the past 15 months. We will have less of an opportunity to be as aggressive with future Fed rate cuts. The Bank’s monthly cost of funds dropped from 2.89% at December 31, 2024 to 2.58% at December 31, 2025. Older loans and</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30</w:t>
      </w:r>
    </w:p>
    <w:p>
      <w:pPr>
        <w:sectPr>
          <w:pgSz w:w="11900" w:h="16838" w:orient="portrait"/>
          <w:cols w:equalWidth="0" w:num="1">
            <w:col w:w="9400"/>
          </w:cols>
          <w:pgMar w:left="1260" w:top="1440" w:right="1246" w:bottom="0" w:gutter="0" w:footer="0" w:header="0"/>
          <w:type w:val="continuous"/>
        </w:sectPr>
      </w:pPr>
    </w:p>
    <w:bookmarkStart w:id="105" w:name="page106"/>
    <w:bookmarkEnd w:id="105"/>
    <w:p>
      <w:pPr>
        <w:jc w:val="both"/>
        <w:spacing w:after="0" w:line="330" w:lineRule="auto"/>
        <w:rPr>
          <w:sz w:val="20"/>
          <w:szCs w:val="20"/>
          <w:color w:val="auto"/>
        </w:rPr>
      </w:pPr>
      <w:r>
        <w:rPr>
          <w:rFonts w:ascii="Arial" w:cs="Arial" w:eastAsia="Arial" w:hAnsi="Arial"/>
          <w:sz w:val="19"/>
          <w:szCs w:val="19"/>
          <w:color w:val="auto"/>
        </w:rPr>
        <w:t>investments will continue to reprice higher, in aggregate, in the next twelve months based on current rates. The Bank continues to review and adjust its assumptions concerning decay rates, deposit betas, key rate ties, and loan prepayment speeds. Rates are modified as index rates change. Directional changes shown above are within the Bank's risk tolerance. The effect of the rate shocks may be mitigated to the extent that not all lines of business are directly tied to an external index and actual balance sheet composition may differ from prediction.</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Overall, the Company must continue its trajectory of improved pricing discipline for its new loans and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 / 30</w:t>
      </w:r>
    </w:p>
    <w:p>
      <w:pPr>
        <w:sectPr>
          <w:pgSz w:w="11900" w:h="16838" w:orient="portrait"/>
          <w:cols w:equalWidth="0" w:num="1">
            <w:col w:w="9360"/>
          </w:cols>
          <w:pgMar w:left="1260" w:top="1173" w:right="1286" w:bottom="0" w:gutter="0" w:footer="0" w:header="0"/>
          <w:type w:val="continuous"/>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8.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Report of Independent Registered Public Accounting Firms.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Consolidated Balance Sheets at December 31, 2025 and 2024.</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Consolidated Statements of Income for the years ended December 31, 2025, 2024 and 2023.</w:t>
      </w: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Consolidated Statements of Comprehensive Income for the years ended December 31, 2025, 2024 and 2023.</w:t>
      </w:r>
    </w:p>
    <w:p>
      <w:pPr>
        <w:spacing w:after="0" w:line="322" w:lineRule="exact"/>
        <w:rPr>
          <w:sz w:val="20"/>
          <w:szCs w:val="20"/>
          <w:color w:val="auto"/>
        </w:rPr>
      </w:pPr>
    </w:p>
    <w:p>
      <w:pPr>
        <w:spacing w:after="0" w:line="302" w:lineRule="auto"/>
        <w:rPr>
          <w:sz w:val="20"/>
          <w:szCs w:val="20"/>
          <w:color w:val="auto"/>
        </w:rPr>
      </w:pPr>
      <w:r>
        <w:rPr>
          <w:rFonts w:ascii="Arial" w:cs="Arial" w:eastAsia="Arial" w:hAnsi="Arial"/>
          <w:sz w:val="20"/>
          <w:szCs w:val="20"/>
          <w:color w:val="auto"/>
        </w:rPr>
        <w:t>Consolidated Statements of Changes to Shareholders’ Equity for the years ended December 31, 2025, 2024 and 2023.</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Consolidated Statements of Cash Flows for the years ended December 31, 2025, 2024 and 2023.</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19 / 30</w:t>
      </w:r>
    </w:p>
    <w:p>
      <w:pPr>
        <w:sectPr>
          <w:pgSz w:w="11900" w:h="16838" w:orient="portrait"/>
          <w:cols w:equalWidth="0" w:num="1">
            <w:col w:w="9320"/>
          </w:cols>
          <w:pgMar w:left="1260" w:top="1440" w:right="1326" w:bottom="0" w:gutter="0" w:footer="0" w:header="0"/>
          <w:type w:val="continuous"/>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20 / 30</w:t>
      </w:r>
    </w:p>
    <w:p>
      <w:pPr>
        <w:sectPr>
          <w:pgSz w:w="11900" w:h="16838" w:orient="portrait"/>
          <w:cols w:equalWidth="0" w:num="1">
            <w:col w:w="9026"/>
          </w:cols>
          <w:pgMar w:left="1440" w:top="1440" w:right="1440" w:bottom="0" w:gutter="0" w:footer="0" w:header="0"/>
          <w:type w:val="continuous"/>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Board of Directors of Farmers &amp; Merchants Bancorp, Inc.</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80" w:lineRule="exact"/>
        <w:rPr>
          <w:sz w:val="20"/>
          <w:szCs w:val="20"/>
          <w:color w:val="auto"/>
        </w:rPr>
      </w:pPr>
    </w:p>
    <w:p>
      <w:pPr>
        <w:jc w:val="both"/>
        <w:ind w:right="40"/>
        <w:spacing w:after="0" w:line="311" w:lineRule="auto"/>
        <w:rPr>
          <w:sz w:val="20"/>
          <w:szCs w:val="20"/>
          <w:color w:val="auto"/>
        </w:rPr>
      </w:pPr>
      <w:r>
        <w:rPr>
          <w:rFonts w:ascii="Arial" w:cs="Arial" w:eastAsia="Arial" w:hAnsi="Arial"/>
          <w:sz w:val="20"/>
          <w:szCs w:val="20"/>
          <w:color w:val="auto"/>
        </w:rPr>
        <w:t xml:space="preserve">We have audited the accompanying consolidated balance sheet of Farmers &amp; Merchants Bancorp, Inc (the “Company”) as of December 31, 2025, the related consolidated statements of income, comprehensive income, changes to stockholders' equity, and cash flows for the year ended December 31, 2025, and the related notes (collectively referred to as the “consolidated financial statements”). We also have audited the Company's internal control over financial reporting as of December 31, 2025, based on criteria established in </w:t>
      </w:r>
      <w:r>
        <w:rPr>
          <w:rFonts w:ascii="Arial" w:cs="Arial" w:eastAsia="Arial" w:hAnsi="Arial"/>
          <w:sz w:val="20"/>
          <w:szCs w:val="20"/>
          <w:i w:val="1"/>
          <w:iCs w:val="1"/>
          <w:color w:val="auto"/>
        </w:rPr>
        <w:t>Internal Control -</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Integrated Framework </w:t>
      </w:r>
      <w:r>
        <w:rPr>
          <w:rFonts w:ascii="Arial" w:cs="Arial" w:eastAsia="Arial" w:hAnsi="Arial"/>
          <w:sz w:val="20"/>
          <w:szCs w:val="20"/>
          <w:color w:val="auto"/>
        </w:rPr>
        <w:t>(2013) issued by the Committee of Sponsoring Organizations of the Treadway Commission</w:t>
      </w:r>
      <w:r>
        <w:rPr>
          <w:rFonts w:ascii="Arial" w:cs="Arial" w:eastAsia="Arial" w:hAnsi="Arial"/>
          <w:sz w:val="20"/>
          <w:szCs w:val="20"/>
          <w:i w:val="1"/>
          <w:iCs w:val="1"/>
          <w:color w:val="auto"/>
        </w:rPr>
        <w:t xml:space="preserve"> </w:t>
      </w:r>
      <w:r>
        <w:rPr>
          <w:rFonts w:ascii="Arial" w:cs="Arial" w:eastAsia="Arial" w:hAnsi="Arial"/>
          <w:sz w:val="20"/>
          <w:szCs w:val="20"/>
          <w:color w:val="auto"/>
        </w:rPr>
        <w:t>(the “COSO framework”).</w:t>
      </w:r>
    </w:p>
    <w:p>
      <w:pPr>
        <w:spacing w:after="0" w:line="214" w:lineRule="exact"/>
        <w:rPr>
          <w:sz w:val="20"/>
          <w:szCs w:val="20"/>
          <w:color w:val="auto"/>
        </w:rPr>
      </w:pPr>
    </w:p>
    <w:p>
      <w:pPr>
        <w:jc w:val="both"/>
        <w:ind w:right="40"/>
        <w:spacing w:after="0" w:line="351"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2025, and the results of its operations and its cash flows for the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the COSO framework.</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80"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 Report Regarding Internal Control and Compliance with Designated Laws and Regulations.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ind w:right="40"/>
        <w:spacing w:after="0" w:line="309"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6" w:lineRule="exact"/>
        <w:rPr>
          <w:sz w:val="20"/>
          <w:szCs w:val="20"/>
          <w:color w:val="auto"/>
        </w:rPr>
      </w:pPr>
    </w:p>
    <w:p>
      <w:pPr>
        <w:jc w:val="both"/>
        <w:ind w:right="40"/>
        <w:spacing w:after="0" w:line="349"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 / 30</w:t>
      </w:r>
    </w:p>
    <w:p>
      <w:pPr>
        <w:sectPr>
          <w:pgSz w:w="11900" w:h="16838" w:orient="portrait"/>
          <w:cols w:equalWidth="0" w:num="1">
            <w:col w:w="9380"/>
          </w:cols>
          <w:pgMar w:left="1260" w:top="1440" w:right="1266" w:bottom="0" w:gutter="0" w:footer="0" w:header="0"/>
          <w:type w:val="continuous"/>
        </w:sectPr>
      </w:pPr>
    </w:p>
    <w:bookmarkStart w:id="109" w:name="page110"/>
    <w:bookmarkEnd w:id="109"/>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8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ind w:right="20"/>
        <w:spacing w:after="0" w:line="309"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 / 30</w:t>
      </w:r>
    </w:p>
    <w:p>
      <w:pPr>
        <w:sectPr>
          <w:pgSz w:w="11900" w:h="16838" w:orient="portrait"/>
          <w:cols w:equalWidth="0" w:num="1">
            <w:col w:w="9380"/>
          </w:cols>
          <w:pgMar w:left="1260" w:top="1163" w:right="1266" w:bottom="0" w:gutter="0" w:footer="0" w:header="0"/>
          <w:type w:val="continuous"/>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280"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w:t>
      </w:r>
    </w:p>
    <w:p>
      <w:pPr>
        <w:spacing w:after="0" w:line="214" w:lineRule="exact"/>
        <w:rPr>
          <w:sz w:val="20"/>
          <w:szCs w:val="20"/>
          <w:color w:val="auto"/>
        </w:rPr>
      </w:pPr>
    </w:p>
    <w:p>
      <w:pPr>
        <w:ind w:right="460"/>
        <w:spacing w:after="0" w:line="302" w:lineRule="auto"/>
        <w:rPr>
          <w:sz w:val="20"/>
          <w:szCs w:val="20"/>
          <w:color w:val="auto"/>
        </w:rPr>
      </w:pPr>
      <w:r>
        <w:rPr>
          <w:rFonts w:ascii="Arial" w:cs="Arial" w:eastAsia="Arial" w:hAnsi="Arial"/>
          <w:sz w:val="20"/>
          <w:szCs w:val="20"/>
          <w:b w:val="1"/>
          <w:bCs w:val="1"/>
          <w:color w:val="auto"/>
        </w:rPr>
        <w:t>Allowance for Credit Losses on Collectively Evaluated Loans – Refer to Notes 1 and 4 to the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Critical Audit Matters Description</w:t>
      </w:r>
    </w:p>
    <w:p>
      <w:pPr>
        <w:spacing w:after="0" w:line="280"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Management’s estimate of the allowance for credit losses (ACL) at December 31, 2025, includes a reserve on collectively evaluated loans. In the current year, significant assumptions in management’s estimate of the reserve on collectively evaluated loans include (i) the determination of its peer group, (ii) the determination of the estimated remaining life of each portfolio segment, and (iii) qualitative factor adjustments. In evaluating whether qualitative factor adjustments are necessary, management considers internal and external qualitative and credit market risk factors to reflect credit risks not fully captured by historical loss experience or forecast economic conditions.</w:t>
      </w:r>
    </w:p>
    <w:p>
      <w:pPr>
        <w:spacing w:after="0" w:line="189"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Significant judgment was required by management in the selection and application of these subjective assumptions. Accordingly, performing audit procedures to evaluate the Company’s estimated ACL involved a high degree of auditor judgment and required significant effort, including the involvement of professionals with specialized skill and knowledge.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the Critical Audit Matter was Addressed in the Audit</w:t>
      </w:r>
    </w:p>
    <w:p>
      <w:pPr>
        <w:spacing w:after="0" w:line="280" w:lineRule="exact"/>
        <w:rPr>
          <w:sz w:val="20"/>
          <w:szCs w:val="20"/>
          <w:color w:val="auto"/>
        </w:rPr>
      </w:pPr>
    </w:p>
    <w:p>
      <w:pPr>
        <w:jc w:val="both"/>
        <w:ind w:right="80"/>
        <w:spacing w:after="0" w:line="302" w:lineRule="auto"/>
        <w:rPr>
          <w:sz w:val="20"/>
          <w:szCs w:val="20"/>
          <w:color w:val="auto"/>
        </w:rPr>
      </w:pPr>
      <w:r>
        <w:rPr>
          <w:rFonts w:ascii="Arial" w:cs="Arial" w:eastAsia="Arial" w:hAnsi="Arial"/>
          <w:sz w:val="20"/>
          <w:szCs w:val="20"/>
          <w:color w:val="auto"/>
        </w:rPr>
        <w:t>Our audit procedures related to the Company’s estimate of the ACL on collectively evaluated loans included, but were not limited to, the following:</w:t>
      </w:r>
    </w:p>
    <w:p>
      <w:pPr>
        <w:spacing w:after="0" w:line="267" w:lineRule="exact"/>
        <w:rPr>
          <w:sz w:val="20"/>
          <w:szCs w:val="20"/>
          <w:color w:val="auto"/>
        </w:rPr>
      </w:pPr>
    </w:p>
    <w:p>
      <w:pPr>
        <w:ind w:left="620" w:right="120" w:hanging="313"/>
        <w:spacing w:after="0" w:line="365"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Testing the design and operating effectiveness of management’s controls over key assumptions and judgments.</w:t>
      </w:r>
    </w:p>
    <w:p>
      <w:pPr>
        <w:spacing w:after="0" w:line="210" w:lineRule="exact"/>
        <w:rPr>
          <w:rFonts w:ascii="Arial" w:cs="Arial" w:eastAsia="Arial" w:hAnsi="Arial"/>
          <w:sz w:val="20"/>
          <w:szCs w:val="20"/>
          <w:color w:val="auto"/>
        </w:rPr>
      </w:pPr>
    </w:p>
    <w:p>
      <w:pPr>
        <w:ind w:left="620" w:hanging="313"/>
        <w:spacing w:after="0"/>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Testing the completeness and accuracy of data utilized by management.</w:t>
      </w:r>
    </w:p>
    <w:p>
      <w:pPr>
        <w:spacing w:after="0" w:line="339" w:lineRule="exact"/>
        <w:rPr>
          <w:rFonts w:ascii="Arial" w:cs="Arial" w:eastAsia="Arial" w:hAnsi="Arial"/>
          <w:sz w:val="20"/>
          <w:szCs w:val="20"/>
          <w:color w:val="auto"/>
        </w:rPr>
      </w:pPr>
    </w:p>
    <w:p>
      <w:pPr>
        <w:ind w:left="620" w:right="100" w:hanging="313"/>
        <w:spacing w:after="0" w:line="365"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Evaluating the relevance and reliability of information used by management in the development of the estimate.</w:t>
      </w:r>
    </w:p>
    <w:p>
      <w:pPr>
        <w:spacing w:after="0" w:line="220" w:lineRule="exact"/>
        <w:rPr>
          <w:rFonts w:ascii="Arial" w:cs="Arial" w:eastAsia="Arial" w:hAnsi="Arial"/>
          <w:sz w:val="20"/>
          <w:szCs w:val="20"/>
          <w:color w:val="auto"/>
        </w:rPr>
      </w:pPr>
    </w:p>
    <w:p>
      <w:pPr>
        <w:ind w:left="620" w:right="40" w:hanging="313"/>
        <w:spacing w:after="0" w:line="372"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Evaluating the reasonableness of significant assumptions used in management’s estimate through a combination of evaluating the reasonableness of certain assumptions and developing an independent range of reasonable outcomes for the collectively evaluated component of the ACL for comparison to management’s estimate.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 Plante &amp; Moran, PLLC</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30</w:t>
      </w:r>
    </w:p>
    <w:p>
      <w:pPr>
        <w:sectPr>
          <w:pgSz w:w="11900" w:h="16838" w:orient="portrait"/>
          <w:cols w:equalWidth="0" w:num="1">
            <w:col w:w="9400"/>
          </w:cols>
          <w:pgMar w:left="1260" w:top="1440" w:right="1246" w:bottom="0" w:gutter="0" w:footer="0" w:header="0"/>
          <w:type w:val="continuous"/>
        </w:sectPr>
      </w:pPr>
    </w:p>
    <w:bookmarkStart w:id="111" w:name="page112"/>
    <w:bookmarkEnd w:id="111"/>
    <w:p>
      <w:pPr>
        <w:spacing w:after="0"/>
        <w:rPr>
          <w:sz w:val="20"/>
          <w:szCs w:val="20"/>
          <w:color w:val="auto"/>
        </w:rPr>
      </w:pPr>
      <w:r>
        <w:rPr>
          <w:rFonts w:ascii="Arial" w:cs="Arial" w:eastAsia="Arial" w:hAnsi="Arial"/>
          <w:sz w:val="20"/>
          <w:szCs w:val="20"/>
          <w:color w:val="auto"/>
        </w:rPr>
        <w:t>Columbus, Ohio</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February 27, 2026</w:t>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3"/>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5967730"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6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24 / 30</w:t>
      </w:r>
    </w:p>
    <w:p>
      <w:pPr>
        <w:sectPr>
          <w:pgSz w:w="11900" w:h="16838" w:orient="portrait"/>
          <w:cols w:equalWidth="0" w:num="1">
            <w:col w:w="9206"/>
          </w:cols>
          <w:pgMar w:left="1260" w:top="1163" w:right="1440" w:bottom="0" w:gutter="0" w:footer="0" w:header="0"/>
          <w:type w:val="continuous"/>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350" w:lineRule="exact"/>
        <w:rPr>
          <w:sz w:val="20"/>
          <w:szCs w:val="20"/>
          <w:color w:val="auto"/>
        </w:rPr>
      </w:pPr>
    </w:p>
    <w:p>
      <w:pPr>
        <w:ind w:left="6"/>
        <w:spacing w:after="0"/>
        <w:rPr>
          <w:sz w:val="20"/>
          <w:szCs w:val="20"/>
          <w:color w:val="auto"/>
        </w:rPr>
      </w:pPr>
      <w:r>
        <w:rPr>
          <w:rFonts w:ascii="Arial" w:cs="Arial" w:eastAsia="Arial" w:hAnsi="Arial"/>
          <w:sz w:val="20"/>
          <w:szCs w:val="20"/>
          <w:color w:val="auto"/>
        </w:rPr>
        <w:t>Shareholders, Board of Directors, and Audit Committee</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Farmers &amp; Merchants Bancorp, Inc.</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Archbold, Ohio</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Opinion on the Consolidated Financial Statements</w:t>
      </w:r>
    </w:p>
    <w:p>
      <w:pPr>
        <w:spacing w:after="0" w:line="280" w:lineRule="exact"/>
        <w:rPr>
          <w:sz w:val="20"/>
          <w:szCs w:val="20"/>
          <w:color w:val="auto"/>
        </w:rPr>
      </w:pPr>
    </w:p>
    <w:p>
      <w:pPr>
        <w:jc w:val="both"/>
        <w:ind w:left="6" w:right="20"/>
        <w:spacing w:after="0" w:line="349" w:lineRule="auto"/>
        <w:rPr>
          <w:sz w:val="20"/>
          <w:szCs w:val="20"/>
          <w:color w:val="auto"/>
        </w:rPr>
      </w:pPr>
      <w:r>
        <w:rPr>
          <w:rFonts w:ascii="Arial" w:cs="Arial" w:eastAsia="Arial" w:hAnsi="Arial"/>
          <w:sz w:val="18"/>
          <w:szCs w:val="18"/>
          <w:color w:val="auto"/>
        </w:rPr>
        <w:t xml:space="preserve">We have audited, before the effects of the retrospective adjustments to the income tax disclosures for the adoption of Accounting Standards Update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 discussed in Notes 1 and 11 to the consolidated financial statements, the accompanying consolidated balance sheet of Farmers and Merchants Bancorp, Inc. (the “Company”) as of December 31, 2024, the related consolidated statements of income, comprehensive income, changes to stockholders’ equity, and cash flows for each of the years in the two-year period ended December 31, 2024, and the related notes (collectively referred to as the “financial statements”). In our opinion, before the effects of the retrospective adjustments to the Company’s income tax disclosures for the adoption of ASU 2023-09 discussed in Notes 1 and 11, the financial statements referred to above present fairly, in all material respects, the financial position of the Company as of December 31, 2024, and the results of its operations and its cash flows for each of the years in the two-year period ended December 31, 2024, in conformity with accounting principles generally accepted in the United States of America.</w:t>
      </w:r>
    </w:p>
    <w:p>
      <w:pPr>
        <w:spacing w:after="0" w:line="189" w:lineRule="exact"/>
        <w:rPr>
          <w:sz w:val="20"/>
          <w:szCs w:val="20"/>
          <w:color w:val="auto"/>
        </w:rPr>
      </w:pPr>
    </w:p>
    <w:p>
      <w:pPr>
        <w:jc w:val="both"/>
        <w:ind w:left="6"/>
        <w:spacing w:after="0" w:line="309" w:lineRule="auto"/>
        <w:rPr>
          <w:sz w:val="20"/>
          <w:szCs w:val="20"/>
          <w:color w:val="auto"/>
        </w:rPr>
      </w:pPr>
      <w:r>
        <w:rPr>
          <w:rFonts w:ascii="Arial" w:cs="Arial" w:eastAsia="Arial" w:hAnsi="Arial"/>
          <w:sz w:val="20"/>
          <w:szCs w:val="20"/>
          <w:color w:val="auto"/>
        </w:rPr>
        <w:t>We were not engaged to audit, review, or apply any procedures to the retrospective adjustments to the Company’s income tax disclosures discussed in Notes 1 and 11, and accordingly, we do not express an opinion or any other form of assurance about whether such retrospective adjustments are appropriate and have been properly applied. Those adjustments were audited by Plante &amp; Moran, PLLC.</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Change in Accounting Principle</w:t>
      </w:r>
    </w:p>
    <w:p>
      <w:pPr>
        <w:spacing w:after="0" w:line="280" w:lineRule="exact"/>
        <w:rPr>
          <w:sz w:val="20"/>
          <w:szCs w:val="20"/>
          <w:color w:val="auto"/>
        </w:rPr>
      </w:pPr>
    </w:p>
    <w:p>
      <w:pPr>
        <w:jc w:val="both"/>
        <w:ind w:left="6" w:right="20"/>
        <w:spacing w:after="0" w:line="347" w:lineRule="auto"/>
        <w:rPr>
          <w:sz w:val="20"/>
          <w:szCs w:val="20"/>
          <w:color w:val="auto"/>
        </w:rPr>
      </w:pPr>
      <w:r>
        <w:rPr>
          <w:rFonts w:ascii="Arial" w:cs="Arial" w:eastAsia="Arial" w:hAnsi="Arial"/>
          <w:sz w:val="18"/>
          <w:szCs w:val="18"/>
          <w:color w:val="auto"/>
        </w:rPr>
        <w:t>As discussed in Note 1 and Note 4 to the financial statements, in 2023, the Company changed its method of accounting for credit losses on financial instruments due to the adoption of Accounting Standards Codification Topic</w:t>
      </w:r>
    </w:p>
    <w:p>
      <w:pPr>
        <w:ind w:left="406" w:hanging="406"/>
        <w:spacing w:after="0" w:line="231" w:lineRule="auto"/>
        <w:tabs>
          <w:tab w:leader="none" w:pos="406"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Financial Instruments – Credit Losses</w:t>
      </w:r>
      <w:r>
        <w:rPr>
          <w:rFonts w:ascii="Arial" w:cs="Arial" w:eastAsia="Arial" w:hAnsi="Arial"/>
          <w:sz w:val="20"/>
          <w:szCs w:val="20"/>
          <w:color w:val="auto"/>
        </w:rPr>
        <w:t>.</w:t>
      </w:r>
    </w:p>
    <w:p>
      <w:pPr>
        <w:spacing w:after="0" w:line="270"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280" w:lineRule="exact"/>
        <w:rPr>
          <w:sz w:val="20"/>
          <w:szCs w:val="20"/>
          <w:color w:val="auto"/>
        </w:rPr>
      </w:pPr>
    </w:p>
    <w:p>
      <w:pPr>
        <w:ind w:left="6" w:right="40"/>
        <w:spacing w:after="0" w:line="302"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w:t>
      </w:r>
    </w:p>
    <w:p>
      <w:pPr>
        <w:spacing w:after="0" w:line="221" w:lineRule="exact"/>
        <w:rPr>
          <w:sz w:val="20"/>
          <w:szCs w:val="20"/>
          <w:color w:val="auto"/>
        </w:rPr>
      </w:pPr>
    </w:p>
    <w:p>
      <w:pPr>
        <w:jc w:val="both"/>
        <w:ind w:left="6"/>
        <w:spacing w:after="0" w:line="355" w:lineRule="auto"/>
        <w:rPr>
          <w:sz w:val="20"/>
          <w:szCs w:val="20"/>
          <w:color w:val="auto"/>
        </w:rPr>
      </w:pPr>
      <w:r>
        <w:rPr>
          <w:rFonts w:ascii="Arial" w:cs="Arial" w:eastAsia="Arial" w:hAnsi="Arial"/>
          <w:sz w:val="18"/>
          <w:szCs w:val="18"/>
          <w:color w:val="auto"/>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ind w:left="6" w:right="40"/>
        <w:spacing w:after="0" w:line="307"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217" w:lineRule="exact"/>
        <w:rPr>
          <w:sz w:val="20"/>
          <w:szCs w:val="20"/>
          <w:color w:val="auto"/>
        </w:rPr>
      </w:pPr>
    </w:p>
    <w:p>
      <w:pPr>
        <w:jc w:val="both"/>
        <w:ind w:left="6" w:right="60"/>
        <w:spacing w:after="0" w:line="3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w:t>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25 / 30</w:t>
      </w:r>
    </w:p>
    <w:p>
      <w:pPr>
        <w:sectPr>
          <w:pgSz w:w="11900" w:h="16838" w:orient="portrait"/>
          <w:cols w:equalWidth="0" w:num="1">
            <w:col w:w="9386"/>
          </w:cols>
          <w:pgMar w:left="1254" w:top="1440" w:right="1266" w:bottom="0" w:gutter="0" w:footer="0" w:header="0"/>
          <w:type w:val="continuous"/>
        </w:sectPr>
      </w:pPr>
    </w:p>
    <w:bookmarkStart w:id="113" w:name="page114"/>
    <w:bookmarkEnd w:id="113"/>
    <w:p>
      <w:pPr>
        <w:jc w:val="both"/>
        <w:spacing w:after="0" w:line="307" w:lineRule="auto"/>
        <w:rPr>
          <w:sz w:val="20"/>
          <w:szCs w:val="20"/>
          <w:color w:val="auto"/>
        </w:rPr>
      </w:pPr>
      <w:r>
        <w:rPr>
          <w:rFonts w:ascii="Arial" w:cs="Arial" w:eastAsia="Arial" w:hAnsi="Arial"/>
          <w:sz w:val="20"/>
          <w:szCs w:val="20"/>
          <w:color w:val="auto"/>
        </w:rPr>
        <w:t>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We served as the Company’s auditor from 2014 to 2025.</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/s/ Forvis Mazars, LLP</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Fort Wayne, Indiana</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26 / 30</w:t>
      </w:r>
    </w:p>
    <w:p>
      <w:pPr>
        <w:sectPr>
          <w:pgSz w:w="11900" w:h="16838" w:orient="portrait"/>
          <w:cols w:equalWidth="0" w:num="1">
            <w:col w:w="9340"/>
          </w:cols>
          <w:pgMar w:left="1260" w:top="1173" w:right="1306" w:bottom="0" w:gutter="0" w:footer="0" w:header="0"/>
          <w:type w:val="continuous"/>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20"/>
                <w:szCs w:val="20"/>
                <w:b w:val="1"/>
                <w:bCs w:val="1"/>
                <w:color w:val="auto"/>
              </w:rPr>
              <w:t>Farmers &amp; Merchants Bancorp, Inc. and Subsidiaries</w:t>
            </w: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600"/>
        </w:trPr>
        <w:tc>
          <w:tcPr>
            <w:tcW w:w="6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80" w:type="dxa"/>
            <w:vAlign w:val="bottom"/>
            <w:gridSpan w:val="3"/>
          </w:tcPr>
          <w:p>
            <w:pPr>
              <w:jc w:val="right"/>
              <w:spacing w:after="0"/>
              <w:rPr>
                <w:sz w:val="20"/>
                <w:szCs w:val="20"/>
                <w:color w:val="auto"/>
              </w:rPr>
            </w:pPr>
            <w:r>
              <w:rPr>
                <w:rFonts w:ascii="Arial" w:cs="Arial" w:eastAsia="Arial" w:hAnsi="Arial"/>
                <w:sz w:val="20"/>
                <w:szCs w:val="20"/>
                <w:b w:val="1"/>
                <w:bCs w:val="1"/>
                <w:color w:val="auto"/>
                <w:w w:val="87"/>
              </w:rPr>
              <w:t>Consolidated Balance Sheets</w:t>
            </w:r>
          </w:p>
        </w:tc>
      </w:tr>
      <w:tr>
        <w:trPr>
          <w:trHeight w:val="300"/>
        </w:trPr>
        <w:tc>
          <w:tcPr>
            <w:tcW w:w="6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80" w:type="dxa"/>
            <w:vAlign w:val="bottom"/>
            <w:gridSpan w:val="3"/>
          </w:tcPr>
          <w:p>
            <w:pPr>
              <w:jc w:val="right"/>
              <w:spacing w:after="0"/>
              <w:rPr>
                <w:sz w:val="20"/>
                <w:szCs w:val="20"/>
                <w:color w:val="auto"/>
              </w:rPr>
            </w:pPr>
            <w:r>
              <w:rPr>
                <w:rFonts w:ascii="Arial" w:cs="Arial" w:eastAsia="Arial" w:hAnsi="Arial"/>
                <w:sz w:val="20"/>
                <w:szCs w:val="20"/>
                <w:b w:val="1"/>
                <w:bCs w:val="1"/>
                <w:color w:val="auto"/>
                <w:w w:val="90"/>
              </w:rPr>
              <w:t>December 31, 2025 and 2024</w:t>
            </w:r>
          </w:p>
        </w:tc>
      </w:tr>
      <w:tr>
        <w:trPr>
          <w:trHeight w:val="300"/>
        </w:trPr>
        <w:tc>
          <w:tcPr>
            <w:tcW w:w="6200" w:type="dxa"/>
            <w:vAlign w:val="bottom"/>
          </w:tcPr>
          <w:p>
            <w:pPr>
              <w:spacing w:after="0"/>
              <w:rPr>
                <w:sz w:val="24"/>
                <w:szCs w:val="24"/>
                <w:color w:val="auto"/>
              </w:rPr>
            </w:pPr>
          </w:p>
        </w:tc>
        <w:tc>
          <w:tcPr>
            <w:tcW w:w="3200" w:type="dxa"/>
            <w:vAlign w:val="bottom"/>
            <w:gridSpan w:val="4"/>
          </w:tcPr>
          <w:p>
            <w:pPr>
              <w:jc w:val="right"/>
              <w:spacing w:after="0"/>
              <w:rPr>
                <w:sz w:val="20"/>
                <w:szCs w:val="20"/>
                <w:color w:val="auto"/>
              </w:rPr>
            </w:pPr>
            <w:r>
              <w:rPr>
                <w:rFonts w:ascii="Arial" w:cs="Arial" w:eastAsia="Arial" w:hAnsi="Arial"/>
                <w:sz w:val="20"/>
                <w:szCs w:val="20"/>
                <w:b w:val="1"/>
                <w:bCs w:val="1"/>
                <w:color w:val="auto"/>
                <w:w w:val="94"/>
              </w:rPr>
              <w:t>(000’s Omitted, Except Share Data)</w:t>
            </w:r>
          </w:p>
        </w:tc>
      </w:tr>
      <w:tr>
        <w:trPr>
          <w:trHeight w:val="644"/>
        </w:trPr>
        <w:tc>
          <w:tcPr>
            <w:tcW w:w="6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jc w:val="right"/>
              <w:ind w:right="400"/>
              <w:spacing w:after="0"/>
              <w:rPr>
                <w:sz w:val="20"/>
                <w:szCs w:val="20"/>
                <w:color w:val="auto"/>
              </w:rPr>
            </w:pPr>
            <w:r>
              <w:rPr>
                <w:rFonts w:ascii="Arial" w:cs="Arial" w:eastAsia="Arial" w:hAnsi="Arial"/>
                <w:sz w:val="20"/>
                <w:szCs w:val="20"/>
                <w:color w:val="auto"/>
              </w:rPr>
              <w:t>2025</w:t>
            </w:r>
          </w:p>
        </w:tc>
        <w:tc>
          <w:tcPr>
            <w:tcW w:w="340" w:type="dxa"/>
            <w:vAlign w:val="bottom"/>
          </w:tcPr>
          <w:p>
            <w:pPr>
              <w:spacing w:after="0"/>
              <w:rPr>
                <w:sz w:val="24"/>
                <w:szCs w:val="24"/>
                <w:color w:val="auto"/>
              </w:rPr>
            </w:pPr>
          </w:p>
        </w:tc>
        <w:tc>
          <w:tcPr>
            <w:tcW w:w="1020" w:type="dxa"/>
            <w:vAlign w:val="bottom"/>
          </w:tcPr>
          <w:p>
            <w:pPr>
              <w:jc w:val="right"/>
              <w:ind w:right="380"/>
              <w:spacing w:after="0"/>
              <w:rPr>
                <w:sz w:val="20"/>
                <w:szCs w:val="20"/>
                <w:color w:val="auto"/>
              </w:rPr>
            </w:pPr>
            <w:r>
              <w:rPr>
                <w:rFonts w:ascii="Arial" w:cs="Arial" w:eastAsia="Arial" w:hAnsi="Arial"/>
                <w:sz w:val="20"/>
                <w:szCs w:val="20"/>
                <w:color w:val="auto"/>
              </w:rPr>
              <w:t>2024</w:t>
            </w:r>
          </w:p>
        </w:tc>
      </w:tr>
      <w:tr>
        <w:trPr>
          <w:trHeight w:val="51"/>
        </w:trPr>
        <w:tc>
          <w:tcPr>
            <w:tcW w:w="6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94"/>
        </w:trPr>
        <w:tc>
          <w:tcPr>
            <w:tcW w:w="6200" w:type="dxa"/>
            <w:vAlign w:val="bottom"/>
            <w:tcBorders>
              <w:bottom w:val="single" w:sz="8" w:color="CFF0FC"/>
            </w:tcBorders>
            <w:shd w:val="clear" w:color="auto" w:fill="CFF0FC"/>
          </w:tcPr>
          <w:p>
            <w:pPr>
              <w:ind w:left="3040"/>
              <w:spacing w:after="0"/>
              <w:rPr>
                <w:sz w:val="20"/>
                <w:szCs w:val="20"/>
                <w:color w:val="auto"/>
              </w:rPr>
            </w:pPr>
            <w:r>
              <w:rPr>
                <w:rFonts w:ascii="Arial" w:cs="Arial" w:eastAsia="Arial" w:hAnsi="Arial"/>
                <w:sz w:val="20"/>
                <w:szCs w:val="20"/>
                <w:b w:val="1"/>
                <w:bCs w:val="1"/>
                <w:color w:val="auto"/>
              </w:rPr>
              <w:t>Assets</w:t>
            </w:r>
          </w:p>
        </w:tc>
        <w:tc>
          <w:tcPr>
            <w:tcW w:w="7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r>
      <w:tr>
        <w:trPr>
          <w:trHeight w:val="274"/>
        </w:trPr>
        <w:tc>
          <w:tcPr>
            <w:tcW w:w="620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41"/>
        </w:trPr>
        <w:tc>
          <w:tcPr>
            <w:tcW w:w="6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6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Cash and due from banks</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97,249</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174,855</w:t>
            </w:r>
          </w:p>
        </w:tc>
      </w:tr>
      <w:tr>
        <w:trPr>
          <w:trHeight w:val="279"/>
        </w:trPr>
        <w:tc>
          <w:tcPr>
            <w:tcW w:w="6200" w:type="dxa"/>
            <w:vAlign w:val="bottom"/>
          </w:tcPr>
          <w:p>
            <w:pPr>
              <w:ind w:left="120"/>
              <w:spacing w:after="0"/>
              <w:rPr>
                <w:sz w:val="20"/>
                <w:szCs w:val="20"/>
                <w:color w:val="auto"/>
              </w:rPr>
            </w:pPr>
            <w:r>
              <w:rPr>
                <w:rFonts w:ascii="Arial" w:cs="Arial" w:eastAsia="Arial" w:hAnsi="Arial"/>
                <w:sz w:val="20"/>
                <w:szCs w:val="20"/>
                <w:color w:val="auto"/>
              </w:rPr>
              <w:t>Federal funds sold</w:t>
            </w:r>
          </w:p>
        </w:tc>
        <w:tc>
          <w:tcPr>
            <w:tcW w:w="72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469</w:t>
            </w:r>
          </w:p>
        </w:tc>
        <w:tc>
          <w:tcPr>
            <w:tcW w:w="34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1,496</w:t>
            </w:r>
          </w:p>
        </w:tc>
      </w:tr>
      <w:tr>
        <w:trPr>
          <w:trHeight w:val="46"/>
        </w:trPr>
        <w:tc>
          <w:tcPr>
            <w:tcW w:w="6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6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Total cash and cash equivalents</w:t>
            </w:r>
          </w:p>
        </w:tc>
        <w:tc>
          <w:tcPr>
            <w:tcW w:w="7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97,718</w:t>
            </w: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176,351</w:t>
            </w:r>
          </w:p>
        </w:tc>
      </w:tr>
      <w:tr>
        <w:trPr>
          <w:trHeight w:val="274"/>
        </w:trPr>
        <w:tc>
          <w:tcPr>
            <w:tcW w:w="6200" w:type="dxa"/>
            <w:vAlign w:val="bottom"/>
          </w:tcPr>
          <w:p>
            <w:pPr>
              <w:ind w:left="120"/>
              <w:spacing w:after="0"/>
              <w:rPr>
                <w:sz w:val="20"/>
                <w:szCs w:val="20"/>
                <w:color w:val="auto"/>
              </w:rPr>
            </w:pPr>
            <w:r>
              <w:rPr>
                <w:rFonts w:ascii="Arial" w:cs="Arial" w:eastAsia="Arial" w:hAnsi="Arial"/>
                <w:sz w:val="20"/>
                <w:szCs w:val="20"/>
                <w:color w:val="auto"/>
              </w:rPr>
              <w:t>Interest-bearing time deposits</w:t>
            </w:r>
          </w:p>
        </w:tc>
        <w:tc>
          <w:tcPr>
            <w:tcW w:w="72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1,498</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2,482</w:t>
            </w:r>
          </w:p>
        </w:tc>
      </w:tr>
      <w:tr>
        <w:trPr>
          <w:trHeight w:val="41"/>
        </w:trPr>
        <w:tc>
          <w:tcPr>
            <w:tcW w:w="6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6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Securities - available-for-sale</w:t>
            </w:r>
          </w:p>
        </w:tc>
        <w:tc>
          <w:tcPr>
            <w:tcW w:w="7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422,072</w:t>
            </w: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426,556</w:t>
            </w:r>
          </w:p>
        </w:tc>
      </w:tr>
      <w:tr>
        <w:trPr>
          <w:trHeight w:val="274"/>
        </w:trPr>
        <w:tc>
          <w:tcPr>
            <w:tcW w:w="6200" w:type="dxa"/>
            <w:vAlign w:val="bottom"/>
          </w:tcPr>
          <w:p>
            <w:pPr>
              <w:ind w:left="120"/>
              <w:spacing w:after="0"/>
              <w:rPr>
                <w:sz w:val="20"/>
                <w:szCs w:val="20"/>
                <w:color w:val="auto"/>
              </w:rPr>
            </w:pPr>
            <w:r>
              <w:rPr>
                <w:rFonts w:ascii="Arial" w:cs="Arial" w:eastAsia="Arial" w:hAnsi="Arial"/>
                <w:sz w:val="20"/>
                <w:szCs w:val="20"/>
                <w:color w:val="auto"/>
              </w:rPr>
              <w:t>Other securities, at cost</w:t>
            </w:r>
          </w:p>
        </w:tc>
        <w:tc>
          <w:tcPr>
            <w:tcW w:w="72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13,032</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14,400</w:t>
            </w:r>
          </w:p>
        </w:tc>
      </w:tr>
      <w:tr>
        <w:trPr>
          <w:trHeight w:val="41"/>
        </w:trPr>
        <w:tc>
          <w:tcPr>
            <w:tcW w:w="6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6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Loans held for sale</w:t>
            </w:r>
          </w:p>
        </w:tc>
        <w:tc>
          <w:tcPr>
            <w:tcW w:w="7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3,934</w:t>
            </w: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2,996</w:t>
            </w:r>
          </w:p>
        </w:tc>
      </w:tr>
      <w:tr>
        <w:trPr>
          <w:trHeight w:val="274"/>
        </w:trPr>
        <w:tc>
          <w:tcPr>
            <w:tcW w:w="6200" w:type="dxa"/>
            <w:vAlign w:val="bottom"/>
          </w:tcPr>
          <w:p>
            <w:pPr>
              <w:ind w:left="120"/>
              <w:spacing w:after="0"/>
              <w:rPr>
                <w:sz w:val="20"/>
                <w:szCs w:val="20"/>
                <w:color w:val="auto"/>
              </w:rPr>
            </w:pPr>
            <w:r>
              <w:rPr>
                <w:rFonts w:ascii="Arial" w:cs="Arial" w:eastAsia="Arial" w:hAnsi="Arial"/>
                <w:sz w:val="20"/>
                <w:szCs w:val="20"/>
                <w:color w:val="auto"/>
              </w:rPr>
              <w:t>Loans, net of allowance for credit losses of $27,688 and $25,826</w:t>
            </w:r>
          </w:p>
        </w:tc>
        <w:tc>
          <w:tcPr>
            <w:tcW w:w="72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2,685,990</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w w:val="98"/>
              </w:rPr>
              <w:t>2,536,043</w:t>
            </w:r>
          </w:p>
        </w:tc>
      </w:tr>
      <w:tr>
        <w:trPr>
          <w:trHeight w:val="41"/>
        </w:trPr>
        <w:tc>
          <w:tcPr>
            <w:tcW w:w="6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6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Premises and equipment</w:t>
            </w:r>
          </w:p>
        </w:tc>
        <w:tc>
          <w:tcPr>
            <w:tcW w:w="7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31,864</w:t>
            </w: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33,828</w:t>
            </w:r>
          </w:p>
        </w:tc>
      </w:tr>
      <w:tr>
        <w:trPr>
          <w:trHeight w:val="274"/>
        </w:trPr>
        <w:tc>
          <w:tcPr>
            <w:tcW w:w="6200" w:type="dxa"/>
            <w:vAlign w:val="bottom"/>
          </w:tcPr>
          <w:p>
            <w:pPr>
              <w:ind w:left="120"/>
              <w:spacing w:after="0"/>
              <w:rPr>
                <w:sz w:val="20"/>
                <w:szCs w:val="20"/>
                <w:color w:val="auto"/>
              </w:rPr>
            </w:pPr>
            <w:r>
              <w:rPr>
                <w:rFonts w:ascii="Arial" w:cs="Arial" w:eastAsia="Arial" w:hAnsi="Arial"/>
                <w:sz w:val="20"/>
                <w:szCs w:val="20"/>
                <w:color w:val="auto"/>
              </w:rPr>
              <w:t>Goodwill</w:t>
            </w:r>
          </w:p>
        </w:tc>
        <w:tc>
          <w:tcPr>
            <w:tcW w:w="72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86,358</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86,358</w:t>
            </w:r>
          </w:p>
        </w:tc>
      </w:tr>
      <w:tr>
        <w:trPr>
          <w:trHeight w:val="41"/>
        </w:trPr>
        <w:tc>
          <w:tcPr>
            <w:tcW w:w="6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6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Loan servicing rights</w:t>
            </w:r>
          </w:p>
        </w:tc>
        <w:tc>
          <w:tcPr>
            <w:tcW w:w="7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5,175</w:t>
            </w: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5,656</w:t>
            </w:r>
          </w:p>
        </w:tc>
      </w:tr>
      <w:tr>
        <w:trPr>
          <w:trHeight w:val="274"/>
        </w:trPr>
        <w:tc>
          <w:tcPr>
            <w:tcW w:w="6200" w:type="dxa"/>
            <w:vAlign w:val="bottom"/>
          </w:tcPr>
          <w:p>
            <w:pPr>
              <w:ind w:left="120"/>
              <w:spacing w:after="0"/>
              <w:rPr>
                <w:sz w:val="20"/>
                <w:szCs w:val="20"/>
                <w:color w:val="auto"/>
              </w:rPr>
            </w:pPr>
            <w:r>
              <w:rPr>
                <w:rFonts w:ascii="Arial" w:cs="Arial" w:eastAsia="Arial" w:hAnsi="Arial"/>
                <w:sz w:val="20"/>
                <w:szCs w:val="20"/>
                <w:color w:val="auto"/>
              </w:rPr>
              <w:t>Bank owned life insurance</w:t>
            </w:r>
          </w:p>
        </w:tc>
        <w:tc>
          <w:tcPr>
            <w:tcW w:w="72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47,410</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34,872</w:t>
            </w:r>
          </w:p>
        </w:tc>
      </w:tr>
      <w:tr>
        <w:trPr>
          <w:trHeight w:val="41"/>
        </w:trPr>
        <w:tc>
          <w:tcPr>
            <w:tcW w:w="6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304"/>
        </w:trPr>
        <w:tc>
          <w:tcPr>
            <w:tcW w:w="6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Other assets</w:t>
            </w:r>
          </w:p>
        </w:tc>
        <w:tc>
          <w:tcPr>
            <w:tcW w:w="7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39,331</w:t>
            </w: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45,181</w:t>
            </w:r>
          </w:p>
        </w:tc>
      </w:tr>
      <w:tr>
        <w:trPr>
          <w:trHeight w:val="296"/>
        </w:trPr>
        <w:tc>
          <w:tcPr>
            <w:tcW w:w="6200" w:type="dxa"/>
            <w:vAlign w:val="bottom"/>
          </w:tcPr>
          <w:p>
            <w:pPr>
              <w:spacing w:after="0"/>
              <w:rPr>
                <w:sz w:val="20"/>
                <w:szCs w:val="20"/>
                <w:color w:val="auto"/>
              </w:rPr>
            </w:pPr>
            <w:r>
              <w:rPr>
                <w:rFonts w:ascii="Arial" w:cs="Arial" w:eastAsia="Arial" w:hAnsi="Arial"/>
                <w:sz w:val="20"/>
                <w:szCs w:val="20"/>
                <w:b w:val="1"/>
                <w:bCs w:val="1"/>
                <w:color w:val="auto"/>
              </w:rPr>
              <w:t>Total Assets</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3,434,382</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0"/>
              <w:spacing w:after="0"/>
              <w:rPr>
                <w:sz w:val="20"/>
                <w:szCs w:val="20"/>
                <w:color w:val="auto"/>
              </w:rPr>
            </w:pPr>
            <w:r>
              <w:rPr>
                <w:rFonts w:ascii="Arial" w:cs="Arial" w:eastAsia="Arial" w:hAnsi="Arial"/>
                <w:sz w:val="20"/>
                <w:szCs w:val="20"/>
                <w:color w:val="auto"/>
                <w:w w:val="98"/>
              </w:rPr>
              <w:t>3,364,723</w:t>
            </w:r>
          </w:p>
        </w:tc>
      </w:tr>
      <w:tr>
        <w:trPr>
          <w:trHeight w:val="63"/>
        </w:trPr>
        <w:tc>
          <w:tcPr>
            <w:tcW w:w="6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94"/>
        </w:trPr>
        <w:tc>
          <w:tcPr>
            <w:tcW w:w="6200" w:type="dxa"/>
            <w:vAlign w:val="bottom"/>
            <w:tcBorders>
              <w:bottom w:val="single" w:sz="8" w:color="CFF0FC"/>
            </w:tcBorders>
            <w:shd w:val="clear" w:color="auto" w:fill="CFF0FC"/>
          </w:tcPr>
          <w:p>
            <w:pPr>
              <w:ind w:left="1780"/>
              <w:spacing w:after="0"/>
              <w:rPr>
                <w:sz w:val="20"/>
                <w:szCs w:val="20"/>
                <w:color w:val="auto"/>
              </w:rPr>
            </w:pPr>
            <w:r>
              <w:rPr>
                <w:rFonts w:ascii="Arial" w:cs="Arial" w:eastAsia="Arial" w:hAnsi="Arial"/>
                <w:sz w:val="20"/>
                <w:szCs w:val="20"/>
                <w:b w:val="1"/>
                <w:bCs w:val="1"/>
                <w:color w:val="auto"/>
              </w:rPr>
              <w:t>Liabilities and Stockholders' Equity</w:t>
            </w:r>
          </w:p>
        </w:tc>
        <w:tc>
          <w:tcPr>
            <w:tcW w:w="7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r>
      <w:tr>
        <w:trPr>
          <w:trHeight w:val="274"/>
        </w:trPr>
        <w:tc>
          <w:tcPr>
            <w:tcW w:w="620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41"/>
        </w:trPr>
        <w:tc>
          <w:tcPr>
            <w:tcW w:w="6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6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Deposits</w:t>
            </w:r>
          </w:p>
        </w:tc>
        <w:tc>
          <w:tcPr>
            <w:tcW w:w="7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r>
      <w:tr>
        <w:trPr>
          <w:trHeight w:val="274"/>
        </w:trPr>
        <w:tc>
          <w:tcPr>
            <w:tcW w:w="6200" w:type="dxa"/>
            <w:vAlign w:val="bottom"/>
          </w:tcPr>
          <w:p>
            <w:pPr>
              <w:ind w:left="240"/>
              <w:spacing w:after="0"/>
              <w:rPr>
                <w:sz w:val="20"/>
                <w:szCs w:val="20"/>
                <w:color w:val="auto"/>
              </w:rPr>
            </w:pPr>
            <w:r>
              <w:rPr>
                <w:rFonts w:ascii="Arial" w:cs="Arial" w:eastAsia="Arial" w:hAnsi="Arial"/>
                <w:sz w:val="20"/>
                <w:szCs w:val="20"/>
                <w:color w:val="auto"/>
              </w:rPr>
              <w:t>Noninterest-bearing</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527,327</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516,904</w:t>
            </w:r>
          </w:p>
        </w:tc>
      </w:tr>
      <w:tr>
        <w:trPr>
          <w:trHeight w:val="41"/>
        </w:trPr>
        <w:tc>
          <w:tcPr>
            <w:tcW w:w="6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6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Interest-bearing</w:t>
            </w:r>
          </w:p>
        </w:tc>
        <w:tc>
          <w:tcPr>
            <w:tcW w:w="7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r>
      <w:tr>
        <w:trPr>
          <w:trHeight w:val="274"/>
        </w:trPr>
        <w:tc>
          <w:tcPr>
            <w:tcW w:w="6200" w:type="dxa"/>
            <w:vAlign w:val="bottom"/>
          </w:tcPr>
          <w:p>
            <w:pPr>
              <w:ind w:left="360"/>
              <w:spacing w:after="0"/>
              <w:rPr>
                <w:sz w:val="20"/>
                <w:szCs w:val="20"/>
                <w:color w:val="auto"/>
              </w:rPr>
            </w:pPr>
            <w:r>
              <w:rPr>
                <w:rFonts w:ascii="Arial" w:cs="Arial" w:eastAsia="Arial" w:hAnsi="Arial"/>
                <w:sz w:val="20"/>
                <w:szCs w:val="20"/>
                <w:color w:val="auto"/>
              </w:rPr>
              <w:t>NOW accounts</w:t>
            </w:r>
          </w:p>
        </w:tc>
        <w:tc>
          <w:tcPr>
            <w:tcW w:w="72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876,151</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850,462</w:t>
            </w:r>
          </w:p>
        </w:tc>
      </w:tr>
      <w:tr>
        <w:trPr>
          <w:trHeight w:val="41"/>
        </w:trPr>
        <w:tc>
          <w:tcPr>
            <w:tcW w:w="6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62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20"/>
                <w:szCs w:val="20"/>
                <w:color w:val="auto"/>
              </w:rPr>
              <w:t>Savings</w:t>
            </w:r>
          </w:p>
        </w:tc>
        <w:tc>
          <w:tcPr>
            <w:tcW w:w="7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729,472</w:t>
            </w: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671,818</w:t>
            </w:r>
          </w:p>
        </w:tc>
      </w:tr>
      <w:tr>
        <w:trPr>
          <w:trHeight w:val="279"/>
        </w:trPr>
        <w:tc>
          <w:tcPr>
            <w:tcW w:w="6200" w:type="dxa"/>
            <w:vAlign w:val="bottom"/>
          </w:tcPr>
          <w:p>
            <w:pPr>
              <w:ind w:left="360"/>
              <w:spacing w:after="0"/>
              <w:rPr>
                <w:sz w:val="20"/>
                <w:szCs w:val="20"/>
                <w:color w:val="auto"/>
              </w:rPr>
            </w:pPr>
            <w:r>
              <w:rPr>
                <w:rFonts w:ascii="Arial" w:cs="Arial" w:eastAsia="Arial" w:hAnsi="Arial"/>
                <w:sz w:val="20"/>
                <w:szCs w:val="20"/>
                <w:color w:val="auto"/>
              </w:rPr>
              <w:t>Time</w:t>
            </w:r>
          </w:p>
        </w:tc>
        <w:tc>
          <w:tcPr>
            <w:tcW w:w="72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597,785</w:t>
            </w:r>
          </w:p>
        </w:tc>
        <w:tc>
          <w:tcPr>
            <w:tcW w:w="34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647,581</w:t>
            </w:r>
          </w:p>
        </w:tc>
      </w:tr>
      <w:tr>
        <w:trPr>
          <w:trHeight w:val="46"/>
        </w:trPr>
        <w:tc>
          <w:tcPr>
            <w:tcW w:w="6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62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20"/>
                <w:szCs w:val="20"/>
                <w:color w:val="auto"/>
              </w:rPr>
              <w:t>Total deposits</w:t>
            </w:r>
          </w:p>
        </w:tc>
        <w:tc>
          <w:tcPr>
            <w:tcW w:w="7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2,730,735</w:t>
            </w: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98"/>
              </w:rPr>
              <w:t>2,686,765</w:t>
            </w:r>
          </w:p>
        </w:tc>
      </w:tr>
      <w:tr>
        <w:trPr>
          <w:trHeight w:val="274"/>
        </w:trPr>
        <w:tc>
          <w:tcPr>
            <w:tcW w:w="6200" w:type="dxa"/>
            <w:vAlign w:val="bottom"/>
          </w:tcPr>
          <w:p>
            <w:pPr>
              <w:ind w:left="120"/>
              <w:spacing w:after="0"/>
              <w:rPr>
                <w:sz w:val="20"/>
                <w:szCs w:val="20"/>
                <w:color w:val="auto"/>
              </w:rPr>
            </w:pPr>
            <w:r>
              <w:rPr>
                <w:rFonts w:ascii="Arial" w:cs="Arial" w:eastAsia="Arial" w:hAnsi="Arial"/>
                <w:sz w:val="20"/>
                <w:szCs w:val="20"/>
                <w:color w:val="auto"/>
                <w:w w:val="89"/>
              </w:rPr>
              <w:t>Federal funds purchased and securities sold under agreement to repurchase</w:t>
            </w:r>
          </w:p>
        </w:tc>
        <w:tc>
          <w:tcPr>
            <w:tcW w:w="72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37,718</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27,218</w:t>
            </w:r>
          </w:p>
        </w:tc>
      </w:tr>
      <w:tr>
        <w:trPr>
          <w:trHeight w:val="41"/>
        </w:trPr>
        <w:tc>
          <w:tcPr>
            <w:tcW w:w="6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6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Federal Home Loan Bank (FHLB) advances</w:t>
            </w:r>
          </w:p>
        </w:tc>
        <w:tc>
          <w:tcPr>
            <w:tcW w:w="7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227,377</w:t>
            </w: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246,056</w:t>
            </w:r>
          </w:p>
        </w:tc>
      </w:tr>
      <w:tr>
        <w:trPr>
          <w:trHeight w:val="274"/>
        </w:trPr>
        <w:tc>
          <w:tcPr>
            <w:tcW w:w="6200" w:type="dxa"/>
            <w:vAlign w:val="bottom"/>
          </w:tcPr>
          <w:p>
            <w:pPr>
              <w:ind w:left="120"/>
              <w:spacing w:after="0"/>
              <w:rPr>
                <w:sz w:val="20"/>
                <w:szCs w:val="20"/>
                <w:color w:val="auto"/>
              </w:rPr>
            </w:pPr>
            <w:r>
              <w:rPr>
                <w:rFonts w:ascii="Arial" w:cs="Arial" w:eastAsia="Arial" w:hAnsi="Arial"/>
                <w:sz w:val="20"/>
                <w:szCs w:val="20"/>
                <w:color w:val="auto"/>
              </w:rPr>
              <w:t>Subordinated notes, net of unamortized issuance costs</w:t>
            </w:r>
          </w:p>
        </w:tc>
        <w:tc>
          <w:tcPr>
            <w:tcW w:w="72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34,933</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34,818</w:t>
            </w:r>
          </w:p>
        </w:tc>
      </w:tr>
      <w:tr>
        <w:trPr>
          <w:trHeight w:val="41"/>
        </w:trPr>
        <w:tc>
          <w:tcPr>
            <w:tcW w:w="6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6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Dividend payable</w:t>
            </w:r>
          </w:p>
        </w:tc>
        <w:tc>
          <w:tcPr>
            <w:tcW w:w="7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3,125</w:t>
            </w: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2,996</w:t>
            </w:r>
          </w:p>
        </w:tc>
      </w:tr>
      <w:tr>
        <w:trPr>
          <w:trHeight w:val="279"/>
        </w:trPr>
        <w:tc>
          <w:tcPr>
            <w:tcW w:w="6200" w:type="dxa"/>
            <w:vAlign w:val="bottom"/>
          </w:tcPr>
          <w:p>
            <w:pPr>
              <w:ind w:left="120"/>
              <w:spacing w:after="0"/>
              <w:rPr>
                <w:sz w:val="20"/>
                <w:szCs w:val="20"/>
                <w:color w:val="auto"/>
              </w:rPr>
            </w:pPr>
            <w:r>
              <w:rPr>
                <w:rFonts w:ascii="Arial" w:cs="Arial" w:eastAsia="Arial" w:hAnsi="Arial"/>
                <w:sz w:val="20"/>
                <w:szCs w:val="20"/>
                <w:color w:val="auto"/>
              </w:rPr>
              <w:t>Accrued expenses and other liabilities</w:t>
            </w:r>
          </w:p>
        </w:tc>
        <w:tc>
          <w:tcPr>
            <w:tcW w:w="72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29,632</w:t>
            </w:r>
          </w:p>
        </w:tc>
        <w:tc>
          <w:tcPr>
            <w:tcW w:w="34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31,659</w:t>
            </w:r>
          </w:p>
        </w:tc>
      </w:tr>
      <w:tr>
        <w:trPr>
          <w:trHeight w:val="46"/>
        </w:trPr>
        <w:tc>
          <w:tcPr>
            <w:tcW w:w="6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9"/>
        </w:trPr>
        <w:tc>
          <w:tcPr>
            <w:tcW w:w="62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Total liabilities</w:t>
            </w:r>
          </w:p>
        </w:tc>
        <w:tc>
          <w:tcPr>
            <w:tcW w:w="72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3,063,520</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w w:val="98"/>
              </w:rPr>
              <w:t>3,029,512</w:t>
            </w:r>
          </w:p>
        </w:tc>
      </w:tr>
      <w:tr>
        <w:trPr>
          <w:trHeight w:val="46"/>
        </w:trPr>
        <w:tc>
          <w:tcPr>
            <w:tcW w:w="620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5967730" cy="1993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-6254750</wp:posOffset>
            </wp:positionV>
            <wp:extent cx="159004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7">
                      <a:extLst>
                        <a:ext uri="{28A0092B-C50C-407E-A947-70E740481C1C}"/>
                      </a:extLst>
                    </a:blip>
                    <a:srcRect/>
                    <a:stretch>
                      <a:fillRect/>
                    </a:stretch>
                  </pic:blipFill>
                  <pic:spPr bwMode="auto">
                    <a:xfrm>
                      <a:off x="0" y="0"/>
                      <a:ext cx="1590040" cy="635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-5450205</wp:posOffset>
            </wp:positionV>
            <wp:extent cx="159004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8">
                      <a:extLst>
                        <a:ext uri="{28A0092B-C50C-407E-A947-70E740481C1C}"/>
                      </a:extLst>
                    </a:blip>
                    <a:srcRect/>
                    <a:stretch>
                      <a:fillRect/>
                    </a:stretch>
                  </pic:blipFill>
                  <pic:spPr bwMode="auto">
                    <a:xfrm>
                      <a:off x="0" y="0"/>
                      <a:ext cx="1590040" cy="635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-3247390</wp:posOffset>
            </wp:positionV>
            <wp:extent cx="1649095"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9">
                      <a:extLst>
                        <a:ext uri="{28A0092B-C50C-407E-A947-70E740481C1C}"/>
                      </a:extLst>
                    </a:blip>
                    <a:srcRect/>
                    <a:stretch>
                      <a:fillRect/>
                    </a:stretch>
                  </pic:blipFill>
                  <pic:spPr bwMode="auto">
                    <a:xfrm>
                      <a:off x="0" y="0"/>
                      <a:ext cx="1649095" cy="635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-3041650</wp:posOffset>
            </wp:positionV>
            <wp:extent cx="1590040" cy="285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0">
                      <a:extLst>
                        <a:ext uri="{28A0092B-C50C-407E-A947-70E740481C1C}"/>
                      </a:extLst>
                    </a:blip>
                    <a:srcRect/>
                    <a:stretch>
                      <a:fillRect/>
                    </a:stretch>
                  </pic:blipFill>
                  <pic:spPr bwMode="auto">
                    <a:xfrm>
                      <a:off x="0" y="0"/>
                      <a:ext cx="1590040" cy="2857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-1416050</wp:posOffset>
            </wp:positionV>
            <wp:extent cx="159004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1">
                      <a:extLst>
                        <a:ext uri="{28A0092B-C50C-407E-A947-70E740481C1C}"/>
                      </a:extLst>
                    </a:blip>
                    <a:srcRect/>
                    <a:stretch>
                      <a:fillRect/>
                    </a:stretch>
                  </pic:blipFill>
                  <pic:spPr bwMode="auto">
                    <a:xfrm>
                      <a:off x="0" y="0"/>
                      <a:ext cx="1590040" cy="635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-211455</wp:posOffset>
            </wp:positionV>
            <wp:extent cx="159004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2">
                      <a:extLst>
                        <a:ext uri="{28A0092B-C50C-407E-A947-70E740481C1C}"/>
                      </a:extLst>
                    </a:blip>
                    <a:srcRect/>
                    <a:stretch>
                      <a:fillRect/>
                    </a:stretch>
                  </pic:blipFill>
                  <pic:spPr bwMode="auto">
                    <a:xfrm>
                      <a:off x="0" y="0"/>
                      <a:ext cx="1590040" cy="635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-5715</wp:posOffset>
            </wp:positionV>
            <wp:extent cx="164909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3">
                      <a:extLst>
                        <a:ext uri="{28A0092B-C50C-407E-A947-70E740481C1C}"/>
                      </a:extLst>
                    </a:blip>
                    <a:srcRect/>
                    <a:stretch>
                      <a:fillRect/>
                    </a:stretch>
                  </pic:blipFill>
                  <pic:spPr bwMode="auto">
                    <a:xfrm>
                      <a:off x="0" y="0"/>
                      <a:ext cx="1649095" cy="635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5967730" cy="1993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4">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 Equity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30</w:t>
      </w:r>
    </w:p>
    <w:p>
      <w:pPr>
        <w:sectPr>
          <w:pgSz w:w="11900" w:h="16838" w:orient="portrait"/>
          <w:cols w:equalWidth="0" w:num="1">
            <w:col w:w="9400"/>
          </w:cols>
          <w:pgMar w:left="1260" w:top="1440" w:right="1246" w:bottom="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6420" w:type="dxa"/>
            <w:vAlign w:val="bottom"/>
          </w:tcPr>
          <w:p>
            <w:pPr>
              <w:ind w:left="120"/>
              <w:spacing w:after="0"/>
              <w:rPr>
                <w:sz w:val="20"/>
                <w:szCs w:val="20"/>
                <w:color w:val="auto"/>
              </w:rPr>
            </w:pPr>
            <w:r>
              <w:rPr>
                <w:rFonts w:ascii="Arial" w:cs="Arial" w:eastAsia="Arial" w:hAnsi="Arial"/>
                <w:sz w:val="20"/>
                <w:szCs w:val="20"/>
                <w:color w:val="auto"/>
                <w:w w:val="95"/>
              </w:rPr>
              <w:t>Common stock - No par value authorized 40,000,000 shares 12/31/25 and</w:t>
            </w:r>
          </w:p>
        </w:tc>
        <w:tc>
          <w:tcPr>
            <w:tcW w:w="16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00"/>
        </w:trPr>
        <w:tc>
          <w:tcPr>
            <w:tcW w:w="6420" w:type="dxa"/>
            <w:vAlign w:val="bottom"/>
          </w:tcPr>
          <w:p>
            <w:pPr>
              <w:ind w:left="260"/>
              <w:spacing w:after="0"/>
              <w:rPr>
                <w:sz w:val="20"/>
                <w:szCs w:val="20"/>
                <w:color w:val="auto"/>
              </w:rPr>
            </w:pPr>
            <w:r>
              <w:rPr>
                <w:rFonts w:ascii="Arial" w:cs="Arial" w:eastAsia="Arial" w:hAnsi="Arial"/>
                <w:sz w:val="20"/>
                <w:szCs w:val="20"/>
                <w:color w:val="auto"/>
              </w:rPr>
              <w:t>20,000,000 shares 12/31/24; issued 14,564,425 shares 12/31/25 and</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0"/>
        </w:trPr>
        <w:tc>
          <w:tcPr>
            <w:tcW w:w="6420" w:type="dxa"/>
            <w:vAlign w:val="bottom"/>
          </w:tcPr>
          <w:p>
            <w:pPr>
              <w:ind w:left="260"/>
              <w:spacing w:after="0"/>
              <w:rPr>
                <w:sz w:val="20"/>
                <w:szCs w:val="20"/>
                <w:color w:val="auto"/>
              </w:rPr>
            </w:pPr>
            <w:r>
              <w:rPr>
                <w:rFonts w:ascii="Arial" w:cs="Arial" w:eastAsia="Arial" w:hAnsi="Arial"/>
                <w:sz w:val="20"/>
                <w:szCs w:val="20"/>
                <w:color w:val="auto"/>
              </w:rPr>
              <w:t>12/31/24; outstanding 13,748,074 shares 12/31/25 and 13,699,536</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0"/>
        </w:trPr>
        <w:tc>
          <w:tcPr>
            <w:tcW w:w="6420" w:type="dxa"/>
            <w:vAlign w:val="bottom"/>
          </w:tcPr>
          <w:p>
            <w:pPr>
              <w:ind w:left="260"/>
              <w:spacing w:after="0"/>
              <w:rPr>
                <w:sz w:val="20"/>
                <w:szCs w:val="20"/>
                <w:color w:val="auto"/>
              </w:rPr>
            </w:pPr>
            <w:r>
              <w:rPr>
                <w:rFonts w:ascii="Arial" w:cs="Arial" w:eastAsia="Arial" w:hAnsi="Arial"/>
                <w:sz w:val="20"/>
                <w:szCs w:val="20"/>
                <w:color w:val="auto"/>
              </w:rPr>
              <w:t>shares 12/31/24</w:t>
            </w:r>
          </w:p>
        </w:tc>
        <w:tc>
          <w:tcPr>
            <w:tcW w:w="1660" w:type="dxa"/>
            <w:vAlign w:val="bottom"/>
          </w:tcPr>
          <w:p>
            <w:pPr>
              <w:jc w:val="right"/>
              <w:ind w:right="80"/>
              <w:spacing w:after="0"/>
              <w:rPr>
                <w:sz w:val="20"/>
                <w:szCs w:val="20"/>
                <w:color w:val="auto"/>
              </w:rPr>
            </w:pPr>
            <w:r>
              <w:rPr>
                <w:rFonts w:ascii="Arial" w:cs="Arial" w:eastAsia="Arial" w:hAnsi="Arial"/>
                <w:sz w:val="20"/>
                <w:szCs w:val="20"/>
                <w:color w:val="auto"/>
              </w:rPr>
              <w:t>135,531</w:t>
            </w:r>
          </w:p>
        </w:tc>
        <w:tc>
          <w:tcPr>
            <w:tcW w:w="1320" w:type="dxa"/>
            <w:vAlign w:val="bottom"/>
          </w:tcPr>
          <w:p>
            <w:pPr>
              <w:jc w:val="right"/>
              <w:ind w:right="20"/>
              <w:spacing w:after="0"/>
              <w:rPr>
                <w:sz w:val="20"/>
                <w:szCs w:val="20"/>
                <w:color w:val="auto"/>
              </w:rPr>
            </w:pPr>
            <w:r>
              <w:rPr>
                <w:rFonts w:ascii="Arial" w:cs="Arial" w:eastAsia="Arial" w:hAnsi="Arial"/>
                <w:sz w:val="20"/>
                <w:szCs w:val="20"/>
                <w:color w:val="auto"/>
              </w:rPr>
              <w:t>135,565</w:t>
            </w:r>
          </w:p>
        </w:tc>
      </w:tr>
      <w:tr>
        <w:trPr>
          <w:trHeight w:val="41"/>
        </w:trPr>
        <w:tc>
          <w:tcPr>
            <w:tcW w:w="6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4"/>
        </w:trPr>
        <w:tc>
          <w:tcPr>
            <w:tcW w:w="64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w w:val="98"/>
              </w:rPr>
              <w:t>Treasury stock - 816,351 shares 12/31/25 and 864,889 shares 12/31/24</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(10,636)</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(10,985)</w:t>
            </w:r>
          </w:p>
        </w:tc>
      </w:tr>
      <w:tr>
        <w:trPr>
          <w:trHeight w:val="274"/>
        </w:trPr>
        <w:tc>
          <w:tcPr>
            <w:tcW w:w="6420" w:type="dxa"/>
            <w:vAlign w:val="bottom"/>
          </w:tcPr>
          <w:p>
            <w:pPr>
              <w:ind w:left="120"/>
              <w:spacing w:after="0"/>
              <w:rPr>
                <w:sz w:val="20"/>
                <w:szCs w:val="20"/>
                <w:color w:val="auto"/>
              </w:rPr>
            </w:pPr>
            <w:r>
              <w:rPr>
                <w:rFonts w:ascii="Arial" w:cs="Arial" w:eastAsia="Arial" w:hAnsi="Arial"/>
                <w:sz w:val="20"/>
                <w:szCs w:val="20"/>
                <w:color w:val="auto"/>
              </w:rPr>
              <w:t>Retained earnings</w:t>
            </w:r>
          </w:p>
        </w:tc>
        <w:tc>
          <w:tcPr>
            <w:tcW w:w="1660" w:type="dxa"/>
            <w:vAlign w:val="bottom"/>
          </w:tcPr>
          <w:p>
            <w:pPr>
              <w:jc w:val="right"/>
              <w:ind w:right="80"/>
              <w:spacing w:after="0"/>
              <w:rPr>
                <w:sz w:val="20"/>
                <w:szCs w:val="20"/>
                <w:color w:val="auto"/>
              </w:rPr>
            </w:pPr>
            <w:r>
              <w:rPr>
                <w:rFonts w:ascii="Arial" w:cs="Arial" w:eastAsia="Arial" w:hAnsi="Arial"/>
                <w:sz w:val="20"/>
                <w:szCs w:val="20"/>
                <w:color w:val="auto"/>
              </w:rPr>
              <w:t>257,855</w:t>
            </w:r>
          </w:p>
        </w:tc>
        <w:tc>
          <w:tcPr>
            <w:tcW w:w="1320" w:type="dxa"/>
            <w:vAlign w:val="bottom"/>
          </w:tcPr>
          <w:p>
            <w:pPr>
              <w:jc w:val="right"/>
              <w:ind w:right="20"/>
              <w:spacing w:after="0"/>
              <w:rPr>
                <w:sz w:val="20"/>
                <w:szCs w:val="20"/>
                <w:color w:val="auto"/>
              </w:rPr>
            </w:pPr>
            <w:r>
              <w:rPr>
                <w:rFonts w:ascii="Arial" w:cs="Arial" w:eastAsia="Arial" w:hAnsi="Arial"/>
                <w:sz w:val="20"/>
                <w:szCs w:val="20"/>
                <w:color w:val="auto"/>
              </w:rPr>
              <w:t>235,854</w:t>
            </w:r>
          </w:p>
        </w:tc>
      </w:tr>
      <w:tr>
        <w:trPr>
          <w:trHeight w:val="41"/>
        </w:trPr>
        <w:tc>
          <w:tcPr>
            <w:tcW w:w="6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304"/>
        </w:trPr>
        <w:tc>
          <w:tcPr>
            <w:tcW w:w="64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Accumulated other comprehensive loss</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(11,888)</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(25,223)</w:t>
            </w:r>
          </w:p>
        </w:tc>
      </w:tr>
      <w:tr>
        <w:trPr>
          <w:trHeight w:val="279"/>
        </w:trPr>
        <w:tc>
          <w:tcPr>
            <w:tcW w:w="6420" w:type="dxa"/>
            <w:vAlign w:val="bottom"/>
          </w:tcPr>
          <w:p>
            <w:pPr>
              <w:ind w:left="480"/>
              <w:spacing w:after="0"/>
              <w:rPr>
                <w:sz w:val="20"/>
                <w:szCs w:val="20"/>
                <w:color w:val="auto"/>
              </w:rPr>
            </w:pPr>
            <w:r>
              <w:rPr>
                <w:rFonts w:ascii="Arial" w:cs="Arial" w:eastAsia="Arial" w:hAnsi="Arial"/>
                <w:sz w:val="20"/>
                <w:szCs w:val="20"/>
                <w:color w:val="auto"/>
              </w:rPr>
              <w:t>Total stockholders' equity</w:t>
            </w:r>
          </w:p>
        </w:tc>
        <w:tc>
          <w:tcPr>
            <w:tcW w:w="1660" w:type="dxa"/>
            <w:vAlign w:val="bottom"/>
          </w:tcPr>
          <w:p>
            <w:pPr>
              <w:jc w:val="right"/>
              <w:ind w:right="80"/>
              <w:spacing w:after="0"/>
              <w:rPr>
                <w:sz w:val="20"/>
                <w:szCs w:val="20"/>
                <w:color w:val="auto"/>
              </w:rPr>
            </w:pPr>
            <w:r>
              <w:rPr>
                <w:rFonts w:ascii="Arial" w:cs="Arial" w:eastAsia="Arial" w:hAnsi="Arial"/>
                <w:sz w:val="20"/>
                <w:szCs w:val="20"/>
                <w:color w:val="auto"/>
              </w:rPr>
              <w:t>370,862</w:t>
            </w:r>
          </w:p>
        </w:tc>
        <w:tc>
          <w:tcPr>
            <w:tcW w:w="1320" w:type="dxa"/>
            <w:vAlign w:val="bottom"/>
          </w:tcPr>
          <w:p>
            <w:pPr>
              <w:jc w:val="right"/>
              <w:ind w:right="20"/>
              <w:spacing w:after="0"/>
              <w:rPr>
                <w:sz w:val="20"/>
                <w:szCs w:val="20"/>
                <w:color w:val="auto"/>
              </w:rPr>
            </w:pPr>
            <w:r>
              <w:rPr>
                <w:rFonts w:ascii="Arial" w:cs="Arial" w:eastAsia="Arial" w:hAnsi="Arial"/>
                <w:sz w:val="20"/>
                <w:szCs w:val="20"/>
                <w:color w:val="auto"/>
              </w:rPr>
              <w:t>335,211</w:t>
            </w:r>
          </w:p>
        </w:tc>
      </w:tr>
      <w:tr>
        <w:trPr>
          <w:trHeight w:val="46"/>
        </w:trPr>
        <w:tc>
          <w:tcPr>
            <w:tcW w:w="6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6"/>
        </w:trPr>
        <w:tc>
          <w:tcPr>
            <w:tcW w:w="64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Liabilities and Stockholders' Equity</w:t>
            </w:r>
          </w:p>
        </w:tc>
        <w:tc>
          <w:tcPr>
            <w:tcW w:w="166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  3,434,382</w:t>
            </w:r>
          </w:p>
        </w:tc>
        <w:tc>
          <w:tcPr>
            <w:tcW w:w="13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  3,364,723</w:t>
            </w:r>
          </w:p>
        </w:tc>
      </w:tr>
      <w:tr>
        <w:trPr>
          <w:trHeight w:val="63"/>
        </w:trPr>
        <w:tc>
          <w:tcPr>
            <w:tcW w:w="6420" w:type="dxa"/>
            <w:vAlign w:val="bottom"/>
            <w:shd w:val="clear" w:color="auto" w:fill="CFF0FC"/>
          </w:tcPr>
          <w:p>
            <w:pPr>
              <w:spacing w:after="0"/>
              <w:rPr>
                <w:sz w:val="5"/>
                <w:szCs w:val="5"/>
                <w:color w:val="auto"/>
              </w:rPr>
            </w:pPr>
          </w:p>
        </w:tc>
        <w:tc>
          <w:tcPr>
            <w:tcW w:w="1660" w:type="dxa"/>
            <w:vAlign w:val="bottom"/>
            <w:shd w:val="clear" w:color="auto" w:fill="CFF0FC"/>
          </w:tcPr>
          <w:p>
            <w:pPr>
              <w:spacing w:after="0"/>
              <w:rPr>
                <w:sz w:val="5"/>
                <w:szCs w:val="5"/>
                <w:color w:val="auto"/>
              </w:rPr>
            </w:pPr>
          </w:p>
        </w:tc>
        <w:tc>
          <w:tcPr>
            <w:tcW w:w="1320" w:type="dxa"/>
            <w:vAlign w:val="bottom"/>
            <w:shd w:val="clear" w:color="auto" w:fill="CFF0FC"/>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4314190</wp:posOffset>
            </wp:positionH>
            <wp:positionV relativeFrom="paragraph">
              <wp:posOffset>-440055</wp:posOffset>
            </wp:positionV>
            <wp:extent cx="164909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5">
                      <a:extLst>
                        <a:ext uri="{28A0092B-C50C-407E-A947-70E740481C1C}"/>
                      </a:extLst>
                    </a:blip>
                    <a:srcRect/>
                    <a:stretch>
                      <a:fillRect/>
                    </a:stretch>
                  </pic:blipFill>
                  <pic:spPr bwMode="auto">
                    <a:xfrm>
                      <a:off x="0" y="0"/>
                      <a:ext cx="1649095" cy="635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-233680</wp:posOffset>
            </wp:positionV>
            <wp:extent cx="159004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6">
                      <a:extLst>
                        <a:ext uri="{28A0092B-C50C-407E-A947-70E740481C1C}"/>
                      </a:extLst>
                    </a:blip>
                    <a:srcRect/>
                    <a:stretch>
                      <a:fillRect/>
                    </a:stretch>
                  </pic:blipFill>
                  <pic:spPr bwMode="auto">
                    <a:xfrm>
                      <a:off x="0" y="0"/>
                      <a:ext cx="1590040" cy="635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-27940</wp:posOffset>
            </wp:positionV>
            <wp:extent cx="1649095" cy="285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7">
                      <a:extLst>
                        <a:ext uri="{28A0092B-C50C-407E-A947-70E740481C1C}"/>
                      </a:extLst>
                    </a:blip>
                    <a:srcRect/>
                    <a:stretch>
                      <a:fillRect/>
                    </a:stretch>
                  </pic:blipFill>
                  <pic:spPr bwMode="auto">
                    <a:xfrm>
                      <a:off x="0" y="0"/>
                      <a:ext cx="1649095" cy="2857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Consolidated Financial Statements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30</w:t>
      </w:r>
    </w:p>
    <w:p>
      <w:pPr>
        <w:sectPr>
          <w:pgSz w:w="11900" w:h="16838" w:orient="portrait"/>
          <w:cols w:equalWidth="0" w:num="1">
            <w:col w:w="9400"/>
          </w:cols>
          <w:pgMar w:left="1260" w:top="1177" w:right="1246" w:bottom="0" w:gutter="0" w:footer="0" w:header="0"/>
          <w:type w:val="continuous"/>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20"/>
                <w:szCs w:val="20"/>
                <w:b w:val="1"/>
                <w:bCs w:val="1"/>
                <w:color w:val="auto"/>
              </w:rPr>
              <w:t>Farmers &amp; Merchants Bancorp, Inc. and Subsidiaries</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00"/>
        </w:trPr>
        <w:tc>
          <w:tcPr>
            <w:tcW w:w="5260" w:type="dxa"/>
            <w:vAlign w:val="bottom"/>
          </w:tcPr>
          <w:p>
            <w:pPr>
              <w:spacing w:after="0"/>
              <w:rPr>
                <w:sz w:val="24"/>
                <w:szCs w:val="24"/>
                <w:color w:val="auto"/>
              </w:rPr>
            </w:pPr>
          </w:p>
        </w:tc>
        <w:tc>
          <w:tcPr>
            <w:tcW w:w="4140" w:type="dxa"/>
            <w:vAlign w:val="bottom"/>
            <w:gridSpan w:val="4"/>
          </w:tcPr>
          <w:p>
            <w:pPr>
              <w:jc w:val="right"/>
              <w:spacing w:after="0"/>
              <w:rPr>
                <w:sz w:val="20"/>
                <w:szCs w:val="20"/>
                <w:color w:val="auto"/>
              </w:rPr>
            </w:pPr>
            <w:r>
              <w:rPr>
                <w:rFonts w:ascii="Arial" w:cs="Arial" w:eastAsia="Arial" w:hAnsi="Arial"/>
                <w:sz w:val="20"/>
                <w:szCs w:val="20"/>
                <w:b w:val="1"/>
                <w:bCs w:val="1"/>
                <w:color w:val="auto"/>
              </w:rPr>
              <w:t>Consolidated Statements of Income</w:t>
            </w:r>
          </w:p>
        </w:tc>
      </w:tr>
      <w:tr>
        <w:trPr>
          <w:trHeight w:val="300"/>
        </w:trPr>
        <w:tc>
          <w:tcPr>
            <w:tcW w:w="5260" w:type="dxa"/>
            <w:vAlign w:val="bottom"/>
          </w:tcPr>
          <w:p>
            <w:pPr>
              <w:spacing w:after="0"/>
              <w:rPr>
                <w:sz w:val="24"/>
                <w:szCs w:val="24"/>
                <w:color w:val="auto"/>
              </w:rPr>
            </w:pPr>
          </w:p>
        </w:tc>
        <w:tc>
          <w:tcPr>
            <w:tcW w:w="4140" w:type="dxa"/>
            <w:vAlign w:val="bottom"/>
            <w:gridSpan w:val="4"/>
          </w:tcPr>
          <w:p>
            <w:pPr>
              <w:jc w:val="right"/>
              <w:spacing w:after="0"/>
              <w:rPr>
                <w:sz w:val="20"/>
                <w:szCs w:val="20"/>
                <w:color w:val="auto"/>
              </w:rPr>
            </w:pPr>
            <w:r>
              <w:rPr>
                <w:rFonts w:ascii="Arial" w:cs="Arial" w:eastAsia="Arial" w:hAnsi="Arial"/>
                <w:sz w:val="20"/>
                <w:szCs w:val="20"/>
                <w:b w:val="1"/>
                <w:bCs w:val="1"/>
                <w:color w:val="auto"/>
                <w:w w:val="90"/>
              </w:rPr>
              <w:t>Years Ended December 31, 2025, 2024 and 2023</w:t>
            </w:r>
          </w:p>
        </w:tc>
      </w:tr>
      <w:tr>
        <w:trPr>
          <w:trHeight w:val="300"/>
        </w:trPr>
        <w:tc>
          <w:tcPr>
            <w:tcW w:w="5260" w:type="dxa"/>
            <w:vAlign w:val="bottom"/>
          </w:tcPr>
          <w:p>
            <w:pPr>
              <w:spacing w:after="0"/>
              <w:rPr>
                <w:sz w:val="24"/>
                <w:szCs w:val="24"/>
                <w:color w:val="auto"/>
              </w:rPr>
            </w:pPr>
          </w:p>
        </w:tc>
        <w:tc>
          <w:tcPr>
            <w:tcW w:w="4140" w:type="dxa"/>
            <w:vAlign w:val="bottom"/>
            <w:gridSpan w:val="4"/>
          </w:tcPr>
          <w:p>
            <w:pPr>
              <w:jc w:val="right"/>
              <w:spacing w:after="0"/>
              <w:rPr>
                <w:sz w:val="20"/>
                <w:szCs w:val="20"/>
                <w:color w:val="auto"/>
              </w:rPr>
            </w:pPr>
            <w:r>
              <w:rPr>
                <w:rFonts w:ascii="Arial" w:cs="Arial" w:eastAsia="Arial" w:hAnsi="Arial"/>
                <w:sz w:val="20"/>
                <w:szCs w:val="20"/>
                <w:b w:val="1"/>
                <w:bCs w:val="1"/>
                <w:color w:val="auto"/>
              </w:rPr>
              <w:t>(000’s Omitted, Except Per Share Data)</w:t>
            </w:r>
          </w:p>
        </w:tc>
      </w:tr>
      <w:tr>
        <w:trPr>
          <w:trHeight w:val="630"/>
        </w:trPr>
        <w:tc>
          <w:tcPr>
            <w:tcW w:w="5260" w:type="dxa"/>
            <w:vAlign w:val="bottom"/>
          </w:tcPr>
          <w:p>
            <w:pPr>
              <w:spacing w:after="0"/>
              <w:rPr>
                <w:sz w:val="24"/>
                <w:szCs w:val="24"/>
                <w:color w:val="auto"/>
              </w:rPr>
            </w:pPr>
          </w:p>
        </w:tc>
        <w:tc>
          <w:tcPr>
            <w:tcW w:w="1800" w:type="dxa"/>
            <w:vAlign w:val="bottom"/>
          </w:tcPr>
          <w:p>
            <w:pPr>
              <w:jc w:val="right"/>
              <w:ind w:right="340"/>
              <w:spacing w:after="0"/>
              <w:rPr>
                <w:sz w:val="20"/>
                <w:szCs w:val="20"/>
                <w:color w:val="auto"/>
              </w:rPr>
            </w:pPr>
            <w:r>
              <w:rPr>
                <w:rFonts w:ascii="Arial" w:cs="Arial" w:eastAsia="Arial" w:hAnsi="Arial"/>
                <w:sz w:val="20"/>
                <w:szCs w:val="20"/>
                <w:color w:val="auto"/>
              </w:rPr>
              <w:t>2025</w:t>
            </w:r>
          </w:p>
        </w:tc>
        <w:tc>
          <w:tcPr>
            <w:tcW w:w="280" w:type="dxa"/>
            <w:vAlign w:val="bottom"/>
          </w:tcPr>
          <w:p>
            <w:pPr>
              <w:spacing w:after="0"/>
              <w:rPr>
                <w:sz w:val="24"/>
                <w:szCs w:val="24"/>
                <w:color w:val="auto"/>
              </w:rPr>
            </w:pPr>
          </w:p>
        </w:tc>
        <w:tc>
          <w:tcPr>
            <w:tcW w:w="920" w:type="dxa"/>
            <w:vAlign w:val="bottom"/>
          </w:tcPr>
          <w:p>
            <w:pPr>
              <w:jc w:val="right"/>
              <w:ind w:right="340"/>
              <w:spacing w:after="0"/>
              <w:rPr>
                <w:sz w:val="20"/>
                <w:szCs w:val="20"/>
                <w:color w:val="auto"/>
              </w:rPr>
            </w:pPr>
            <w:r>
              <w:rPr>
                <w:rFonts w:ascii="Arial" w:cs="Arial" w:eastAsia="Arial" w:hAnsi="Arial"/>
                <w:sz w:val="20"/>
                <w:szCs w:val="20"/>
                <w:color w:val="auto"/>
              </w:rPr>
              <w:t>2024</w:t>
            </w:r>
          </w:p>
        </w:tc>
        <w:tc>
          <w:tcPr>
            <w:tcW w:w="1140" w:type="dxa"/>
            <w:vAlign w:val="bottom"/>
          </w:tcPr>
          <w:p>
            <w:pPr>
              <w:jc w:val="right"/>
              <w:ind w:right="280"/>
              <w:spacing w:after="0"/>
              <w:rPr>
                <w:sz w:val="20"/>
                <w:szCs w:val="20"/>
                <w:color w:val="auto"/>
              </w:rPr>
            </w:pPr>
            <w:r>
              <w:rPr>
                <w:rFonts w:ascii="Arial" w:cs="Arial" w:eastAsia="Arial" w:hAnsi="Arial"/>
                <w:sz w:val="20"/>
                <w:szCs w:val="20"/>
                <w:color w:val="auto"/>
              </w:rPr>
              <w:t>2023</w:t>
            </w:r>
          </w:p>
        </w:tc>
      </w:tr>
      <w:tr>
        <w:trPr>
          <w:trHeight w:val="51"/>
        </w:trPr>
        <w:tc>
          <w:tcPr>
            <w:tcW w:w="52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8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Interest Income</w:t>
            </w:r>
          </w:p>
        </w:tc>
        <w:tc>
          <w:tcPr>
            <w:tcW w:w="18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r>
      <w:tr>
        <w:trPr>
          <w:trHeight w:val="259"/>
        </w:trPr>
        <w:tc>
          <w:tcPr>
            <w:tcW w:w="5260" w:type="dxa"/>
            <w:vAlign w:val="bottom"/>
          </w:tcPr>
          <w:p>
            <w:pPr>
              <w:ind w:left="200"/>
              <w:spacing w:after="0"/>
              <w:rPr>
                <w:sz w:val="20"/>
                <w:szCs w:val="20"/>
                <w:color w:val="auto"/>
              </w:rPr>
            </w:pPr>
            <w:r>
              <w:rPr>
                <w:rFonts w:ascii="Arial" w:cs="Arial" w:eastAsia="Arial" w:hAnsi="Arial"/>
                <w:sz w:val="20"/>
                <w:szCs w:val="20"/>
                <w:color w:val="auto"/>
              </w:rPr>
              <w:t>Loans, including fees</w:t>
            </w:r>
          </w:p>
        </w:tc>
        <w:tc>
          <w:tcPr>
            <w:tcW w:w="1800" w:type="dxa"/>
            <w:vAlign w:val="bottom"/>
          </w:tcPr>
          <w:p>
            <w:pPr>
              <w:jc w:val="right"/>
              <w:ind w:right="60"/>
              <w:spacing w:after="0"/>
              <w:rPr>
                <w:sz w:val="20"/>
                <w:szCs w:val="20"/>
                <w:color w:val="auto"/>
              </w:rPr>
            </w:pPr>
            <w:r>
              <w:rPr>
                <w:rFonts w:ascii="Arial" w:cs="Arial" w:eastAsia="Arial" w:hAnsi="Arial"/>
                <w:sz w:val="20"/>
                <w:szCs w:val="20"/>
                <w:color w:val="auto"/>
              </w:rPr>
              <w:t>$  158,614</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60"/>
              <w:spacing w:after="0"/>
              <w:rPr>
                <w:sz w:val="20"/>
                <w:szCs w:val="20"/>
                <w:color w:val="auto"/>
              </w:rPr>
            </w:pPr>
            <w:r>
              <w:rPr>
                <w:rFonts w:ascii="Arial" w:cs="Arial" w:eastAsia="Arial" w:hAnsi="Arial"/>
                <w:sz w:val="20"/>
                <w:szCs w:val="20"/>
                <w:color w:val="auto"/>
              </w:rPr>
              <w:t>145,329</w:t>
            </w:r>
          </w:p>
        </w:tc>
        <w:tc>
          <w:tcPr>
            <w:tcW w:w="1140" w:type="dxa"/>
            <w:vAlign w:val="bottom"/>
          </w:tcPr>
          <w:p>
            <w:pPr>
              <w:jc w:val="right"/>
              <w:spacing w:after="0"/>
              <w:rPr>
                <w:sz w:val="20"/>
                <w:szCs w:val="20"/>
                <w:color w:val="auto"/>
              </w:rPr>
            </w:pPr>
            <w:r>
              <w:rPr>
                <w:rFonts w:ascii="Arial" w:cs="Arial" w:eastAsia="Arial" w:hAnsi="Arial"/>
                <w:sz w:val="20"/>
                <w:szCs w:val="20"/>
                <w:color w:val="auto"/>
              </w:rPr>
              <w:t>$  129,344</w:t>
            </w:r>
          </w:p>
        </w:tc>
      </w:tr>
      <w:tr>
        <w:trPr>
          <w:trHeight w:val="41"/>
        </w:trPr>
        <w:tc>
          <w:tcPr>
            <w:tcW w:w="5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5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Debt securities:</w:t>
            </w:r>
          </w:p>
        </w:tc>
        <w:tc>
          <w:tcPr>
            <w:tcW w:w="18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r>
      <w:tr>
        <w:trPr>
          <w:trHeight w:val="259"/>
        </w:trPr>
        <w:tc>
          <w:tcPr>
            <w:tcW w:w="5260" w:type="dxa"/>
            <w:vAlign w:val="bottom"/>
          </w:tcPr>
          <w:p>
            <w:pPr>
              <w:ind w:left="320"/>
              <w:spacing w:after="0"/>
              <w:rPr>
                <w:sz w:val="20"/>
                <w:szCs w:val="20"/>
                <w:color w:val="auto"/>
              </w:rPr>
            </w:pPr>
            <w:r>
              <w:rPr>
                <w:rFonts w:ascii="Arial" w:cs="Arial" w:eastAsia="Arial" w:hAnsi="Arial"/>
                <w:sz w:val="20"/>
                <w:szCs w:val="20"/>
                <w:color w:val="auto"/>
              </w:rPr>
              <w:t>U.S. Treasury and government agencies</w:t>
            </w:r>
          </w:p>
        </w:tc>
        <w:tc>
          <w:tcPr>
            <w:tcW w:w="1800" w:type="dxa"/>
            <w:vAlign w:val="bottom"/>
          </w:tcPr>
          <w:p>
            <w:pPr>
              <w:jc w:val="right"/>
              <w:ind w:right="60"/>
              <w:spacing w:after="0"/>
              <w:rPr>
                <w:sz w:val="20"/>
                <w:szCs w:val="20"/>
                <w:color w:val="auto"/>
              </w:rPr>
            </w:pPr>
            <w:r>
              <w:rPr>
                <w:rFonts w:ascii="Arial" w:cs="Arial" w:eastAsia="Arial" w:hAnsi="Arial"/>
                <w:sz w:val="20"/>
                <w:szCs w:val="20"/>
                <w:color w:val="auto"/>
              </w:rPr>
              <w:t>8,811</w:t>
            </w:r>
          </w:p>
        </w:tc>
        <w:tc>
          <w:tcPr>
            <w:tcW w:w="280" w:type="dxa"/>
            <w:vAlign w:val="bottom"/>
          </w:tcPr>
          <w:p>
            <w:pPr>
              <w:spacing w:after="0"/>
              <w:rPr>
                <w:sz w:val="22"/>
                <w:szCs w:val="22"/>
                <w:color w:val="auto"/>
              </w:rPr>
            </w:pPr>
          </w:p>
        </w:tc>
        <w:tc>
          <w:tcPr>
            <w:tcW w:w="920" w:type="dxa"/>
            <w:vAlign w:val="bottom"/>
          </w:tcPr>
          <w:p>
            <w:pPr>
              <w:jc w:val="right"/>
              <w:ind w:right="60"/>
              <w:spacing w:after="0"/>
              <w:rPr>
                <w:sz w:val="20"/>
                <w:szCs w:val="20"/>
                <w:color w:val="auto"/>
              </w:rPr>
            </w:pPr>
            <w:r>
              <w:rPr>
                <w:rFonts w:ascii="Arial" w:cs="Arial" w:eastAsia="Arial" w:hAnsi="Arial"/>
                <w:sz w:val="20"/>
                <w:szCs w:val="20"/>
                <w:color w:val="auto"/>
              </w:rPr>
              <w:t>5,542</w:t>
            </w:r>
          </w:p>
        </w:tc>
        <w:tc>
          <w:tcPr>
            <w:tcW w:w="1140" w:type="dxa"/>
            <w:vAlign w:val="bottom"/>
          </w:tcPr>
          <w:p>
            <w:pPr>
              <w:jc w:val="right"/>
              <w:spacing w:after="0"/>
              <w:rPr>
                <w:sz w:val="20"/>
                <w:szCs w:val="20"/>
                <w:color w:val="auto"/>
              </w:rPr>
            </w:pPr>
            <w:r>
              <w:rPr>
                <w:rFonts w:ascii="Arial" w:cs="Arial" w:eastAsia="Arial" w:hAnsi="Arial"/>
                <w:sz w:val="20"/>
                <w:szCs w:val="20"/>
                <w:color w:val="auto"/>
              </w:rPr>
              <w:t>4,090</w:t>
            </w:r>
          </w:p>
        </w:tc>
      </w:tr>
      <w:tr>
        <w:trPr>
          <w:trHeight w:val="41"/>
        </w:trPr>
        <w:tc>
          <w:tcPr>
            <w:tcW w:w="5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526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20"/>
                <w:szCs w:val="20"/>
                <w:color w:val="auto"/>
              </w:rPr>
              <w:t>Municipalities</w:t>
            </w:r>
          </w:p>
        </w:tc>
        <w:tc>
          <w:tcPr>
            <w:tcW w:w="18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1,479</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1,554</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1,598</w:t>
            </w:r>
          </w:p>
        </w:tc>
      </w:tr>
      <w:tr>
        <w:trPr>
          <w:trHeight w:val="259"/>
        </w:trPr>
        <w:tc>
          <w:tcPr>
            <w:tcW w:w="5260" w:type="dxa"/>
            <w:vAlign w:val="bottom"/>
          </w:tcPr>
          <w:p>
            <w:pPr>
              <w:ind w:left="200"/>
              <w:spacing w:after="0"/>
              <w:rPr>
                <w:sz w:val="20"/>
                <w:szCs w:val="20"/>
                <w:color w:val="auto"/>
              </w:rPr>
            </w:pPr>
            <w:r>
              <w:rPr>
                <w:rFonts w:ascii="Arial" w:cs="Arial" w:eastAsia="Arial" w:hAnsi="Arial"/>
                <w:sz w:val="20"/>
                <w:szCs w:val="20"/>
                <w:color w:val="auto"/>
              </w:rPr>
              <w:t>Dividends</w:t>
            </w:r>
          </w:p>
        </w:tc>
        <w:tc>
          <w:tcPr>
            <w:tcW w:w="1800" w:type="dxa"/>
            <w:vAlign w:val="bottom"/>
          </w:tcPr>
          <w:p>
            <w:pPr>
              <w:jc w:val="right"/>
              <w:ind w:right="60"/>
              <w:spacing w:after="0"/>
              <w:rPr>
                <w:sz w:val="20"/>
                <w:szCs w:val="20"/>
                <w:color w:val="auto"/>
              </w:rPr>
            </w:pPr>
            <w:r>
              <w:rPr>
                <w:rFonts w:ascii="Arial" w:cs="Arial" w:eastAsia="Arial" w:hAnsi="Arial"/>
                <w:sz w:val="20"/>
                <w:szCs w:val="20"/>
                <w:color w:val="auto"/>
              </w:rPr>
              <w:t>1,208</w:t>
            </w:r>
          </w:p>
        </w:tc>
        <w:tc>
          <w:tcPr>
            <w:tcW w:w="280" w:type="dxa"/>
            <w:vAlign w:val="bottom"/>
          </w:tcPr>
          <w:p>
            <w:pPr>
              <w:spacing w:after="0"/>
              <w:rPr>
                <w:sz w:val="22"/>
                <w:szCs w:val="22"/>
                <w:color w:val="auto"/>
              </w:rPr>
            </w:pPr>
          </w:p>
        </w:tc>
        <w:tc>
          <w:tcPr>
            <w:tcW w:w="920" w:type="dxa"/>
            <w:vAlign w:val="bottom"/>
          </w:tcPr>
          <w:p>
            <w:pPr>
              <w:jc w:val="right"/>
              <w:ind w:right="60"/>
              <w:spacing w:after="0"/>
              <w:rPr>
                <w:sz w:val="20"/>
                <w:szCs w:val="20"/>
                <w:color w:val="auto"/>
              </w:rPr>
            </w:pPr>
            <w:r>
              <w:rPr>
                <w:rFonts w:ascii="Arial" w:cs="Arial" w:eastAsia="Arial" w:hAnsi="Arial"/>
                <w:sz w:val="20"/>
                <w:szCs w:val="20"/>
                <w:color w:val="auto"/>
              </w:rPr>
              <w:t>1,361</w:t>
            </w:r>
          </w:p>
        </w:tc>
        <w:tc>
          <w:tcPr>
            <w:tcW w:w="1140" w:type="dxa"/>
            <w:vAlign w:val="bottom"/>
          </w:tcPr>
          <w:p>
            <w:pPr>
              <w:jc w:val="right"/>
              <w:spacing w:after="0"/>
              <w:rPr>
                <w:sz w:val="20"/>
                <w:szCs w:val="20"/>
                <w:color w:val="auto"/>
              </w:rPr>
            </w:pPr>
            <w:r>
              <w:rPr>
                <w:rFonts w:ascii="Arial" w:cs="Arial" w:eastAsia="Arial" w:hAnsi="Arial"/>
                <w:sz w:val="20"/>
                <w:szCs w:val="20"/>
                <w:color w:val="auto"/>
              </w:rPr>
              <w:t>882</w:t>
            </w:r>
          </w:p>
        </w:tc>
      </w:tr>
      <w:tr>
        <w:trPr>
          <w:trHeight w:val="41"/>
        </w:trPr>
        <w:tc>
          <w:tcPr>
            <w:tcW w:w="5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5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Federal funds sold</w:t>
            </w:r>
          </w:p>
        </w:tc>
        <w:tc>
          <w:tcPr>
            <w:tcW w:w="18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45</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44</w:t>
            </w:r>
          </w:p>
        </w:tc>
      </w:tr>
      <w:tr>
        <w:trPr>
          <w:trHeight w:val="259"/>
        </w:trPr>
        <w:tc>
          <w:tcPr>
            <w:tcW w:w="5260" w:type="dxa"/>
            <w:vAlign w:val="bottom"/>
          </w:tcPr>
          <w:p>
            <w:pPr>
              <w:ind w:left="200"/>
              <w:spacing w:after="0"/>
              <w:rPr>
                <w:sz w:val="20"/>
                <w:szCs w:val="20"/>
                <w:color w:val="auto"/>
              </w:rPr>
            </w:pPr>
            <w:r>
              <w:rPr>
                <w:rFonts w:ascii="Arial" w:cs="Arial" w:eastAsia="Arial" w:hAnsi="Arial"/>
                <w:sz w:val="20"/>
                <w:szCs w:val="20"/>
                <w:color w:val="auto"/>
              </w:rPr>
              <w:t>Other</w:t>
            </w:r>
          </w:p>
        </w:tc>
        <w:tc>
          <w:tcPr>
            <w:tcW w:w="1800" w:type="dxa"/>
            <w:vAlign w:val="bottom"/>
          </w:tcPr>
          <w:p>
            <w:pPr>
              <w:jc w:val="right"/>
              <w:ind w:right="60"/>
              <w:spacing w:after="0"/>
              <w:rPr>
                <w:sz w:val="20"/>
                <w:szCs w:val="20"/>
                <w:color w:val="auto"/>
              </w:rPr>
            </w:pPr>
            <w:r>
              <w:rPr>
                <w:rFonts w:ascii="Arial" w:cs="Arial" w:eastAsia="Arial" w:hAnsi="Arial"/>
                <w:sz w:val="20"/>
                <w:szCs w:val="20"/>
                <w:color w:val="auto"/>
              </w:rPr>
              <w:t>3,432</w:t>
            </w:r>
          </w:p>
        </w:tc>
        <w:tc>
          <w:tcPr>
            <w:tcW w:w="280" w:type="dxa"/>
            <w:vAlign w:val="bottom"/>
          </w:tcPr>
          <w:p>
            <w:pPr>
              <w:spacing w:after="0"/>
              <w:rPr>
                <w:sz w:val="22"/>
                <w:szCs w:val="22"/>
                <w:color w:val="auto"/>
              </w:rPr>
            </w:pPr>
          </w:p>
        </w:tc>
        <w:tc>
          <w:tcPr>
            <w:tcW w:w="920" w:type="dxa"/>
            <w:vAlign w:val="bottom"/>
          </w:tcPr>
          <w:p>
            <w:pPr>
              <w:jc w:val="right"/>
              <w:ind w:right="60"/>
              <w:spacing w:after="0"/>
              <w:rPr>
                <w:sz w:val="20"/>
                <w:szCs w:val="20"/>
                <w:color w:val="auto"/>
              </w:rPr>
            </w:pPr>
            <w:r>
              <w:rPr>
                <w:rFonts w:ascii="Arial" w:cs="Arial" w:eastAsia="Arial" w:hAnsi="Arial"/>
                <w:sz w:val="20"/>
                <w:szCs w:val="20"/>
                <w:color w:val="auto"/>
              </w:rPr>
              <w:t>9,741</w:t>
            </w:r>
          </w:p>
        </w:tc>
        <w:tc>
          <w:tcPr>
            <w:tcW w:w="1140" w:type="dxa"/>
            <w:vAlign w:val="bottom"/>
          </w:tcPr>
          <w:p>
            <w:pPr>
              <w:jc w:val="right"/>
              <w:spacing w:after="0"/>
              <w:rPr>
                <w:sz w:val="20"/>
                <w:szCs w:val="20"/>
                <w:color w:val="auto"/>
              </w:rPr>
            </w:pPr>
            <w:r>
              <w:rPr>
                <w:rFonts w:ascii="Arial" w:cs="Arial" w:eastAsia="Arial" w:hAnsi="Arial"/>
                <w:sz w:val="20"/>
                <w:szCs w:val="20"/>
                <w:color w:val="auto"/>
              </w:rPr>
              <w:t>3,850</w:t>
            </w:r>
          </w:p>
        </w:tc>
      </w:tr>
      <w:tr>
        <w:trPr>
          <w:trHeight w:val="51"/>
        </w:trPr>
        <w:tc>
          <w:tcPr>
            <w:tcW w:w="52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80"/>
        </w:trPr>
        <w:tc>
          <w:tcPr>
            <w:tcW w:w="526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20"/>
                <w:szCs w:val="20"/>
                <w:color w:val="auto"/>
              </w:rPr>
              <w:t>Total interest income</w:t>
            </w:r>
          </w:p>
        </w:tc>
        <w:tc>
          <w:tcPr>
            <w:tcW w:w="18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173,544</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163,572</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139,808</w:t>
            </w:r>
          </w:p>
        </w:tc>
      </w:tr>
      <w:tr>
        <w:trPr>
          <w:trHeight w:val="259"/>
        </w:trPr>
        <w:tc>
          <w:tcPr>
            <w:tcW w:w="5260" w:type="dxa"/>
            <w:vAlign w:val="bottom"/>
          </w:tcPr>
          <w:p>
            <w:pPr>
              <w:spacing w:after="0"/>
              <w:rPr>
                <w:sz w:val="20"/>
                <w:szCs w:val="20"/>
                <w:color w:val="auto"/>
              </w:rPr>
            </w:pPr>
            <w:r>
              <w:rPr>
                <w:rFonts w:ascii="Arial" w:cs="Arial" w:eastAsia="Arial" w:hAnsi="Arial"/>
                <w:sz w:val="20"/>
                <w:szCs w:val="20"/>
                <w:b w:val="1"/>
                <w:bCs w:val="1"/>
                <w:color w:val="auto"/>
              </w:rPr>
              <w:t>Interest Expense</w:t>
            </w: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41"/>
        </w:trPr>
        <w:tc>
          <w:tcPr>
            <w:tcW w:w="5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5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Deposits</w:t>
            </w:r>
          </w:p>
        </w:tc>
        <w:tc>
          <w:tcPr>
            <w:tcW w:w="18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58,179</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64,463</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46,923</w:t>
            </w:r>
          </w:p>
        </w:tc>
      </w:tr>
      <w:tr>
        <w:trPr>
          <w:trHeight w:val="259"/>
        </w:trPr>
        <w:tc>
          <w:tcPr>
            <w:tcW w:w="7060" w:type="dxa"/>
            <w:vAlign w:val="bottom"/>
            <w:gridSpan w:val="2"/>
          </w:tcPr>
          <w:p>
            <w:pPr>
              <w:ind w:left="200"/>
              <w:spacing w:after="0"/>
              <w:rPr>
                <w:sz w:val="20"/>
                <w:szCs w:val="20"/>
                <w:color w:val="auto"/>
              </w:rPr>
            </w:pPr>
            <w:r>
              <w:rPr>
                <w:rFonts w:ascii="Arial" w:cs="Arial" w:eastAsia="Arial" w:hAnsi="Arial"/>
                <w:sz w:val="20"/>
                <w:szCs w:val="20"/>
                <w:color w:val="auto"/>
              </w:rPr>
              <w:t>Federal funds purchased and securities sold under agreements to</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00"/>
        </w:trPr>
        <w:tc>
          <w:tcPr>
            <w:tcW w:w="5260" w:type="dxa"/>
            <w:vAlign w:val="bottom"/>
          </w:tcPr>
          <w:p>
            <w:pPr>
              <w:ind w:left="360"/>
              <w:spacing w:after="0"/>
              <w:rPr>
                <w:sz w:val="20"/>
                <w:szCs w:val="20"/>
                <w:color w:val="auto"/>
              </w:rPr>
            </w:pPr>
            <w:r>
              <w:rPr>
                <w:rFonts w:ascii="Arial" w:cs="Arial" w:eastAsia="Arial" w:hAnsi="Arial"/>
                <w:sz w:val="20"/>
                <w:szCs w:val="20"/>
                <w:color w:val="auto"/>
              </w:rPr>
              <w:t>repurchase</w:t>
            </w:r>
          </w:p>
        </w:tc>
        <w:tc>
          <w:tcPr>
            <w:tcW w:w="1800" w:type="dxa"/>
            <w:vAlign w:val="bottom"/>
          </w:tcPr>
          <w:p>
            <w:pPr>
              <w:jc w:val="right"/>
              <w:ind w:right="60"/>
              <w:spacing w:after="0"/>
              <w:rPr>
                <w:sz w:val="20"/>
                <w:szCs w:val="20"/>
                <w:color w:val="auto"/>
              </w:rPr>
            </w:pPr>
            <w:r>
              <w:rPr>
                <w:rFonts w:ascii="Arial" w:cs="Arial" w:eastAsia="Arial" w:hAnsi="Arial"/>
                <w:sz w:val="20"/>
                <w:szCs w:val="20"/>
                <w:color w:val="auto"/>
              </w:rPr>
              <w:t>1,042</w:t>
            </w:r>
          </w:p>
        </w:tc>
        <w:tc>
          <w:tcPr>
            <w:tcW w:w="280" w:type="dxa"/>
            <w:vAlign w:val="bottom"/>
          </w:tcPr>
          <w:p>
            <w:pPr>
              <w:spacing w:after="0"/>
              <w:rPr>
                <w:sz w:val="24"/>
                <w:szCs w:val="24"/>
                <w:color w:val="auto"/>
              </w:rPr>
            </w:pPr>
          </w:p>
        </w:tc>
        <w:tc>
          <w:tcPr>
            <w:tcW w:w="920" w:type="dxa"/>
            <w:vAlign w:val="bottom"/>
          </w:tcPr>
          <w:p>
            <w:pPr>
              <w:jc w:val="right"/>
              <w:ind w:right="60"/>
              <w:spacing w:after="0"/>
              <w:rPr>
                <w:sz w:val="20"/>
                <w:szCs w:val="20"/>
                <w:color w:val="auto"/>
              </w:rPr>
            </w:pPr>
            <w:r>
              <w:rPr>
                <w:rFonts w:ascii="Arial" w:cs="Arial" w:eastAsia="Arial" w:hAnsi="Arial"/>
                <w:sz w:val="20"/>
                <w:szCs w:val="20"/>
                <w:color w:val="auto"/>
              </w:rPr>
              <w:t>1,111</w:t>
            </w:r>
          </w:p>
        </w:tc>
        <w:tc>
          <w:tcPr>
            <w:tcW w:w="1140" w:type="dxa"/>
            <w:vAlign w:val="bottom"/>
          </w:tcPr>
          <w:p>
            <w:pPr>
              <w:jc w:val="right"/>
              <w:spacing w:after="0"/>
              <w:rPr>
                <w:sz w:val="20"/>
                <w:szCs w:val="20"/>
                <w:color w:val="auto"/>
              </w:rPr>
            </w:pPr>
            <w:r>
              <w:rPr>
                <w:rFonts w:ascii="Arial" w:cs="Arial" w:eastAsia="Arial" w:hAnsi="Arial"/>
                <w:sz w:val="20"/>
                <w:szCs w:val="20"/>
                <w:color w:val="auto"/>
              </w:rPr>
              <w:t>1,474</w:t>
            </w:r>
          </w:p>
        </w:tc>
      </w:tr>
      <w:tr>
        <w:trPr>
          <w:trHeight w:val="41"/>
        </w:trPr>
        <w:tc>
          <w:tcPr>
            <w:tcW w:w="5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5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Borrowed funds</w:t>
            </w:r>
          </w:p>
        </w:tc>
        <w:tc>
          <w:tcPr>
            <w:tcW w:w="18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8,893</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10,948</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8,876</w:t>
            </w:r>
          </w:p>
        </w:tc>
      </w:tr>
      <w:tr>
        <w:trPr>
          <w:trHeight w:val="259"/>
        </w:trPr>
        <w:tc>
          <w:tcPr>
            <w:tcW w:w="5260" w:type="dxa"/>
            <w:vAlign w:val="bottom"/>
          </w:tcPr>
          <w:p>
            <w:pPr>
              <w:ind w:left="200"/>
              <w:spacing w:after="0"/>
              <w:rPr>
                <w:sz w:val="20"/>
                <w:szCs w:val="20"/>
                <w:color w:val="auto"/>
              </w:rPr>
            </w:pPr>
            <w:r>
              <w:rPr>
                <w:rFonts w:ascii="Arial" w:cs="Arial" w:eastAsia="Arial" w:hAnsi="Arial"/>
                <w:sz w:val="20"/>
                <w:szCs w:val="20"/>
                <w:color w:val="auto"/>
              </w:rPr>
              <w:t>Subordinated notes</w:t>
            </w:r>
          </w:p>
        </w:tc>
        <w:tc>
          <w:tcPr>
            <w:tcW w:w="1800" w:type="dxa"/>
            <w:vAlign w:val="bottom"/>
          </w:tcPr>
          <w:p>
            <w:pPr>
              <w:jc w:val="right"/>
              <w:ind w:right="60"/>
              <w:spacing w:after="0"/>
              <w:rPr>
                <w:sz w:val="20"/>
                <w:szCs w:val="20"/>
                <w:color w:val="auto"/>
              </w:rPr>
            </w:pPr>
            <w:r>
              <w:rPr>
                <w:rFonts w:ascii="Arial" w:cs="Arial" w:eastAsia="Arial" w:hAnsi="Arial"/>
                <w:sz w:val="20"/>
                <w:szCs w:val="20"/>
                <w:color w:val="auto"/>
              </w:rPr>
              <w:t>1,138</w:t>
            </w:r>
          </w:p>
        </w:tc>
        <w:tc>
          <w:tcPr>
            <w:tcW w:w="280" w:type="dxa"/>
            <w:vAlign w:val="bottom"/>
          </w:tcPr>
          <w:p>
            <w:pPr>
              <w:spacing w:after="0"/>
              <w:rPr>
                <w:sz w:val="22"/>
                <w:szCs w:val="22"/>
                <w:color w:val="auto"/>
              </w:rPr>
            </w:pPr>
          </w:p>
        </w:tc>
        <w:tc>
          <w:tcPr>
            <w:tcW w:w="920" w:type="dxa"/>
            <w:vAlign w:val="bottom"/>
          </w:tcPr>
          <w:p>
            <w:pPr>
              <w:jc w:val="right"/>
              <w:ind w:right="60"/>
              <w:spacing w:after="0"/>
              <w:rPr>
                <w:sz w:val="20"/>
                <w:szCs w:val="20"/>
                <w:color w:val="auto"/>
              </w:rPr>
            </w:pPr>
            <w:r>
              <w:rPr>
                <w:rFonts w:ascii="Arial" w:cs="Arial" w:eastAsia="Arial" w:hAnsi="Arial"/>
                <w:sz w:val="20"/>
                <w:szCs w:val="20"/>
                <w:color w:val="auto"/>
              </w:rPr>
              <w:t>1,138</w:t>
            </w:r>
          </w:p>
        </w:tc>
        <w:tc>
          <w:tcPr>
            <w:tcW w:w="1140" w:type="dxa"/>
            <w:vAlign w:val="bottom"/>
          </w:tcPr>
          <w:p>
            <w:pPr>
              <w:jc w:val="right"/>
              <w:spacing w:after="0"/>
              <w:rPr>
                <w:sz w:val="20"/>
                <w:szCs w:val="20"/>
                <w:color w:val="auto"/>
              </w:rPr>
            </w:pPr>
            <w:r>
              <w:rPr>
                <w:rFonts w:ascii="Arial" w:cs="Arial" w:eastAsia="Arial" w:hAnsi="Arial"/>
                <w:sz w:val="20"/>
                <w:szCs w:val="20"/>
                <w:color w:val="auto"/>
              </w:rPr>
              <w:t>1,138</w:t>
            </w:r>
          </w:p>
        </w:tc>
      </w:tr>
      <w:tr>
        <w:trPr>
          <w:trHeight w:val="51"/>
        </w:trPr>
        <w:tc>
          <w:tcPr>
            <w:tcW w:w="52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90"/>
        </w:trPr>
        <w:tc>
          <w:tcPr>
            <w:tcW w:w="526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20"/>
                <w:szCs w:val="20"/>
                <w:color w:val="auto"/>
              </w:rPr>
              <w:t>Total interest expense</w:t>
            </w:r>
          </w:p>
        </w:tc>
        <w:tc>
          <w:tcPr>
            <w:tcW w:w="18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69,252</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77,660</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58,411</w:t>
            </w:r>
          </w:p>
        </w:tc>
      </w:tr>
      <w:tr>
        <w:trPr>
          <w:trHeight w:val="259"/>
        </w:trPr>
        <w:tc>
          <w:tcPr>
            <w:tcW w:w="5260" w:type="dxa"/>
            <w:vAlign w:val="bottom"/>
          </w:tcPr>
          <w:p>
            <w:pPr>
              <w:spacing w:after="0"/>
              <w:rPr>
                <w:sz w:val="20"/>
                <w:szCs w:val="20"/>
                <w:color w:val="auto"/>
              </w:rPr>
            </w:pPr>
            <w:r>
              <w:rPr>
                <w:rFonts w:ascii="Arial" w:cs="Arial" w:eastAsia="Arial" w:hAnsi="Arial"/>
                <w:sz w:val="20"/>
                <w:szCs w:val="20"/>
                <w:b w:val="1"/>
                <w:bCs w:val="1"/>
                <w:color w:val="auto"/>
                <w:w w:val="98"/>
              </w:rPr>
              <w:t>Net Interest Income - Before Provision for Credit Losses</w:t>
            </w:r>
          </w:p>
        </w:tc>
        <w:tc>
          <w:tcPr>
            <w:tcW w:w="1800" w:type="dxa"/>
            <w:vAlign w:val="bottom"/>
          </w:tcPr>
          <w:p>
            <w:pPr>
              <w:jc w:val="right"/>
              <w:ind w:right="60"/>
              <w:spacing w:after="0"/>
              <w:rPr>
                <w:sz w:val="20"/>
                <w:szCs w:val="20"/>
                <w:color w:val="auto"/>
              </w:rPr>
            </w:pPr>
            <w:r>
              <w:rPr>
                <w:rFonts w:ascii="Arial" w:cs="Arial" w:eastAsia="Arial" w:hAnsi="Arial"/>
                <w:sz w:val="20"/>
                <w:szCs w:val="20"/>
                <w:color w:val="auto"/>
              </w:rPr>
              <w:t>104,292</w:t>
            </w:r>
          </w:p>
        </w:tc>
        <w:tc>
          <w:tcPr>
            <w:tcW w:w="280" w:type="dxa"/>
            <w:vAlign w:val="bottom"/>
          </w:tcPr>
          <w:p>
            <w:pPr>
              <w:spacing w:after="0"/>
              <w:rPr>
                <w:sz w:val="22"/>
                <w:szCs w:val="22"/>
                <w:color w:val="auto"/>
              </w:rPr>
            </w:pPr>
          </w:p>
        </w:tc>
        <w:tc>
          <w:tcPr>
            <w:tcW w:w="920" w:type="dxa"/>
            <w:vAlign w:val="bottom"/>
          </w:tcPr>
          <w:p>
            <w:pPr>
              <w:jc w:val="right"/>
              <w:ind w:right="60"/>
              <w:spacing w:after="0"/>
              <w:rPr>
                <w:sz w:val="20"/>
                <w:szCs w:val="20"/>
                <w:color w:val="auto"/>
              </w:rPr>
            </w:pPr>
            <w:r>
              <w:rPr>
                <w:rFonts w:ascii="Arial" w:cs="Arial" w:eastAsia="Arial" w:hAnsi="Arial"/>
                <w:sz w:val="20"/>
                <w:szCs w:val="20"/>
                <w:color w:val="auto"/>
              </w:rPr>
              <w:t>85,912</w:t>
            </w:r>
          </w:p>
        </w:tc>
        <w:tc>
          <w:tcPr>
            <w:tcW w:w="1140" w:type="dxa"/>
            <w:vAlign w:val="bottom"/>
          </w:tcPr>
          <w:p>
            <w:pPr>
              <w:jc w:val="right"/>
              <w:spacing w:after="0"/>
              <w:rPr>
                <w:sz w:val="20"/>
                <w:szCs w:val="20"/>
                <w:color w:val="auto"/>
              </w:rPr>
            </w:pPr>
            <w:r>
              <w:rPr>
                <w:rFonts w:ascii="Arial" w:cs="Arial" w:eastAsia="Arial" w:hAnsi="Arial"/>
                <w:sz w:val="20"/>
                <w:szCs w:val="20"/>
                <w:color w:val="auto"/>
              </w:rPr>
              <w:t>81,397</w:t>
            </w:r>
          </w:p>
        </w:tc>
      </w:tr>
      <w:tr>
        <w:trPr>
          <w:trHeight w:val="41"/>
        </w:trPr>
        <w:tc>
          <w:tcPr>
            <w:tcW w:w="5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Provision for Credit Losses - Loans</w:t>
            </w:r>
          </w:p>
        </w:tc>
        <w:tc>
          <w:tcPr>
            <w:tcW w:w="18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2,596</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944</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1,698</w:t>
            </w:r>
          </w:p>
        </w:tc>
      </w:tr>
      <w:tr>
        <w:trPr>
          <w:trHeight w:val="259"/>
        </w:trPr>
        <w:tc>
          <w:tcPr>
            <w:tcW w:w="5260" w:type="dxa"/>
            <w:vAlign w:val="bottom"/>
          </w:tcPr>
          <w:p>
            <w:pPr>
              <w:spacing w:after="0"/>
              <w:rPr>
                <w:sz w:val="20"/>
                <w:szCs w:val="20"/>
                <w:color w:val="auto"/>
              </w:rPr>
            </w:pPr>
            <w:r>
              <w:rPr>
                <w:rFonts w:ascii="Arial" w:cs="Arial" w:eastAsia="Arial" w:hAnsi="Arial"/>
                <w:sz w:val="20"/>
                <w:szCs w:val="20"/>
                <w:b w:val="1"/>
                <w:bCs w:val="1"/>
                <w:color w:val="auto"/>
                <w:w w:val="89"/>
              </w:rPr>
              <w:t>Provision for (Recovery of) Credit Losses - Off Balance Sheet</w:t>
            </w: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00"/>
        </w:trPr>
        <w:tc>
          <w:tcPr>
            <w:tcW w:w="5260" w:type="dxa"/>
            <w:vAlign w:val="bottom"/>
          </w:tcPr>
          <w:p>
            <w:pPr>
              <w:ind w:left="140"/>
              <w:spacing w:after="0"/>
              <w:rPr>
                <w:sz w:val="20"/>
                <w:szCs w:val="20"/>
                <w:color w:val="auto"/>
              </w:rPr>
            </w:pPr>
            <w:r>
              <w:rPr>
                <w:rFonts w:ascii="Arial" w:cs="Arial" w:eastAsia="Arial" w:hAnsi="Arial"/>
                <w:sz w:val="20"/>
                <w:szCs w:val="20"/>
                <w:b w:val="1"/>
                <w:bCs w:val="1"/>
                <w:color w:val="auto"/>
              </w:rPr>
              <w:t>Credit Exposures</w:t>
            </w:r>
          </w:p>
        </w:tc>
        <w:tc>
          <w:tcPr>
            <w:tcW w:w="1800" w:type="dxa"/>
            <w:vAlign w:val="bottom"/>
          </w:tcPr>
          <w:p>
            <w:pPr>
              <w:jc w:val="right"/>
              <w:spacing w:after="0"/>
              <w:rPr>
                <w:sz w:val="20"/>
                <w:szCs w:val="20"/>
                <w:color w:val="auto"/>
              </w:rPr>
            </w:pPr>
            <w:r>
              <w:rPr>
                <w:rFonts w:ascii="Arial" w:cs="Arial" w:eastAsia="Arial" w:hAnsi="Arial"/>
                <w:sz w:val="20"/>
                <w:szCs w:val="20"/>
                <w:color w:val="auto"/>
              </w:rPr>
              <w:t>(506)</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(671)</w:t>
            </w:r>
          </w:p>
        </w:tc>
        <w:tc>
          <w:tcPr>
            <w:tcW w:w="114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41"/>
        </w:trPr>
        <w:tc>
          <w:tcPr>
            <w:tcW w:w="5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Net Interest Income - After Provision for Credit Losses</w:t>
            </w:r>
          </w:p>
        </w:tc>
        <w:tc>
          <w:tcPr>
            <w:tcW w:w="18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102,202</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85,639</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79,653</w:t>
            </w:r>
          </w:p>
        </w:tc>
      </w:tr>
      <w:tr>
        <w:trPr>
          <w:trHeight w:val="259"/>
        </w:trPr>
        <w:tc>
          <w:tcPr>
            <w:tcW w:w="5260" w:type="dxa"/>
            <w:vAlign w:val="bottom"/>
          </w:tcPr>
          <w:p>
            <w:pPr>
              <w:spacing w:after="0"/>
              <w:rPr>
                <w:sz w:val="20"/>
                <w:szCs w:val="20"/>
                <w:color w:val="auto"/>
              </w:rPr>
            </w:pPr>
            <w:r>
              <w:rPr>
                <w:rFonts w:ascii="Arial" w:cs="Arial" w:eastAsia="Arial" w:hAnsi="Arial"/>
                <w:sz w:val="20"/>
                <w:szCs w:val="20"/>
                <w:b w:val="1"/>
                <w:bCs w:val="1"/>
                <w:color w:val="auto"/>
              </w:rPr>
              <w:t>Noninterest Income</w:t>
            </w: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41"/>
        </w:trPr>
        <w:tc>
          <w:tcPr>
            <w:tcW w:w="5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5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Customer service fees</w:t>
            </w:r>
          </w:p>
        </w:tc>
        <w:tc>
          <w:tcPr>
            <w:tcW w:w="18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1,418</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1,324</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1,332</w:t>
            </w:r>
          </w:p>
        </w:tc>
      </w:tr>
      <w:tr>
        <w:trPr>
          <w:trHeight w:val="259"/>
        </w:trPr>
        <w:tc>
          <w:tcPr>
            <w:tcW w:w="5260" w:type="dxa"/>
            <w:vAlign w:val="bottom"/>
          </w:tcPr>
          <w:p>
            <w:pPr>
              <w:ind w:left="200"/>
              <w:spacing w:after="0"/>
              <w:rPr>
                <w:sz w:val="20"/>
                <w:szCs w:val="20"/>
                <w:color w:val="auto"/>
              </w:rPr>
            </w:pPr>
            <w:r>
              <w:rPr>
                <w:rFonts w:ascii="Arial" w:cs="Arial" w:eastAsia="Arial" w:hAnsi="Arial"/>
                <w:sz w:val="20"/>
                <w:szCs w:val="20"/>
                <w:color w:val="auto"/>
              </w:rPr>
              <w:t>Other service charges and fees</w:t>
            </w:r>
          </w:p>
        </w:tc>
        <w:tc>
          <w:tcPr>
            <w:tcW w:w="1800" w:type="dxa"/>
            <w:vAlign w:val="bottom"/>
          </w:tcPr>
          <w:p>
            <w:pPr>
              <w:jc w:val="right"/>
              <w:ind w:right="60"/>
              <w:spacing w:after="0"/>
              <w:rPr>
                <w:sz w:val="20"/>
                <w:szCs w:val="20"/>
                <w:color w:val="auto"/>
              </w:rPr>
            </w:pPr>
            <w:r>
              <w:rPr>
                <w:rFonts w:ascii="Arial" w:cs="Arial" w:eastAsia="Arial" w:hAnsi="Arial"/>
                <w:sz w:val="20"/>
                <w:szCs w:val="20"/>
                <w:color w:val="auto"/>
              </w:rPr>
              <w:t>4,990</w:t>
            </w:r>
          </w:p>
        </w:tc>
        <w:tc>
          <w:tcPr>
            <w:tcW w:w="280" w:type="dxa"/>
            <w:vAlign w:val="bottom"/>
          </w:tcPr>
          <w:p>
            <w:pPr>
              <w:spacing w:after="0"/>
              <w:rPr>
                <w:sz w:val="22"/>
                <w:szCs w:val="22"/>
                <w:color w:val="auto"/>
              </w:rPr>
            </w:pPr>
          </w:p>
        </w:tc>
        <w:tc>
          <w:tcPr>
            <w:tcW w:w="920" w:type="dxa"/>
            <w:vAlign w:val="bottom"/>
          </w:tcPr>
          <w:p>
            <w:pPr>
              <w:jc w:val="right"/>
              <w:ind w:right="60"/>
              <w:spacing w:after="0"/>
              <w:rPr>
                <w:sz w:val="20"/>
                <w:szCs w:val="20"/>
                <w:color w:val="auto"/>
              </w:rPr>
            </w:pPr>
            <w:r>
              <w:rPr>
                <w:rFonts w:ascii="Arial" w:cs="Arial" w:eastAsia="Arial" w:hAnsi="Arial"/>
                <w:sz w:val="20"/>
                <w:szCs w:val="20"/>
                <w:color w:val="auto"/>
              </w:rPr>
              <w:t>4,473</w:t>
            </w:r>
          </w:p>
        </w:tc>
        <w:tc>
          <w:tcPr>
            <w:tcW w:w="1140" w:type="dxa"/>
            <w:vAlign w:val="bottom"/>
          </w:tcPr>
          <w:p>
            <w:pPr>
              <w:jc w:val="right"/>
              <w:spacing w:after="0"/>
              <w:rPr>
                <w:sz w:val="20"/>
                <w:szCs w:val="20"/>
                <w:color w:val="auto"/>
              </w:rPr>
            </w:pPr>
            <w:r>
              <w:rPr>
                <w:rFonts w:ascii="Arial" w:cs="Arial" w:eastAsia="Arial" w:hAnsi="Arial"/>
                <w:sz w:val="20"/>
                <w:szCs w:val="20"/>
                <w:color w:val="auto"/>
              </w:rPr>
              <w:t>4,343</w:t>
            </w:r>
          </w:p>
        </w:tc>
      </w:tr>
      <w:tr>
        <w:trPr>
          <w:trHeight w:val="41"/>
        </w:trPr>
        <w:tc>
          <w:tcPr>
            <w:tcW w:w="5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5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Interchange income</w:t>
            </w:r>
          </w:p>
        </w:tc>
        <w:tc>
          <w:tcPr>
            <w:tcW w:w="18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5,228</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5,396</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5,318</w:t>
            </w:r>
          </w:p>
        </w:tc>
      </w:tr>
      <w:tr>
        <w:trPr>
          <w:trHeight w:val="259"/>
        </w:trPr>
        <w:tc>
          <w:tcPr>
            <w:tcW w:w="5260" w:type="dxa"/>
            <w:vAlign w:val="bottom"/>
          </w:tcPr>
          <w:p>
            <w:pPr>
              <w:ind w:left="200"/>
              <w:spacing w:after="0"/>
              <w:rPr>
                <w:sz w:val="20"/>
                <w:szCs w:val="20"/>
                <w:color w:val="auto"/>
              </w:rPr>
            </w:pPr>
            <w:r>
              <w:rPr>
                <w:rFonts w:ascii="Arial" w:cs="Arial" w:eastAsia="Arial" w:hAnsi="Arial"/>
                <w:sz w:val="20"/>
                <w:szCs w:val="20"/>
                <w:color w:val="auto"/>
              </w:rPr>
              <w:t>Loan servicing income</w:t>
            </w:r>
          </w:p>
        </w:tc>
        <w:tc>
          <w:tcPr>
            <w:tcW w:w="1800" w:type="dxa"/>
            <w:vAlign w:val="bottom"/>
          </w:tcPr>
          <w:p>
            <w:pPr>
              <w:jc w:val="right"/>
              <w:ind w:right="60"/>
              <w:spacing w:after="0"/>
              <w:rPr>
                <w:sz w:val="20"/>
                <w:szCs w:val="20"/>
                <w:color w:val="auto"/>
              </w:rPr>
            </w:pPr>
            <w:r>
              <w:rPr>
                <w:rFonts w:ascii="Arial" w:cs="Arial" w:eastAsia="Arial" w:hAnsi="Arial"/>
                <w:sz w:val="20"/>
                <w:szCs w:val="20"/>
                <w:color w:val="auto"/>
              </w:rPr>
              <w:t>2,879</w:t>
            </w:r>
          </w:p>
        </w:tc>
        <w:tc>
          <w:tcPr>
            <w:tcW w:w="280" w:type="dxa"/>
            <w:vAlign w:val="bottom"/>
          </w:tcPr>
          <w:p>
            <w:pPr>
              <w:spacing w:after="0"/>
              <w:rPr>
                <w:sz w:val="22"/>
                <w:szCs w:val="22"/>
                <w:color w:val="auto"/>
              </w:rPr>
            </w:pPr>
          </w:p>
        </w:tc>
        <w:tc>
          <w:tcPr>
            <w:tcW w:w="920" w:type="dxa"/>
            <w:vAlign w:val="bottom"/>
          </w:tcPr>
          <w:p>
            <w:pPr>
              <w:jc w:val="right"/>
              <w:ind w:right="60"/>
              <w:spacing w:after="0"/>
              <w:rPr>
                <w:sz w:val="20"/>
                <w:szCs w:val="20"/>
                <w:color w:val="auto"/>
              </w:rPr>
            </w:pPr>
            <w:r>
              <w:rPr>
                <w:rFonts w:ascii="Arial" w:cs="Arial" w:eastAsia="Arial" w:hAnsi="Arial"/>
                <w:sz w:val="20"/>
                <w:szCs w:val="20"/>
                <w:color w:val="auto"/>
              </w:rPr>
              <w:t>2,533</w:t>
            </w:r>
          </w:p>
        </w:tc>
        <w:tc>
          <w:tcPr>
            <w:tcW w:w="1140" w:type="dxa"/>
            <w:vAlign w:val="bottom"/>
          </w:tcPr>
          <w:p>
            <w:pPr>
              <w:jc w:val="right"/>
              <w:spacing w:after="0"/>
              <w:rPr>
                <w:sz w:val="20"/>
                <w:szCs w:val="20"/>
                <w:color w:val="auto"/>
              </w:rPr>
            </w:pPr>
            <w:r>
              <w:rPr>
                <w:rFonts w:ascii="Arial" w:cs="Arial" w:eastAsia="Arial" w:hAnsi="Arial"/>
                <w:sz w:val="20"/>
                <w:szCs w:val="20"/>
                <w:color w:val="auto"/>
              </w:rPr>
              <w:t>4,405</w:t>
            </w:r>
          </w:p>
        </w:tc>
      </w:tr>
      <w:tr>
        <w:trPr>
          <w:trHeight w:val="41"/>
        </w:trPr>
        <w:tc>
          <w:tcPr>
            <w:tcW w:w="5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5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Net gain on sale of loans</w:t>
            </w:r>
          </w:p>
        </w:tc>
        <w:tc>
          <w:tcPr>
            <w:tcW w:w="18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1,291</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859</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699</w:t>
            </w:r>
          </w:p>
        </w:tc>
      </w:tr>
      <w:tr>
        <w:trPr>
          <w:trHeight w:val="259"/>
        </w:trPr>
        <w:tc>
          <w:tcPr>
            <w:tcW w:w="5260" w:type="dxa"/>
            <w:vAlign w:val="bottom"/>
          </w:tcPr>
          <w:p>
            <w:pPr>
              <w:ind w:left="200"/>
              <w:spacing w:after="0"/>
              <w:rPr>
                <w:sz w:val="20"/>
                <w:szCs w:val="20"/>
                <w:color w:val="auto"/>
              </w:rPr>
            </w:pPr>
            <w:r>
              <w:rPr>
                <w:rFonts w:ascii="Arial" w:cs="Arial" w:eastAsia="Arial" w:hAnsi="Arial"/>
                <w:sz w:val="20"/>
                <w:szCs w:val="20"/>
                <w:color w:val="auto"/>
              </w:rPr>
              <w:t>Increase in cash surrender value of bank owned</w:t>
            </w: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00"/>
        </w:trPr>
        <w:tc>
          <w:tcPr>
            <w:tcW w:w="5260" w:type="dxa"/>
            <w:vAlign w:val="bottom"/>
          </w:tcPr>
          <w:p>
            <w:pPr>
              <w:ind w:left="360"/>
              <w:spacing w:after="0"/>
              <w:rPr>
                <w:sz w:val="20"/>
                <w:szCs w:val="20"/>
                <w:color w:val="auto"/>
              </w:rPr>
            </w:pPr>
            <w:r>
              <w:rPr>
                <w:rFonts w:ascii="Arial" w:cs="Arial" w:eastAsia="Arial" w:hAnsi="Arial"/>
                <w:sz w:val="20"/>
                <w:szCs w:val="20"/>
                <w:color w:val="auto"/>
              </w:rPr>
              <w:t>life insurance</w:t>
            </w:r>
          </w:p>
        </w:tc>
        <w:tc>
          <w:tcPr>
            <w:tcW w:w="1800" w:type="dxa"/>
            <w:vAlign w:val="bottom"/>
          </w:tcPr>
          <w:p>
            <w:pPr>
              <w:jc w:val="right"/>
              <w:ind w:right="60"/>
              <w:spacing w:after="0"/>
              <w:rPr>
                <w:sz w:val="20"/>
                <w:szCs w:val="20"/>
                <w:color w:val="auto"/>
              </w:rPr>
            </w:pPr>
            <w:r>
              <w:rPr>
                <w:rFonts w:ascii="Arial" w:cs="Arial" w:eastAsia="Arial" w:hAnsi="Arial"/>
                <w:sz w:val="20"/>
                <w:szCs w:val="20"/>
                <w:color w:val="auto"/>
              </w:rPr>
              <w:t>1,370</w:t>
            </w:r>
          </w:p>
        </w:tc>
        <w:tc>
          <w:tcPr>
            <w:tcW w:w="280" w:type="dxa"/>
            <w:vAlign w:val="bottom"/>
          </w:tcPr>
          <w:p>
            <w:pPr>
              <w:spacing w:after="0"/>
              <w:rPr>
                <w:sz w:val="24"/>
                <w:szCs w:val="24"/>
                <w:color w:val="auto"/>
              </w:rPr>
            </w:pPr>
          </w:p>
        </w:tc>
        <w:tc>
          <w:tcPr>
            <w:tcW w:w="920" w:type="dxa"/>
            <w:vAlign w:val="bottom"/>
          </w:tcPr>
          <w:p>
            <w:pPr>
              <w:jc w:val="right"/>
              <w:ind w:right="60"/>
              <w:spacing w:after="0"/>
              <w:rPr>
                <w:sz w:val="20"/>
                <w:szCs w:val="20"/>
                <w:color w:val="auto"/>
              </w:rPr>
            </w:pPr>
            <w:r>
              <w:rPr>
                <w:rFonts w:ascii="Arial" w:cs="Arial" w:eastAsia="Arial" w:hAnsi="Arial"/>
                <w:sz w:val="20"/>
                <w:szCs w:val="20"/>
                <w:color w:val="auto"/>
              </w:rPr>
              <w:t>965</w:t>
            </w:r>
          </w:p>
        </w:tc>
        <w:tc>
          <w:tcPr>
            <w:tcW w:w="1140" w:type="dxa"/>
            <w:vAlign w:val="bottom"/>
          </w:tcPr>
          <w:p>
            <w:pPr>
              <w:jc w:val="right"/>
              <w:spacing w:after="0"/>
              <w:rPr>
                <w:sz w:val="20"/>
                <w:szCs w:val="20"/>
                <w:color w:val="auto"/>
              </w:rPr>
            </w:pPr>
            <w:r>
              <w:rPr>
                <w:rFonts w:ascii="Arial" w:cs="Arial" w:eastAsia="Arial" w:hAnsi="Arial"/>
                <w:sz w:val="20"/>
                <w:szCs w:val="20"/>
                <w:color w:val="auto"/>
              </w:rPr>
              <w:t>834</w:t>
            </w:r>
          </w:p>
        </w:tc>
      </w:tr>
      <w:tr>
        <w:trPr>
          <w:trHeight w:val="41"/>
        </w:trPr>
        <w:tc>
          <w:tcPr>
            <w:tcW w:w="5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5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Net gain (loss) on sale of other assets owned</w:t>
            </w:r>
          </w:p>
        </w:tc>
        <w:tc>
          <w:tcPr>
            <w:tcW w:w="1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(41)</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71</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(135)</w:t>
            </w:r>
          </w:p>
        </w:tc>
      </w:tr>
      <w:tr>
        <w:trPr>
          <w:trHeight w:val="259"/>
        </w:trPr>
        <w:tc>
          <w:tcPr>
            <w:tcW w:w="5260" w:type="dxa"/>
            <w:vAlign w:val="bottom"/>
          </w:tcPr>
          <w:p>
            <w:pPr>
              <w:ind w:left="200"/>
              <w:spacing w:after="0"/>
              <w:rPr>
                <w:sz w:val="20"/>
                <w:szCs w:val="20"/>
                <w:color w:val="auto"/>
              </w:rPr>
            </w:pPr>
            <w:r>
              <w:rPr>
                <w:rFonts w:ascii="Arial" w:cs="Arial" w:eastAsia="Arial" w:hAnsi="Arial"/>
                <w:sz w:val="20"/>
                <w:szCs w:val="20"/>
                <w:color w:val="auto"/>
              </w:rPr>
              <w:t>Net loss on sale of available-for-sale securities</w:t>
            </w:r>
          </w:p>
        </w:tc>
        <w:tc>
          <w:tcPr>
            <w:tcW w:w="18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92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(891)</w:t>
            </w:r>
          </w:p>
        </w:tc>
      </w:tr>
      <w:tr>
        <w:trPr>
          <w:trHeight w:val="51"/>
        </w:trPr>
        <w:tc>
          <w:tcPr>
            <w:tcW w:w="52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80"/>
        </w:trPr>
        <w:tc>
          <w:tcPr>
            <w:tcW w:w="526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20"/>
                <w:szCs w:val="20"/>
                <w:color w:val="auto"/>
              </w:rPr>
              <w:t>Total noninterest income</w:t>
            </w:r>
          </w:p>
        </w:tc>
        <w:tc>
          <w:tcPr>
            <w:tcW w:w="18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17,135</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15,621</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15,905</w:t>
            </w:r>
          </w:p>
        </w:tc>
      </w:tr>
      <w:tr>
        <w:trPr>
          <w:trHeight w:val="259"/>
        </w:trPr>
        <w:tc>
          <w:tcPr>
            <w:tcW w:w="5260" w:type="dxa"/>
            <w:vAlign w:val="bottom"/>
          </w:tcPr>
          <w:p>
            <w:pPr>
              <w:spacing w:after="0"/>
              <w:rPr>
                <w:sz w:val="20"/>
                <w:szCs w:val="20"/>
                <w:color w:val="auto"/>
              </w:rPr>
            </w:pPr>
            <w:r>
              <w:rPr>
                <w:rFonts w:ascii="Arial" w:cs="Arial" w:eastAsia="Arial" w:hAnsi="Arial"/>
                <w:sz w:val="20"/>
                <w:szCs w:val="20"/>
                <w:b w:val="1"/>
                <w:bCs w:val="1"/>
                <w:color w:val="auto"/>
              </w:rPr>
              <w:t>Noninterest Expense</w:t>
            </w: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41"/>
        </w:trPr>
        <w:tc>
          <w:tcPr>
            <w:tcW w:w="5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5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Salaries and wages</w:t>
            </w:r>
          </w:p>
        </w:tc>
        <w:tc>
          <w:tcPr>
            <w:tcW w:w="18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31,590</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30,168</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26,915</w:t>
            </w:r>
          </w:p>
        </w:tc>
      </w:tr>
      <w:tr>
        <w:trPr>
          <w:trHeight w:val="259"/>
        </w:trPr>
        <w:tc>
          <w:tcPr>
            <w:tcW w:w="5260" w:type="dxa"/>
            <w:vAlign w:val="bottom"/>
          </w:tcPr>
          <w:p>
            <w:pPr>
              <w:ind w:left="200"/>
              <w:spacing w:after="0"/>
              <w:rPr>
                <w:sz w:val="20"/>
                <w:szCs w:val="20"/>
                <w:color w:val="auto"/>
              </w:rPr>
            </w:pPr>
            <w:r>
              <w:rPr>
                <w:rFonts w:ascii="Arial" w:cs="Arial" w:eastAsia="Arial" w:hAnsi="Arial"/>
                <w:sz w:val="20"/>
                <w:szCs w:val="20"/>
                <w:color w:val="auto"/>
              </w:rPr>
              <w:t>Employee benefits</w:t>
            </w:r>
          </w:p>
        </w:tc>
        <w:tc>
          <w:tcPr>
            <w:tcW w:w="1800" w:type="dxa"/>
            <w:vAlign w:val="bottom"/>
          </w:tcPr>
          <w:p>
            <w:pPr>
              <w:jc w:val="right"/>
              <w:ind w:right="60"/>
              <w:spacing w:after="0"/>
              <w:rPr>
                <w:sz w:val="20"/>
                <w:szCs w:val="20"/>
                <w:color w:val="auto"/>
              </w:rPr>
            </w:pPr>
            <w:r>
              <w:rPr>
                <w:rFonts w:ascii="Arial" w:cs="Arial" w:eastAsia="Arial" w:hAnsi="Arial"/>
                <w:sz w:val="20"/>
                <w:szCs w:val="20"/>
                <w:color w:val="auto"/>
              </w:rPr>
              <w:t>9,328</w:t>
            </w:r>
          </w:p>
        </w:tc>
        <w:tc>
          <w:tcPr>
            <w:tcW w:w="280" w:type="dxa"/>
            <w:vAlign w:val="bottom"/>
          </w:tcPr>
          <w:p>
            <w:pPr>
              <w:spacing w:after="0"/>
              <w:rPr>
                <w:sz w:val="22"/>
                <w:szCs w:val="22"/>
                <w:color w:val="auto"/>
              </w:rPr>
            </w:pPr>
          </w:p>
        </w:tc>
        <w:tc>
          <w:tcPr>
            <w:tcW w:w="920" w:type="dxa"/>
            <w:vAlign w:val="bottom"/>
          </w:tcPr>
          <w:p>
            <w:pPr>
              <w:jc w:val="right"/>
              <w:ind w:right="60"/>
              <w:spacing w:after="0"/>
              <w:rPr>
                <w:sz w:val="20"/>
                <w:szCs w:val="20"/>
                <w:color w:val="auto"/>
              </w:rPr>
            </w:pPr>
            <w:r>
              <w:rPr>
                <w:rFonts w:ascii="Arial" w:cs="Arial" w:eastAsia="Arial" w:hAnsi="Arial"/>
                <w:sz w:val="20"/>
                <w:szCs w:val="20"/>
                <w:color w:val="auto"/>
              </w:rPr>
              <w:t>8,543</w:t>
            </w:r>
          </w:p>
        </w:tc>
        <w:tc>
          <w:tcPr>
            <w:tcW w:w="1140" w:type="dxa"/>
            <w:vAlign w:val="bottom"/>
          </w:tcPr>
          <w:p>
            <w:pPr>
              <w:jc w:val="right"/>
              <w:spacing w:after="0"/>
              <w:rPr>
                <w:sz w:val="20"/>
                <w:szCs w:val="20"/>
                <w:color w:val="auto"/>
              </w:rPr>
            </w:pPr>
            <w:r>
              <w:rPr>
                <w:rFonts w:ascii="Arial" w:cs="Arial" w:eastAsia="Arial" w:hAnsi="Arial"/>
                <w:sz w:val="20"/>
                <w:szCs w:val="20"/>
                <w:color w:val="auto"/>
              </w:rPr>
              <w:t>7,520</w:t>
            </w:r>
          </w:p>
        </w:tc>
      </w:tr>
      <w:tr>
        <w:trPr>
          <w:trHeight w:val="41"/>
        </w:trPr>
        <w:tc>
          <w:tcPr>
            <w:tcW w:w="52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5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Net occupancy expense</w:t>
            </w:r>
          </w:p>
        </w:tc>
        <w:tc>
          <w:tcPr>
            <w:tcW w:w="18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4,430</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4,152</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3,833</w:t>
            </w:r>
          </w:p>
        </w:tc>
      </w:tr>
      <w:tr>
        <w:trPr>
          <w:trHeight w:val="259"/>
        </w:trPr>
        <w:tc>
          <w:tcPr>
            <w:tcW w:w="5260" w:type="dxa"/>
            <w:vAlign w:val="bottom"/>
          </w:tcPr>
          <w:p>
            <w:pPr>
              <w:ind w:left="200"/>
              <w:spacing w:after="0"/>
              <w:rPr>
                <w:sz w:val="20"/>
                <w:szCs w:val="20"/>
                <w:color w:val="auto"/>
              </w:rPr>
            </w:pPr>
            <w:r>
              <w:rPr>
                <w:rFonts w:ascii="Arial" w:cs="Arial" w:eastAsia="Arial" w:hAnsi="Arial"/>
                <w:sz w:val="20"/>
                <w:szCs w:val="20"/>
                <w:color w:val="auto"/>
              </w:rPr>
              <w:t>Furniture and equipment</w:t>
            </w:r>
          </w:p>
        </w:tc>
        <w:tc>
          <w:tcPr>
            <w:tcW w:w="1800" w:type="dxa"/>
            <w:vAlign w:val="bottom"/>
          </w:tcPr>
          <w:p>
            <w:pPr>
              <w:jc w:val="right"/>
              <w:ind w:right="60"/>
              <w:spacing w:after="0"/>
              <w:rPr>
                <w:sz w:val="20"/>
                <w:szCs w:val="20"/>
                <w:color w:val="auto"/>
              </w:rPr>
            </w:pPr>
            <w:r>
              <w:rPr>
                <w:rFonts w:ascii="Arial" w:cs="Arial" w:eastAsia="Arial" w:hAnsi="Arial"/>
                <w:sz w:val="20"/>
                <w:szCs w:val="20"/>
                <w:color w:val="auto"/>
              </w:rPr>
              <w:t>5,576</w:t>
            </w:r>
          </w:p>
        </w:tc>
        <w:tc>
          <w:tcPr>
            <w:tcW w:w="280" w:type="dxa"/>
            <w:vAlign w:val="bottom"/>
          </w:tcPr>
          <w:p>
            <w:pPr>
              <w:spacing w:after="0"/>
              <w:rPr>
                <w:sz w:val="22"/>
                <w:szCs w:val="22"/>
                <w:color w:val="auto"/>
              </w:rPr>
            </w:pPr>
          </w:p>
        </w:tc>
        <w:tc>
          <w:tcPr>
            <w:tcW w:w="920" w:type="dxa"/>
            <w:vAlign w:val="bottom"/>
          </w:tcPr>
          <w:p>
            <w:pPr>
              <w:jc w:val="right"/>
              <w:ind w:right="60"/>
              <w:spacing w:after="0"/>
              <w:rPr>
                <w:sz w:val="20"/>
                <w:szCs w:val="20"/>
                <w:color w:val="auto"/>
              </w:rPr>
            </w:pPr>
            <w:r>
              <w:rPr>
                <w:rFonts w:ascii="Arial" w:cs="Arial" w:eastAsia="Arial" w:hAnsi="Arial"/>
                <w:sz w:val="20"/>
                <w:szCs w:val="20"/>
                <w:color w:val="auto"/>
              </w:rPr>
              <w:t>5,264</w:t>
            </w:r>
          </w:p>
        </w:tc>
        <w:tc>
          <w:tcPr>
            <w:tcW w:w="1140" w:type="dxa"/>
            <w:vAlign w:val="bottom"/>
          </w:tcPr>
          <w:p>
            <w:pPr>
              <w:jc w:val="right"/>
              <w:spacing w:after="0"/>
              <w:rPr>
                <w:sz w:val="20"/>
                <w:szCs w:val="20"/>
                <w:color w:val="auto"/>
              </w:rPr>
            </w:pPr>
            <w:r>
              <w:rPr>
                <w:rFonts w:ascii="Arial" w:cs="Arial" w:eastAsia="Arial" w:hAnsi="Arial"/>
                <w:sz w:val="20"/>
                <w:szCs w:val="20"/>
                <w:color w:val="auto"/>
              </w:rPr>
              <w:t>5,022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-7053580</wp:posOffset>
            </wp:positionV>
            <wp:extent cx="212915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9">
                      <a:extLst>
                        <a:ext uri="{28A0092B-C50C-407E-A947-70E740481C1C}"/>
                      </a:extLst>
                    </a:blip>
                    <a:srcRect/>
                    <a:stretch>
                      <a:fillRect/>
                    </a:stretch>
                  </pic:blipFill>
                  <pic:spPr bwMode="auto">
                    <a:xfrm>
                      <a:off x="0" y="0"/>
                      <a:ext cx="2129155" cy="6350"/>
                    </a:xfrm>
                    <a:prstGeom prst="rect">
                      <a:avLst/>
                    </a:prstGeom>
                    <a:noFill/>
                  </pic:spPr>
                </pic:pic>
              </a:graphicData>
            </a:graphic>
          </wp:anchor>
        </w:drawing>
        <w:drawing>
          <wp:anchor simplePos="0" relativeHeight="251657728" behindDoc="1" locked="0" layoutInCell="0" allowOverlap="1">
            <wp:simplePos x="0" y="0"/>
            <wp:positionH relativeFrom="column">
              <wp:posOffset>3775075</wp:posOffset>
            </wp:positionH>
            <wp:positionV relativeFrom="paragraph">
              <wp:posOffset>-5523230</wp:posOffset>
            </wp:positionV>
            <wp:extent cx="212915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0">
                      <a:extLst>
                        <a:ext uri="{28A0092B-C50C-407E-A947-70E740481C1C}"/>
                      </a:extLst>
                    </a:blip>
                    <a:srcRect/>
                    <a:stretch>
                      <a:fillRect/>
                    </a:stretch>
                  </pic:blipFill>
                  <pic:spPr bwMode="auto">
                    <a:xfrm>
                      <a:off x="0" y="0"/>
                      <a:ext cx="2129155" cy="6350"/>
                    </a:xfrm>
                    <a:prstGeom prst="rect">
                      <a:avLst/>
                    </a:prstGeom>
                    <a:noFill/>
                  </pic:spPr>
                </pic:pic>
              </a:graphicData>
            </a:graphic>
          </wp:anchor>
        </w:drawing>
        <w:drawing>
          <wp:anchor simplePos="0" relativeHeight="251657728" behindDoc="1" locked="0" layoutInCell="0" allowOverlap="1">
            <wp:simplePos x="0" y="0"/>
            <wp:positionH relativeFrom="column">
              <wp:posOffset>3775075</wp:posOffset>
            </wp:positionH>
            <wp:positionV relativeFrom="paragraph">
              <wp:posOffset>-4183380</wp:posOffset>
            </wp:positionV>
            <wp:extent cx="212915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1">
                      <a:extLst>
                        <a:ext uri="{28A0092B-C50C-407E-A947-70E740481C1C}"/>
                      </a:extLst>
                    </a:blip>
                    <a:srcRect/>
                    <a:stretch>
                      <a:fillRect/>
                    </a:stretch>
                  </pic:blipFill>
                  <pic:spPr bwMode="auto">
                    <a:xfrm>
                      <a:off x="0" y="0"/>
                      <a:ext cx="2129155" cy="6350"/>
                    </a:xfrm>
                    <a:prstGeom prst="rect">
                      <a:avLst/>
                    </a:prstGeom>
                    <a:noFill/>
                  </pic:spPr>
                </pic:pic>
              </a:graphicData>
            </a:graphic>
          </wp:anchor>
        </w:drawing>
        <w:drawing>
          <wp:anchor simplePos="0" relativeHeight="251657728" behindDoc="1" locked="0" layoutInCell="0" allowOverlap="1">
            <wp:simplePos x="0" y="0"/>
            <wp:positionH relativeFrom="column">
              <wp:posOffset>3775075</wp:posOffset>
            </wp:positionH>
            <wp:positionV relativeFrom="paragraph">
              <wp:posOffset>-3986530</wp:posOffset>
            </wp:positionV>
            <wp:extent cx="218821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2">
                      <a:extLst>
                        <a:ext uri="{28A0092B-C50C-407E-A947-70E740481C1C}"/>
                      </a:extLst>
                    </a:blip>
                    <a:srcRect/>
                    <a:stretch>
                      <a:fillRect/>
                    </a:stretch>
                  </pic:blipFill>
                  <pic:spPr bwMode="auto">
                    <a:xfrm>
                      <a:off x="0" y="0"/>
                      <a:ext cx="2188210" cy="6350"/>
                    </a:xfrm>
                    <a:prstGeom prst="rect">
                      <a:avLst/>
                    </a:prstGeom>
                    <a:noFill/>
                  </pic:spPr>
                </pic:pic>
              </a:graphicData>
            </a:graphic>
          </wp:anchor>
        </w:drawing>
        <w:drawing>
          <wp:anchor simplePos="0" relativeHeight="251657728" behindDoc="1" locked="0" layoutInCell="0" allowOverlap="1">
            <wp:simplePos x="0" y="0"/>
            <wp:positionH relativeFrom="column">
              <wp:posOffset>3775075</wp:posOffset>
            </wp:positionH>
            <wp:positionV relativeFrom="paragraph">
              <wp:posOffset>-3224530</wp:posOffset>
            </wp:positionV>
            <wp:extent cx="212915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3">
                      <a:extLst>
                        <a:ext uri="{28A0092B-C50C-407E-A947-70E740481C1C}"/>
                      </a:extLst>
                    </a:blip>
                    <a:srcRect/>
                    <a:stretch>
                      <a:fillRect/>
                    </a:stretch>
                  </pic:blipFill>
                  <pic:spPr bwMode="auto">
                    <a:xfrm>
                      <a:off x="0" y="0"/>
                      <a:ext cx="2129155" cy="6350"/>
                    </a:xfrm>
                    <a:prstGeom prst="rect">
                      <a:avLst/>
                    </a:prstGeom>
                    <a:noFill/>
                  </pic:spPr>
                </pic:pic>
              </a:graphicData>
            </a:graphic>
          </wp:anchor>
        </w:drawing>
        <w:drawing>
          <wp:anchor simplePos="0" relativeHeight="251657728" behindDoc="1" locked="0" layoutInCell="0" allowOverlap="1">
            <wp:simplePos x="0" y="0"/>
            <wp:positionH relativeFrom="column">
              <wp:posOffset>3775075</wp:posOffset>
            </wp:positionH>
            <wp:positionV relativeFrom="paragraph">
              <wp:posOffset>-1122680</wp:posOffset>
            </wp:positionV>
            <wp:extent cx="2129155"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4">
                      <a:extLst>
                        <a:ext uri="{28A0092B-C50C-407E-A947-70E740481C1C}"/>
                      </a:extLst>
                    </a:blip>
                    <a:srcRect/>
                    <a:stretch>
                      <a:fillRect/>
                    </a:stretch>
                  </pic:blipFill>
                  <pic:spPr bwMode="auto">
                    <a:xfrm>
                      <a:off x="0" y="0"/>
                      <a:ext cx="212915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30</w:t>
      </w:r>
    </w:p>
    <w:p>
      <w:pPr>
        <w:sectPr>
          <w:pgSz w:w="11900" w:h="16838" w:orient="portrait"/>
          <w:cols w:equalWidth="0" w:num="1">
            <w:col w:w="9400"/>
          </w:cols>
          <w:pgMar w:left="1260" w:top="1440" w:right="1246" w:bottom="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59"/>
        </w:trPr>
        <w:tc>
          <w:tcPr>
            <w:tcW w:w="39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Data processing</w:t>
            </w:r>
          </w:p>
        </w:tc>
        <w:tc>
          <w:tcPr>
            <w:tcW w:w="3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3,687</w:t>
            </w:r>
          </w:p>
        </w:tc>
      </w:tr>
      <w:tr>
        <w:trPr>
          <w:trHeight w:val="41"/>
        </w:trPr>
        <w:tc>
          <w:tcPr>
            <w:tcW w:w="3980" w:type="dxa"/>
            <w:vAlign w:val="bottom"/>
            <w:shd w:val="clear" w:color="auto" w:fill="CFF0FC"/>
          </w:tcPr>
          <w:p>
            <w:pPr>
              <w:spacing w:after="0"/>
              <w:rPr>
                <w:sz w:val="3"/>
                <w:szCs w:val="3"/>
                <w:color w:val="auto"/>
              </w:rPr>
            </w:pPr>
          </w:p>
        </w:tc>
        <w:tc>
          <w:tcPr>
            <w:tcW w:w="3020" w:type="dxa"/>
            <w:vAlign w:val="bottom"/>
            <w:shd w:val="clear" w:color="auto" w:fill="CFF0FC"/>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9206"/>
          </w:cols>
          <w:pgMar w:left="1260" w:top="113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30 / 30</w:t>
      </w:r>
    </w:p>
    <w:p>
      <w:pPr>
        <w:sectPr>
          <w:pgSz w:w="11900" w:h="16838" w:orient="portrait"/>
          <w:cols w:equalWidth="0" w:num="1">
            <w:col w:w="9206"/>
          </w:cols>
          <w:pgMar w:left="1260" w:top="1133" w:right="1440" w:bottom="0" w:gutter="0" w:footer="0" w:header="0"/>
          <w:type w:val="continuous"/>
        </w:sectPr>
      </w:pPr>
    </w:p>
    <w:bookmarkStart w:id="118" w:name="page119"/>
    <w:bookmarkEnd w:id="118"/>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3,147</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Franchise taxes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1,487</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ATM expense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2,611</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Advertising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2,199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2,606</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FDIC assessment</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 / 32</w:t>
      </w:r>
    </w:p>
    <w:p>
      <w:pPr>
        <w:sectPr>
          <w:pgSz w:w="11900" w:h="16838" w:orient="portrait"/>
          <w:cols w:equalWidth="0" w:num="1">
            <w:col w:w="9220"/>
          </w:cols>
          <w:pgMar w:left="1440" w:top="1440" w:right="1246" w:bottom="0" w:gutter="0" w:footer="0" w:header="0"/>
          <w:type w:val="continuous"/>
        </w:sectPr>
      </w:pPr>
    </w:p>
    <w:bookmarkStart w:id="119" w:name="page120"/>
    <w:bookmarkEnd w:id="119"/>
    <w:p>
      <w:pPr>
        <w:spacing w:after="0" w:line="32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1,982</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Servicing rights amortization - net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611</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Loan expense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1,055</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Consulting fees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877</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2 / 32</w:t>
      </w:r>
    </w:p>
    <w:p>
      <w:pPr>
        <w:sectPr>
          <w:pgSz w:w="11900" w:h="16838" w:orient="portrait"/>
          <w:cols w:equalWidth="0" w:num="1">
            <w:col w:w="9220"/>
          </w:cols>
          <w:pgMar w:left="1440" w:top="1440" w:right="1246" w:bottom="0" w:gutter="0" w:footer="0" w:header="0"/>
          <w:type w:val="continuous"/>
        </w:sectPr>
      </w:pPr>
    </w:p>
    <w:bookmarkStart w:id="120" w:name="page121"/>
    <w:bookmarkEnd w:id="120"/>
    <w:p>
      <w:pPr>
        <w:spacing w:after="0" w:line="2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832</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Professional fees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1,929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1,430</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Intangible asset amortization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1,780</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Other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5,937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5,421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6,373</w:t>
      </w:r>
    </w:p>
    <w:p>
      <w:pPr>
        <w:spacing w:after="0" w:line="37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Total noninterest expense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76,812</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 / 32</w:t>
      </w:r>
    </w:p>
    <w:p>
      <w:pPr>
        <w:sectPr>
          <w:pgSz w:w="11900" w:h="16838" w:orient="portrait"/>
          <w:cols w:equalWidth="0" w:num="1">
            <w:col w:w="9220"/>
          </w:cols>
          <w:pgMar w:left="1440" w:top="1440" w:right="1246" w:bottom="0" w:gutter="0" w:footer="0" w:header="0"/>
          <w:type w:val="continuous"/>
        </w:sectPr>
      </w:pPr>
    </w:p>
    <w:bookmarkStart w:id="121" w:name="page122"/>
    <w:bookmarkEnd w:id="121"/>
    <w:p>
      <w:pPr>
        <w:spacing w:after="0" w:line="2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68,687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67,204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4 / 32</w:t>
      </w:r>
    </w:p>
    <w:p>
      <w:pPr>
        <w:sectPr>
          <w:pgSz w:w="11900" w:h="16838" w:orient="portrait"/>
          <w:cols w:equalWidth="0" w:num="1">
            <w:col w:w="9220"/>
          </w:cols>
          <w:pgMar w:left="1440" w:top="1440" w:right="1246" w:bottom="0" w:gutter="0" w:footer="0" w:header="0"/>
          <w:type w:val="continuous"/>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20"/>
                <w:szCs w:val="20"/>
                <w:b w:val="1"/>
                <w:bCs w:val="1"/>
                <w:color w:val="auto"/>
                <w:w w:val="97"/>
              </w:rPr>
              <w:t>Farmers &amp; Merchants Bancorp, Inc. and Subsidiaries</w:t>
            </w: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600"/>
        </w:trPr>
        <w:tc>
          <w:tcPr>
            <w:tcW w:w="4940" w:type="dxa"/>
            <w:vAlign w:val="bottom"/>
          </w:tcPr>
          <w:p>
            <w:pPr>
              <w:spacing w:after="0"/>
              <w:rPr>
                <w:sz w:val="24"/>
                <w:szCs w:val="24"/>
                <w:color w:val="auto"/>
              </w:rPr>
            </w:pPr>
          </w:p>
        </w:tc>
        <w:tc>
          <w:tcPr>
            <w:tcW w:w="4460" w:type="dxa"/>
            <w:vAlign w:val="bottom"/>
            <w:gridSpan w:val="6"/>
          </w:tcPr>
          <w:p>
            <w:pPr>
              <w:jc w:val="right"/>
              <w:spacing w:after="0"/>
              <w:rPr>
                <w:sz w:val="20"/>
                <w:szCs w:val="20"/>
                <w:color w:val="auto"/>
              </w:rPr>
            </w:pPr>
            <w:r>
              <w:rPr>
                <w:rFonts w:ascii="Arial" w:cs="Arial" w:eastAsia="Arial" w:hAnsi="Arial"/>
                <w:sz w:val="20"/>
                <w:szCs w:val="20"/>
                <w:b w:val="1"/>
                <w:bCs w:val="1"/>
                <w:color w:val="auto"/>
                <w:w w:val="97"/>
              </w:rPr>
              <w:t>Consolidated Statements of Income (continued)</w:t>
            </w:r>
          </w:p>
        </w:tc>
      </w:tr>
      <w:tr>
        <w:trPr>
          <w:trHeight w:val="300"/>
        </w:trPr>
        <w:tc>
          <w:tcPr>
            <w:tcW w:w="4940" w:type="dxa"/>
            <w:vAlign w:val="bottom"/>
          </w:tcPr>
          <w:p>
            <w:pPr>
              <w:spacing w:after="0"/>
              <w:rPr>
                <w:sz w:val="24"/>
                <w:szCs w:val="24"/>
                <w:color w:val="auto"/>
              </w:rPr>
            </w:pPr>
          </w:p>
        </w:tc>
        <w:tc>
          <w:tcPr>
            <w:tcW w:w="4460" w:type="dxa"/>
            <w:vAlign w:val="bottom"/>
            <w:gridSpan w:val="6"/>
          </w:tcPr>
          <w:p>
            <w:pPr>
              <w:jc w:val="right"/>
              <w:spacing w:after="0"/>
              <w:rPr>
                <w:sz w:val="20"/>
                <w:szCs w:val="20"/>
                <w:color w:val="auto"/>
              </w:rPr>
            </w:pPr>
            <w:r>
              <w:rPr>
                <w:rFonts w:ascii="Arial" w:cs="Arial" w:eastAsia="Arial" w:hAnsi="Arial"/>
                <w:sz w:val="20"/>
                <w:szCs w:val="20"/>
                <w:b w:val="1"/>
                <w:bCs w:val="1"/>
                <w:color w:val="auto"/>
                <w:w w:val="97"/>
              </w:rPr>
              <w:t>Years Ended December 31, 2025, 2024 and 2023</w:t>
            </w:r>
          </w:p>
        </w:tc>
      </w:tr>
      <w:tr>
        <w:trPr>
          <w:trHeight w:val="300"/>
        </w:trPr>
        <w:tc>
          <w:tcPr>
            <w:tcW w:w="4940" w:type="dxa"/>
            <w:vAlign w:val="bottom"/>
          </w:tcPr>
          <w:p>
            <w:pPr>
              <w:spacing w:after="0"/>
              <w:rPr>
                <w:sz w:val="24"/>
                <w:szCs w:val="24"/>
                <w:color w:val="auto"/>
              </w:rPr>
            </w:pPr>
          </w:p>
        </w:tc>
        <w:tc>
          <w:tcPr>
            <w:tcW w:w="4460" w:type="dxa"/>
            <w:vAlign w:val="bottom"/>
            <w:gridSpan w:val="6"/>
          </w:tcPr>
          <w:p>
            <w:pPr>
              <w:jc w:val="right"/>
              <w:spacing w:after="0"/>
              <w:rPr>
                <w:sz w:val="20"/>
                <w:szCs w:val="20"/>
                <w:color w:val="auto"/>
              </w:rPr>
            </w:pPr>
            <w:r>
              <w:rPr>
                <w:rFonts w:ascii="Arial" w:cs="Arial" w:eastAsia="Arial" w:hAnsi="Arial"/>
                <w:sz w:val="20"/>
                <w:szCs w:val="20"/>
                <w:b w:val="1"/>
                <w:bCs w:val="1"/>
                <w:color w:val="auto"/>
              </w:rPr>
              <w:t>(000’s Omitted, Except Per Share Data)</w:t>
            </w:r>
          </w:p>
        </w:tc>
      </w:tr>
      <w:tr>
        <w:trPr>
          <w:trHeight w:val="630"/>
        </w:trPr>
        <w:tc>
          <w:tcPr>
            <w:tcW w:w="4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jc w:val="right"/>
              <w:ind w:right="300"/>
              <w:spacing w:after="0"/>
              <w:rPr>
                <w:sz w:val="20"/>
                <w:szCs w:val="20"/>
                <w:color w:val="auto"/>
              </w:rPr>
            </w:pPr>
            <w:r>
              <w:rPr>
                <w:rFonts w:ascii="Arial" w:cs="Arial" w:eastAsia="Arial" w:hAnsi="Arial"/>
                <w:sz w:val="20"/>
                <w:szCs w:val="20"/>
                <w:color w:val="auto"/>
              </w:rPr>
              <w:t>2025</w:t>
            </w:r>
          </w:p>
        </w:tc>
        <w:tc>
          <w:tcPr>
            <w:tcW w:w="320" w:type="dxa"/>
            <w:vAlign w:val="bottom"/>
          </w:tcPr>
          <w:p>
            <w:pPr>
              <w:spacing w:after="0"/>
              <w:rPr>
                <w:sz w:val="24"/>
                <w:szCs w:val="24"/>
                <w:color w:val="auto"/>
              </w:rPr>
            </w:pPr>
          </w:p>
        </w:tc>
        <w:tc>
          <w:tcPr>
            <w:tcW w:w="880" w:type="dxa"/>
            <w:vAlign w:val="bottom"/>
          </w:tcPr>
          <w:p>
            <w:pPr>
              <w:jc w:val="right"/>
              <w:ind w:right="300"/>
              <w:spacing w:after="0"/>
              <w:rPr>
                <w:sz w:val="20"/>
                <w:szCs w:val="20"/>
                <w:color w:val="auto"/>
              </w:rPr>
            </w:pPr>
            <w:r>
              <w:rPr>
                <w:rFonts w:ascii="Arial" w:cs="Arial" w:eastAsia="Arial" w:hAnsi="Arial"/>
                <w:sz w:val="20"/>
                <w:szCs w:val="20"/>
                <w:color w:val="auto"/>
              </w:rPr>
              <w:t>2024</w:t>
            </w:r>
          </w:p>
        </w:tc>
        <w:tc>
          <w:tcPr>
            <w:tcW w:w="300" w:type="dxa"/>
            <w:vAlign w:val="bottom"/>
          </w:tcPr>
          <w:p>
            <w:pPr>
              <w:spacing w:after="0"/>
              <w:rPr>
                <w:sz w:val="24"/>
                <w:szCs w:val="24"/>
                <w:color w:val="auto"/>
              </w:rPr>
            </w:pPr>
          </w:p>
        </w:tc>
        <w:tc>
          <w:tcPr>
            <w:tcW w:w="880" w:type="dxa"/>
            <w:vAlign w:val="bottom"/>
          </w:tcPr>
          <w:p>
            <w:pPr>
              <w:jc w:val="right"/>
              <w:ind w:right="280"/>
              <w:spacing w:after="0"/>
              <w:rPr>
                <w:sz w:val="20"/>
                <w:szCs w:val="20"/>
                <w:color w:val="auto"/>
              </w:rPr>
            </w:pPr>
            <w:r>
              <w:rPr>
                <w:rFonts w:ascii="Arial" w:cs="Arial" w:eastAsia="Arial" w:hAnsi="Arial"/>
                <w:sz w:val="20"/>
                <w:szCs w:val="20"/>
                <w:color w:val="auto"/>
              </w:rPr>
              <w:t>2023</w:t>
            </w:r>
          </w:p>
        </w:tc>
      </w:tr>
      <w:tr>
        <w:trPr>
          <w:trHeight w:val="51"/>
        </w:trPr>
        <w:tc>
          <w:tcPr>
            <w:tcW w:w="4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80"/>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Income Before Income Taxes</w:t>
            </w:r>
          </w:p>
        </w:tc>
        <w:tc>
          <w:tcPr>
            <w:tcW w:w="12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42,525</w:t>
            </w:r>
          </w:p>
        </w:tc>
        <w:tc>
          <w:tcPr>
            <w:tcW w:w="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32,573</w:t>
            </w:r>
          </w:p>
        </w:tc>
        <w:tc>
          <w:tcPr>
            <w:tcW w:w="3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28,354</w:t>
            </w:r>
          </w:p>
        </w:tc>
      </w:tr>
      <w:tr>
        <w:trPr>
          <w:trHeight w:val="259"/>
        </w:trPr>
        <w:tc>
          <w:tcPr>
            <w:tcW w:w="4940" w:type="dxa"/>
            <w:vAlign w:val="bottom"/>
          </w:tcPr>
          <w:p>
            <w:pPr>
              <w:spacing w:after="0"/>
              <w:rPr>
                <w:sz w:val="20"/>
                <w:szCs w:val="20"/>
                <w:color w:val="auto"/>
              </w:rPr>
            </w:pPr>
            <w:r>
              <w:rPr>
                <w:rFonts w:ascii="Arial" w:cs="Arial" w:eastAsia="Arial" w:hAnsi="Arial"/>
                <w:sz w:val="20"/>
                <w:szCs w:val="20"/>
                <w:b w:val="1"/>
                <w:bCs w:val="1"/>
                <w:color w:val="auto"/>
              </w:rPr>
              <w:t>Income Taxes</w:t>
            </w:r>
          </w:p>
        </w:tc>
        <w:tc>
          <w:tcPr>
            <w:tcW w:w="120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9,216</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6,635</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5,567</w:t>
            </w:r>
          </w:p>
        </w:tc>
      </w:tr>
      <w:tr>
        <w:trPr>
          <w:trHeight w:val="51"/>
        </w:trPr>
        <w:tc>
          <w:tcPr>
            <w:tcW w:w="4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9"/>
        </w:trPr>
        <w:tc>
          <w:tcPr>
            <w:tcW w:w="49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Net Income</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33,309</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25,938</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22,787</w:t>
            </w:r>
          </w:p>
        </w:tc>
      </w:tr>
      <w:tr>
        <w:trPr>
          <w:trHeight w:val="86"/>
        </w:trPr>
        <w:tc>
          <w:tcPr>
            <w:tcW w:w="4940" w:type="dxa"/>
            <w:vAlign w:val="bottom"/>
            <w:shd w:val="clear" w:color="auto" w:fill="CFF0FC"/>
          </w:tcPr>
          <w:p>
            <w:pPr>
              <w:spacing w:after="0"/>
              <w:rPr>
                <w:sz w:val="7"/>
                <w:szCs w:val="7"/>
                <w:color w:val="auto"/>
              </w:rPr>
            </w:pPr>
          </w:p>
        </w:tc>
        <w:tc>
          <w:tcPr>
            <w:tcW w:w="120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r>
      <w:tr>
        <w:trPr>
          <w:trHeight w:val="300"/>
        </w:trPr>
        <w:tc>
          <w:tcPr>
            <w:tcW w:w="4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9"/>
        </w:trPr>
        <w:tc>
          <w:tcPr>
            <w:tcW w:w="49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Basic Earnings Per Share</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2.43</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1.90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1.67</w:t>
            </w:r>
          </w:p>
        </w:tc>
      </w:tr>
      <w:tr>
        <w:trPr>
          <w:trHeight w:val="86"/>
        </w:trPr>
        <w:tc>
          <w:tcPr>
            <w:tcW w:w="4940" w:type="dxa"/>
            <w:vAlign w:val="bottom"/>
            <w:shd w:val="clear" w:color="auto" w:fill="CFF0FC"/>
          </w:tcPr>
          <w:p>
            <w:pPr>
              <w:spacing w:after="0"/>
              <w:rPr>
                <w:sz w:val="7"/>
                <w:szCs w:val="7"/>
                <w:color w:val="auto"/>
              </w:rPr>
            </w:pPr>
          </w:p>
        </w:tc>
        <w:tc>
          <w:tcPr>
            <w:tcW w:w="120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r>
      <w:tr>
        <w:trPr>
          <w:trHeight w:val="259"/>
        </w:trPr>
        <w:tc>
          <w:tcPr>
            <w:tcW w:w="4940" w:type="dxa"/>
            <w:vAlign w:val="bottom"/>
          </w:tcPr>
          <w:p>
            <w:pPr>
              <w:spacing w:after="0"/>
              <w:rPr>
                <w:sz w:val="20"/>
                <w:szCs w:val="20"/>
                <w:color w:val="auto"/>
              </w:rPr>
            </w:pPr>
            <w:r>
              <w:rPr>
                <w:rFonts w:ascii="Arial" w:cs="Arial" w:eastAsia="Arial" w:hAnsi="Arial"/>
                <w:sz w:val="20"/>
                <w:szCs w:val="20"/>
                <w:b w:val="1"/>
                <w:bCs w:val="1"/>
                <w:color w:val="auto"/>
              </w:rPr>
              <w:t>Diluted Earnings Per Share</w:t>
            </w: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2.43</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1.90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1.67</w:t>
            </w:r>
          </w:p>
        </w:tc>
      </w:tr>
      <w:tr>
        <w:trPr>
          <w:trHeight w:val="86"/>
        </w:trPr>
        <w:tc>
          <w:tcPr>
            <w:tcW w:w="4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59"/>
        </w:trPr>
        <w:tc>
          <w:tcPr>
            <w:tcW w:w="49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Dividends Declared</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0.9000</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0.8825</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0.8500</w:t>
            </w:r>
          </w:p>
        </w:tc>
      </w:tr>
      <w:tr>
        <w:trPr>
          <w:trHeight w:val="86"/>
        </w:trPr>
        <w:tc>
          <w:tcPr>
            <w:tcW w:w="4940" w:type="dxa"/>
            <w:vAlign w:val="bottom"/>
            <w:shd w:val="clear" w:color="auto" w:fill="CFF0FC"/>
          </w:tcPr>
          <w:p>
            <w:pPr>
              <w:spacing w:after="0"/>
              <w:rPr>
                <w:sz w:val="7"/>
                <w:szCs w:val="7"/>
                <w:color w:val="auto"/>
              </w:rPr>
            </w:pPr>
          </w:p>
        </w:tc>
        <w:tc>
          <w:tcPr>
            <w:tcW w:w="120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-1459865</wp:posOffset>
            </wp:positionV>
            <wp:extent cx="212598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6">
                      <a:extLst>
                        <a:ext uri="{28A0092B-C50C-407E-A947-70E740481C1C}"/>
                      </a:extLst>
                    </a:blip>
                    <a:srcRect/>
                    <a:stretch>
                      <a:fillRect/>
                    </a:stretch>
                  </pic:blipFill>
                  <pic:spPr bwMode="auto">
                    <a:xfrm>
                      <a:off x="0" y="0"/>
                      <a:ext cx="2125980" cy="635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-1072515</wp:posOffset>
            </wp:positionV>
            <wp:extent cx="212598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7">
                      <a:extLst>
                        <a:ext uri="{28A0092B-C50C-407E-A947-70E740481C1C}"/>
                      </a:extLst>
                    </a:blip>
                    <a:srcRect/>
                    <a:stretch>
                      <a:fillRect/>
                    </a:stretch>
                  </pic:blipFill>
                  <pic:spPr bwMode="auto">
                    <a:xfrm>
                      <a:off x="0" y="0"/>
                      <a:ext cx="2125980" cy="635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-875665</wp:posOffset>
            </wp:positionV>
            <wp:extent cx="2185670" cy="285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8">
                      <a:extLst>
                        <a:ext uri="{28A0092B-C50C-407E-A947-70E740481C1C}"/>
                      </a:extLst>
                    </a:blip>
                    <a:srcRect/>
                    <a:stretch>
                      <a:fillRect/>
                    </a:stretch>
                  </pic:blipFill>
                  <pic:spPr bwMode="auto">
                    <a:xfrm>
                      <a:off x="0" y="0"/>
                      <a:ext cx="2185670" cy="2857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-466090</wp:posOffset>
            </wp:positionV>
            <wp:extent cx="2185670" cy="285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9">
                      <a:extLst>
                        <a:ext uri="{28A0092B-C50C-407E-A947-70E740481C1C}"/>
                      </a:extLst>
                    </a:blip>
                    <a:srcRect/>
                    <a:stretch>
                      <a:fillRect/>
                    </a:stretch>
                  </pic:blipFill>
                  <pic:spPr bwMode="auto">
                    <a:xfrm>
                      <a:off x="0" y="0"/>
                      <a:ext cx="2185670" cy="2857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-247015</wp:posOffset>
            </wp:positionV>
            <wp:extent cx="2125980" cy="285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0">
                      <a:extLst>
                        <a:ext uri="{28A0092B-C50C-407E-A947-70E740481C1C}"/>
                      </a:extLst>
                    </a:blip>
                    <a:srcRect/>
                    <a:stretch>
                      <a:fillRect/>
                    </a:stretch>
                  </pic:blipFill>
                  <pic:spPr bwMode="auto">
                    <a:xfrm>
                      <a:off x="0" y="0"/>
                      <a:ext cx="2125980" cy="2857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-27940</wp:posOffset>
            </wp:positionV>
            <wp:extent cx="2185670" cy="285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1">
                      <a:extLst>
                        <a:ext uri="{28A0092B-C50C-407E-A947-70E740481C1C}"/>
                      </a:extLst>
                    </a:blip>
                    <a:srcRect/>
                    <a:stretch>
                      <a:fillRect/>
                    </a:stretch>
                  </pic:blipFill>
                  <pic:spPr bwMode="auto">
                    <a:xfrm>
                      <a:off x="0" y="0"/>
                      <a:ext cx="2185670" cy="2857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32</w:t>
      </w:r>
    </w:p>
    <w:p>
      <w:pPr>
        <w:sectPr>
          <w:pgSz w:w="11900" w:h="16838" w:orient="portrait"/>
          <w:cols w:equalWidth="0" w:num="1">
            <w:col w:w="9400"/>
          </w:cols>
          <w:pgMar w:left="1260" w:top="1440" w:right="1246" w:bottom="0" w:gutter="0" w:footer="0" w:header="0"/>
          <w:type w:val="continuous"/>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ind w:left="40"/>
              <w:spacing w:after="0"/>
              <w:rPr>
                <w:sz w:val="20"/>
                <w:szCs w:val="20"/>
                <w:color w:val="auto"/>
              </w:rPr>
            </w:pPr>
            <w:r>
              <w:rPr>
                <w:rFonts w:ascii="Arial" w:cs="Arial" w:eastAsia="Arial" w:hAnsi="Arial"/>
                <w:sz w:val="20"/>
                <w:szCs w:val="20"/>
                <w:b w:val="1"/>
                <w:bCs w:val="1"/>
                <w:color w:val="auto"/>
                <w:w w:val="94"/>
              </w:rPr>
              <w:t>Farmers &amp; Merchants Bancorp, Inc. and Subsidiaries</w:t>
            </w: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600"/>
        </w:trPr>
        <w:tc>
          <w:tcPr>
            <w:tcW w:w="4820" w:type="dxa"/>
            <w:vAlign w:val="bottom"/>
          </w:tcPr>
          <w:p>
            <w:pPr>
              <w:spacing w:after="0"/>
              <w:rPr>
                <w:sz w:val="24"/>
                <w:szCs w:val="24"/>
                <w:color w:val="auto"/>
              </w:rPr>
            </w:pPr>
          </w:p>
        </w:tc>
        <w:tc>
          <w:tcPr>
            <w:tcW w:w="4580" w:type="dxa"/>
            <w:vAlign w:val="bottom"/>
            <w:gridSpan w:val="6"/>
          </w:tcPr>
          <w:p>
            <w:pPr>
              <w:jc w:val="center"/>
              <w:ind w:left="80"/>
              <w:spacing w:after="0"/>
              <w:rPr>
                <w:sz w:val="20"/>
                <w:szCs w:val="20"/>
                <w:color w:val="auto"/>
              </w:rPr>
            </w:pPr>
            <w:r>
              <w:rPr>
                <w:rFonts w:ascii="Arial" w:cs="Arial" w:eastAsia="Arial" w:hAnsi="Arial"/>
                <w:sz w:val="20"/>
                <w:szCs w:val="20"/>
                <w:b w:val="1"/>
                <w:bCs w:val="1"/>
                <w:color w:val="auto"/>
                <w:w w:val="88"/>
              </w:rPr>
              <w:t>Consolidated Statements of Comprehensive Income</w:t>
            </w:r>
          </w:p>
        </w:tc>
      </w:tr>
      <w:tr>
        <w:trPr>
          <w:trHeight w:val="300"/>
        </w:trPr>
        <w:tc>
          <w:tcPr>
            <w:tcW w:w="4820" w:type="dxa"/>
            <w:vAlign w:val="bottom"/>
          </w:tcPr>
          <w:p>
            <w:pPr>
              <w:spacing w:after="0"/>
              <w:rPr>
                <w:sz w:val="24"/>
                <w:szCs w:val="24"/>
                <w:color w:val="auto"/>
              </w:rPr>
            </w:pPr>
          </w:p>
        </w:tc>
        <w:tc>
          <w:tcPr>
            <w:tcW w:w="4580" w:type="dxa"/>
            <w:vAlign w:val="bottom"/>
            <w:gridSpan w:val="6"/>
          </w:tcPr>
          <w:p>
            <w:pPr>
              <w:jc w:val="right"/>
              <w:spacing w:after="0"/>
              <w:rPr>
                <w:sz w:val="20"/>
                <w:szCs w:val="20"/>
                <w:color w:val="auto"/>
              </w:rPr>
            </w:pPr>
            <w:r>
              <w:rPr>
                <w:rFonts w:ascii="Arial" w:cs="Arial" w:eastAsia="Arial" w:hAnsi="Arial"/>
                <w:sz w:val="20"/>
                <w:szCs w:val="20"/>
                <w:b w:val="1"/>
                <w:bCs w:val="1"/>
                <w:color w:val="auto"/>
              </w:rPr>
              <w:t>Years Ended December 31, 2025, 2024 and 2023</w:t>
            </w:r>
          </w:p>
        </w:tc>
      </w:tr>
      <w:tr>
        <w:trPr>
          <w:trHeight w:val="300"/>
        </w:trPr>
        <w:tc>
          <w:tcPr>
            <w:tcW w:w="4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Arial" w:cs="Arial" w:eastAsia="Arial" w:hAnsi="Arial"/>
                <w:sz w:val="20"/>
                <w:szCs w:val="20"/>
                <w:b w:val="1"/>
                <w:bCs w:val="1"/>
                <w:color w:val="auto"/>
              </w:rPr>
              <w:t>(000’s Omitted)</w:t>
            </w:r>
          </w:p>
        </w:tc>
      </w:tr>
      <w:tr>
        <w:trPr>
          <w:trHeight w:val="644"/>
        </w:trPr>
        <w:tc>
          <w:tcPr>
            <w:tcW w:w="4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jc w:val="right"/>
              <w:ind w:right="300"/>
              <w:spacing w:after="0"/>
              <w:rPr>
                <w:sz w:val="20"/>
                <w:szCs w:val="20"/>
                <w:color w:val="auto"/>
              </w:rPr>
            </w:pPr>
            <w:r>
              <w:rPr>
                <w:rFonts w:ascii="Arial" w:cs="Arial" w:eastAsia="Arial" w:hAnsi="Arial"/>
                <w:sz w:val="20"/>
                <w:szCs w:val="20"/>
                <w:color w:val="auto"/>
              </w:rPr>
              <w:t>2025</w:t>
            </w:r>
          </w:p>
        </w:tc>
        <w:tc>
          <w:tcPr>
            <w:tcW w:w="320" w:type="dxa"/>
            <w:vAlign w:val="bottom"/>
          </w:tcPr>
          <w:p>
            <w:pPr>
              <w:spacing w:after="0"/>
              <w:rPr>
                <w:sz w:val="24"/>
                <w:szCs w:val="24"/>
                <w:color w:val="auto"/>
              </w:rPr>
            </w:pPr>
          </w:p>
        </w:tc>
        <w:tc>
          <w:tcPr>
            <w:tcW w:w="880" w:type="dxa"/>
            <w:vAlign w:val="bottom"/>
          </w:tcPr>
          <w:p>
            <w:pPr>
              <w:jc w:val="right"/>
              <w:ind w:right="300"/>
              <w:spacing w:after="0"/>
              <w:rPr>
                <w:sz w:val="20"/>
                <w:szCs w:val="20"/>
                <w:color w:val="auto"/>
              </w:rPr>
            </w:pPr>
            <w:r>
              <w:rPr>
                <w:rFonts w:ascii="Arial" w:cs="Arial" w:eastAsia="Arial" w:hAnsi="Arial"/>
                <w:sz w:val="20"/>
                <w:szCs w:val="20"/>
                <w:color w:val="auto"/>
              </w:rPr>
              <w:t>2024</w:t>
            </w:r>
          </w:p>
        </w:tc>
        <w:tc>
          <w:tcPr>
            <w:tcW w:w="320" w:type="dxa"/>
            <w:vAlign w:val="bottom"/>
          </w:tcPr>
          <w:p>
            <w:pPr>
              <w:spacing w:after="0"/>
              <w:rPr>
                <w:sz w:val="24"/>
                <w:szCs w:val="24"/>
                <w:color w:val="auto"/>
              </w:rPr>
            </w:pPr>
          </w:p>
        </w:tc>
        <w:tc>
          <w:tcPr>
            <w:tcW w:w="880" w:type="dxa"/>
            <w:vAlign w:val="bottom"/>
          </w:tcPr>
          <w:p>
            <w:pPr>
              <w:jc w:val="right"/>
              <w:ind w:right="300"/>
              <w:spacing w:after="0"/>
              <w:rPr>
                <w:sz w:val="20"/>
                <w:szCs w:val="20"/>
                <w:color w:val="auto"/>
              </w:rPr>
            </w:pPr>
            <w:r>
              <w:rPr>
                <w:rFonts w:ascii="Arial" w:cs="Arial" w:eastAsia="Arial" w:hAnsi="Arial"/>
                <w:sz w:val="20"/>
                <w:szCs w:val="20"/>
                <w:color w:val="auto"/>
              </w:rPr>
              <w:t>2023</w:t>
            </w:r>
          </w:p>
        </w:tc>
      </w:tr>
      <w:tr>
        <w:trPr>
          <w:trHeight w:val="51"/>
        </w:trPr>
        <w:tc>
          <w:tcPr>
            <w:tcW w:w="48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Net Income</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33,309</w:t>
            </w:r>
          </w:p>
        </w:tc>
        <w:tc>
          <w:tcPr>
            <w:tcW w:w="3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25,938</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22,787</w:t>
            </w:r>
          </w:p>
        </w:tc>
      </w:tr>
      <w:tr>
        <w:trPr>
          <w:trHeight w:val="274"/>
        </w:trPr>
        <w:tc>
          <w:tcPr>
            <w:tcW w:w="4820" w:type="dxa"/>
            <w:vAlign w:val="bottom"/>
          </w:tcPr>
          <w:p>
            <w:pPr>
              <w:spacing w:after="0"/>
              <w:rPr>
                <w:sz w:val="20"/>
                <w:szCs w:val="20"/>
                <w:color w:val="auto"/>
              </w:rPr>
            </w:pPr>
            <w:r>
              <w:rPr>
                <w:rFonts w:ascii="Arial" w:cs="Arial" w:eastAsia="Arial" w:hAnsi="Arial"/>
                <w:sz w:val="20"/>
                <w:szCs w:val="20"/>
                <w:b w:val="1"/>
                <w:bCs w:val="1"/>
                <w:color w:val="auto"/>
              </w:rPr>
              <w:t>Other Comprehensive Income (Net of Tax):</w:t>
            </w:r>
          </w:p>
        </w:tc>
        <w:tc>
          <w:tcPr>
            <w:tcW w:w="1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41"/>
        </w:trPr>
        <w:tc>
          <w:tcPr>
            <w:tcW w:w="4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94"/>
        </w:trPr>
        <w:tc>
          <w:tcPr>
            <w:tcW w:w="48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Net unrealized gain on available-for-sale securities</w:t>
            </w:r>
          </w:p>
        </w:tc>
        <w:tc>
          <w:tcPr>
            <w:tcW w:w="1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16,880</w:t>
            </w:r>
          </w:p>
        </w:tc>
        <w:tc>
          <w:tcPr>
            <w:tcW w:w="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4,797</w:t>
            </w:r>
          </w:p>
        </w:tc>
        <w:tc>
          <w:tcPr>
            <w:tcW w:w="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10,781</w:t>
            </w:r>
          </w:p>
        </w:tc>
      </w:tr>
      <w:tr>
        <w:trPr>
          <w:trHeight w:val="274"/>
        </w:trPr>
        <w:tc>
          <w:tcPr>
            <w:tcW w:w="4820" w:type="dxa"/>
            <w:vAlign w:val="bottom"/>
          </w:tcPr>
          <w:p>
            <w:pPr>
              <w:ind w:left="100"/>
              <w:spacing w:after="0"/>
              <w:rPr>
                <w:sz w:val="20"/>
                <w:szCs w:val="20"/>
                <w:color w:val="auto"/>
              </w:rPr>
            </w:pPr>
            <w:r>
              <w:rPr>
                <w:rFonts w:ascii="Arial" w:cs="Arial" w:eastAsia="Arial" w:hAnsi="Arial"/>
                <w:sz w:val="20"/>
                <w:szCs w:val="20"/>
                <w:color w:val="auto"/>
                <w:w w:val="97"/>
              </w:rPr>
              <w:t>Reclassification adjustment for realized loss on sale of</w:t>
            </w:r>
          </w:p>
        </w:tc>
        <w:tc>
          <w:tcPr>
            <w:tcW w:w="1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00"/>
        </w:trPr>
        <w:tc>
          <w:tcPr>
            <w:tcW w:w="4820" w:type="dxa"/>
            <w:vAlign w:val="bottom"/>
          </w:tcPr>
          <w:p>
            <w:pPr>
              <w:ind w:left="260"/>
              <w:spacing w:after="0"/>
              <w:rPr>
                <w:sz w:val="20"/>
                <w:szCs w:val="20"/>
                <w:color w:val="auto"/>
              </w:rPr>
            </w:pPr>
            <w:r>
              <w:rPr>
                <w:rFonts w:ascii="Arial" w:cs="Arial" w:eastAsia="Arial" w:hAnsi="Arial"/>
                <w:sz w:val="20"/>
                <w:szCs w:val="20"/>
                <w:color w:val="auto"/>
              </w:rPr>
              <w:t>available-for-sale securities</w:t>
            </w:r>
          </w:p>
        </w:tc>
        <w:tc>
          <w:tcPr>
            <w:tcW w:w="128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891</w:t>
            </w:r>
          </w:p>
        </w:tc>
      </w:tr>
      <w:tr>
        <w:trPr>
          <w:trHeight w:val="41"/>
        </w:trPr>
        <w:tc>
          <w:tcPr>
            <w:tcW w:w="4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94"/>
        </w:trPr>
        <w:tc>
          <w:tcPr>
            <w:tcW w:w="48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Net unrealized gain on available-for-sale securities</w:t>
            </w:r>
          </w:p>
        </w:tc>
        <w:tc>
          <w:tcPr>
            <w:tcW w:w="1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16,880</w:t>
            </w:r>
          </w:p>
        </w:tc>
        <w:tc>
          <w:tcPr>
            <w:tcW w:w="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4,797</w:t>
            </w:r>
          </w:p>
        </w:tc>
        <w:tc>
          <w:tcPr>
            <w:tcW w:w="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11,672</w:t>
            </w:r>
          </w:p>
        </w:tc>
      </w:tr>
      <w:tr>
        <w:trPr>
          <w:trHeight w:val="274"/>
        </w:trPr>
        <w:tc>
          <w:tcPr>
            <w:tcW w:w="4820" w:type="dxa"/>
            <w:vAlign w:val="bottom"/>
          </w:tcPr>
          <w:p>
            <w:pPr>
              <w:ind w:left="100"/>
              <w:spacing w:after="0"/>
              <w:rPr>
                <w:sz w:val="20"/>
                <w:szCs w:val="20"/>
                <w:color w:val="auto"/>
              </w:rPr>
            </w:pPr>
            <w:r>
              <w:rPr>
                <w:rFonts w:ascii="Arial" w:cs="Arial" w:eastAsia="Arial" w:hAnsi="Arial"/>
                <w:sz w:val="20"/>
                <w:szCs w:val="20"/>
                <w:color w:val="auto"/>
              </w:rPr>
              <w:t>Tax expense</w:t>
            </w:r>
          </w:p>
        </w:tc>
        <w:tc>
          <w:tcPr>
            <w:tcW w:w="1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3,545</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1,008</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2,451</w:t>
            </w:r>
          </w:p>
        </w:tc>
      </w:tr>
      <w:tr>
        <w:trPr>
          <w:trHeight w:val="51"/>
        </w:trPr>
        <w:tc>
          <w:tcPr>
            <w:tcW w:w="48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48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Other comprehensive income</w:t>
            </w:r>
          </w:p>
        </w:tc>
        <w:tc>
          <w:tcPr>
            <w:tcW w:w="1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13,335</w:t>
            </w:r>
          </w:p>
        </w:tc>
        <w:tc>
          <w:tcPr>
            <w:tcW w:w="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3,789</w:t>
            </w:r>
          </w:p>
        </w:tc>
        <w:tc>
          <w:tcPr>
            <w:tcW w:w="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9,221</w:t>
            </w:r>
          </w:p>
        </w:tc>
      </w:tr>
      <w:tr>
        <w:trPr>
          <w:trHeight w:val="274"/>
        </w:trPr>
        <w:tc>
          <w:tcPr>
            <w:tcW w:w="4820" w:type="dxa"/>
            <w:vAlign w:val="bottom"/>
          </w:tcPr>
          <w:p>
            <w:pPr>
              <w:spacing w:after="0"/>
              <w:rPr>
                <w:sz w:val="20"/>
                <w:szCs w:val="20"/>
                <w:color w:val="auto"/>
              </w:rPr>
            </w:pPr>
            <w:r>
              <w:rPr>
                <w:rFonts w:ascii="Arial" w:cs="Arial" w:eastAsia="Arial" w:hAnsi="Arial"/>
                <w:sz w:val="20"/>
                <w:szCs w:val="20"/>
                <w:b w:val="1"/>
                <w:bCs w:val="1"/>
                <w:color w:val="auto"/>
              </w:rPr>
              <w:t>Comprehensive Income</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46,644</w:t>
            </w:r>
          </w:p>
        </w:tc>
        <w:tc>
          <w:tcPr>
            <w:tcW w:w="32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29,727</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32,008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-1786890</wp:posOffset>
            </wp:positionV>
            <wp:extent cx="214820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3">
                      <a:extLst>
                        <a:ext uri="{28A0092B-C50C-407E-A947-70E740481C1C}"/>
                      </a:extLst>
                    </a:blip>
                    <a:srcRect/>
                    <a:stretch>
                      <a:fillRect/>
                    </a:stretch>
                  </pic:blipFill>
                  <pic:spPr bwMode="auto">
                    <a:xfrm>
                      <a:off x="0" y="0"/>
                      <a:ext cx="2148205" cy="6350"/>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-1580515</wp:posOffset>
            </wp:positionV>
            <wp:extent cx="220789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4">
                      <a:extLst>
                        <a:ext uri="{28A0092B-C50C-407E-A947-70E740481C1C}"/>
                      </a:extLst>
                    </a:blip>
                    <a:srcRect/>
                    <a:stretch>
                      <a:fillRect/>
                    </a:stretch>
                  </pic:blipFill>
                  <pic:spPr bwMode="auto">
                    <a:xfrm>
                      <a:off x="0" y="0"/>
                      <a:ext cx="2207895" cy="6350"/>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-791210</wp:posOffset>
            </wp:positionV>
            <wp:extent cx="214820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5">
                      <a:extLst>
                        <a:ext uri="{28A0092B-C50C-407E-A947-70E740481C1C}"/>
                      </a:extLst>
                    </a:blip>
                    <a:srcRect/>
                    <a:stretch>
                      <a:fillRect/>
                    </a:stretch>
                  </pic:blipFill>
                  <pic:spPr bwMode="auto">
                    <a:xfrm>
                      <a:off x="0" y="0"/>
                      <a:ext cx="2148205" cy="6350"/>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-385445</wp:posOffset>
            </wp:positionV>
            <wp:extent cx="2148205"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6">
                      <a:extLst>
                        <a:ext uri="{28A0092B-C50C-407E-A947-70E740481C1C}"/>
                      </a:extLst>
                    </a:blip>
                    <a:srcRect/>
                    <a:stretch>
                      <a:fillRect/>
                    </a:stretch>
                  </pic:blipFill>
                  <pic:spPr bwMode="auto">
                    <a:xfrm>
                      <a:off x="0" y="0"/>
                      <a:ext cx="2148205" cy="6350"/>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-179705</wp:posOffset>
            </wp:positionV>
            <wp:extent cx="2207895"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7">
                      <a:extLst>
                        <a:ext uri="{28A0092B-C50C-407E-A947-70E740481C1C}"/>
                      </a:extLst>
                    </a:blip>
                    <a:srcRect/>
                    <a:stretch>
                      <a:fillRect/>
                    </a:stretch>
                  </pic:blipFill>
                  <pic:spPr bwMode="auto">
                    <a:xfrm>
                      <a:off x="0" y="0"/>
                      <a:ext cx="2207895" cy="6350"/>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26035</wp:posOffset>
            </wp:positionV>
            <wp:extent cx="2148205" cy="285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8">
                      <a:extLst>
                        <a:ext uri="{28A0092B-C50C-407E-A947-70E740481C1C}"/>
                      </a:extLst>
                    </a:blip>
                    <a:srcRect/>
                    <a:stretch>
                      <a:fillRect/>
                    </a:stretch>
                  </pic:blipFill>
                  <pic:spPr bwMode="auto">
                    <a:xfrm>
                      <a:off x="0" y="0"/>
                      <a:ext cx="2148205" cy="2857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Consolidated Financial Statements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32</w:t>
      </w:r>
    </w:p>
    <w:p>
      <w:pPr>
        <w:sectPr>
          <w:pgSz w:w="11900" w:h="16838" w:orient="portrait"/>
          <w:cols w:equalWidth="0" w:num="1">
            <w:col w:w="9400"/>
          </w:cols>
          <w:pgMar w:left="1260" w:top="1440" w:right="1246" w:bottom="0" w:gutter="0" w:footer="0" w:header="0"/>
          <w:type w:val="continuous"/>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Consolidated Statements of Changes to Stockholders’ Equity</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For the Years Ended December 31, 2025, 2024 and 2023</w:t>
      </w:r>
    </w:p>
    <w:p>
      <w:pPr>
        <w:spacing w:after="0" w:line="7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(000’s</w:t>
      </w:r>
    </w:p>
    <w:p>
      <w:pPr>
        <w:spacing w:after="0" w:line="7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Omitted,</w:t>
      </w:r>
    </w:p>
    <w:p>
      <w:pPr>
        <w:spacing w:after="0" w:line="7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Except Per</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Share Data)</w:t>
      </w:r>
    </w:p>
    <w:p>
      <w:pPr>
        <w:spacing w:after="0" w:line="200" w:lineRule="exact"/>
        <w:rPr>
          <w:sz w:val="20"/>
          <w:szCs w:val="20"/>
          <w:color w:val="auto"/>
        </w:rPr>
      </w:pPr>
    </w:p>
    <w:p>
      <w:pPr>
        <w:spacing w:after="0" w:line="212" w:lineRule="exact"/>
        <w:rPr>
          <w:sz w:val="20"/>
          <w:szCs w:val="20"/>
          <w:color w:val="auto"/>
        </w:rPr>
      </w:pPr>
    </w:p>
    <w:tbl>
      <w:tblPr>
        <w:tblLayout w:type="fixed"/>
        <w:tblInd w:w="342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1060" w:type="dxa"/>
            <w:vAlign w:val="bottom"/>
          </w:tcPr>
          <w:p>
            <w:pPr>
              <w:spacing w:after="0"/>
              <w:rPr>
                <w:sz w:val="17"/>
                <w:szCs w:val="17"/>
                <w:color w:val="auto"/>
              </w:rPr>
            </w:pPr>
          </w:p>
        </w:tc>
      </w:tr>
      <w:tr>
        <w:trPr>
          <w:trHeight w:val="284"/>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88"/>
              </w:rPr>
              <w:t>Shares of</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4"/>
              </w:rPr>
              <w:t>Total</w:t>
            </w:r>
          </w:p>
        </w:tc>
      </w:tr>
      <w:tr>
        <w:trPr>
          <w:trHeight w:val="284"/>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3"/>
              </w:rPr>
              <w:t>Common</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Common</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Treasury</w:t>
            </w:r>
          </w:p>
        </w:tc>
        <w:tc>
          <w:tcPr>
            <w:tcW w:w="860" w:type="dxa"/>
            <w:vAlign w:val="bottom"/>
          </w:tcPr>
          <w:p>
            <w:pPr>
              <w:ind w:left="100"/>
              <w:spacing w:after="0"/>
              <w:rPr>
                <w:sz w:val="20"/>
                <w:szCs w:val="20"/>
                <w:color w:val="auto"/>
              </w:rPr>
            </w:pPr>
            <w:r>
              <w:rPr>
                <w:rFonts w:ascii="Arial" w:cs="Arial" w:eastAsia="Arial" w:hAnsi="Arial"/>
                <w:sz w:val="18"/>
                <w:szCs w:val="18"/>
                <w:color w:val="auto"/>
              </w:rPr>
              <w:t>Retained</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Comprehensive</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9"/>
              </w:rPr>
              <w:t>Stockholders'</w:t>
            </w:r>
          </w:p>
        </w:tc>
      </w:tr>
      <w:tr>
        <w:trPr>
          <w:trHeight w:val="284"/>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88"/>
              </w:rPr>
              <w:t>Stock</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860" w:type="dxa"/>
            <w:vAlign w:val="bottom"/>
          </w:tcPr>
          <w:p>
            <w:pPr>
              <w:ind w:left="100"/>
              <w:spacing w:after="0"/>
              <w:rPr>
                <w:sz w:val="20"/>
                <w:szCs w:val="20"/>
                <w:color w:val="auto"/>
              </w:rPr>
            </w:pPr>
            <w:r>
              <w:rPr>
                <w:rFonts w:ascii="Arial" w:cs="Arial" w:eastAsia="Arial" w:hAnsi="Arial"/>
                <w:sz w:val="18"/>
                <w:szCs w:val="18"/>
                <w:color w:val="auto"/>
              </w:rPr>
              <w:t>Earnings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Loss</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5"/>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2057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0">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 January 1, 2023</w:t>
      </w:r>
    </w:p>
    <w:p>
      <w:pPr>
        <w:spacing w:after="0" w:line="116" w:lineRule="exact"/>
        <w:rPr>
          <w:sz w:val="20"/>
          <w:szCs w:val="20"/>
          <w:color w:val="auto"/>
        </w:rPr>
      </w:pPr>
    </w:p>
    <w:p>
      <w:pPr>
        <w:ind w:right="500"/>
        <w:spacing w:after="0" w:line="303" w:lineRule="auto"/>
        <w:rPr>
          <w:sz w:val="20"/>
          <w:szCs w:val="20"/>
          <w:color w:val="auto"/>
        </w:rPr>
      </w:pPr>
      <w:r>
        <w:rPr>
          <w:rFonts w:ascii="Arial" w:cs="Arial" w:eastAsia="Arial" w:hAnsi="Arial"/>
          <w:sz w:val="18"/>
          <w:szCs w:val="18"/>
          <w:b w:val="1"/>
          <w:bCs w:val="1"/>
          <w:color w:val="auto"/>
        </w:rPr>
        <w:t>Cumulative change in accounting principle</w:t>
      </w:r>
    </w:p>
    <w:p>
      <w:pPr>
        <w:spacing w:after="0" w:line="32" w:lineRule="exact"/>
        <w:rPr>
          <w:sz w:val="20"/>
          <w:szCs w:val="20"/>
          <w:color w:val="auto"/>
        </w:rPr>
      </w:pPr>
    </w:p>
    <w:p>
      <w:pPr>
        <w:ind w:right="120"/>
        <w:spacing w:after="0" w:line="361" w:lineRule="auto"/>
        <w:rPr>
          <w:sz w:val="20"/>
          <w:szCs w:val="20"/>
          <w:color w:val="auto"/>
        </w:rPr>
      </w:pPr>
      <w:r>
        <w:rPr>
          <w:rFonts w:ascii="Arial" w:cs="Arial" w:eastAsia="Arial" w:hAnsi="Arial"/>
          <w:sz w:val="16"/>
          <w:szCs w:val="16"/>
          <w:b w:val="1"/>
          <w:bCs w:val="1"/>
          <w:color w:val="auto"/>
        </w:rPr>
        <w:t>Balance - January 1, 2023 (as adjusted for change in accounting principle)</w:t>
      </w:r>
    </w:p>
    <w:p>
      <w:pPr>
        <w:ind w:left="60"/>
        <w:spacing w:after="0" w:line="231" w:lineRule="auto"/>
        <w:rPr>
          <w:sz w:val="20"/>
          <w:szCs w:val="20"/>
          <w:color w:val="auto"/>
        </w:rPr>
      </w:pPr>
      <w:r>
        <w:rPr>
          <w:rFonts w:ascii="Arial" w:cs="Arial" w:eastAsia="Arial" w:hAnsi="Arial"/>
          <w:sz w:val="18"/>
          <w:szCs w:val="18"/>
          <w:color w:val="auto"/>
        </w:rPr>
        <w:t>Net income</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comprehensive income</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Purchase of treasury stock</w:t>
      </w:r>
    </w:p>
    <w:p>
      <w:pPr>
        <w:spacing w:after="0" w:line="138" w:lineRule="exact"/>
        <w:rPr>
          <w:sz w:val="20"/>
          <w:szCs w:val="20"/>
          <w:color w:val="auto"/>
        </w:rPr>
      </w:pPr>
    </w:p>
    <w:p>
      <w:pPr>
        <w:ind w:left="60" w:right="240"/>
        <w:spacing w:after="0" w:line="337" w:lineRule="auto"/>
        <w:rPr>
          <w:sz w:val="20"/>
          <w:szCs w:val="20"/>
          <w:color w:val="auto"/>
        </w:rPr>
      </w:pPr>
      <w:r>
        <w:rPr>
          <w:rFonts w:ascii="Arial" w:cs="Arial" w:eastAsia="Arial" w:hAnsi="Arial"/>
          <w:sz w:val="18"/>
          <w:szCs w:val="18"/>
          <w:color w:val="auto"/>
        </w:rPr>
        <w:t>Issuance of 64,425 shares of restricted stock</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of forfeitures - 6,350)</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Stock-based compensation expense</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Director stock awards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5"/>
          <w:szCs w:val="15"/>
          <w:color w:val="auto"/>
        </w:rPr>
        <w:t>Cash dividends declared - $0.85 per share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 December 31, 2023</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income</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comprehensive income</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Purchase of treasury stock</w:t>
      </w:r>
    </w:p>
    <w:p>
      <w:pPr>
        <w:spacing w:after="0" w:line="138" w:lineRule="exact"/>
        <w:rPr>
          <w:sz w:val="20"/>
          <w:szCs w:val="20"/>
          <w:color w:val="auto"/>
        </w:rPr>
      </w:pPr>
    </w:p>
    <w:p>
      <w:pPr>
        <w:ind w:left="60" w:right="240"/>
        <w:spacing w:after="0" w:line="337" w:lineRule="auto"/>
        <w:rPr>
          <w:sz w:val="20"/>
          <w:szCs w:val="20"/>
          <w:color w:val="auto"/>
        </w:rPr>
      </w:pPr>
      <w:r>
        <w:rPr>
          <w:rFonts w:ascii="Arial" w:cs="Arial" w:eastAsia="Arial" w:hAnsi="Arial"/>
          <w:sz w:val="18"/>
          <w:szCs w:val="18"/>
          <w:color w:val="auto"/>
        </w:rPr>
        <w:t>Issuance of 60,169 shares of restricted stock</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of forfeitures - 5,811)</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Stock-based compensation expense</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Director stock awards</w:t>
      </w:r>
    </w:p>
    <w:p>
      <w:pPr>
        <w:spacing w:after="0" w:line="138" w:lineRule="exact"/>
        <w:rPr>
          <w:sz w:val="20"/>
          <w:szCs w:val="20"/>
          <w:color w:val="auto"/>
        </w:rPr>
      </w:pPr>
    </w:p>
    <w:p>
      <w:pPr>
        <w:ind w:left="60" w:right="240"/>
        <w:spacing w:after="0" w:line="337" w:lineRule="auto"/>
        <w:rPr>
          <w:sz w:val="20"/>
          <w:szCs w:val="20"/>
          <w:color w:val="auto"/>
        </w:rPr>
      </w:pPr>
      <w:r>
        <w:rPr>
          <w:rFonts w:ascii="Arial" w:cs="Arial" w:eastAsia="Arial" w:hAnsi="Arial"/>
          <w:sz w:val="18"/>
          <w:szCs w:val="18"/>
          <w:color w:val="auto"/>
        </w:rPr>
        <w:t>Cash dividends declared - $0.8825 per share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 December 31, 2024</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income</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comprehensive income</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Purchase of treasury stock</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000" w:type="dxa"/>
            <w:vAlign w:val="bottom"/>
          </w:tcPr>
          <w:p>
            <w:pPr>
              <w:jc w:val="right"/>
              <w:ind w:right="110"/>
              <w:spacing w:after="0"/>
              <w:rPr>
                <w:sz w:val="20"/>
                <w:szCs w:val="20"/>
                <w:color w:val="auto"/>
              </w:rPr>
            </w:pPr>
            <w:r>
              <w:rPr>
                <w:rFonts w:ascii="Arial" w:cs="Arial" w:eastAsia="Arial" w:hAnsi="Arial"/>
                <w:sz w:val="18"/>
                <w:szCs w:val="18"/>
                <w:color w:val="auto"/>
                <w:w w:val="86"/>
              </w:rPr>
              <w:t>13,608,422</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135,497</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(11,573)</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212,449</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(38,233)</w:t>
            </w:r>
          </w:p>
        </w:tc>
        <w:tc>
          <w:tcPr>
            <w:tcW w:w="900" w:type="dxa"/>
            <w:vAlign w:val="bottom"/>
          </w:tcPr>
          <w:p>
            <w:pPr>
              <w:jc w:val="right"/>
              <w:spacing w:after="0"/>
              <w:rPr>
                <w:sz w:val="20"/>
                <w:szCs w:val="20"/>
                <w:color w:val="auto"/>
              </w:rPr>
            </w:pPr>
            <w:r>
              <w:rPr>
                <w:rFonts w:ascii="Arial" w:cs="Arial" w:eastAsia="Arial" w:hAnsi="Arial"/>
                <w:sz w:val="18"/>
                <w:szCs w:val="18"/>
                <w:color w:val="auto"/>
              </w:rPr>
              <w:t>298,140</w:t>
            </w:r>
          </w:p>
        </w:tc>
      </w:tr>
      <w:tr>
        <w:trPr>
          <w:trHeight w:val="54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(3,371)</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(3,371)</w:t>
            </w:r>
          </w:p>
        </w:tc>
      </w:tr>
      <w:tr>
        <w:trPr>
          <w:trHeight w:val="564"/>
        </w:trPr>
        <w:tc>
          <w:tcPr>
            <w:tcW w:w="1000" w:type="dxa"/>
            <w:vAlign w:val="bottom"/>
          </w:tcPr>
          <w:p>
            <w:pPr>
              <w:jc w:val="right"/>
              <w:ind w:right="110"/>
              <w:spacing w:after="0"/>
              <w:rPr>
                <w:sz w:val="20"/>
                <w:szCs w:val="20"/>
                <w:color w:val="auto"/>
              </w:rPr>
            </w:pPr>
            <w:r>
              <w:rPr>
                <w:rFonts w:ascii="Arial" w:cs="Arial" w:eastAsia="Arial" w:hAnsi="Arial"/>
                <w:sz w:val="18"/>
                <w:szCs w:val="18"/>
                <w:color w:val="auto"/>
                <w:w w:val="86"/>
              </w:rPr>
              <w:t>13,608,422</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135,497</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(11,573)</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209,078</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(38,233)</w:t>
            </w:r>
          </w:p>
        </w:tc>
        <w:tc>
          <w:tcPr>
            <w:tcW w:w="900" w:type="dxa"/>
            <w:vAlign w:val="bottom"/>
          </w:tcPr>
          <w:p>
            <w:pPr>
              <w:jc w:val="right"/>
              <w:spacing w:after="0"/>
              <w:rPr>
                <w:sz w:val="20"/>
                <w:szCs w:val="20"/>
                <w:color w:val="auto"/>
              </w:rPr>
            </w:pPr>
            <w:r>
              <w:rPr>
                <w:rFonts w:ascii="Arial" w:cs="Arial" w:eastAsia="Arial" w:hAnsi="Arial"/>
                <w:sz w:val="18"/>
                <w:szCs w:val="18"/>
                <w:color w:val="auto"/>
              </w:rPr>
              <w:t>294,769</w:t>
            </w:r>
          </w:p>
        </w:tc>
      </w:tr>
      <w:tr>
        <w:trPr>
          <w:trHeight w:val="31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22,787</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22,787</w:t>
            </w:r>
          </w:p>
        </w:tc>
      </w:tr>
      <w:tr>
        <w:trPr>
          <w:trHeight w:val="31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9,221</w:t>
            </w:r>
          </w:p>
        </w:tc>
        <w:tc>
          <w:tcPr>
            <w:tcW w:w="900" w:type="dxa"/>
            <w:vAlign w:val="bottom"/>
          </w:tcPr>
          <w:p>
            <w:pPr>
              <w:jc w:val="right"/>
              <w:spacing w:after="0"/>
              <w:rPr>
                <w:sz w:val="20"/>
                <w:szCs w:val="20"/>
                <w:color w:val="auto"/>
              </w:rPr>
            </w:pPr>
            <w:r>
              <w:rPr>
                <w:rFonts w:ascii="Arial" w:cs="Arial" w:eastAsia="Arial" w:hAnsi="Arial"/>
                <w:sz w:val="18"/>
                <w:szCs w:val="18"/>
                <w:color w:val="auto"/>
              </w:rPr>
              <w:t>9,221</w:t>
            </w:r>
          </w:p>
        </w:tc>
      </w:tr>
      <w:tr>
        <w:trPr>
          <w:trHeight w:val="314"/>
        </w:trPr>
        <w:tc>
          <w:tcPr>
            <w:tcW w:w="1000" w:type="dxa"/>
            <w:vAlign w:val="bottom"/>
          </w:tcPr>
          <w:p>
            <w:pPr>
              <w:jc w:val="right"/>
              <w:ind w:right="30"/>
              <w:spacing w:after="0"/>
              <w:rPr>
                <w:sz w:val="20"/>
                <w:szCs w:val="20"/>
                <w:color w:val="auto"/>
              </w:rPr>
            </w:pPr>
            <w:r>
              <w:rPr>
                <w:rFonts w:ascii="Arial" w:cs="Arial" w:eastAsia="Arial" w:hAnsi="Arial"/>
                <w:sz w:val="18"/>
                <w:szCs w:val="18"/>
                <w:color w:val="auto"/>
              </w:rPr>
              <w:t>(10,704)</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91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57,875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(1,263)</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641</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622</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1,281</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31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9,048</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70</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31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(11,477)</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(11,477)</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w w:val="86"/>
              </w:rPr>
              <w:t>13,664,641</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135,515</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(11,040)</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221,080</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(29,012)</w:t>
            </w:r>
          </w:p>
        </w:tc>
        <w:tc>
          <w:tcPr>
            <w:tcW w:w="900" w:type="dxa"/>
            <w:vAlign w:val="bottom"/>
          </w:tcPr>
          <w:p>
            <w:pPr>
              <w:jc w:val="right"/>
              <w:spacing w:after="0"/>
              <w:rPr>
                <w:sz w:val="20"/>
                <w:szCs w:val="20"/>
                <w:color w:val="auto"/>
              </w:rPr>
            </w:pPr>
            <w:r>
              <w:rPr>
                <w:rFonts w:ascii="Arial" w:cs="Arial" w:eastAsia="Arial" w:hAnsi="Arial"/>
                <w:sz w:val="18"/>
                <w:szCs w:val="18"/>
                <w:color w:val="auto"/>
              </w:rPr>
              <w:t>316,543</w:t>
            </w:r>
          </w:p>
        </w:tc>
      </w:tr>
      <w:tr>
        <w:trPr>
          <w:trHeight w:val="31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25,938</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25,938</w:t>
            </w:r>
          </w:p>
        </w:tc>
      </w:tr>
      <w:tr>
        <w:trPr>
          <w:trHeight w:val="31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3,789</w:t>
            </w:r>
          </w:p>
        </w:tc>
        <w:tc>
          <w:tcPr>
            <w:tcW w:w="900" w:type="dxa"/>
            <w:vAlign w:val="bottom"/>
          </w:tcPr>
          <w:p>
            <w:pPr>
              <w:jc w:val="right"/>
              <w:spacing w:after="0"/>
              <w:rPr>
                <w:sz w:val="20"/>
                <w:szCs w:val="20"/>
                <w:color w:val="auto"/>
              </w:rPr>
            </w:pPr>
            <w:r>
              <w:rPr>
                <w:rFonts w:ascii="Arial" w:cs="Arial" w:eastAsia="Arial" w:hAnsi="Arial"/>
                <w:sz w:val="18"/>
                <w:szCs w:val="18"/>
                <w:color w:val="auto"/>
              </w:rPr>
              <w:t>3,789</w:t>
            </w:r>
          </w:p>
        </w:tc>
      </w:tr>
      <w:tr>
        <w:trPr>
          <w:trHeight w:val="314"/>
        </w:trPr>
        <w:tc>
          <w:tcPr>
            <w:tcW w:w="1000" w:type="dxa"/>
            <w:vAlign w:val="bottom"/>
          </w:tcPr>
          <w:p>
            <w:pPr>
              <w:jc w:val="right"/>
              <w:ind w:right="30"/>
              <w:spacing w:after="0"/>
              <w:rPr>
                <w:sz w:val="20"/>
                <w:szCs w:val="20"/>
                <w:color w:val="auto"/>
              </w:rPr>
            </w:pPr>
            <w:r>
              <w:rPr>
                <w:rFonts w:ascii="Arial" w:cs="Arial" w:eastAsia="Arial" w:hAnsi="Arial"/>
                <w:sz w:val="18"/>
                <w:szCs w:val="18"/>
                <w:color w:val="auto"/>
              </w:rPr>
              <w:t>(28,391)</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(664)</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91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54,358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(1,311)</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608</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703</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1,361</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1,361</w:t>
            </w:r>
          </w:p>
        </w:tc>
      </w:tr>
      <w:tr>
        <w:trPr>
          <w:trHeight w:val="31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8,928</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111</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77</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60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(11,944)</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(11,944)</w:t>
            </w:r>
          </w:p>
        </w:tc>
      </w:tr>
      <w:tr>
        <w:trPr>
          <w:trHeight w:val="324"/>
        </w:trPr>
        <w:tc>
          <w:tcPr>
            <w:tcW w:w="1000" w:type="dxa"/>
            <w:vAlign w:val="bottom"/>
          </w:tcPr>
          <w:p>
            <w:pPr>
              <w:jc w:val="right"/>
              <w:ind w:right="110"/>
              <w:spacing w:after="0"/>
              <w:rPr>
                <w:sz w:val="20"/>
                <w:szCs w:val="20"/>
                <w:color w:val="auto"/>
              </w:rPr>
            </w:pPr>
            <w:r>
              <w:rPr>
                <w:rFonts w:ascii="Arial" w:cs="Arial" w:eastAsia="Arial" w:hAnsi="Arial"/>
                <w:sz w:val="18"/>
                <w:szCs w:val="18"/>
                <w:color w:val="auto"/>
                <w:w w:val="86"/>
              </w:rPr>
              <w:t>13,699,536</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135,565</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(10,985)</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235,854</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(25,223)</w:t>
            </w:r>
          </w:p>
        </w:tc>
        <w:tc>
          <w:tcPr>
            <w:tcW w:w="900" w:type="dxa"/>
            <w:vAlign w:val="bottom"/>
          </w:tcPr>
          <w:p>
            <w:pPr>
              <w:jc w:val="right"/>
              <w:spacing w:after="0"/>
              <w:rPr>
                <w:sz w:val="20"/>
                <w:szCs w:val="20"/>
                <w:color w:val="auto"/>
              </w:rPr>
            </w:pPr>
            <w:r>
              <w:rPr>
                <w:rFonts w:ascii="Arial" w:cs="Arial" w:eastAsia="Arial" w:hAnsi="Arial"/>
                <w:sz w:val="18"/>
                <w:szCs w:val="18"/>
                <w:color w:val="auto"/>
              </w:rPr>
              <w:t>335,211</w:t>
            </w:r>
          </w:p>
        </w:tc>
      </w:tr>
      <w:tr>
        <w:trPr>
          <w:trHeight w:val="31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33,309</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33,309</w:t>
            </w:r>
          </w:p>
        </w:tc>
      </w:tr>
      <w:tr>
        <w:trPr>
          <w:trHeight w:val="314"/>
        </w:trPr>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13,335</w:t>
            </w:r>
          </w:p>
        </w:tc>
        <w:tc>
          <w:tcPr>
            <w:tcW w:w="900" w:type="dxa"/>
            <w:vAlign w:val="bottom"/>
          </w:tcPr>
          <w:p>
            <w:pPr>
              <w:jc w:val="right"/>
              <w:spacing w:after="0"/>
              <w:rPr>
                <w:sz w:val="20"/>
                <w:szCs w:val="20"/>
                <w:color w:val="auto"/>
              </w:rPr>
            </w:pPr>
            <w:r>
              <w:rPr>
                <w:rFonts w:ascii="Arial" w:cs="Arial" w:eastAsia="Arial" w:hAnsi="Arial"/>
                <w:sz w:val="18"/>
                <w:szCs w:val="18"/>
                <w:color w:val="auto"/>
              </w:rPr>
              <w:t>13,335</w:t>
            </w:r>
          </w:p>
        </w:tc>
      </w:tr>
      <w:tr>
        <w:trPr>
          <w:trHeight w:val="314"/>
        </w:trPr>
        <w:tc>
          <w:tcPr>
            <w:tcW w:w="1000" w:type="dxa"/>
            <w:vAlign w:val="bottom"/>
          </w:tcPr>
          <w:p>
            <w:pPr>
              <w:jc w:val="right"/>
              <w:ind w:right="30"/>
              <w:spacing w:after="0"/>
              <w:rPr>
                <w:sz w:val="20"/>
                <w:szCs w:val="20"/>
                <w:color w:val="auto"/>
              </w:rPr>
            </w:pPr>
            <w:r>
              <w:rPr>
                <w:rFonts w:ascii="Arial" w:cs="Arial" w:eastAsia="Arial" w:hAnsi="Arial"/>
                <w:sz w:val="18"/>
                <w:szCs w:val="18"/>
                <w:color w:val="auto"/>
              </w:rPr>
              <w:t>(13,628)</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-5086985</wp:posOffset>
            </wp:positionV>
            <wp:extent cx="5967730" cy="49110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1">
                      <a:extLst>
                        <a:ext uri="{28A0092B-C50C-407E-A947-70E740481C1C}"/>
                      </a:extLst>
                    </a:blip>
                    <a:srcRect/>
                    <a:stretch>
                      <a:fillRect/>
                    </a:stretch>
                  </pic:blipFill>
                  <pic:spPr bwMode="auto">
                    <a:xfrm>
                      <a:off x="0" y="0"/>
                      <a:ext cx="5967730" cy="4911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340"/>
            <w:col w:w="600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32</w:t>
      </w:r>
    </w:p>
    <w:p>
      <w:pPr>
        <w:sectPr>
          <w:pgSz w:w="11900" w:h="16838" w:orient="portrait"/>
          <w:cols w:equalWidth="0" w:num="1">
            <w:col w:w="9400"/>
          </w:cols>
          <w:pgMar w:left="1260" w:top="1440" w:right="1246" w:bottom="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70"/>
        </w:trPr>
        <w:tc>
          <w:tcPr>
            <w:tcW w:w="3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Issuance of 60,673 shares of restricted</w:t>
            </w:r>
          </w:p>
        </w:tc>
        <w:tc>
          <w:tcPr>
            <w:tcW w:w="106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r>
      <w:tr>
        <w:trPr>
          <w:trHeight w:val="300"/>
        </w:trPr>
        <w:tc>
          <w:tcPr>
            <w:tcW w:w="3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stock</w:t>
            </w:r>
          </w:p>
        </w:tc>
        <w:tc>
          <w:tcPr>
            <w:tcW w:w="106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325"/>
        </w:trPr>
        <w:tc>
          <w:tcPr>
            <w:tcW w:w="3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of forfeitures - 6,707)</w:t>
            </w:r>
          </w:p>
        </w:tc>
        <w:tc>
          <w:tcPr>
            <w:tcW w:w="10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53,966</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607</w:t>
            </w: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821</w:t>
            </w:r>
          </w:p>
        </w:tc>
        <w:tc>
          <w:tcPr>
            <w:tcW w:w="4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78"/>
        </w:trPr>
        <w:tc>
          <w:tcPr>
            <w:tcW w:w="3240" w:type="dxa"/>
            <w:vAlign w:val="bottom"/>
          </w:tcPr>
          <w:p>
            <w:pPr>
              <w:ind w:left="6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1,394</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1,394</w:t>
            </w:r>
          </w:p>
        </w:tc>
      </w:tr>
      <w:tr>
        <w:trPr>
          <w:trHeight w:val="36"/>
        </w:trPr>
        <w:tc>
          <w:tcPr>
            <w:tcW w:w="3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32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Director stock awards</w:t>
            </w:r>
          </w:p>
        </w:tc>
        <w:tc>
          <w:tcPr>
            <w:tcW w:w="10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8,200</w:t>
            </w:r>
          </w:p>
        </w:tc>
        <w:tc>
          <w:tcPr>
            <w:tcW w:w="9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104</w:t>
            </w: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85</w:t>
            </w:r>
          </w:p>
        </w:tc>
        <w:tc>
          <w:tcPr>
            <w:tcW w:w="4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189</w:t>
            </w:r>
          </w:p>
        </w:tc>
      </w:tr>
      <w:tr>
        <w:trPr>
          <w:trHeight w:val="278"/>
        </w:trPr>
        <w:tc>
          <w:tcPr>
            <w:tcW w:w="3240" w:type="dxa"/>
            <w:vAlign w:val="bottom"/>
          </w:tcPr>
          <w:p>
            <w:pPr>
              <w:ind w:left="60"/>
              <w:spacing w:after="0"/>
              <w:rPr>
                <w:sz w:val="20"/>
                <w:szCs w:val="20"/>
                <w:color w:val="auto"/>
              </w:rPr>
            </w:pPr>
            <w:r>
              <w:rPr>
                <w:rFonts w:ascii="Arial" w:cs="Arial" w:eastAsia="Arial" w:hAnsi="Arial"/>
                <w:sz w:val="18"/>
                <w:szCs w:val="18"/>
                <w:color w:val="auto"/>
                <w:w w:val="93"/>
              </w:rPr>
              <w:t>Cash dividends declared - $0.90 per share</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(12,214)</w:t>
            </w:r>
          </w:p>
        </w:tc>
        <w:tc>
          <w:tcPr>
            <w:tcW w:w="40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(12,214)</w:t>
            </w:r>
          </w:p>
        </w:tc>
      </w:tr>
      <w:tr>
        <w:trPr>
          <w:trHeight w:val="46"/>
        </w:trPr>
        <w:tc>
          <w:tcPr>
            <w:tcW w:w="3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78"/>
        </w:trPr>
        <w:tc>
          <w:tcPr>
            <w:tcW w:w="3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 December 31, 2025</w:t>
            </w: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13,748,074</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$135,531</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$(10,636)</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$257,855</w:t>
            </w:r>
          </w:p>
        </w:tc>
        <w:tc>
          <w:tcPr>
            <w:tcW w:w="4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(11,888)  $</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370,862</w:t>
            </w:r>
          </w:p>
        </w:tc>
      </w:tr>
      <w:tr>
        <w:trPr>
          <w:trHeight w:val="81"/>
        </w:trPr>
        <w:tc>
          <w:tcPr>
            <w:tcW w:w="324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22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-233680</wp:posOffset>
            </wp:positionV>
            <wp:extent cx="380365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2">
                      <a:extLst>
                        <a:ext uri="{28A0092B-C50C-407E-A947-70E740481C1C}"/>
                      </a:extLst>
                    </a:blip>
                    <a:srcRect/>
                    <a:stretch>
                      <a:fillRect/>
                    </a:stretch>
                  </pic:blipFill>
                  <pic:spPr bwMode="auto">
                    <a:xfrm>
                      <a:off x="0" y="0"/>
                      <a:ext cx="3803650" cy="635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-27940</wp:posOffset>
            </wp:positionV>
            <wp:extent cx="3859530" cy="285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3">
                      <a:extLst>
                        <a:ext uri="{28A0092B-C50C-407E-A947-70E740481C1C}"/>
                      </a:extLst>
                    </a:blip>
                    <a:srcRect/>
                    <a:stretch>
                      <a:fillRect/>
                    </a:stretch>
                  </pic:blipFill>
                  <pic:spPr bwMode="auto">
                    <a:xfrm>
                      <a:off x="0" y="0"/>
                      <a:ext cx="3859530" cy="2857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Consolidated Financial Statements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32</w:t>
      </w:r>
    </w:p>
    <w:p>
      <w:pPr>
        <w:sectPr>
          <w:pgSz w:w="11900" w:h="16838" w:orient="portrait"/>
          <w:cols w:equalWidth="0" w:num="1">
            <w:col w:w="9400"/>
          </w:cols>
          <w:pgMar w:left="1260" w:top="1133" w:right="1246" w:bottom="0" w:gutter="0" w:footer="0" w:header="0"/>
          <w:type w:val="continuous"/>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984250</wp:posOffset>
            </wp:positionV>
            <wp:extent cx="5967730" cy="1708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5">
                      <a:extLst>
                        <a:ext uri="{28A0092B-C50C-407E-A947-70E740481C1C}"/>
                      </a:extLst>
                    </a:blip>
                    <a:srcRect/>
                    <a:stretch>
                      <a:fillRect/>
                    </a:stretch>
                  </pic:blipFill>
                  <pic:spPr bwMode="auto">
                    <a:xfrm>
                      <a:off x="0" y="0"/>
                      <a:ext cx="5967730" cy="17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400"/>
        <w:spacing w:after="0" w:line="320" w:lineRule="auto"/>
        <w:rPr>
          <w:sz w:val="20"/>
          <w:szCs w:val="20"/>
          <w:color w:val="auto"/>
        </w:rPr>
      </w:pPr>
      <w:r>
        <w:rPr>
          <w:rFonts w:ascii="Arial" w:cs="Arial" w:eastAsia="Arial" w:hAnsi="Arial"/>
          <w:sz w:val="17"/>
          <w:szCs w:val="17"/>
          <w:b w:val="1"/>
          <w:bCs w:val="1"/>
          <w:color w:val="auto"/>
        </w:rPr>
        <w:t xml:space="preserve">Cash Flows from Operating Activities </w:t>
      </w:r>
      <w:r>
        <w:rPr>
          <w:rFonts w:ascii="Arial" w:cs="Arial" w:eastAsia="Arial" w:hAnsi="Arial"/>
          <w:sz w:val="17"/>
          <w:szCs w:val="17"/>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5967730" cy="1708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6">
                      <a:extLst>
                        <a:ext uri="{28A0092B-C50C-407E-A947-70E740481C1C}"/>
                      </a:extLst>
                    </a:blip>
                    <a:srcRect/>
                    <a:stretch>
                      <a:fillRect/>
                    </a:stretch>
                  </pic:blipFill>
                  <pic:spPr bwMode="auto">
                    <a:xfrm>
                      <a:off x="0" y="0"/>
                      <a:ext cx="5967730" cy="1708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Adjustments to reconcile net income to net cash from operating activities: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1993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7">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premiums on available-for-sale securities, net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Capitalized additions to servicing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1993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78">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Servicing rights amortization and impairment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core deposit intangible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1993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9">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customer list intangible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Net accretion of fair value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1993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0">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subordinated note issuance costs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1993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1">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Director stock awards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1993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2">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Provision for credit losses - loans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Provision for (recovery of) credit losses - off balance sheet credit exposures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5967730" cy="1993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3">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Gain on sale of loans held for sale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Originations of loans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1993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4">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Proceeds from sale of loans held for sale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Gain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1993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5">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Loss (gain) on sale of other assets owned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Loss on sales of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1993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Increase in cash surrender value of bank owned life insurance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Change in other assets and other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5967730" cy="2057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7">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Net cash provided by operating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5967730" cy="1708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88">
                      <a:extLst>
                        <a:ext uri="{28A0092B-C50C-407E-A947-70E740481C1C}"/>
                      </a:extLst>
                    </a:blip>
                    <a:srcRect/>
                    <a:stretch>
                      <a:fillRect/>
                    </a:stretch>
                  </pic:blipFill>
                  <pic:spPr bwMode="auto">
                    <a:xfrm>
                      <a:off x="0" y="0"/>
                      <a:ext cx="5967730" cy="17081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Activity in available-for-sale securities:</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Maturities, prepayments and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1993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9">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9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Sales</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1708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0">
                      <a:extLst>
                        <a:ext uri="{28A0092B-C50C-407E-A947-70E740481C1C}"/>
                      </a:extLst>
                    </a:blip>
                    <a:srcRect/>
                    <a:stretch>
                      <a:fillRect/>
                    </a:stretch>
                  </pic:blipFill>
                  <pic:spPr bwMode="auto">
                    <a:xfrm>
                      <a:off x="0" y="0"/>
                      <a:ext cx="5967730" cy="17081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Activity in other securities, at cost:</w:t>
      </w:r>
    </w:p>
    <w:p>
      <w:pPr>
        <w:spacing w:after="0" w:line="9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5967730" cy="1993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1">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9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Purchases of FHLB stock</w:t>
      </w:r>
    </w:p>
    <w:p>
      <w:pPr>
        <w:spacing w:after="0" w:line="9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Proceeds from redemption of FHLB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1993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2">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Purchase of bank owned life insurance</w:t>
      </w:r>
    </w:p>
    <w:p>
      <w:pPr>
        <w:spacing w:after="0" w:line="127" w:lineRule="exact"/>
        <w:rPr>
          <w:sz w:val="20"/>
          <w:szCs w:val="20"/>
          <w:color w:val="auto"/>
        </w:rPr>
      </w:pPr>
    </w:p>
    <w:p>
      <w:pPr>
        <w:ind w:right="2320"/>
        <w:spacing w:after="0" w:line="427" w:lineRule="auto"/>
        <w:rPr>
          <w:sz w:val="20"/>
          <w:szCs w:val="20"/>
          <w:color w:val="auto"/>
        </w:rPr>
      </w:pPr>
      <w:r>
        <w:rPr>
          <w:rFonts w:ascii="Arial" w:cs="Arial" w:eastAsia="Arial" w:hAnsi="Arial"/>
          <w:sz w:val="15"/>
          <w:szCs w:val="15"/>
          <w:color w:val="auto"/>
        </w:rPr>
        <w:t>Proceeds from bank owned life insurance Change in interest-bearing time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-234315</wp:posOffset>
            </wp:positionV>
            <wp:extent cx="5967730" cy="1993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3">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line="307" w:lineRule="auto"/>
        <w:rPr>
          <w:sz w:val="20"/>
          <w:szCs w:val="20"/>
          <w:color w:val="auto"/>
        </w:rPr>
      </w:pPr>
      <w:r>
        <w:rPr>
          <w:rFonts w:ascii="Arial" w:cs="Arial" w:eastAsia="Arial" w:hAnsi="Arial"/>
          <w:sz w:val="20"/>
          <w:szCs w:val="20"/>
          <w:b w:val="1"/>
          <w:bCs w:val="1"/>
          <w:color w:val="auto"/>
        </w:rPr>
        <w:t>Consolidated Statements of Cash Flows Years Ended December 31, 2025, 2024 and 2023 (000’s Omitted)</w:t>
      </w:r>
    </w:p>
    <w:p>
      <w:pPr>
        <w:spacing w:after="0" w:line="48"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1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7"/>
                <w:szCs w:val="17"/>
                <w:color w:val="auto"/>
              </w:rPr>
              <w:t>2025</w:t>
            </w:r>
          </w:p>
        </w:tc>
        <w:tc>
          <w:tcPr>
            <w:tcW w:w="280" w:type="dxa"/>
            <w:vAlign w:val="bottom"/>
          </w:tcPr>
          <w:p>
            <w:pPr>
              <w:spacing w:after="0"/>
              <w:rPr>
                <w:sz w:val="16"/>
                <w:szCs w:val="16"/>
                <w:color w:val="auto"/>
              </w:rPr>
            </w:pPr>
          </w:p>
        </w:tc>
        <w:tc>
          <w:tcPr>
            <w:tcW w:w="920" w:type="dxa"/>
            <w:vAlign w:val="bottom"/>
          </w:tcPr>
          <w:p>
            <w:pPr>
              <w:jc w:val="right"/>
              <w:ind w:right="395"/>
              <w:spacing w:after="0"/>
              <w:rPr>
                <w:sz w:val="20"/>
                <w:szCs w:val="20"/>
                <w:color w:val="auto"/>
              </w:rPr>
            </w:pPr>
            <w:r>
              <w:rPr>
                <w:rFonts w:ascii="Arial" w:cs="Arial" w:eastAsia="Arial" w:hAnsi="Arial"/>
                <w:sz w:val="17"/>
                <w:szCs w:val="17"/>
                <w:color w:val="auto"/>
              </w:rPr>
              <w:t>2024</w:t>
            </w:r>
          </w:p>
        </w:tc>
        <w:tc>
          <w:tcPr>
            <w:tcW w:w="280" w:type="dxa"/>
            <w:vAlign w:val="bottom"/>
          </w:tcPr>
          <w:p>
            <w:pPr>
              <w:spacing w:after="0"/>
              <w:rPr>
                <w:sz w:val="16"/>
                <w:szCs w:val="16"/>
                <w:color w:val="auto"/>
              </w:rPr>
            </w:pPr>
          </w:p>
        </w:tc>
        <w:tc>
          <w:tcPr>
            <w:tcW w:w="820" w:type="dxa"/>
            <w:vAlign w:val="bottom"/>
          </w:tcPr>
          <w:p>
            <w:pPr>
              <w:jc w:val="right"/>
              <w:ind w:right="295"/>
              <w:spacing w:after="0"/>
              <w:rPr>
                <w:sz w:val="20"/>
                <w:szCs w:val="20"/>
                <w:color w:val="auto"/>
              </w:rPr>
            </w:pPr>
            <w:r>
              <w:rPr>
                <w:rFonts w:ascii="Arial" w:cs="Arial" w:eastAsia="Arial" w:hAnsi="Arial"/>
                <w:sz w:val="17"/>
                <w:szCs w:val="17"/>
                <w:color w:val="auto"/>
              </w:rPr>
              <w:t>2023</w:t>
            </w:r>
          </w:p>
        </w:tc>
      </w:tr>
      <w:tr>
        <w:trPr>
          <w:trHeight w:val="594"/>
        </w:trPr>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33,309</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25,938</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22,787</w:t>
            </w:r>
          </w:p>
        </w:tc>
      </w:tr>
      <w:tr>
        <w:trPr>
          <w:trHeight w:val="571"/>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3,624</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3,774</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3,383</w:t>
            </w:r>
          </w:p>
        </w:tc>
      </w:tr>
      <w:tr>
        <w:trPr>
          <w:trHeight w:val="314"/>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37</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1,087</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1,500</w:t>
            </w:r>
          </w:p>
        </w:tc>
      </w:tr>
      <w:tr>
        <w:trPr>
          <w:trHeight w:val="327"/>
        </w:trPr>
        <w:tc>
          <w:tcPr>
            <w:tcW w:w="1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(1,103)</w:t>
            </w:r>
          </w:p>
        </w:tc>
        <w:tc>
          <w:tcPr>
            <w:tcW w:w="2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(826)</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(2,710)</w:t>
            </w:r>
          </w:p>
        </w:tc>
      </w:tr>
      <w:tr>
        <w:trPr>
          <w:trHeight w:val="302"/>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1,584</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818</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611</w:t>
            </w:r>
          </w:p>
        </w:tc>
      </w:tr>
      <w:tr>
        <w:trPr>
          <w:trHeight w:val="314"/>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1,657</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1,657</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1,657</w:t>
            </w:r>
          </w:p>
        </w:tc>
      </w:tr>
      <w:tr>
        <w:trPr>
          <w:trHeight w:val="314"/>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123</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123</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123</w:t>
            </w:r>
          </w:p>
        </w:tc>
      </w:tr>
      <w:tr>
        <w:trPr>
          <w:trHeight w:val="327"/>
        </w:trPr>
        <w:tc>
          <w:tcPr>
            <w:tcW w:w="1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(2,372)</w:t>
            </w:r>
          </w:p>
        </w:tc>
        <w:tc>
          <w:tcPr>
            <w:tcW w:w="2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(2,672)</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(3,569)</w:t>
            </w:r>
          </w:p>
        </w:tc>
      </w:tr>
      <w:tr>
        <w:trPr>
          <w:trHeight w:val="302"/>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115</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116</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314"/>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1,394</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1,361</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1,281</w:t>
            </w:r>
          </w:p>
        </w:tc>
      </w:tr>
      <w:tr>
        <w:trPr>
          <w:trHeight w:val="314"/>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189</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188</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180</w:t>
            </w:r>
          </w:p>
        </w:tc>
      </w:tr>
      <w:tr>
        <w:trPr>
          <w:trHeight w:val="327"/>
        </w:trPr>
        <w:tc>
          <w:tcPr>
            <w:tcW w:w="1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(126)</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307</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2,228</w:t>
            </w:r>
          </w:p>
        </w:tc>
      </w:tr>
      <w:tr>
        <w:trPr>
          <w:trHeight w:val="302"/>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2,596</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944</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1,698</w:t>
            </w:r>
          </w:p>
        </w:tc>
      </w:tr>
      <w:tr>
        <w:trPr>
          <w:trHeight w:val="327"/>
        </w:trPr>
        <w:tc>
          <w:tcPr>
            <w:tcW w:w="1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(506)</w:t>
            </w:r>
          </w:p>
        </w:tc>
        <w:tc>
          <w:tcPr>
            <w:tcW w:w="2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(671)</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314"/>
        </w:trPr>
        <w:tc>
          <w:tcPr>
            <w:tcW w:w="1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(1,291)</w:t>
            </w:r>
          </w:p>
        </w:tc>
        <w:tc>
          <w:tcPr>
            <w:tcW w:w="2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(859)</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(699)</w:t>
            </w:r>
          </w:p>
        </w:tc>
      </w:tr>
      <w:tr>
        <w:trPr>
          <w:trHeight w:val="314"/>
        </w:trPr>
        <w:tc>
          <w:tcPr>
            <w:tcW w:w="1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(62,841)</w:t>
            </w:r>
          </w:p>
        </w:tc>
        <w:tc>
          <w:tcPr>
            <w:tcW w:w="2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(53,650)</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(36,399)</w:t>
            </w:r>
          </w:p>
        </w:tc>
      </w:tr>
      <w:tr>
        <w:trPr>
          <w:trHeight w:val="302"/>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63,194</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52,157</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36,349</w:t>
            </w:r>
          </w:p>
        </w:tc>
      </w:tr>
      <w:tr>
        <w:trPr>
          <w:trHeight w:val="327"/>
        </w:trPr>
        <w:tc>
          <w:tcPr>
            <w:tcW w:w="1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(66)</w:t>
            </w:r>
          </w:p>
        </w:tc>
        <w:tc>
          <w:tcPr>
            <w:tcW w:w="2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(59)</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314"/>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41</w:t>
            </w:r>
          </w:p>
        </w:tc>
        <w:tc>
          <w:tcPr>
            <w:tcW w:w="2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(71)</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302"/>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891</w:t>
            </w:r>
          </w:p>
        </w:tc>
      </w:tr>
      <w:tr>
        <w:trPr>
          <w:trHeight w:val="327"/>
        </w:trPr>
        <w:tc>
          <w:tcPr>
            <w:tcW w:w="1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(1,370)</w:t>
            </w:r>
          </w:p>
        </w:tc>
        <w:tc>
          <w:tcPr>
            <w:tcW w:w="2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(965)</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(834)</w:t>
            </w:r>
          </w:p>
        </w:tc>
      </w:tr>
      <w:tr>
        <w:trPr>
          <w:trHeight w:val="314"/>
        </w:trPr>
        <w:tc>
          <w:tcPr>
            <w:tcW w:w="1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(1,449)</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3,777</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(6,588)</w:t>
            </w:r>
          </w:p>
        </w:tc>
      </w:tr>
      <w:tr>
        <w:trPr>
          <w:trHeight w:val="312"/>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36,739</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32,474</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22,146</w:t>
            </w:r>
          </w:p>
        </w:tc>
      </w:tr>
      <w:tr>
        <w:trPr>
          <w:trHeight w:val="863"/>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69,700</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34,759</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24,021</w:t>
            </w:r>
          </w:p>
        </w:tc>
      </w:tr>
      <w:tr>
        <w:trPr>
          <w:trHeight w:val="314"/>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1,374</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21,963</w:t>
            </w:r>
          </w:p>
        </w:tc>
      </w:tr>
      <w:tr>
        <w:trPr>
          <w:trHeight w:val="327"/>
        </w:trPr>
        <w:tc>
          <w:tcPr>
            <w:tcW w:w="1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(49,747)</w:t>
            </w:r>
          </w:p>
        </w:tc>
        <w:tc>
          <w:tcPr>
            <w:tcW w:w="2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(99,127)</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(4,392)</w:t>
            </w:r>
          </w:p>
        </w:tc>
      </w:tr>
      <w:tr>
        <w:trPr>
          <w:trHeight w:val="584"/>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(698)</w:t>
            </w:r>
          </w:p>
        </w:tc>
      </w:tr>
      <w:tr>
        <w:trPr>
          <w:trHeight w:val="314"/>
        </w:trPr>
        <w:tc>
          <w:tcPr>
            <w:tcW w:w="1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(2,715)</w:t>
            </w:r>
          </w:p>
        </w:tc>
        <w:tc>
          <w:tcPr>
            <w:tcW w:w="2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(1,789)</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(8,306)</w:t>
            </w:r>
          </w:p>
        </w:tc>
      </w:tr>
      <w:tr>
        <w:trPr>
          <w:trHeight w:val="302"/>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4,083</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2,146</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1,665</w:t>
            </w:r>
          </w:p>
        </w:tc>
      </w:tr>
      <w:tr>
        <w:trPr>
          <w:trHeight w:val="327"/>
        </w:trPr>
        <w:tc>
          <w:tcPr>
            <w:tcW w:w="1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(18,000)</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02"/>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6,832</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14"/>
        </w:trPr>
        <w:tc>
          <w:tcPr>
            <w:tcW w:w="1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984</w:t>
            </w:r>
          </w:p>
        </w:tc>
        <w:tc>
          <w:tcPr>
            <w:tcW w:w="280" w:type="dxa"/>
            <w:vAlign w:val="bottom"/>
          </w:tcPr>
          <w:p>
            <w:pPr>
              <w:spacing w:after="0"/>
              <w:rPr>
                <w:sz w:val="24"/>
                <w:szCs w:val="24"/>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258</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-7232650</wp:posOffset>
            </wp:positionV>
            <wp:extent cx="212217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4">
                      <a:extLst>
                        <a:ext uri="{28A0092B-C50C-407E-A947-70E740481C1C}"/>
                      </a:extLst>
                    </a:blip>
                    <a:srcRect/>
                    <a:stretch>
                      <a:fillRect/>
                    </a:stretch>
                  </pic:blipFill>
                  <pic:spPr bwMode="auto">
                    <a:xfrm>
                      <a:off x="0" y="0"/>
                      <a:ext cx="2122170" cy="635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-2492375</wp:posOffset>
            </wp:positionV>
            <wp:extent cx="212217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5">
                      <a:extLst>
                        <a:ext uri="{28A0092B-C50C-407E-A947-70E740481C1C}"/>
                      </a:extLst>
                    </a:blip>
                    <a:srcRect/>
                    <a:stretch>
                      <a:fillRect/>
                    </a:stretch>
                  </pic:blipFill>
                  <pic:spPr bwMode="auto">
                    <a:xfrm>
                      <a:off x="0" y="0"/>
                      <a:ext cx="2122170" cy="6350"/>
                    </a:xfrm>
                    <a:prstGeom prst="rect">
                      <a:avLst/>
                    </a:prstGeom>
                    <a:noFill/>
                  </pic:spPr>
                </pic:pic>
              </a:graphicData>
            </a:graphic>
          </wp:anchor>
        </w:drawing>
      </w:r>
    </w:p>
    <w:p>
      <w:pPr>
        <w:spacing w:after="0" w:line="301" w:lineRule="exact"/>
        <w:rPr>
          <w:sz w:val="20"/>
          <w:szCs w:val="20"/>
          <w:color w:val="auto"/>
        </w:rPr>
      </w:pPr>
    </w:p>
    <w:p>
      <w:pPr>
        <w:sectPr>
          <w:pgSz w:w="11900" w:h="16838" w:orient="portrait"/>
          <w:cols w:equalWidth="0" w:num="2">
            <w:col w:w="5140" w:space="160"/>
            <w:col w:w="4100"/>
          </w:cols>
          <w:pgMar w:left="1260" w:top="1440" w:right="1246"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32</w:t>
      </w:r>
    </w:p>
    <w:p>
      <w:pPr>
        <w:sectPr>
          <w:pgSz w:w="11900" w:h="16838" w:orient="portrait"/>
          <w:cols w:equalWidth="0" w:num="1">
            <w:col w:w="9400"/>
          </w:cols>
          <w:pgMar w:left="1260" w:top="1440" w:right="1246" w:bottom="0" w:gutter="0" w:footer="0" w:header="0"/>
          <w:type w:val="continuous"/>
        </w:sectPr>
      </w:pPr>
    </w:p>
    <w:bookmarkStart w:id="127" w:name="page128"/>
    <w:bookmarkEnd w:id="127"/>
    <w:p>
      <w:pPr>
        <w:spacing w:after="0"/>
        <w:rPr>
          <w:sz w:val="20"/>
          <w:szCs w:val="20"/>
          <w:color w:val="auto"/>
        </w:rPr>
      </w:pPr>
      <w:r>
        <w:rPr>
          <w:rFonts w:ascii="Arial" w:cs="Arial" w:eastAsia="Arial" w:hAnsi="Arial"/>
          <w:sz w:val="17"/>
          <w:szCs w:val="17"/>
          <w:color w:val="auto"/>
        </w:rPr>
        <w:t>Proceeds from sale of other assets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1993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Additions to premises and equipment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Net (increase) decrease on loan originations and principal collections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5967730" cy="2057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7">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Net cash used in investing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5967730" cy="1993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8">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Net change in deposits</w:t>
      </w:r>
    </w:p>
    <w:p>
      <w:pPr>
        <w:spacing w:after="0" w:line="127" w:lineRule="exact"/>
        <w:rPr>
          <w:sz w:val="20"/>
          <w:szCs w:val="20"/>
          <w:color w:val="auto"/>
        </w:rPr>
      </w:pPr>
    </w:p>
    <w:p>
      <w:pPr>
        <w:ind w:left="160" w:right="420" w:hanging="169"/>
        <w:spacing w:after="0" w:line="303" w:lineRule="auto"/>
        <w:rPr>
          <w:sz w:val="20"/>
          <w:szCs w:val="20"/>
          <w:color w:val="auto"/>
        </w:rPr>
      </w:pPr>
      <w:r>
        <w:rPr>
          <w:rFonts w:ascii="Arial" w:cs="Arial" w:eastAsia="Arial" w:hAnsi="Arial"/>
          <w:sz w:val="17"/>
          <w:szCs w:val="17"/>
          <w:color w:val="auto"/>
        </w:rPr>
        <w:t>Net change in federal funds purchased and securities sold under agreements to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5967730" cy="1993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9">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Proceeds of FHLB advances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Repayment of FHLB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1708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0">
                      <a:extLst>
                        <a:ext uri="{28A0092B-C50C-407E-A947-70E740481C1C}"/>
                      </a:extLst>
                    </a:blip>
                    <a:srcRect/>
                    <a:stretch>
                      <a:fillRect/>
                    </a:stretch>
                  </pic:blipFill>
                  <pic:spPr bwMode="auto">
                    <a:xfrm>
                      <a:off x="0" y="0"/>
                      <a:ext cx="5967730" cy="17081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Repayment of other borrowings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Purchase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2057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1">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Cash dividends paid on common stock</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5967730" cy="1993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2">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5967730" cy="2057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3">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 - Beginning of Year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60" w:type="dxa"/>
            <w:vAlign w:val="bottom"/>
          </w:tcPr>
          <w:p>
            <w:pPr>
              <w:jc w:val="right"/>
              <w:ind w:right="275"/>
              <w:spacing w:after="0"/>
              <w:rPr>
                <w:sz w:val="20"/>
                <w:szCs w:val="20"/>
                <w:color w:val="auto"/>
              </w:rPr>
            </w:pPr>
            <w:r>
              <w:rPr>
                <w:rFonts w:ascii="Arial" w:cs="Arial" w:eastAsia="Arial" w:hAnsi="Arial"/>
                <w:sz w:val="17"/>
                <w:szCs w:val="17"/>
                <w:color w:val="auto"/>
              </w:rPr>
              <w:t>170</w:t>
            </w:r>
          </w:p>
        </w:tc>
        <w:tc>
          <w:tcPr>
            <w:tcW w:w="1180" w:type="dxa"/>
            <w:vAlign w:val="bottom"/>
          </w:tcPr>
          <w:p>
            <w:pPr>
              <w:jc w:val="right"/>
              <w:ind w:right="255"/>
              <w:spacing w:after="0"/>
              <w:rPr>
                <w:sz w:val="20"/>
                <w:szCs w:val="20"/>
                <w:color w:val="auto"/>
              </w:rPr>
            </w:pPr>
            <w:r>
              <w:rPr>
                <w:rFonts w:ascii="Arial" w:cs="Arial" w:eastAsia="Arial" w:hAnsi="Arial"/>
                <w:sz w:val="17"/>
                <w:szCs w:val="17"/>
                <w:color w:val="auto"/>
              </w:rPr>
              <w:t>92</w:t>
            </w:r>
          </w:p>
        </w:tc>
        <w:tc>
          <w:tcPr>
            <w:tcW w:w="940" w:type="dxa"/>
            <w:vAlign w:val="bottom"/>
          </w:tcPr>
          <w:p>
            <w:pPr>
              <w:jc w:val="right"/>
              <w:spacing w:after="0"/>
              <w:rPr>
                <w:sz w:val="20"/>
                <w:szCs w:val="20"/>
                <w:color w:val="auto"/>
              </w:rPr>
            </w:pPr>
            <w:r>
              <w:rPr>
                <w:rFonts w:ascii="Arial" w:cs="Arial" w:eastAsia="Arial" w:hAnsi="Arial"/>
                <w:sz w:val="17"/>
                <w:szCs w:val="17"/>
                <w:color w:val="auto"/>
              </w:rPr>
              <w:t>219</w:t>
            </w:r>
          </w:p>
        </w:tc>
      </w:tr>
      <w:tr>
        <w:trPr>
          <w:trHeight w:val="327"/>
        </w:trPr>
        <w:tc>
          <w:tcPr>
            <w:tcW w:w="960" w:type="dxa"/>
            <w:vAlign w:val="bottom"/>
          </w:tcPr>
          <w:p>
            <w:pPr>
              <w:jc w:val="right"/>
              <w:ind w:right="195"/>
              <w:spacing w:after="0"/>
              <w:rPr>
                <w:sz w:val="20"/>
                <w:szCs w:val="20"/>
                <w:color w:val="auto"/>
              </w:rPr>
            </w:pPr>
            <w:r>
              <w:rPr>
                <w:rFonts w:ascii="Arial" w:cs="Arial" w:eastAsia="Arial" w:hAnsi="Arial"/>
                <w:sz w:val="17"/>
                <w:szCs w:val="17"/>
                <w:color w:val="auto"/>
              </w:rPr>
              <w:t>(1,767)</w:t>
            </w:r>
          </w:p>
        </w:tc>
        <w:tc>
          <w:tcPr>
            <w:tcW w:w="1180" w:type="dxa"/>
            <w:vAlign w:val="bottom"/>
          </w:tcPr>
          <w:p>
            <w:pPr>
              <w:jc w:val="right"/>
              <w:ind w:right="175"/>
              <w:spacing w:after="0"/>
              <w:rPr>
                <w:sz w:val="20"/>
                <w:szCs w:val="20"/>
                <w:color w:val="auto"/>
              </w:rPr>
            </w:pPr>
            <w:r>
              <w:rPr>
                <w:rFonts w:ascii="Arial" w:cs="Arial" w:eastAsia="Arial" w:hAnsi="Arial"/>
                <w:sz w:val="17"/>
                <w:szCs w:val="17"/>
                <w:color w:val="auto"/>
              </w:rPr>
              <w:t>(1,871)</w:t>
            </w:r>
          </w:p>
        </w:tc>
        <w:tc>
          <w:tcPr>
            <w:tcW w:w="940" w:type="dxa"/>
            <w:vAlign w:val="bottom"/>
          </w:tcPr>
          <w:p>
            <w:pPr>
              <w:jc w:val="right"/>
              <w:spacing w:after="0"/>
              <w:rPr>
                <w:sz w:val="20"/>
                <w:szCs w:val="20"/>
                <w:color w:val="auto"/>
              </w:rPr>
            </w:pPr>
            <w:r>
              <w:rPr>
                <w:rFonts w:ascii="Arial" w:cs="Arial" w:eastAsia="Arial" w:hAnsi="Arial"/>
                <w:sz w:val="17"/>
                <w:szCs w:val="17"/>
                <w:color w:val="auto"/>
              </w:rPr>
              <w:t>(10,929)</w:t>
            </w:r>
          </w:p>
        </w:tc>
      </w:tr>
      <w:tr>
        <w:trPr>
          <w:trHeight w:val="314"/>
        </w:trPr>
        <w:tc>
          <w:tcPr>
            <w:tcW w:w="960" w:type="dxa"/>
            <w:vAlign w:val="bottom"/>
          </w:tcPr>
          <w:p>
            <w:pPr>
              <w:jc w:val="right"/>
              <w:ind w:right="195"/>
              <w:spacing w:after="0"/>
              <w:rPr>
                <w:sz w:val="20"/>
                <w:szCs w:val="20"/>
                <w:color w:val="auto"/>
              </w:rPr>
            </w:pPr>
            <w:r>
              <w:rPr>
                <w:rFonts w:ascii="Arial" w:cs="Arial" w:eastAsia="Arial" w:hAnsi="Arial"/>
                <w:sz w:val="17"/>
                <w:szCs w:val="17"/>
                <w:color w:val="auto"/>
                <w:w w:val="90"/>
              </w:rPr>
              <w:t>(149,617)</w:t>
            </w:r>
          </w:p>
        </w:tc>
        <w:tc>
          <w:tcPr>
            <w:tcW w:w="1180" w:type="dxa"/>
            <w:vAlign w:val="bottom"/>
          </w:tcPr>
          <w:p>
            <w:pPr>
              <w:jc w:val="right"/>
              <w:ind w:right="255"/>
              <w:spacing w:after="0"/>
              <w:rPr>
                <w:sz w:val="20"/>
                <w:szCs w:val="20"/>
                <w:color w:val="auto"/>
              </w:rPr>
            </w:pPr>
            <w:r>
              <w:rPr>
                <w:rFonts w:ascii="Arial" w:cs="Arial" w:eastAsia="Arial" w:hAnsi="Arial"/>
                <w:sz w:val="17"/>
                <w:szCs w:val="17"/>
                <w:color w:val="auto"/>
              </w:rPr>
              <w:t>21,170</w:t>
            </w:r>
          </w:p>
        </w:tc>
        <w:tc>
          <w:tcPr>
            <w:tcW w:w="940" w:type="dxa"/>
            <w:vAlign w:val="bottom"/>
          </w:tcPr>
          <w:p>
            <w:pPr>
              <w:jc w:val="right"/>
              <w:spacing w:after="0"/>
              <w:rPr>
                <w:sz w:val="20"/>
                <w:szCs w:val="20"/>
                <w:color w:val="auto"/>
              </w:rPr>
            </w:pPr>
            <w:r>
              <w:rPr>
                <w:rFonts w:ascii="Arial" w:cs="Arial" w:eastAsia="Arial" w:hAnsi="Arial"/>
                <w:sz w:val="17"/>
                <w:szCs w:val="17"/>
                <w:color w:val="auto"/>
              </w:rPr>
              <w:t>(219,333)</w:t>
            </w:r>
          </w:p>
        </w:tc>
      </w:tr>
      <w:tr>
        <w:trPr>
          <w:trHeight w:val="324"/>
        </w:trPr>
        <w:tc>
          <w:tcPr>
            <w:tcW w:w="960" w:type="dxa"/>
            <w:vAlign w:val="bottom"/>
          </w:tcPr>
          <w:p>
            <w:pPr>
              <w:jc w:val="right"/>
              <w:ind w:right="195"/>
              <w:spacing w:after="0"/>
              <w:rPr>
                <w:sz w:val="20"/>
                <w:szCs w:val="20"/>
                <w:color w:val="auto"/>
              </w:rPr>
            </w:pPr>
            <w:r>
              <w:rPr>
                <w:rFonts w:ascii="Arial" w:cs="Arial" w:eastAsia="Arial" w:hAnsi="Arial"/>
                <w:sz w:val="17"/>
                <w:szCs w:val="17"/>
                <w:color w:val="auto"/>
                <w:w w:val="90"/>
              </w:rPr>
              <w:t>(138,703)</w:t>
            </w:r>
          </w:p>
        </w:tc>
        <w:tc>
          <w:tcPr>
            <w:tcW w:w="1180" w:type="dxa"/>
            <w:vAlign w:val="bottom"/>
          </w:tcPr>
          <w:p>
            <w:pPr>
              <w:jc w:val="right"/>
              <w:ind w:right="175"/>
              <w:spacing w:after="0"/>
              <w:rPr>
                <w:sz w:val="20"/>
                <w:szCs w:val="20"/>
                <w:color w:val="auto"/>
              </w:rPr>
            </w:pPr>
            <w:r>
              <w:rPr>
                <w:rFonts w:ascii="Arial" w:cs="Arial" w:eastAsia="Arial" w:hAnsi="Arial"/>
                <w:sz w:val="17"/>
                <w:szCs w:val="17"/>
                <w:color w:val="auto"/>
              </w:rPr>
              <w:t>(44,362)</w:t>
            </w:r>
          </w:p>
        </w:tc>
        <w:tc>
          <w:tcPr>
            <w:tcW w:w="940" w:type="dxa"/>
            <w:vAlign w:val="bottom"/>
          </w:tcPr>
          <w:p>
            <w:pPr>
              <w:jc w:val="right"/>
              <w:spacing w:after="0"/>
              <w:rPr>
                <w:sz w:val="20"/>
                <w:szCs w:val="20"/>
                <w:color w:val="auto"/>
              </w:rPr>
            </w:pPr>
            <w:r>
              <w:rPr>
                <w:rFonts w:ascii="Arial" w:cs="Arial" w:eastAsia="Arial" w:hAnsi="Arial"/>
                <w:sz w:val="17"/>
                <w:szCs w:val="17"/>
                <w:color w:val="auto"/>
              </w:rPr>
              <w:t>(194,088)</w:t>
            </w:r>
          </w:p>
        </w:tc>
      </w:tr>
      <w:tr>
        <w:trPr>
          <w:trHeight w:val="581"/>
        </w:trPr>
        <w:tc>
          <w:tcPr>
            <w:tcW w:w="960" w:type="dxa"/>
            <w:vAlign w:val="bottom"/>
          </w:tcPr>
          <w:p>
            <w:pPr>
              <w:jc w:val="right"/>
              <w:ind w:right="275"/>
              <w:spacing w:after="0"/>
              <w:rPr>
                <w:sz w:val="20"/>
                <w:szCs w:val="20"/>
                <w:color w:val="auto"/>
              </w:rPr>
            </w:pPr>
            <w:r>
              <w:rPr>
                <w:rFonts w:ascii="Arial" w:cs="Arial" w:eastAsia="Arial" w:hAnsi="Arial"/>
                <w:sz w:val="17"/>
                <w:szCs w:val="17"/>
                <w:color w:val="auto"/>
              </w:rPr>
              <w:t>43,970</w:t>
            </w:r>
          </w:p>
        </w:tc>
        <w:tc>
          <w:tcPr>
            <w:tcW w:w="1180" w:type="dxa"/>
            <w:vAlign w:val="bottom"/>
          </w:tcPr>
          <w:p>
            <w:pPr>
              <w:jc w:val="right"/>
              <w:ind w:right="255"/>
              <w:spacing w:after="0"/>
              <w:rPr>
                <w:sz w:val="20"/>
                <w:szCs w:val="20"/>
                <w:color w:val="auto"/>
              </w:rPr>
            </w:pPr>
            <w:r>
              <w:rPr>
                <w:rFonts w:ascii="Arial" w:cs="Arial" w:eastAsia="Arial" w:hAnsi="Arial"/>
                <w:sz w:val="17"/>
                <w:szCs w:val="17"/>
                <w:color w:val="auto"/>
              </w:rPr>
              <w:t>79,302</w:t>
            </w:r>
          </w:p>
        </w:tc>
        <w:tc>
          <w:tcPr>
            <w:tcW w:w="940" w:type="dxa"/>
            <w:vAlign w:val="bottom"/>
          </w:tcPr>
          <w:p>
            <w:pPr>
              <w:jc w:val="right"/>
              <w:spacing w:after="0"/>
              <w:rPr>
                <w:sz w:val="20"/>
                <w:szCs w:val="20"/>
                <w:color w:val="auto"/>
              </w:rPr>
            </w:pPr>
            <w:r>
              <w:rPr>
                <w:rFonts w:ascii="Arial" w:cs="Arial" w:eastAsia="Arial" w:hAnsi="Arial"/>
                <w:sz w:val="17"/>
                <w:szCs w:val="17"/>
                <w:color w:val="auto"/>
              </w:rPr>
              <w:t>138,939</w:t>
            </w:r>
          </w:p>
        </w:tc>
      </w:tr>
      <w:tr>
        <w:trPr>
          <w:trHeight w:val="537"/>
        </w:trPr>
        <w:tc>
          <w:tcPr>
            <w:tcW w:w="960" w:type="dxa"/>
            <w:vAlign w:val="bottom"/>
          </w:tcPr>
          <w:p>
            <w:pPr>
              <w:jc w:val="right"/>
              <w:ind w:right="275"/>
              <w:spacing w:after="0"/>
              <w:rPr>
                <w:sz w:val="20"/>
                <w:szCs w:val="20"/>
                <w:color w:val="auto"/>
              </w:rPr>
            </w:pPr>
            <w:r>
              <w:rPr>
                <w:rFonts w:ascii="Arial" w:cs="Arial" w:eastAsia="Arial" w:hAnsi="Arial"/>
                <w:sz w:val="17"/>
                <w:szCs w:val="17"/>
                <w:color w:val="auto"/>
              </w:rPr>
              <w:t>10,500</w:t>
            </w:r>
          </w:p>
        </w:tc>
        <w:tc>
          <w:tcPr>
            <w:tcW w:w="1180" w:type="dxa"/>
            <w:vAlign w:val="bottom"/>
          </w:tcPr>
          <w:p>
            <w:pPr>
              <w:jc w:val="right"/>
              <w:ind w:right="175"/>
              <w:spacing w:after="0"/>
              <w:rPr>
                <w:sz w:val="20"/>
                <w:szCs w:val="20"/>
                <w:color w:val="auto"/>
              </w:rPr>
            </w:pPr>
            <w:r>
              <w:rPr>
                <w:rFonts w:ascii="Arial" w:cs="Arial" w:eastAsia="Arial" w:hAnsi="Arial"/>
                <w:sz w:val="17"/>
                <w:szCs w:val="17"/>
                <w:color w:val="auto"/>
              </w:rPr>
              <w:t>(1,000)</w:t>
            </w:r>
          </w:p>
        </w:tc>
        <w:tc>
          <w:tcPr>
            <w:tcW w:w="940" w:type="dxa"/>
            <w:vAlign w:val="bottom"/>
          </w:tcPr>
          <w:p>
            <w:pPr>
              <w:jc w:val="right"/>
              <w:spacing w:after="0"/>
              <w:rPr>
                <w:sz w:val="20"/>
                <w:szCs w:val="20"/>
                <w:color w:val="auto"/>
              </w:rPr>
            </w:pPr>
            <w:r>
              <w:rPr>
                <w:rFonts w:ascii="Arial" w:cs="Arial" w:eastAsia="Arial" w:hAnsi="Arial"/>
                <w:sz w:val="17"/>
                <w:szCs w:val="17"/>
                <w:color w:val="auto"/>
              </w:rPr>
              <w:t>(25,988)</w:t>
            </w:r>
          </w:p>
        </w:tc>
      </w:tr>
      <w:tr>
        <w:trPr>
          <w:trHeight w:val="302"/>
        </w:trPr>
        <w:tc>
          <w:tcPr>
            <w:tcW w:w="960" w:type="dxa"/>
            <w:vAlign w:val="bottom"/>
          </w:tcPr>
          <w:p>
            <w:pPr>
              <w:jc w:val="right"/>
              <w:ind w:right="275"/>
              <w:spacing w:after="0"/>
              <w:rPr>
                <w:sz w:val="20"/>
                <w:szCs w:val="20"/>
                <w:color w:val="auto"/>
              </w:rPr>
            </w:pPr>
            <w:r>
              <w:rPr>
                <w:rFonts w:ascii="Arial" w:cs="Arial" w:eastAsia="Arial" w:hAnsi="Arial"/>
                <w:sz w:val="17"/>
                <w:szCs w:val="17"/>
                <w:color w:val="auto"/>
              </w:rPr>
              <w:t>40,000</w:t>
            </w:r>
          </w:p>
        </w:tc>
        <w:tc>
          <w:tcPr>
            <w:tcW w:w="1180" w:type="dxa"/>
            <w:vAlign w:val="bottom"/>
          </w:tcPr>
          <w:p>
            <w:pPr>
              <w:jc w:val="right"/>
              <w:ind w:right="255"/>
              <w:spacing w:after="0"/>
              <w:rPr>
                <w:sz w:val="20"/>
                <w:szCs w:val="20"/>
                <w:color w:val="auto"/>
              </w:rPr>
            </w:pPr>
            <w:r>
              <w:rPr>
                <w:rFonts w:ascii="Arial" w:cs="Arial" w:eastAsia="Arial" w:hAnsi="Arial"/>
                <w:sz w:val="17"/>
                <w:szCs w:val="17"/>
                <w:color w:val="auto"/>
              </w:rPr>
              <w:t>15,000</w:t>
            </w:r>
          </w:p>
        </w:tc>
        <w:tc>
          <w:tcPr>
            <w:tcW w:w="940" w:type="dxa"/>
            <w:vAlign w:val="bottom"/>
          </w:tcPr>
          <w:p>
            <w:pPr>
              <w:jc w:val="right"/>
              <w:spacing w:after="0"/>
              <w:rPr>
                <w:sz w:val="20"/>
                <w:szCs w:val="20"/>
                <w:color w:val="auto"/>
              </w:rPr>
            </w:pPr>
            <w:r>
              <w:rPr>
                <w:rFonts w:ascii="Arial" w:cs="Arial" w:eastAsia="Arial" w:hAnsi="Arial"/>
                <w:sz w:val="17"/>
                <w:szCs w:val="17"/>
                <w:color w:val="auto"/>
              </w:rPr>
              <w:t>324,000</w:t>
            </w:r>
          </w:p>
        </w:tc>
      </w:tr>
      <w:tr>
        <w:trPr>
          <w:trHeight w:val="327"/>
        </w:trPr>
        <w:tc>
          <w:tcPr>
            <w:tcW w:w="960" w:type="dxa"/>
            <w:vAlign w:val="bottom"/>
          </w:tcPr>
          <w:p>
            <w:pPr>
              <w:jc w:val="right"/>
              <w:ind w:right="195"/>
              <w:spacing w:after="0"/>
              <w:rPr>
                <w:sz w:val="20"/>
                <w:szCs w:val="20"/>
                <w:color w:val="auto"/>
              </w:rPr>
            </w:pPr>
            <w:r>
              <w:rPr>
                <w:rFonts w:ascii="Arial" w:cs="Arial" w:eastAsia="Arial" w:hAnsi="Arial"/>
                <w:sz w:val="17"/>
                <w:szCs w:val="17"/>
                <w:color w:val="auto"/>
              </w:rPr>
              <w:t>(58,692)</w:t>
            </w:r>
          </w:p>
        </w:tc>
        <w:tc>
          <w:tcPr>
            <w:tcW w:w="1180" w:type="dxa"/>
            <w:vAlign w:val="bottom"/>
          </w:tcPr>
          <w:p>
            <w:pPr>
              <w:jc w:val="right"/>
              <w:ind w:right="175"/>
              <w:spacing w:after="0"/>
              <w:rPr>
                <w:sz w:val="20"/>
                <w:szCs w:val="20"/>
                <w:color w:val="auto"/>
              </w:rPr>
            </w:pPr>
            <w:r>
              <w:rPr>
                <w:rFonts w:ascii="Arial" w:cs="Arial" w:eastAsia="Arial" w:hAnsi="Arial"/>
                <w:sz w:val="17"/>
                <w:szCs w:val="17"/>
                <w:color w:val="auto"/>
              </w:rPr>
              <w:t>(34,678)</w:t>
            </w:r>
          </w:p>
        </w:tc>
        <w:tc>
          <w:tcPr>
            <w:tcW w:w="940" w:type="dxa"/>
            <w:vAlign w:val="bottom"/>
          </w:tcPr>
          <w:p>
            <w:pPr>
              <w:jc w:val="right"/>
              <w:spacing w:after="0"/>
              <w:rPr>
                <w:sz w:val="20"/>
                <w:szCs w:val="20"/>
                <w:color w:val="auto"/>
              </w:rPr>
            </w:pPr>
            <w:r>
              <w:rPr>
                <w:rFonts w:ascii="Arial" w:cs="Arial" w:eastAsia="Arial" w:hAnsi="Arial"/>
                <w:sz w:val="17"/>
                <w:szCs w:val="17"/>
                <w:color w:val="auto"/>
              </w:rPr>
              <w:t>(185,664)</w:t>
            </w:r>
          </w:p>
        </w:tc>
      </w:tr>
      <w:tr>
        <w:trPr>
          <w:trHeight w:val="269"/>
        </w:trPr>
        <w:tc>
          <w:tcPr>
            <w:tcW w:w="96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(10,000)</w:t>
            </w:r>
          </w:p>
        </w:tc>
      </w:tr>
      <w:tr>
        <w:trPr>
          <w:trHeight w:val="314"/>
        </w:trPr>
        <w:tc>
          <w:tcPr>
            <w:tcW w:w="960" w:type="dxa"/>
            <w:vAlign w:val="bottom"/>
          </w:tcPr>
          <w:p>
            <w:pPr>
              <w:jc w:val="right"/>
              <w:ind w:right="195"/>
              <w:spacing w:after="0"/>
              <w:rPr>
                <w:sz w:val="20"/>
                <w:szCs w:val="20"/>
                <w:color w:val="auto"/>
              </w:rPr>
            </w:pPr>
            <w:r>
              <w:rPr>
                <w:rFonts w:ascii="Arial" w:cs="Arial" w:eastAsia="Arial" w:hAnsi="Arial"/>
                <w:sz w:val="17"/>
                <w:szCs w:val="17"/>
                <w:color w:val="auto"/>
              </w:rPr>
              <w:t>(362)</w:t>
            </w:r>
          </w:p>
        </w:tc>
        <w:tc>
          <w:tcPr>
            <w:tcW w:w="1180" w:type="dxa"/>
            <w:vAlign w:val="bottom"/>
          </w:tcPr>
          <w:p>
            <w:pPr>
              <w:jc w:val="right"/>
              <w:ind w:right="175"/>
              <w:spacing w:after="0"/>
              <w:rPr>
                <w:sz w:val="20"/>
                <w:szCs w:val="20"/>
                <w:color w:val="auto"/>
              </w:rPr>
            </w:pPr>
            <w:r>
              <w:rPr>
                <w:rFonts w:ascii="Arial" w:cs="Arial" w:eastAsia="Arial" w:hAnsi="Arial"/>
                <w:sz w:val="17"/>
                <w:szCs w:val="17"/>
                <w:color w:val="auto"/>
              </w:rPr>
              <w:t>(664)</w:t>
            </w:r>
          </w:p>
        </w:tc>
        <w:tc>
          <w:tcPr>
            <w:tcW w:w="940" w:type="dxa"/>
            <w:vAlign w:val="bottom"/>
          </w:tcPr>
          <w:p>
            <w:pPr>
              <w:jc w:val="right"/>
              <w:spacing w:after="0"/>
              <w:rPr>
                <w:sz w:val="20"/>
                <w:szCs w:val="20"/>
                <w:color w:val="auto"/>
              </w:rPr>
            </w:pPr>
            <w:r>
              <w:rPr>
                <w:rFonts w:ascii="Arial" w:cs="Arial" w:eastAsia="Arial" w:hAnsi="Arial"/>
                <w:sz w:val="17"/>
                <w:szCs w:val="17"/>
                <w:color w:val="auto"/>
              </w:rPr>
              <w:t>(218)</w:t>
            </w:r>
          </w:p>
        </w:tc>
      </w:tr>
      <w:tr>
        <w:trPr>
          <w:trHeight w:val="314"/>
        </w:trPr>
        <w:tc>
          <w:tcPr>
            <w:tcW w:w="960" w:type="dxa"/>
            <w:vAlign w:val="bottom"/>
          </w:tcPr>
          <w:p>
            <w:pPr>
              <w:jc w:val="right"/>
              <w:ind w:right="195"/>
              <w:spacing w:after="0"/>
              <w:rPr>
                <w:sz w:val="20"/>
                <w:szCs w:val="20"/>
                <w:color w:val="auto"/>
              </w:rPr>
            </w:pPr>
            <w:r>
              <w:rPr>
                <w:rFonts w:ascii="Arial" w:cs="Arial" w:eastAsia="Arial" w:hAnsi="Arial"/>
                <w:sz w:val="17"/>
                <w:szCs w:val="17"/>
                <w:color w:val="auto"/>
              </w:rPr>
              <w:t>(12,085)</w:t>
            </w:r>
          </w:p>
        </w:tc>
        <w:tc>
          <w:tcPr>
            <w:tcW w:w="1180" w:type="dxa"/>
            <w:vAlign w:val="bottom"/>
          </w:tcPr>
          <w:p>
            <w:pPr>
              <w:jc w:val="right"/>
              <w:ind w:right="175"/>
              <w:spacing w:after="0"/>
              <w:rPr>
                <w:sz w:val="20"/>
                <w:szCs w:val="20"/>
                <w:color w:val="auto"/>
              </w:rPr>
            </w:pPr>
            <w:r>
              <w:rPr>
                <w:rFonts w:ascii="Arial" w:cs="Arial" w:eastAsia="Arial" w:hAnsi="Arial"/>
                <w:sz w:val="17"/>
                <w:szCs w:val="17"/>
                <w:color w:val="auto"/>
              </w:rPr>
              <w:t>(11,922)</w:t>
            </w:r>
          </w:p>
        </w:tc>
        <w:tc>
          <w:tcPr>
            <w:tcW w:w="940" w:type="dxa"/>
            <w:vAlign w:val="bottom"/>
          </w:tcPr>
          <w:p>
            <w:pPr>
              <w:jc w:val="right"/>
              <w:spacing w:after="0"/>
              <w:rPr>
                <w:sz w:val="20"/>
                <w:szCs w:val="20"/>
                <w:color w:val="auto"/>
              </w:rPr>
            </w:pPr>
            <w:r>
              <w:rPr>
                <w:rFonts w:ascii="Arial" w:cs="Arial" w:eastAsia="Arial" w:hAnsi="Arial"/>
                <w:sz w:val="17"/>
                <w:szCs w:val="17"/>
                <w:color w:val="auto"/>
              </w:rPr>
              <w:t>(11,335)</w:t>
            </w:r>
          </w:p>
        </w:tc>
      </w:tr>
      <w:tr>
        <w:trPr>
          <w:trHeight w:val="312"/>
        </w:trPr>
        <w:tc>
          <w:tcPr>
            <w:tcW w:w="960" w:type="dxa"/>
            <w:vAlign w:val="bottom"/>
          </w:tcPr>
          <w:p>
            <w:pPr>
              <w:jc w:val="right"/>
              <w:ind w:right="275"/>
              <w:spacing w:after="0"/>
              <w:rPr>
                <w:sz w:val="20"/>
                <w:szCs w:val="20"/>
                <w:color w:val="auto"/>
              </w:rPr>
            </w:pPr>
            <w:r>
              <w:rPr>
                <w:rFonts w:ascii="Arial" w:cs="Arial" w:eastAsia="Arial" w:hAnsi="Arial"/>
                <w:sz w:val="17"/>
                <w:szCs w:val="17"/>
                <w:color w:val="auto"/>
              </w:rPr>
              <w:t>23,331</w:t>
            </w:r>
          </w:p>
        </w:tc>
        <w:tc>
          <w:tcPr>
            <w:tcW w:w="1180" w:type="dxa"/>
            <w:vAlign w:val="bottom"/>
          </w:tcPr>
          <w:p>
            <w:pPr>
              <w:jc w:val="right"/>
              <w:ind w:right="255"/>
              <w:spacing w:after="0"/>
              <w:rPr>
                <w:sz w:val="20"/>
                <w:szCs w:val="20"/>
                <w:color w:val="auto"/>
              </w:rPr>
            </w:pPr>
            <w:r>
              <w:rPr>
                <w:rFonts w:ascii="Arial" w:cs="Arial" w:eastAsia="Arial" w:hAnsi="Arial"/>
                <w:sz w:val="17"/>
                <w:szCs w:val="17"/>
                <w:color w:val="auto"/>
              </w:rPr>
              <w:t>46,038</w:t>
            </w:r>
          </w:p>
        </w:tc>
        <w:tc>
          <w:tcPr>
            <w:tcW w:w="940" w:type="dxa"/>
            <w:vAlign w:val="bottom"/>
          </w:tcPr>
          <w:p>
            <w:pPr>
              <w:jc w:val="right"/>
              <w:spacing w:after="0"/>
              <w:rPr>
                <w:sz w:val="20"/>
                <w:szCs w:val="20"/>
                <w:color w:val="auto"/>
              </w:rPr>
            </w:pPr>
            <w:r>
              <w:rPr>
                <w:rFonts w:ascii="Arial" w:cs="Arial" w:eastAsia="Arial" w:hAnsi="Arial"/>
                <w:sz w:val="17"/>
                <w:szCs w:val="17"/>
                <w:color w:val="auto"/>
              </w:rPr>
              <w:t>229,734</w:t>
            </w:r>
          </w:p>
        </w:tc>
      </w:tr>
      <w:tr>
        <w:trPr>
          <w:trHeight w:val="337"/>
        </w:trPr>
        <w:tc>
          <w:tcPr>
            <w:tcW w:w="960" w:type="dxa"/>
            <w:vAlign w:val="bottom"/>
          </w:tcPr>
          <w:p>
            <w:pPr>
              <w:jc w:val="right"/>
              <w:ind w:right="195"/>
              <w:spacing w:after="0"/>
              <w:rPr>
                <w:sz w:val="20"/>
                <w:szCs w:val="20"/>
                <w:color w:val="auto"/>
              </w:rPr>
            </w:pPr>
            <w:r>
              <w:rPr>
                <w:rFonts w:ascii="Arial" w:cs="Arial" w:eastAsia="Arial" w:hAnsi="Arial"/>
                <w:sz w:val="17"/>
                <w:szCs w:val="17"/>
                <w:color w:val="auto"/>
              </w:rPr>
              <w:t>(78,633)</w:t>
            </w:r>
          </w:p>
        </w:tc>
        <w:tc>
          <w:tcPr>
            <w:tcW w:w="1180" w:type="dxa"/>
            <w:vAlign w:val="bottom"/>
          </w:tcPr>
          <w:p>
            <w:pPr>
              <w:jc w:val="right"/>
              <w:ind w:right="255"/>
              <w:spacing w:after="0"/>
              <w:rPr>
                <w:sz w:val="20"/>
                <w:szCs w:val="20"/>
                <w:color w:val="auto"/>
              </w:rPr>
            </w:pPr>
            <w:r>
              <w:rPr>
                <w:rFonts w:ascii="Arial" w:cs="Arial" w:eastAsia="Arial" w:hAnsi="Arial"/>
                <w:sz w:val="17"/>
                <w:szCs w:val="17"/>
                <w:color w:val="auto"/>
              </w:rPr>
              <w:t>34,150</w:t>
            </w:r>
          </w:p>
        </w:tc>
        <w:tc>
          <w:tcPr>
            <w:tcW w:w="940" w:type="dxa"/>
            <w:vAlign w:val="bottom"/>
          </w:tcPr>
          <w:p>
            <w:pPr>
              <w:jc w:val="right"/>
              <w:spacing w:after="0"/>
              <w:rPr>
                <w:sz w:val="20"/>
                <w:szCs w:val="20"/>
                <w:color w:val="auto"/>
              </w:rPr>
            </w:pPr>
            <w:r>
              <w:rPr>
                <w:rFonts w:ascii="Arial" w:cs="Arial" w:eastAsia="Arial" w:hAnsi="Arial"/>
                <w:sz w:val="17"/>
                <w:szCs w:val="17"/>
                <w:color w:val="auto"/>
              </w:rPr>
              <w:t>57,792</w:t>
            </w:r>
          </w:p>
        </w:tc>
      </w:tr>
      <w:tr>
        <w:trPr>
          <w:trHeight w:val="571"/>
        </w:trPr>
        <w:tc>
          <w:tcPr>
            <w:tcW w:w="960" w:type="dxa"/>
            <w:vAlign w:val="bottom"/>
          </w:tcPr>
          <w:p>
            <w:pPr>
              <w:jc w:val="right"/>
              <w:ind w:right="275"/>
              <w:spacing w:after="0"/>
              <w:rPr>
                <w:sz w:val="20"/>
                <w:szCs w:val="20"/>
                <w:color w:val="auto"/>
              </w:rPr>
            </w:pPr>
            <w:r>
              <w:rPr>
                <w:rFonts w:ascii="Arial" w:cs="Arial" w:eastAsia="Arial" w:hAnsi="Arial"/>
                <w:sz w:val="17"/>
                <w:szCs w:val="17"/>
                <w:color w:val="auto"/>
                <w:w w:val="94"/>
              </w:rPr>
              <w:t>176,351</w:t>
            </w:r>
          </w:p>
        </w:tc>
        <w:tc>
          <w:tcPr>
            <w:tcW w:w="1180" w:type="dxa"/>
            <w:vAlign w:val="bottom"/>
          </w:tcPr>
          <w:p>
            <w:pPr>
              <w:jc w:val="right"/>
              <w:ind w:right="255"/>
              <w:spacing w:after="0"/>
              <w:rPr>
                <w:sz w:val="20"/>
                <w:szCs w:val="20"/>
                <w:color w:val="auto"/>
              </w:rPr>
            </w:pPr>
            <w:r>
              <w:rPr>
                <w:rFonts w:ascii="Arial" w:cs="Arial" w:eastAsia="Arial" w:hAnsi="Arial"/>
                <w:sz w:val="17"/>
                <w:szCs w:val="17"/>
                <w:color w:val="auto"/>
              </w:rPr>
              <w:t>142,201</w:t>
            </w:r>
          </w:p>
        </w:tc>
        <w:tc>
          <w:tcPr>
            <w:tcW w:w="940" w:type="dxa"/>
            <w:vAlign w:val="bottom"/>
          </w:tcPr>
          <w:p>
            <w:pPr>
              <w:jc w:val="right"/>
              <w:spacing w:after="0"/>
              <w:rPr>
                <w:sz w:val="20"/>
                <w:szCs w:val="20"/>
                <w:color w:val="auto"/>
              </w:rPr>
            </w:pPr>
            <w:r>
              <w:rPr>
                <w:rFonts w:ascii="Arial" w:cs="Arial" w:eastAsia="Arial" w:hAnsi="Arial"/>
                <w:sz w:val="17"/>
                <w:szCs w:val="17"/>
                <w:color w:val="auto"/>
              </w:rPr>
              <w:t>84,409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-2638425</wp:posOffset>
            </wp:positionV>
            <wp:extent cx="2122170"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4">
                      <a:extLst>
                        <a:ext uri="{28A0092B-C50C-407E-A947-70E740481C1C}"/>
                      </a:extLst>
                    </a:blip>
                    <a:srcRect/>
                    <a:stretch>
                      <a:fillRect/>
                    </a:stretch>
                  </pic:blipFill>
                  <pic:spPr bwMode="auto">
                    <a:xfrm>
                      <a:off x="0" y="0"/>
                      <a:ext cx="2122170" cy="635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-546735</wp:posOffset>
            </wp:positionV>
            <wp:extent cx="212217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5">
                      <a:extLst>
                        <a:ext uri="{28A0092B-C50C-407E-A947-70E740481C1C}"/>
                      </a:extLst>
                    </a:blip>
                    <a:srcRect/>
                    <a:stretch>
                      <a:fillRect/>
                    </a:stretch>
                  </pic:blipFill>
                  <pic:spPr bwMode="auto">
                    <a:xfrm>
                      <a:off x="0" y="0"/>
                      <a:ext cx="2122170" cy="635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5560" w:space="720"/>
            <w:col w:w="3080"/>
          </w:cols>
          <w:pgMar w:left="1260" w:top="1173" w:right="1286" w:bottom="0" w:gutter="0" w:footer="0" w:header="0"/>
        </w:sectPr>
      </w:pPr>
    </w:p>
    <w:p>
      <w:pPr>
        <w:spacing w:after="0"/>
        <w:tabs>
          <w:tab w:leader="none" w:pos="5940" w:val="left"/>
          <w:tab w:leader="none" w:pos="6400" w:val="left"/>
          <w:tab w:leader="none" w:pos="7140" w:val="left"/>
          <w:tab w:leader="none" w:pos="7520" w:val="left"/>
          <w:tab w:leader="none" w:pos="8340" w:val="left"/>
          <w:tab w:leader="none" w:pos="8720" w:val="left"/>
        </w:tabs>
        <w:rPr>
          <w:sz w:val="20"/>
          <w:szCs w:val="20"/>
          <w:color w:val="auto"/>
        </w:rPr>
      </w:pPr>
      <w:r>
        <w:rPr>
          <w:rFonts w:ascii="Arial" w:cs="Arial" w:eastAsia="Arial" w:hAnsi="Arial"/>
          <w:sz w:val="17"/>
          <w:szCs w:val="17"/>
          <w:b w:val="1"/>
          <w:bCs w:val="1"/>
          <w:color w:val="auto"/>
        </w:rPr>
        <w:t>Cash and Cash Equivalents - End of Year</w:t>
      </w:r>
      <w:r>
        <w:rPr>
          <w:sz w:val="20"/>
          <w:szCs w:val="20"/>
          <w:color w:val="auto"/>
        </w:rPr>
        <w:tab/>
      </w:r>
      <w:r>
        <w:rPr>
          <w:rFonts w:ascii="Arial" w:cs="Arial" w:eastAsia="Arial" w:hAnsi="Arial"/>
          <w:sz w:val="34"/>
          <w:szCs w:val="34"/>
          <w:b w:val="1"/>
          <w:bCs w:val="1"/>
          <w:color w:val="auto"/>
          <w:vertAlign w:val="subscript"/>
        </w:rPr>
        <w:t>$</w:t>
      </w:r>
      <w:r>
        <w:rPr>
          <w:rFonts w:ascii="Arial" w:cs="Arial" w:eastAsia="Arial" w:hAnsi="Arial"/>
          <w:sz w:val="34"/>
          <w:szCs w:val="34"/>
          <w:b w:val="1"/>
          <w:bCs w:val="1"/>
          <w:color w:val="auto"/>
        </w:rPr>
        <w:tab/>
      </w:r>
      <w:r>
        <w:rPr>
          <w:rFonts w:ascii="Arial" w:cs="Arial" w:eastAsia="Arial" w:hAnsi="Arial"/>
          <w:sz w:val="34"/>
          <w:szCs w:val="34"/>
          <w:b w:val="1"/>
          <w:bCs w:val="1"/>
          <w:color w:val="auto"/>
          <w:vertAlign w:val="subscript"/>
        </w:rPr>
        <w:t>97,718</w:t>
      </w:r>
      <w:r>
        <w:rPr>
          <w:rFonts w:ascii="Arial" w:cs="Arial" w:eastAsia="Arial" w:hAnsi="Arial"/>
          <w:sz w:val="34"/>
          <w:szCs w:val="34"/>
          <w:b w:val="1"/>
          <w:bCs w:val="1"/>
          <w:color w:val="auto"/>
        </w:rPr>
        <w:tab/>
      </w:r>
      <w:r>
        <w:rPr>
          <w:rFonts w:ascii="Arial" w:cs="Arial" w:eastAsia="Arial" w:hAnsi="Arial"/>
          <w:sz w:val="34"/>
          <w:szCs w:val="34"/>
          <w:b w:val="1"/>
          <w:bCs w:val="1"/>
          <w:color w:val="auto"/>
          <w:vertAlign w:val="subscript"/>
        </w:rPr>
        <w:t>$</w:t>
      </w:r>
      <w:r>
        <w:rPr>
          <w:rFonts w:ascii="Arial" w:cs="Arial" w:eastAsia="Arial" w:hAnsi="Arial"/>
          <w:sz w:val="34"/>
          <w:szCs w:val="34"/>
          <w:b w:val="1"/>
          <w:bCs w:val="1"/>
          <w:color w:val="auto"/>
        </w:rPr>
        <w:tab/>
      </w:r>
      <w:r>
        <w:rPr>
          <w:rFonts w:ascii="Arial" w:cs="Arial" w:eastAsia="Arial" w:hAnsi="Arial"/>
          <w:sz w:val="34"/>
          <w:szCs w:val="34"/>
          <w:b w:val="1"/>
          <w:bCs w:val="1"/>
          <w:color w:val="auto"/>
          <w:vertAlign w:val="subscript"/>
        </w:rPr>
        <w:t>176,351</w:t>
      </w:r>
      <w:r>
        <w:rPr>
          <w:rFonts w:ascii="Arial" w:cs="Arial" w:eastAsia="Arial" w:hAnsi="Arial"/>
          <w:sz w:val="34"/>
          <w:szCs w:val="34"/>
          <w:b w:val="1"/>
          <w:bCs w:val="1"/>
          <w:color w:val="auto"/>
        </w:rPr>
        <w:tab/>
      </w:r>
      <w:r>
        <w:rPr>
          <w:rFonts w:ascii="Arial" w:cs="Arial" w:eastAsia="Arial" w:hAnsi="Arial"/>
          <w:sz w:val="34"/>
          <w:szCs w:val="34"/>
          <w:b w:val="1"/>
          <w:bCs w:val="1"/>
          <w:color w:val="auto"/>
          <w:vertAlign w:val="subscript"/>
        </w:rPr>
        <w:t>$</w:t>
      </w:r>
      <w:r>
        <w:rPr>
          <w:sz w:val="20"/>
          <w:szCs w:val="20"/>
          <w:color w:val="auto"/>
        </w:rPr>
        <w:tab/>
      </w:r>
      <w:r>
        <w:rPr>
          <w:rFonts w:ascii="Arial" w:cs="Arial" w:eastAsia="Arial" w:hAnsi="Arial"/>
          <w:sz w:val="22"/>
          <w:szCs w:val="22"/>
          <w:b w:val="1"/>
          <w:bCs w:val="1"/>
          <w:color w:val="auto"/>
          <w:vertAlign w:val="subscript"/>
        </w:rPr>
        <w:t>142,201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5967730" cy="2279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6">
                      <a:extLst>
                        <a:ext uri="{28A0092B-C50C-407E-A947-70E740481C1C}"/>
                      </a:extLst>
                    </a:blip>
                    <a:srcRect/>
                    <a:stretch>
                      <a:fillRect/>
                    </a:stretch>
                  </pic:blipFill>
                  <pic:spPr bwMode="auto">
                    <a:xfrm>
                      <a:off x="0" y="0"/>
                      <a:ext cx="5967730" cy="22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 / 32</w:t>
      </w:r>
    </w:p>
    <w:p>
      <w:pPr>
        <w:sectPr>
          <w:pgSz w:w="11900" w:h="16838" w:orient="portrait"/>
          <w:cols w:equalWidth="0" w:num="1">
            <w:col w:w="9360"/>
          </w:cols>
          <w:pgMar w:left="1260" w:top="1173" w:right="1286" w:bottom="0" w:gutter="0" w:footer="0" w:header="0"/>
          <w:type w:val="continuous"/>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Consolidated Statements of Cash Flows (continued)</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Years Ended December 31, 2025, 2024 and 2023</w:t>
      </w:r>
    </w:p>
    <w:p>
      <w:pPr>
        <w:spacing w:after="0" w:line="7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(000’s Omitted)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7"/>
                <w:szCs w:val="17"/>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7"/>
                <w:szCs w:val="17"/>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2023</w:t>
            </w:r>
          </w:p>
        </w:tc>
      </w:tr>
      <w:tr>
        <w:trPr>
          <w:trHeight w:val="46"/>
        </w:trPr>
        <w:tc>
          <w:tcPr>
            <w:tcW w:w="45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64"/>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Information</w:t>
            </w:r>
          </w:p>
        </w:tc>
        <w:tc>
          <w:tcPr>
            <w:tcW w:w="158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r>
      <w:tr>
        <w:trPr>
          <w:trHeight w:val="248"/>
        </w:trPr>
        <w:tc>
          <w:tcPr>
            <w:tcW w:w="456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36"/>
        </w:trPr>
        <w:tc>
          <w:tcPr>
            <w:tcW w:w="45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4"/>
        </w:trPr>
        <w:tc>
          <w:tcPr>
            <w:tcW w:w="45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Interest paid</w:t>
            </w:r>
          </w:p>
        </w:tc>
        <w:tc>
          <w:tcPr>
            <w:tcW w:w="15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69,906</w:t>
            </w:r>
          </w:p>
        </w:tc>
        <w:tc>
          <w:tcPr>
            <w:tcW w:w="3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76,498</w:t>
            </w:r>
          </w:p>
        </w:tc>
        <w:tc>
          <w:tcPr>
            <w:tcW w:w="3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55,119</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Federal income taxes paid</w:t>
            </w:r>
          </w:p>
        </w:tc>
        <w:tc>
          <w:tcPr>
            <w:tcW w:w="15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8,710</w:t>
            </w:r>
          </w:p>
        </w:tc>
        <w:tc>
          <w:tcPr>
            <w:tcW w:w="32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3,000</w:t>
            </w: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4,900</w:t>
            </w:r>
          </w:p>
        </w:tc>
      </w:tr>
      <w:tr>
        <w:trPr>
          <w:trHeight w:val="45"/>
        </w:trPr>
        <w:tc>
          <w:tcPr>
            <w:tcW w:w="45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4"/>
        </w:trPr>
        <w:tc>
          <w:tcPr>
            <w:tcW w:w="45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State income taxes paid</w:t>
            </w:r>
          </w:p>
        </w:tc>
        <w:tc>
          <w:tcPr>
            <w:tcW w:w="15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202</w:t>
            </w:r>
          </w:p>
        </w:tc>
        <w:tc>
          <w:tcPr>
            <w:tcW w:w="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521</w:t>
            </w:r>
          </w:p>
        </w:tc>
      </w:tr>
      <w:tr>
        <w:trPr>
          <w:trHeight w:val="248"/>
        </w:trPr>
        <w:tc>
          <w:tcPr>
            <w:tcW w:w="4560" w:type="dxa"/>
            <w:vAlign w:val="bottom"/>
          </w:tcPr>
          <w:p>
            <w:pPr>
              <w:spacing w:after="0"/>
              <w:rPr>
                <w:sz w:val="20"/>
                <w:szCs w:val="20"/>
                <w:color w:val="auto"/>
              </w:rPr>
            </w:pPr>
            <w:r>
              <w:rPr>
                <w:rFonts w:ascii="Arial" w:cs="Arial" w:eastAsia="Arial" w:hAnsi="Arial"/>
                <w:sz w:val="18"/>
                <w:szCs w:val="18"/>
                <w:color w:val="auto"/>
              </w:rPr>
              <w:t>Supplemental noncash disclosures:</w:t>
            </w:r>
          </w:p>
        </w:tc>
        <w:tc>
          <w:tcPr>
            <w:tcW w:w="1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36"/>
        </w:trPr>
        <w:tc>
          <w:tcPr>
            <w:tcW w:w="45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4"/>
        </w:trPr>
        <w:tc>
          <w:tcPr>
            <w:tcW w:w="45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Transfer of loans to other real estate owned</w:t>
            </w:r>
          </w:p>
        </w:tc>
        <w:tc>
          <w:tcPr>
            <w:tcW w:w="15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150</w:t>
            </w:r>
          </w:p>
        </w:tc>
        <w:tc>
          <w:tcPr>
            <w:tcW w:w="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Transfer of loans from loans held for sale</w:t>
            </w:r>
          </w:p>
        </w:tc>
        <w:tc>
          <w:tcPr>
            <w:tcW w:w="158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932</w:t>
            </w: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45"/>
        </w:trPr>
        <w:tc>
          <w:tcPr>
            <w:tcW w:w="45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70"/>
        </w:trPr>
        <w:tc>
          <w:tcPr>
            <w:tcW w:w="4560" w:type="dxa"/>
            <w:vAlign w:val="bottom"/>
            <w:shd w:val="clear" w:color="auto" w:fill="CFF0FC"/>
          </w:tcPr>
          <w:p>
            <w:pPr>
              <w:ind w:left="40"/>
              <w:spacing w:after="0"/>
              <w:rPr>
                <w:sz w:val="20"/>
                <w:szCs w:val="20"/>
                <w:color w:val="auto"/>
              </w:rPr>
            </w:pPr>
            <w:r>
              <w:rPr>
                <w:rFonts w:ascii="Arial" w:cs="Arial" w:eastAsia="Arial" w:hAnsi="Arial"/>
                <w:sz w:val="18"/>
                <w:szCs w:val="18"/>
                <w:color w:val="auto"/>
              </w:rPr>
              <w:t>Cash dividends declared not paid</w:t>
            </w:r>
          </w:p>
        </w:tc>
        <w:tc>
          <w:tcPr>
            <w:tcW w:w="1580" w:type="dxa"/>
            <w:vAlign w:val="bottom"/>
            <w:shd w:val="clear" w:color="auto" w:fill="CFF0FC"/>
          </w:tcPr>
          <w:p>
            <w:pPr>
              <w:spacing w:after="0"/>
              <w:rPr>
                <w:sz w:val="23"/>
                <w:szCs w:val="23"/>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3,125</w:t>
            </w:r>
          </w:p>
        </w:tc>
        <w:tc>
          <w:tcPr>
            <w:tcW w:w="320" w:type="dxa"/>
            <w:vAlign w:val="bottom"/>
            <w:shd w:val="clear" w:color="auto" w:fill="CFF0FC"/>
          </w:tcPr>
          <w:p>
            <w:pPr>
              <w:spacing w:after="0"/>
              <w:rPr>
                <w:sz w:val="23"/>
                <w:szCs w:val="23"/>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2,996</w:t>
            </w:r>
          </w:p>
        </w:tc>
        <w:tc>
          <w:tcPr>
            <w:tcW w:w="320" w:type="dxa"/>
            <w:vAlign w:val="bottom"/>
            <w:shd w:val="clear" w:color="auto" w:fill="CFF0FC"/>
          </w:tcPr>
          <w:p>
            <w:pPr>
              <w:spacing w:after="0"/>
              <w:rPr>
                <w:sz w:val="23"/>
                <w:szCs w:val="23"/>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2,974</w:t>
            </w:r>
          </w:p>
        </w:tc>
      </w:tr>
      <w:tr>
        <w:trPr>
          <w:trHeight w:val="45"/>
        </w:trPr>
        <w:tc>
          <w:tcPr>
            <w:tcW w:w="4560" w:type="dxa"/>
            <w:vAlign w:val="bottom"/>
            <w:shd w:val="clear" w:color="auto" w:fill="CFF0FC"/>
          </w:tcPr>
          <w:p>
            <w:pPr>
              <w:spacing w:after="0"/>
              <w:rPr>
                <w:sz w:val="3"/>
                <w:szCs w:val="3"/>
                <w:color w:val="auto"/>
              </w:rPr>
            </w:pPr>
          </w:p>
        </w:tc>
        <w:tc>
          <w:tcPr>
            <w:tcW w:w="158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-1745615</wp:posOffset>
            </wp:positionV>
            <wp:extent cx="2124710"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08">
                      <a:extLst>
                        <a:ext uri="{28A0092B-C50C-407E-A947-70E740481C1C}"/>
                      </a:extLst>
                    </a:blip>
                    <a:srcRect/>
                    <a:stretch>
                      <a:fillRect/>
                    </a:stretch>
                  </pic:blipFill>
                  <pic:spPr bwMode="auto">
                    <a:xfrm>
                      <a:off x="0" y="0"/>
                      <a:ext cx="2124710" cy="635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0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32</w:t>
      </w:r>
    </w:p>
    <w:p>
      <w:pPr>
        <w:sectPr>
          <w:pgSz w:w="11900" w:h="16838" w:orient="portrait"/>
          <w:cols w:equalWidth="0" w:num="1">
            <w:col w:w="9400"/>
          </w:cols>
          <w:pgMar w:left="1260" w:top="1440" w:right="1246" w:bottom="0" w:gutter="0" w:footer="0" w:header="0"/>
          <w:type w:val="continuous"/>
        </w:sectPr>
      </w:pPr>
    </w:p>
    <w:bookmarkStart w:id="129" w:name="page130"/>
    <w:bookmarkEnd w:id="129"/>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Summary of Significant Accounting Policies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Nature of Operations</w:t>
      </w:r>
    </w:p>
    <w:p>
      <w:pPr>
        <w:spacing w:after="0" w:line="200" w:lineRule="exact"/>
        <w:rPr>
          <w:sz w:val="20"/>
          <w:szCs w:val="20"/>
          <w:color w:val="auto"/>
        </w:rPr>
      </w:pPr>
    </w:p>
    <w:p>
      <w:pPr>
        <w:jc w:val="both"/>
        <w:ind w:left="620" w:right="60"/>
        <w:spacing w:after="0" w:line="307" w:lineRule="auto"/>
        <w:rPr>
          <w:sz w:val="20"/>
          <w:szCs w:val="20"/>
          <w:color w:val="auto"/>
        </w:rPr>
      </w:pPr>
      <w:r>
        <w:rPr>
          <w:rFonts w:ascii="Arial" w:cs="Arial" w:eastAsia="Arial" w:hAnsi="Arial"/>
          <w:sz w:val="20"/>
          <w:szCs w:val="20"/>
          <w:color w:val="auto"/>
        </w:rPr>
        <w:t>The Farmers &amp; Merchants Bancorp, Inc. (the Company) through its bank subsidiary, The Farmers &amp; Merchants State Bank (the Bank) provides a variety of financial services to individuals and small businesses through its offices in Northwest Ohio, Northeast Indiana and Southeast Michigan.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Consolidation Policy</w:t>
      </w:r>
    </w:p>
    <w:p>
      <w:pPr>
        <w:spacing w:after="0" w:line="200" w:lineRule="exact"/>
        <w:rPr>
          <w:sz w:val="20"/>
          <w:szCs w:val="20"/>
          <w:color w:val="auto"/>
        </w:rPr>
      </w:pPr>
    </w:p>
    <w:p>
      <w:pPr>
        <w:jc w:val="both"/>
        <w:ind w:left="620" w:right="80"/>
        <w:spacing w:after="0" w:line="311" w:lineRule="auto"/>
        <w:rPr>
          <w:sz w:val="20"/>
          <w:szCs w:val="20"/>
          <w:color w:val="auto"/>
        </w:rPr>
      </w:pPr>
      <w:r>
        <w:rPr>
          <w:rFonts w:ascii="Arial" w:cs="Arial" w:eastAsia="Arial" w:hAnsi="Arial"/>
          <w:sz w:val="20"/>
          <w:szCs w:val="20"/>
          <w:color w:val="auto"/>
        </w:rPr>
        <w:t>The consolidated financial statements include the accounts of Farmers &amp; Merchants Bancorp, Inc. and its wholly-owned subsidiaries, The Farmers &amp; Merchants State Bank (the Bank), a commercial banking institution and Farmers &amp; Merchants Risk Management, Inc. (the Captive), a Captive insurance company which was dissolved in December 2023. The Bank includes F&amp;M Insurance Agency, LLC, a subsidiary offering insurance products which was formed in November 2023. All significant inter-company balances and transactions have been eliminated.</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Reclassification</w:t>
      </w:r>
    </w:p>
    <w:p>
      <w:pPr>
        <w:spacing w:after="0" w:line="200" w:lineRule="exact"/>
        <w:rPr>
          <w:sz w:val="20"/>
          <w:szCs w:val="20"/>
          <w:color w:val="auto"/>
        </w:rPr>
      </w:pPr>
    </w:p>
    <w:p>
      <w:pPr>
        <w:jc w:val="both"/>
        <w:ind w:left="620" w:right="80"/>
        <w:spacing w:after="0" w:line="355" w:lineRule="auto"/>
        <w:rPr>
          <w:sz w:val="20"/>
          <w:szCs w:val="20"/>
          <w:color w:val="auto"/>
        </w:rPr>
      </w:pPr>
      <w:r>
        <w:rPr>
          <w:rFonts w:ascii="Arial" w:cs="Arial" w:eastAsia="Arial" w:hAnsi="Arial"/>
          <w:sz w:val="18"/>
          <w:szCs w:val="18"/>
          <w:color w:val="auto"/>
        </w:rPr>
        <w:t>Certain 2024 and 2023 amounts within the loans disclosure (Note 4) and the loan section of Management's Discussion and Analysis have been reclassified to conform with current year presentation to provide additional information to the reader. The reclassifications had no effect on income.</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Use of Estimates</w:t>
      </w:r>
    </w:p>
    <w:p>
      <w:pPr>
        <w:spacing w:after="0" w:line="200" w:lineRule="exact"/>
        <w:rPr>
          <w:sz w:val="20"/>
          <w:szCs w:val="20"/>
          <w:color w:val="auto"/>
        </w:rPr>
      </w:pPr>
    </w:p>
    <w:p>
      <w:pPr>
        <w:jc w:val="both"/>
        <w:ind w:left="620" w:right="60"/>
        <w:spacing w:after="0" w:line="329" w:lineRule="auto"/>
        <w:rPr>
          <w:sz w:val="20"/>
          <w:szCs w:val="20"/>
          <w:color w:val="auto"/>
        </w:rPr>
      </w:pPr>
      <w:r>
        <w:rPr>
          <w:rFonts w:ascii="Arial" w:cs="Arial" w:eastAsia="Arial" w:hAnsi="Arial"/>
          <w:sz w:val="19"/>
          <w:szCs w:val="19"/>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Material estimates that are particularly susceptible to significant change in the near term relate to the determination of the allowance for credit losses. Actual results could differ from those estimates.</w:t>
      </w:r>
    </w:p>
    <w:p>
      <w:pPr>
        <w:spacing w:after="0" w:line="243" w:lineRule="exact"/>
        <w:rPr>
          <w:sz w:val="20"/>
          <w:szCs w:val="20"/>
          <w:color w:val="auto"/>
        </w:rPr>
      </w:pPr>
    </w:p>
    <w:p>
      <w:pPr>
        <w:jc w:val="both"/>
        <w:ind w:left="620" w:right="100"/>
        <w:spacing w:after="0" w:line="309" w:lineRule="auto"/>
        <w:rPr>
          <w:sz w:val="20"/>
          <w:szCs w:val="20"/>
          <w:color w:val="auto"/>
        </w:rPr>
      </w:pPr>
      <w:r>
        <w:rPr>
          <w:rFonts w:ascii="Arial" w:cs="Arial" w:eastAsia="Arial" w:hAnsi="Arial"/>
          <w:sz w:val="20"/>
          <w:szCs w:val="20"/>
          <w:color w:val="auto"/>
        </w:rPr>
        <w:t>The determination of the adequacy of the allowance for credit losses is based on estimates that are particularly susceptible to significant changes in the economic environment and market conditions. In connection with the determination of the estimated losses on loans, management obtains independent appraisals for significant collateral.</w:t>
      </w:r>
    </w:p>
    <w:p>
      <w:pPr>
        <w:spacing w:after="0" w:line="256" w:lineRule="exact"/>
        <w:rPr>
          <w:sz w:val="20"/>
          <w:szCs w:val="20"/>
          <w:color w:val="auto"/>
        </w:rPr>
      </w:pPr>
    </w:p>
    <w:p>
      <w:pPr>
        <w:jc w:val="both"/>
        <w:ind w:left="620" w:right="80"/>
        <w:spacing w:after="0" w:line="309" w:lineRule="auto"/>
        <w:rPr>
          <w:sz w:val="20"/>
          <w:szCs w:val="20"/>
          <w:color w:val="auto"/>
        </w:rPr>
      </w:pPr>
      <w:r>
        <w:rPr>
          <w:rFonts w:ascii="Arial" w:cs="Arial" w:eastAsia="Arial" w:hAnsi="Arial"/>
          <w:sz w:val="20"/>
          <w:szCs w:val="20"/>
          <w:color w:val="auto"/>
        </w:rPr>
        <w:t>The Bank’s loans are generally secured by specific items of collateral including real property, consumer assets, and business assets. Although the Bank has a diversified loan portfolio, a substantial portion of its debtors’ ability to honor their contracts is dependent on local economic conditions in the communities we serve.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32</w:t>
      </w:r>
    </w:p>
    <w:p>
      <w:pPr>
        <w:sectPr>
          <w:pgSz w:w="11900" w:h="16838" w:orient="portrait"/>
          <w:cols w:equalWidth="0" w:num="1">
            <w:col w:w="9400"/>
          </w:cols>
          <w:pgMar w:left="1260" w:top="1440" w:right="1246" w:bottom="0" w:gutter="0" w:footer="0" w:header="0"/>
          <w:type w:val="continuous"/>
        </w:sectPr>
      </w:pPr>
    </w:p>
    <w:bookmarkStart w:id="130" w:name="page131"/>
    <w:bookmarkEnd w:id="130"/>
    <w:p>
      <w:pPr>
        <w:jc w:val="both"/>
        <w:ind w:left="440"/>
        <w:spacing w:after="0" w:line="330" w:lineRule="auto"/>
        <w:rPr>
          <w:sz w:val="20"/>
          <w:szCs w:val="20"/>
          <w:color w:val="auto"/>
        </w:rPr>
      </w:pPr>
      <w:r>
        <w:rPr>
          <w:rFonts w:ascii="Arial" w:cs="Arial" w:eastAsia="Arial" w:hAnsi="Arial"/>
          <w:sz w:val="19"/>
          <w:szCs w:val="19"/>
          <w:color w:val="auto"/>
        </w:rPr>
        <w:t>While management uses available information to recognize losses on loans, further reductions in the carrying amounts of loans may be necessary based on changes in local economic conditions. Because of these factors, it is reasonably possible that the estimated losses on loans may change materially in the near term. However, the amount of the change that is reasonably possible cannot be estimated.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Cash and Cash Equivalents</w:t>
      </w:r>
    </w:p>
    <w:p>
      <w:pPr>
        <w:spacing w:after="0" w:line="200" w:lineRule="exact"/>
        <w:rPr>
          <w:sz w:val="20"/>
          <w:szCs w:val="20"/>
          <w:color w:val="auto"/>
        </w:rPr>
      </w:pPr>
    </w:p>
    <w:p>
      <w:pPr>
        <w:jc w:val="both"/>
        <w:ind w:left="440" w:right="20"/>
        <w:spacing w:after="0" w:line="309" w:lineRule="auto"/>
        <w:rPr>
          <w:sz w:val="20"/>
          <w:szCs w:val="20"/>
          <w:color w:val="auto"/>
        </w:rPr>
      </w:pPr>
      <w:r>
        <w:rPr>
          <w:rFonts w:ascii="Arial" w:cs="Arial" w:eastAsia="Arial" w:hAnsi="Arial"/>
          <w:sz w:val="20"/>
          <w:szCs w:val="20"/>
          <w:color w:val="auto"/>
        </w:rPr>
        <w:t>For purposes of the consolidated statement of cash flows, the Company considers all highly liquid debt instruments purchased with an original maturity of three months or less to be cash equivalents. This includes cash on hand, amounts due from banks, and federal funds sold. Generally, federal funds sold are outstanding for one day periods.</w:t>
      </w:r>
    </w:p>
    <w:p>
      <w:pPr>
        <w:spacing w:after="0" w:line="246"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Restrictions on Cash and Amounts Due from Banks</w:t>
      </w:r>
    </w:p>
    <w:p>
      <w:pPr>
        <w:spacing w:after="0" w:line="200" w:lineRule="exact"/>
        <w:rPr>
          <w:sz w:val="20"/>
          <w:szCs w:val="20"/>
          <w:color w:val="auto"/>
        </w:rPr>
      </w:pPr>
    </w:p>
    <w:p>
      <w:pPr>
        <w:jc w:val="both"/>
        <w:ind w:left="440" w:right="40"/>
        <w:spacing w:after="0" w:line="330" w:lineRule="auto"/>
        <w:rPr>
          <w:sz w:val="20"/>
          <w:szCs w:val="20"/>
          <w:color w:val="auto"/>
        </w:rPr>
      </w:pPr>
      <w:r>
        <w:rPr>
          <w:rFonts w:ascii="Arial" w:cs="Arial" w:eastAsia="Arial" w:hAnsi="Arial"/>
          <w:sz w:val="19"/>
          <w:szCs w:val="19"/>
          <w:color w:val="auto"/>
        </w:rPr>
        <w:t>The Federal Reserve Bank did not require the Company to maintain minimum balances of cash on hand during the past three years. The Company and its subsidiaries maintain cash balances with high quality financial institutions. At times such balances may be in excess of the federally insured limits.</w:t>
      </w:r>
    </w:p>
    <w:p>
      <w:pPr>
        <w:spacing w:after="0" w:line="229"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80"/>
          </w:cols>
          <w:pgMar w:left="144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13 / 32</w:t>
      </w:r>
    </w:p>
    <w:p>
      <w:pPr>
        <w:sectPr>
          <w:pgSz w:w="11900" w:h="16838" w:orient="portrait"/>
          <w:cols w:equalWidth="0" w:num="1">
            <w:col w:w="9180"/>
          </w:cols>
          <w:pgMar w:left="1440" w:top="1173" w:right="1286" w:bottom="0" w:gutter="0" w:footer="0" w:header="0"/>
          <w:type w:val="continuous"/>
        </w:sectPr>
      </w:pPr>
    </w:p>
    <w:bookmarkStart w:id="131" w:name="page132"/>
    <w:bookmarkEnd w:id="131"/>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Securities</w:t>
      </w:r>
    </w:p>
    <w:p>
      <w:pPr>
        <w:spacing w:after="0" w:line="200" w:lineRule="exact"/>
        <w:rPr>
          <w:sz w:val="20"/>
          <w:szCs w:val="20"/>
          <w:color w:val="auto"/>
        </w:rPr>
      </w:pPr>
    </w:p>
    <w:p>
      <w:pPr>
        <w:jc w:val="both"/>
        <w:ind w:left="620" w:right="60"/>
        <w:spacing w:after="0" w:line="330" w:lineRule="auto"/>
        <w:rPr>
          <w:sz w:val="20"/>
          <w:szCs w:val="20"/>
          <w:color w:val="auto"/>
        </w:rPr>
      </w:pPr>
      <w:r>
        <w:rPr>
          <w:rFonts w:ascii="Arial" w:cs="Arial" w:eastAsia="Arial" w:hAnsi="Arial"/>
          <w:sz w:val="19"/>
          <w:szCs w:val="19"/>
          <w:color w:val="auto"/>
        </w:rPr>
        <w:t>Debt securities are classified as available-for-sale. Securities available-for-sale are carried at fair value with unrealized gains and losses reported in other comprehensive income (loss). Net realized gains and losses on securities available for sale are included in noninterest income and, when applicable, are reported as a reclassification adjustment, net of tax, in other comprehensive income (loss). Gains and losses on sales of securities are determined on the specific identification method.</w:t>
      </w:r>
    </w:p>
    <w:p>
      <w:pPr>
        <w:spacing w:after="0" w:line="238" w:lineRule="exact"/>
        <w:rPr>
          <w:sz w:val="20"/>
          <w:szCs w:val="20"/>
          <w:color w:val="auto"/>
        </w:rPr>
      </w:pPr>
    </w:p>
    <w:p>
      <w:pPr>
        <w:jc w:val="both"/>
        <w:ind w:left="620" w:right="60"/>
        <w:spacing w:after="0" w:line="329" w:lineRule="auto"/>
        <w:rPr>
          <w:sz w:val="20"/>
          <w:szCs w:val="20"/>
          <w:color w:val="auto"/>
        </w:rPr>
      </w:pPr>
      <w:r>
        <w:rPr>
          <w:rFonts w:ascii="Arial" w:cs="Arial" w:eastAsia="Arial" w:hAnsi="Arial"/>
          <w:sz w:val="19"/>
          <w:szCs w:val="19"/>
          <w:color w:val="auto"/>
        </w:rPr>
        <w:t>Investment securities will at times depreciate to an unrealized loss position. Declines in the fair value of securities below their cost that are deemed to result from a deterioration in the credit quality of the issuer are recorded in the Company's consolidated statement of income as a component of the provision for credit loss. In estimating whether the unrealized loss requires an allowance for credit losses, management considers whether (1) the fair value of the security has significantly declined from book value, (2) a downgrade has occurred that lowered the credit rating, (3) dividends have been reduced or eliminated or scheduled interest payments have not been made and (4) management does not possess both the intent and ability to hold the security for a period of time sufficient to allow for any anticipated recovery in fair value. This situation would require an immediate write down to fair value. With the exception of the fourth factor, no one item by itself will necessarily signal that an allowance for credit losses on investment securities should be established,</w:t>
      </w:r>
    </w:p>
    <w:p>
      <w:pPr>
        <w:spacing w:after="0" w:line="245" w:lineRule="exact"/>
        <w:rPr>
          <w:sz w:val="20"/>
          <w:szCs w:val="20"/>
          <w:color w:val="auto"/>
        </w:rPr>
      </w:pPr>
    </w:p>
    <w:p>
      <w:pPr>
        <w:jc w:val="both"/>
        <w:ind w:left="620" w:right="40"/>
        <w:spacing w:after="0" w:line="349" w:lineRule="auto"/>
        <w:rPr>
          <w:sz w:val="20"/>
          <w:szCs w:val="20"/>
          <w:color w:val="auto"/>
        </w:rPr>
      </w:pPr>
      <w:r>
        <w:rPr>
          <w:rFonts w:ascii="Arial" w:cs="Arial" w:eastAsia="Arial" w:hAnsi="Arial"/>
          <w:sz w:val="18"/>
          <w:szCs w:val="18"/>
          <w:color w:val="auto"/>
        </w:rPr>
        <w:t>If the unrealized loss is determined to be the result of a credit quality concerns, the present value of the cash flows expected to be collected is compared to the amortized cost basis. If the present value of the cash flows expected to be collected is less than the amortized cost basis, a credit loss exists and an allowance for credit losses is recorded, limited by the amount that the fair value is less than the amortized cost basis. Adjustments to the allowance are recorded in the Company's consolidated statement of income as a component of the provision for credit losses. The Company did not record an allowance for credit losses on its investment securities available for sale as the unrealized losses were attributed to changes in interest rates, not credit quality. Accrued interest receivable on available-for-sale debt securities totaled $1.8 million and $1.9 million at December 31, 2025 and 2024, respectively, and is included within other assets on the consolidated balance sheets. These amounts are excluded from the estimate of expected credit losses.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Other Securities</w:t>
      </w:r>
    </w:p>
    <w:p>
      <w:pPr>
        <w:spacing w:after="0" w:line="200" w:lineRule="exact"/>
        <w:rPr>
          <w:sz w:val="20"/>
          <w:szCs w:val="20"/>
          <w:color w:val="auto"/>
        </w:rPr>
      </w:pPr>
    </w:p>
    <w:p>
      <w:pPr>
        <w:jc w:val="both"/>
        <w:ind w:left="620" w:right="60"/>
        <w:spacing w:after="0" w:line="310" w:lineRule="auto"/>
        <w:rPr>
          <w:sz w:val="20"/>
          <w:szCs w:val="20"/>
          <w:color w:val="auto"/>
        </w:rPr>
      </w:pPr>
      <w:r>
        <w:rPr>
          <w:rFonts w:ascii="Arial" w:cs="Arial" w:eastAsia="Arial" w:hAnsi="Arial"/>
          <w:sz w:val="20"/>
          <w:szCs w:val="20"/>
          <w:color w:val="auto"/>
        </w:rPr>
        <w:t>Other securities consist of stock in the Federal Home Loan Banks of Cincinnati and Indianapolis (the “FHLBs”), which is held to enable the Bank to conduct business with the entities. The FHLBs sell and purchase their stock at par. The FHLBs stock is carried at cost and held as collateral security for all indebtedness of the Bank to the Federal Home Loan Bank. The FHLBs stock is evaluated for impairment as conditions warrant.</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Loans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32</w:t>
      </w:r>
    </w:p>
    <w:p>
      <w:pPr>
        <w:sectPr>
          <w:pgSz w:w="11900" w:h="16838" w:orient="portrait"/>
          <w:cols w:equalWidth="0" w:num="1">
            <w:col w:w="9400"/>
          </w:cols>
          <w:pgMar w:left="1260" w:top="1440" w:right="1246" w:bottom="0" w:gutter="0" w:footer="0" w:header="0"/>
          <w:type w:val="continuous"/>
        </w:sectPr>
      </w:pPr>
    </w:p>
    <w:bookmarkStart w:id="132" w:name="page133"/>
    <w:bookmarkEnd w:id="132"/>
    <w:p>
      <w:pPr>
        <w:jc w:val="both"/>
        <w:ind w:left="440"/>
        <w:spacing w:after="0" w:line="350" w:lineRule="auto"/>
        <w:rPr>
          <w:sz w:val="20"/>
          <w:szCs w:val="20"/>
          <w:color w:val="auto"/>
        </w:rPr>
      </w:pPr>
      <w:r>
        <w:rPr>
          <w:rFonts w:ascii="Arial" w:cs="Arial" w:eastAsia="Arial" w:hAnsi="Arial"/>
          <w:sz w:val="18"/>
          <w:szCs w:val="18"/>
          <w:color w:val="auto"/>
        </w:rPr>
        <w:t>Loans that management has the intent and ability to hold for the foreseeable future or until maturity or payoff are reported at amortized cost. Amortized cost is the principal balance outstanding, net of purchase premiums and discounts, deferred loan fees and costs. Accrued interest receivable totaled $11.7 and $10.7 million at December 31, 2025 and December 31, 2024, respectively, and was reported in Other Assets on the Company’s consolidated balance sheets and is excluded from the estimate of credit losses. Interest income is accrued on the unpaid principal balance. Loan origination fees, net of certain direct origination costs, are deferred and recognized in interest income using the level-yield method without anticipated repayments.</w:t>
      </w:r>
    </w:p>
    <w:p>
      <w:pPr>
        <w:spacing w:after="0" w:line="227" w:lineRule="exact"/>
        <w:rPr>
          <w:sz w:val="20"/>
          <w:szCs w:val="20"/>
          <w:color w:val="auto"/>
        </w:rPr>
      </w:pPr>
    </w:p>
    <w:p>
      <w:pPr>
        <w:jc w:val="both"/>
        <w:ind w:left="440" w:right="20"/>
        <w:spacing w:after="0" w:line="329" w:lineRule="auto"/>
        <w:rPr>
          <w:sz w:val="20"/>
          <w:szCs w:val="20"/>
          <w:color w:val="auto"/>
        </w:rPr>
      </w:pPr>
      <w:r>
        <w:rPr>
          <w:rFonts w:ascii="Arial" w:cs="Arial" w:eastAsia="Arial" w:hAnsi="Arial"/>
          <w:sz w:val="19"/>
          <w:szCs w:val="19"/>
          <w:color w:val="auto"/>
        </w:rPr>
        <w:t>Interest income on mortgage and commercial loans is discontinued and placed on nonaccrual status at the time the loan is 90 days delinquent unless the loan is well secured and in process of collection. All interest accrued but not received for loans placed on nonaccrual is reversed against interest income. Interest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Loans are returned to accrual status when all the principal and interest amounts contractually due are brought current and future payments are reasonably assured.</w:t>
      </w:r>
    </w:p>
    <w:p>
      <w:pPr>
        <w:spacing w:after="0" w:line="200" w:lineRule="exact"/>
        <w:rPr>
          <w:sz w:val="20"/>
          <w:szCs w:val="20"/>
          <w:color w:val="auto"/>
        </w:rPr>
      </w:pPr>
    </w:p>
    <w:p>
      <w:pPr>
        <w:spacing w:after="0" w:line="33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15 / 32</w:t>
      </w:r>
    </w:p>
    <w:p>
      <w:pPr>
        <w:sectPr>
          <w:pgSz w:w="11900" w:h="16838" w:orient="portrait"/>
          <w:cols w:equalWidth="0" w:num="1">
            <w:col w:w="9200"/>
          </w:cols>
          <w:pgMar w:left="1440" w:top="1173" w:right="1266" w:bottom="0" w:gutter="0" w:footer="0" w:header="0"/>
          <w:type w:val="continuous"/>
        </w:sectPr>
      </w:pPr>
    </w:p>
    <w:bookmarkStart w:id="133" w:name="page134"/>
    <w:bookmarkEnd w:id="133"/>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620" w:right="20"/>
        <w:spacing w:after="0" w:line="329" w:lineRule="auto"/>
        <w:rPr>
          <w:sz w:val="20"/>
          <w:szCs w:val="20"/>
          <w:color w:val="auto"/>
        </w:rPr>
      </w:pPr>
      <w:r>
        <w:rPr>
          <w:rFonts w:ascii="Arial" w:cs="Arial" w:eastAsia="Arial" w:hAnsi="Arial"/>
          <w:sz w:val="19"/>
          <w:szCs w:val="19"/>
          <w:color w:val="auto"/>
        </w:rPr>
        <w:t>The Bank uses the following guidelines as stated in policy to determine when to realize a charge-off, whether a partial or full loan balance. Consumer loans are charged off at 90 days delinquent, unless the loan is secured and repossession of the collateral is assured and in process; then in lieu of charging off the entire loan balance, the loan may be written down to the discounted value of the collateral. Mortgage loans are charged off or charged down at 180 days delinquent or if there is a deficiency balance upon sale of collateral. Partial charge offs can occur upon recognition of lack of collateral value, but no later than 180 days past due. Commercial loans are charged off or charged down at 120 days delinquent, unless an established and approved work-out plan is agreed upon or the litigation of the loan will likely result in recovery of the loan balance. In the event of a bankruptcy filing by a borrower, unsecured debt is charged off upon notification and a partial charge off is made for under-secured portions of debt.</w:t>
      </w:r>
    </w:p>
    <w:p>
      <w:pPr>
        <w:spacing w:after="0" w:line="245" w:lineRule="exact"/>
        <w:rPr>
          <w:sz w:val="20"/>
          <w:szCs w:val="20"/>
          <w:color w:val="auto"/>
        </w:rPr>
      </w:pPr>
    </w:p>
    <w:p>
      <w:pPr>
        <w:jc w:val="both"/>
        <w:ind w:left="620" w:right="40"/>
        <w:spacing w:after="0" w:line="307" w:lineRule="auto"/>
        <w:rPr>
          <w:sz w:val="20"/>
          <w:szCs w:val="20"/>
          <w:color w:val="auto"/>
        </w:rPr>
      </w:pPr>
      <w:r>
        <w:rPr>
          <w:rFonts w:ascii="Arial" w:cs="Arial" w:eastAsia="Arial" w:hAnsi="Arial"/>
          <w:sz w:val="20"/>
          <w:szCs w:val="20"/>
          <w:color w:val="auto"/>
        </w:rPr>
        <w:t>Loan origination and commitment fees and certain direct loan origination costs are deferred and amortized as a net adjustment to the related loan’s yield. The Bank is generally amortizing these costs over the contractual life of such loans.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Allowance for Credit Losses</w:t>
      </w:r>
    </w:p>
    <w:p>
      <w:pPr>
        <w:spacing w:after="0" w:line="200" w:lineRule="exact"/>
        <w:rPr>
          <w:sz w:val="20"/>
          <w:szCs w:val="20"/>
          <w:color w:val="auto"/>
        </w:rPr>
      </w:pPr>
    </w:p>
    <w:p>
      <w:pPr>
        <w:jc w:val="both"/>
        <w:ind w:left="620"/>
        <w:spacing w:after="0" w:line="311" w:lineRule="auto"/>
        <w:rPr>
          <w:sz w:val="20"/>
          <w:szCs w:val="20"/>
          <w:color w:val="auto"/>
        </w:rPr>
      </w:pPr>
      <w:r>
        <w:rPr>
          <w:rFonts w:ascii="Arial" w:cs="Arial" w:eastAsia="Arial" w:hAnsi="Arial"/>
          <w:sz w:val="20"/>
          <w:szCs w:val="20"/>
          <w:color w:val="auto"/>
        </w:rPr>
        <w:t>The Allowance for Credit Losses (ACL) represents management’s estimate of expected credit losses inherent in the Bank’s loan portfolio and unfunded loan commitments at the report date. The ACL methodology is regularly reviewed for its appropriateness and is approved annually by the Board of Directors or a sub-committee of the Board of Directors, such as the Enterprise Risk Management Committee. This written methodology is consistent with Generally Accepted Accounting Principles which provides for a consistently applied analysis.</w:t>
      </w:r>
    </w:p>
    <w:p>
      <w:pPr>
        <w:spacing w:after="0" w:line="252" w:lineRule="exact"/>
        <w:rPr>
          <w:sz w:val="20"/>
          <w:szCs w:val="20"/>
          <w:color w:val="auto"/>
        </w:rPr>
      </w:pPr>
    </w:p>
    <w:p>
      <w:pPr>
        <w:jc w:val="both"/>
        <w:ind w:left="620"/>
        <w:spacing w:after="0" w:line="372" w:lineRule="auto"/>
        <w:rPr>
          <w:sz w:val="20"/>
          <w:szCs w:val="20"/>
          <w:color w:val="auto"/>
        </w:rPr>
      </w:pPr>
      <w:r>
        <w:rPr>
          <w:rFonts w:ascii="Arial" w:cs="Arial" w:eastAsia="Arial" w:hAnsi="Arial"/>
          <w:sz w:val="17"/>
          <w:szCs w:val="17"/>
          <w:color w:val="auto"/>
        </w:rPr>
        <w:t>The ACL is a valuation account that is deducted from the loans’ amortized cost basis to present the net amount expected to be collected on the loans. Loans are charged off against the allowance when management believes the uncollectibility of a loan balance is confirmed. Expected recoveries do not exceed the aggregate of amounts previously charged-off. The ACL reflects the Company’s estimated credit losses over the life of the loan. Management assesses changes in prepayment assumptions, interest rates, collateral values, portfolio composition, trends in non-performing loans, and other economic factors. In addition to an extensive internal loan monitoring process, the Company also aims to have an annual external, independent loan review of approximately 35% of its commercial and agricultural loan portfolio segment. Management in turn assesses the results from the reviews to make changes in internal risk ratings of loans and the related ACL.</w:t>
      </w:r>
    </w:p>
    <w:p>
      <w:pPr>
        <w:spacing w:after="0" w:line="213" w:lineRule="exact"/>
        <w:rPr>
          <w:sz w:val="20"/>
          <w:szCs w:val="20"/>
          <w:color w:val="auto"/>
        </w:rPr>
      </w:pPr>
    </w:p>
    <w:p>
      <w:pPr>
        <w:jc w:val="both"/>
        <w:ind w:left="620" w:right="80"/>
        <w:spacing w:after="0" w:line="350" w:lineRule="auto"/>
        <w:rPr>
          <w:sz w:val="20"/>
          <w:szCs w:val="20"/>
          <w:color w:val="auto"/>
        </w:rPr>
      </w:pPr>
      <w:r>
        <w:rPr>
          <w:rFonts w:ascii="Arial" w:cs="Arial" w:eastAsia="Arial" w:hAnsi="Arial"/>
          <w:sz w:val="18"/>
          <w:szCs w:val="18"/>
          <w:color w:val="auto"/>
        </w:rPr>
        <w:t>The Bank’s methodology provides an estimate of the expected credit losses either by calculating a reserve per credit or by applying our methodology to groupings based on similar risk characteristics. The loan portfolio was grouped based on loans of similar type, including acquired loans. The loan groupings for the ACL calculation consist of Commercial Real Estate, Commercial &amp; Industrial, Agricultural Real Estate, Agricultural, Consumer Real Estate, and Consumer. All groups use the average charge-off method for calculating the ACL. This incorporates a historical loss period from March 2000, since Call Report data</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32</w:t>
      </w:r>
    </w:p>
    <w:p>
      <w:pPr>
        <w:sectPr>
          <w:pgSz w:w="11900" w:h="16838" w:orient="portrait"/>
          <w:cols w:equalWidth="0" w:num="1">
            <w:col w:w="9400"/>
          </w:cols>
          <w:pgMar w:left="1260" w:top="1440" w:right="1246" w:bottom="0" w:gutter="0" w:footer="0" w:header="0"/>
          <w:type w:val="continuous"/>
        </w:sectPr>
      </w:pPr>
    </w:p>
    <w:bookmarkStart w:id="134" w:name="page135"/>
    <w:bookmarkEnd w:id="134"/>
    <w:p>
      <w:pPr>
        <w:jc w:val="both"/>
        <w:ind w:left="440" w:right="40"/>
        <w:spacing w:after="0" w:line="307" w:lineRule="auto"/>
        <w:rPr>
          <w:sz w:val="20"/>
          <w:szCs w:val="20"/>
          <w:color w:val="auto"/>
        </w:rPr>
      </w:pPr>
      <w:r>
        <w:rPr>
          <w:rFonts w:ascii="Arial" w:cs="Arial" w:eastAsia="Arial" w:hAnsi="Arial"/>
          <w:sz w:val="20"/>
          <w:szCs w:val="20"/>
          <w:color w:val="auto"/>
        </w:rPr>
        <w:t>became more granular regarding loan groupings, and includes several economic cycles. As a percentage, the reserves are the highest against construction and development loans, while farmland loans have the lowest overall reserve due to having such low loss rates.</w:t>
      </w:r>
    </w:p>
    <w:p>
      <w:pPr>
        <w:spacing w:after="0" w:line="257" w:lineRule="exact"/>
        <w:rPr>
          <w:sz w:val="20"/>
          <w:szCs w:val="20"/>
          <w:color w:val="auto"/>
        </w:rPr>
      </w:pPr>
    </w:p>
    <w:p>
      <w:pPr>
        <w:jc w:val="both"/>
        <w:ind w:left="440"/>
        <w:spacing w:after="0" w:line="350" w:lineRule="auto"/>
        <w:rPr>
          <w:sz w:val="20"/>
          <w:szCs w:val="20"/>
          <w:color w:val="auto"/>
        </w:rPr>
      </w:pPr>
      <w:r>
        <w:rPr>
          <w:rFonts w:ascii="Arial" w:cs="Arial" w:eastAsia="Arial" w:hAnsi="Arial"/>
          <w:sz w:val="18"/>
          <w:szCs w:val="18"/>
          <w:color w:val="auto"/>
        </w:rPr>
        <w:t>The Company is utilizing peer data from a peer group of banks in the region of Ohio, Michigan and Indiana with asset sizes less than $5 billion as of December 31, 2025. The reserves are calculated at the loan level and based on the note characteristics, essentially balances times loss rate + qualitative factors + forward look, with the forward looking forecast eliminated after 12 months. In order to provide a reasonable and supportable forward looking forecast, a regression analysis of the Bank’s historical loss rates against the Federal Open Market Committee (FOMC) quarterly economic projections for National Unemployment is completed. Annual projections are broken down using a straight-line approach for quarterly changes.</w:t>
      </w:r>
    </w:p>
    <w:p>
      <w:pPr>
        <w:spacing w:after="0" w:line="227" w:lineRule="exact"/>
        <w:rPr>
          <w:sz w:val="20"/>
          <w:szCs w:val="20"/>
          <w:color w:val="auto"/>
        </w:rPr>
      </w:pPr>
    </w:p>
    <w:p>
      <w:pPr>
        <w:jc w:val="both"/>
        <w:ind w:left="440" w:right="40"/>
        <w:spacing w:after="0" w:line="329" w:lineRule="auto"/>
        <w:rPr>
          <w:sz w:val="20"/>
          <w:szCs w:val="20"/>
          <w:color w:val="auto"/>
        </w:rPr>
      </w:pPr>
      <w:r>
        <w:rPr>
          <w:rFonts w:ascii="Arial" w:cs="Arial" w:eastAsia="Arial" w:hAnsi="Arial"/>
          <w:sz w:val="19"/>
          <w:szCs w:val="19"/>
          <w:color w:val="auto"/>
        </w:rPr>
        <w:t>In addition to this quantitative analysis, management also utilizes qualitative analysis each quarter as a component of the ACL. The qualitative factors include nine categories: ability of staff, changes in collateral values, changes in loan concentration levels, economic conditions, external factors such as regulatory, level and trends in non-accrual or adversely classified loans, loan review results, nature and volume of the portfolio and loan terms, and changes in lending policies and procedures. The methodology allows for additional qualitative factors as other risks emerge. Items within these categories are ranked as baseline, low, medium, or high levels of risk, and the related risk level per</w:t>
      </w:r>
    </w:p>
    <w:p>
      <w:pPr>
        <w:spacing w:after="0" w:line="23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17 / 32</w:t>
      </w:r>
    </w:p>
    <w:p>
      <w:pPr>
        <w:sectPr>
          <w:pgSz w:w="11900" w:h="16838" w:orient="portrait"/>
          <w:cols w:equalWidth="0" w:num="1">
            <w:col w:w="9200"/>
          </w:cols>
          <w:pgMar w:left="1440" w:top="1173" w:right="1266" w:bottom="0" w:gutter="0" w:footer="0" w:header="0"/>
          <w:type w:val="continuous"/>
        </w:sectPr>
      </w:pPr>
    </w:p>
    <w:bookmarkStart w:id="135" w:name="page136"/>
    <w:bookmarkEnd w:id="135"/>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20" w:right="60"/>
        <w:spacing w:after="0" w:line="302" w:lineRule="auto"/>
        <w:rPr>
          <w:sz w:val="20"/>
          <w:szCs w:val="20"/>
          <w:color w:val="auto"/>
        </w:rPr>
      </w:pPr>
      <w:r>
        <w:rPr>
          <w:rFonts w:ascii="Arial" w:cs="Arial" w:eastAsia="Arial" w:hAnsi="Arial"/>
          <w:sz w:val="20"/>
          <w:szCs w:val="20"/>
          <w:color w:val="auto"/>
        </w:rPr>
        <w:t>categories dictates the level of qualitative factor that is used depending on the standard deviation level from historical loss.</w:t>
      </w:r>
    </w:p>
    <w:p>
      <w:pPr>
        <w:spacing w:after="0" w:line="261" w:lineRule="exact"/>
        <w:rPr>
          <w:sz w:val="20"/>
          <w:szCs w:val="20"/>
          <w:color w:val="auto"/>
        </w:rPr>
      </w:pPr>
    </w:p>
    <w:p>
      <w:pPr>
        <w:jc w:val="both"/>
        <w:ind w:left="620" w:right="40"/>
        <w:spacing w:after="0" w:line="349" w:lineRule="auto"/>
        <w:rPr>
          <w:sz w:val="20"/>
          <w:szCs w:val="20"/>
          <w:color w:val="auto"/>
        </w:rPr>
      </w:pPr>
      <w:r>
        <w:rPr>
          <w:rFonts w:ascii="Arial" w:cs="Arial" w:eastAsia="Arial" w:hAnsi="Arial"/>
          <w:sz w:val="18"/>
          <w:szCs w:val="18"/>
          <w:color w:val="auto"/>
        </w:rPr>
        <w:t>Loans that do not share risk characteristics are evaluated on an individual basis. Loans evaluated individually are not included in the collective evaluation; reserves for expected credit losses for collateral-dependent loans are based on the expected shortfall of the loan based on the discounted collateral value. This specific reserve portion of the ACL was $145 thousand at December 31, 2025 and $52 thousand at December 31, 2024. When management determines that foreclosure is probable, expected credit losses are based on the fair value of the collateral at the reporting date, adjusted for selling costs as appropriate.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231" w:lineRule="exact"/>
        <w:rPr>
          <w:sz w:val="20"/>
          <w:szCs w:val="20"/>
          <w:color w:val="auto"/>
        </w:rPr>
      </w:pPr>
    </w:p>
    <w:p>
      <w:pPr>
        <w:jc w:val="both"/>
        <w:ind w:left="620" w:right="60"/>
        <w:spacing w:after="0" w:line="329" w:lineRule="auto"/>
        <w:rPr>
          <w:sz w:val="20"/>
          <w:szCs w:val="20"/>
          <w:color w:val="auto"/>
        </w:rPr>
      </w:pPr>
      <w:r>
        <w:rPr>
          <w:rFonts w:ascii="Arial" w:cs="Arial" w:eastAsia="Arial" w:hAnsi="Arial"/>
          <w:sz w:val="19"/>
          <w:szCs w:val="19"/>
          <w:color w:val="auto"/>
        </w:rPr>
        <w:t>Expected credit losses are estimated over the contractual term of the loans, adjusted for expected prepayments when appropriate. The contractual term excludes expected extensions, renewals, and modifications unless either of the following applies: management has a reasonable expectation at the reporting date that a modification to a borrower experiencing financial difficulty will be executed with an individual borrower or the extension or renewal options are included in the original or modified contract at the reporting date and are not unconditionally cancellable by the Company.</w:t>
      </w:r>
    </w:p>
    <w:p>
      <w:pPr>
        <w:spacing w:after="0" w:line="243" w:lineRule="exact"/>
        <w:rPr>
          <w:sz w:val="20"/>
          <w:szCs w:val="20"/>
          <w:color w:val="auto"/>
        </w:rPr>
      </w:pPr>
    </w:p>
    <w:p>
      <w:pPr>
        <w:ind w:left="620"/>
        <w:spacing w:after="0" w:line="350" w:lineRule="auto"/>
        <w:rPr>
          <w:sz w:val="20"/>
          <w:szCs w:val="20"/>
          <w:color w:val="auto"/>
        </w:rPr>
      </w:pPr>
      <w:r>
        <w:rPr>
          <w:rFonts w:ascii="Arial" w:cs="Arial" w:eastAsia="Arial" w:hAnsi="Arial"/>
          <w:sz w:val="18"/>
          <w:szCs w:val="18"/>
          <w:color w:val="auto"/>
        </w:rPr>
        <w:t>The Company estimates expected credit losses over the contractual period in which the Company is exposed to credit risk via a contractual obligation to extend credit, unless that obligation is unconditionally cancellable by the Company. The allowance for credit losses on off balance sheet credit exposures is adjusted as a provision for credit loss expense. The estimate includes consideration of the likelihood that funding will occur and an estimate of expected credit losses on commitments expected to be funded over its estimated life. The loan categories of off balance sheet exposures are the same as the loan categories for the ACL. The funding assumptions are updated each quarter based on expected utilization percentages.</w:t>
      </w:r>
    </w:p>
    <w:p>
      <w:pPr>
        <w:spacing w:after="0" w:line="227" w:lineRule="exact"/>
        <w:rPr>
          <w:sz w:val="20"/>
          <w:szCs w:val="20"/>
          <w:color w:val="auto"/>
        </w:rPr>
      </w:pPr>
    </w:p>
    <w:p>
      <w:pPr>
        <w:jc w:val="both"/>
        <w:ind w:left="620" w:right="60"/>
        <w:spacing w:after="0" w:line="307" w:lineRule="auto"/>
        <w:rPr>
          <w:sz w:val="20"/>
          <w:szCs w:val="20"/>
          <w:color w:val="auto"/>
        </w:rPr>
      </w:pPr>
      <w:r>
        <w:rPr>
          <w:rFonts w:ascii="Arial" w:cs="Arial" w:eastAsia="Arial" w:hAnsi="Arial"/>
          <w:sz w:val="20"/>
          <w:szCs w:val="20"/>
          <w:color w:val="auto"/>
        </w:rPr>
        <w:t>For more information regarding the actual composition and classification of loans involved in the establishment of the allowance for credit loss, please see Note 4 provided here with the notes to consolidated financial statements.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Loans Held for Sale</w:t>
      </w:r>
    </w:p>
    <w:p>
      <w:pPr>
        <w:spacing w:after="0" w:line="200" w:lineRule="exact"/>
        <w:rPr>
          <w:sz w:val="20"/>
          <w:szCs w:val="20"/>
          <w:color w:val="auto"/>
        </w:rPr>
      </w:pPr>
    </w:p>
    <w:p>
      <w:pPr>
        <w:jc w:val="both"/>
        <w:ind w:left="620" w:right="60"/>
        <w:spacing w:after="0" w:line="307" w:lineRule="auto"/>
        <w:rPr>
          <w:sz w:val="20"/>
          <w:szCs w:val="20"/>
          <w:color w:val="auto"/>
        </w:rPr>
      </w:pPr>
      <w:r>
        <w:rPr>
          <w:rFonts w:ascii="Arial" w:cs="Arial" w:eastAsia="Arial" w:hAnsi="Arial"/>
          <w:sz w:val="20"/>
          <w:szCs w:val="20"/>
          <w:color w:val="auto"/>
        </w:rPr>
        <w:t>Loans originated and intended for sale in the secondary market are carried at the lower of cost or estimated fair value in the aggregate. Net unrealized losses, if any, are recognized in a valuation allowance by charges to income.</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Derivative Financial Instruments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32</w:t>
      </w:r>
    </w:p>
    <w:p>
      <w:pPr>
        <w:sectPr>
          <w:pgSz w:w="11900" w:h="16838" w:orient="portrait"/>
          <w:cols w:equalWidth="0" w:num="1">
            <w:col w:w="9400"/>
          </w:cols>
          <w:pgMar w:left="1260" w:top="1440" w:right="1246" w:bottom="0" w:gutter="0" w:footer="0" w:header="0"/>
          <w:type w:val="continuous"/>
        </w:sectPr>
      </w:pPr>
    </w:p>
    <w:bookmarkStart w:id="136" w:name="page137"/>
    <w:bookmarkEnd w:id="136"/>
    <w:p>
      <w:pPr>
        <w:jc w:val="both"/>
        <w:ind w:left="440"/>
        <w:spacing w:after="0" w:line="309" w:lineRule="auto"/>
        <w:rPr>
          <w:sz w:val="20"/>
          <w:szCs w:val="20"/>
          <w:color w:val="auto"/>
        </w:rPr>
      </w:pPr>
      <w:r>
        <w:rPr>
          <w:rFonts w:ascii="Arial" w:cs="Arial" w:eastAsia="Arial" w:hAnsi="Arial"/>
          <w:sz w:val="20"/>
          <w:szCs w:val="20"/>
          <w:color w:val="auto"/>
        </w:rPr>
        <w:t>The Company uses derivative financial instruments to help manage exposure to interest rate risk and the effects that changes in interest rates may have on net income and the fair value of assets and liabilities. The Company enters into interest rate swap agreements as part of its asset liability management strategy to help manage its interest rate risk position.</w:t>
      </w:r>
    </w:p>
    <w:p>
      <w:pPr>
        <w:spacing w:after="0" w:line="256" w:lineRule="exact"/>
        <w:rPr>
          <w:sz w:val="20"/>
          <w:szCs w:val="20"/>
          <w:color w:val="auto"/>
        </w:rPr>
      </w:pPr>
    </w:p>
    <w:p>
      <w:pPr>
        <w:jc w:val="both"/>
        <w:ind w:left="440"/>
        <w:spacing w:after="0" w:line="329" w:lineRule="auto"/>
        <w:rPr>
          <w:sz w:val="20"/>
          <w:szCs w:val="20"/>
          <w:color w:val="auto"/>
        </w:rPr>
      </w:pPr>
      <w:r>
        <w:rPr>
          <w:rFonts w:ascii="Arial" w:cs="Arial" w:eastAsia="Arial" w:hAnsi="Arial"/>
          <w:sz w:val="19"/>
          <w:szCs w:val="19"/>
          <w:color w:val="auto"/>
        </w:rPr>
        <w:t>Designating an interest rate swap as an accounting hedge allows the Company to recognize gains and losses, less any ineffectiveness, in the Company's consolidated statements of income within the same period that the hedged item affects earnings. The Company includes the gain or loss on the hedged items in the same line item as the offsetting loss or gain on the related interest rate swaps. The fair value of interest rate swaps with a positive fair value are reported in other assets in the Company's consolidated balance sheets while interest rate swaps with a negative fair value are reported in accrued expenses and other liabilities in the Company's consolidated balance sheets.</w:t>
      </w:r>
    </w:p>
    <w:p>
      <w:pPr>
        <w:spacing w:after="0" w:line="243" w:lineRule="exact"/>
        <w:rPr>
          <w:sz w:val="20"/>
          <w:szCs w:val="20"/>
          <w:color w:val="auto"/>
        </w:rPr>
      </w:pPr>
    </w:p>
    <w:p>
      <w:pPr>
        <w:jc w:val="both"/>
        <w:ind w:left="440"/>
        <w:spacing w:after="0" w:line="309" w:lineRule="auto"/>
        <w:rPr>
          <w:sz w:val="20"/>
          <w:szCs w:val="20"/>
          <w:color w:val="auto"/>
        </w:rPr>
      </w:pPr>
      <w:r>
        <w:rPr>
          <w:rFonts w:ascii="Arial" w:cs="Arial" w:eastAsia="Arial" w:hAnsi="Arial"/>
          <w:sz w:val="20"/>
          <w:szCs w:val="20"/>
          <w:color w:val="auto"/>
        </w:rPr>
        <w:t>Net cash settlements on derivative financial instruments that qualify as hedge accounting are recorded in interest income or interest expense, based on the item being hedged. Cash flows on hedges are classified in the Company's consolidated statements of cash flows in the same line as the cash flows of the item being hedged.</w:t>
      </w:r>
    </w:p>
    <w:p>
      <w:pPr>
        <w:spacing w:after="0" w:line="246"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19 / 32</w:t>
      </w:r>
    </w:p>
    <w:p>
      <w:pPr>
        <w:sectPr>
          <w:pgSz w:w="11900" w:h="16838" w:orient="portrait"/>
          <w:cols w:equalWidth="0" w:num="1">
            <w:col w:w="9160"/>
          </w:cols>
          <w:pgMar w:left="1440" w:top="1173" w:right="1306" w:bottom="0" w:gutter="0" w:footer="0" w:header="0"/>
          <w:type w:val="continuous"/>
        </w:sectPr>
      </w:pPr>
    </w:p>
    <w:bookmarkStart w:id="137" w:name="page138"/>
    <w:bookmarkEnd w:id="137"/>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w:t>
      </w:r>
      <w:r>
        <w:rPr>
          <w:rFonts w:ascii="Arial" w:cs="Arial" w:eastAsia="Arial" w:hAnsi="Arial"/>
          <w:sz w:val="20"/>
          <w:szCs w:val="20"/>
          <w:b w:val="1"/>
          <w:bCs w:val="1"/>
          <w:color w:val="auto"/>
        </w:rPr>
        <w:t>ervicing Assets</w:t>
      </w:r>
    </w:p>
    <w:p>
      <w:pPr>
        <w:spacing w:after="0" w:line="200" w:lineRule="exact"/>
        <w:rPr>
          <w:sz w:val="20"/>
          <w:szCs w:val="20"/>
          <w:color w:val="auto"/>
        </w:rPr>
      </w:pPr>
    </w:p>
    <w:p>
      <w:pPr>
        <w:ind w:left="620"/>
        <w:spacing w:after="0" w:line="310" w:lineRule="auto"/>
        <w:rPr>
          <w:sz w:val="20"/>
          <w:szCs w:val="20"/>
          <w:color w:val="auto"/>
        </w:rPr>
      </w:pPr>
      <w:r>
        <w:rPr>
          <w:rFonts w:ascii="Arial" w:cs="Arial" w:eastAsia="Arial" w:hAnsi="Arial"/>
          <w:sz w:val="20"/>
          <w:szCs w:val="20"/>
          <w:color w:val="auto"/>
        </w:rPr>
        <w:t>Servicing assets are recognized as separate assets when rights are acquired through purchase or sale of financial assets. These rights are composed of servicing rights for 1-4 family real estate loans and agricultural real estate loans. The Bank’s servicing rights relating to fixed rate 1-4 family real estate loans and agricultural real estate loans that it has sold without recourse but services for others for a fee represent an asset on the Bank’s balance sheet.</w:t>
      </w:r>
    </w:p>
    <w:p>
      <w:pPr>
        <w:spacing w:after="0" w:line="255" w:lineRule="exact"/>
        <w:rPr>
          <w:sz w:val="20"/>
          <w:szCs w:val="20"/>
          <w:color w:val="auto"/>
        </w:rPr>
      </w:pPr>
    </w:p>
    <w:p>
      <w:pPr>
        <w:jc w:val="both"/>
        <w:ind w:left="620" w:right="60"/>
        <w:spacing w:after="0" w:line="329" w:lineRule="auto"/>
        <w:rPr>
          <w:sz w:val="20"/>
          <w:szCs w:val="20"/>
          <w:color w:val="auto"/>
        </w:rPr>
      </w:pPr>
      <w:r>
        <w:rPr>
          <w:rFonts w:ascii="Arial" w:cs="Arial" w:eastAsia="Arial" w:hAnsi="Arial"/>
          <w:sz w:val="19"/>
          <w:szCs w:val="19"/>
          <w:color w:val="auto"/>
        </w:rPr>
        <w:t>Capitalized servicing rights are amortized into noninterest expense in proportion to, and over the period of, the estimated future net servicing income of the underlying financial assets. Servicing assets are evaluated for impairment based upon the fair value of the rights as compared to capitalized servicing rights. Impairment is determined by stratifying rights by predominant characteristics, such as interest rates and terms. The 1-4 family real estate and agricultural real estate valuations are similar in concept; however, utilize different strata, prepayment speeds and other assumptions in order to account for the differences in behavior between agricultural real estate loans and 1-4 family real estate loans. Fair value is determined using prices for similar assets with similar characteristics, when available, or based upon discounted cash flows using market-based assumptions. Impairment is recognized through a valuation allowance for an individual stratum, to the extent that fair value is less than the capitalized amount for the stratum. Fees received for servicing loans owned by investors are based on a percentage of the outstanding monthly principal balance of such loans and are included in operating income as loan payments are received. Costs of servicing loans are charged to expense as incurred.</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Goodwill and Other Intangible Assets</w:t>
      </w:r>
    </w:p>
    <w:p>
      <w:pPr>
        <w:spacing w:after="0" w:line="200" w:lineRule="exact"/>
        <w:rPr>
          <w:sz w:val="20"/>
          <w:szCs w:val="20"/>
          <w:color w:val="auto"/>
        </w:rPr>
      </w:pPr>
    </w:p>
    <w:p>
      <w:pPr>
        <w:jc w:val="both"/>
        <w:ind w:left="620" w:right="40"/>
        <w:spacing w:after="0" w:line="349" w:lineRule="auto"/>
        <w:rPr>
          <w:sz w:val="20"/>
          <w:szCs w:val="20"/>
          <w:color w:val="auto"/>
        </w:rPr>
      </w:pPr>
      <w:r>
        <w:rPr>
          <w:rFonts w:ascii="Arial" w:cs="Arial" w:eastAsia="Arial" w:hAnsi="Arial"/>
          <w:sz w:val="18"/>
          <w:szCs w:val="18"/>
          <w:color w:val="auto"/>
        </w:rPr>
        <w:t>Goodwill results from business acquisitions and represents the excess of the purchase price over the fair value of acquired tangible assets and liabilities and identifiable intangible assets. Goodwill is assessed for impairment at least annually. If possible impairment is likely, the Bank will utilize the assistance of an independent third party for an appraisal and any such impairment is recognized in the period identified. The goodwill impairment analysis consists of a first step goodwill impairment test which is used to identify potential impairment by comparing the fair value of the relevant reporting entity with its carrying value, including goodwill. The analysis is performed under guidance of FASB ASC 350. As of December 31, 2025, the Bank concluded it is unlikely impairment of goodwill has occurred from the goodwill established from the Bank’s prior acquisitions. Since the establishment of goodwill, there has been no impairment recognized.</w:t>
      </w:r>
    </w:p>
    <w:p>
      <w:pPr>
        <w:spacing w:after="0" w:line="231" w:lineRule="exact"/>
        <w:rPr>
          <w:sz w:val="20"/>
          <w:szCs w:val="20"/>
          <w:color w:val="auto"/>
        </w:rPr>
      </w:pPr>
    </w:p>
    <w:p>
      <w:pPr>
        <w:jc w:val="both"/>
        <w:ind w:left="620" w:right="60"/>
        <w:spacing w:after="0" w:line="309" w:lineRule="auto"/>
        <w:rPr>
          <w:sz w:val="20"/>
          <w:szCs w:val="20"/>
          <w:color w:val="auto"/>
        </w:rPr>
      </w:pPr>
      <w:r>
        <w:rPr>
          <w:rFonts w:ascii="Arial" w:cs="Arial" w:eastAsia="Arial" w:hAnsi="Arial"/>
          <w:sz w:val="20"/>
          <w:szCs w:val="20"/>
          <w:color w:val="auto"/>
        </w:rPr>
        <w:t>Other intangible assets consist of core deposit and customer list intangible assets arising from business acquisitions. They are initially measured at fair value and then are amortized on a straight-line method over their estimated useful lives and evaluated for impairment. These assets are included in other assets on the Company's consolidated balance sheets.</w:t>
      </w:r>
    </w:p>
    <w:p>
      <w:pPr>
        <w:spacing w:after="0" w:line="246"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Qualified Affordable Housing Project Investments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32</w:t>
      </w:r>
    </w:p>
    <w:p>
      <w:pPr>
        <w:sectPr>
          <w:pgSz w:w="11900" w:h="16838" w:orient="portrait"/>
          <w:cols w:equalWidth="0" w:num="1">
            <w:col w:w="9400"/>
          </w:cols>
          <w:pgMar w:left="1260" w:top="1440" w:right="1246" w:bottom="0" w:gutter="0" w:footer="0" w:header="0"/>
          <w:type w:val="continuous"/>
        </w:sectPr>
      </w:pPr>
    </w:p>
    <w:bookmarkStart w:id="138" w:name="page139"/>
    <w:bookmarkEnd w:id="138"/>
    <w:p>
      <w:pPr>
        <w:jc w:val="both"/>
        <w:ind w:left="440"/>
        <w:spacing w:after="0" w:line="329" w:lineRule="auto"/>
        <w:rPr>
          <w:sz w:val="20"/>
          <w:szCs w:val="20"/>
          <w:color w:val="auto"/>
        </w:rPr>
      </w:pPr>
      <w:r>
        <w:rPr>
          <w:rFonts w:ascii="Arial" w:cs="Arial" w:eastAsia="Arial" w:hAnsi="Arial"/>
          <w:sz w:val="19"/>
          <w:szCs w:val="19"/>
          <w:color w:val="auto"/>
        </w:rPr>
        <w:t>The Company invests in certain qualified affordable housing projects. The Company has elected to account for its investment in qualified affordable housing projects using the proportional amortization method described in FASB ASU 2014-01, "Investments - Equity Method and Joint Ventures (Topic 323): Accounting for Investments in Low-Income housing Tax Credit Projects (A Consensus of the FASB Emerging Issues Task Force)", which was updated in March 2023 and released as FASB ASU 2023-02. Under the proportional amortization method, an investor amortizes the initial cost of the investment to income tax expense in proportion to the tax credits and other tax benefits received and recognizes the net investment performance in the income statement as a component of income tax expense. See Note 11 of the Notes to the Consolidated Financial Statements.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Off Balance Sheet Instruments</w:t>
      </w:r>
    </w:p>
    <w:p>
      <w:pPr>
        <w:spacing w:after="0" w:line="200" w:lineRule="exact"/>
        <w:rPr>
          <w:sz w:val="20"/>
          <w:szCs w:val="20"/>
          <w:color w:val="auto"/>
        </w:rPr>
      </w:pPr>
    </w:p>
    <w:p>
      <w:pPr>
        <w:jc w:val="both"/>
        <w:ind w:left="440" w:right="40"/>
        <w:spacing w:after="0" w:line="307" w:lineRule="auto"/>
        <w:rPr>
          <w:sz w:val="20"/>
          <w:szCs w:val="20"/>
          <w:color w:val="auto"/>
        </w:rPr>
      </w:pPr>
      <w:r>
        <w:rPr>
          <w:rFonts w:ascii="Arial" w:cs="Arial" w:eastAsia="Arial" w:hAnsi="Arial"/>
          <w:sz w:val="20"/>
          <w:szCs w:val="20"/>
          <w:color w:val="auto"/>
        </w:rPr>
        <w:t>In the ordinary course of business, the Bank has entered into commitments to extend credit, including commitments, commercial letters of credit and standby letters of credit. Such financial instruments are recorded when they are funded.</w:t>
      </w:r>
    </w:p>
    <w:p>
      <w:pPr>
        <w:spacing w:after="0" w:line="248"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21 / 32</w:t>
      </w:r>
    </w:p>
    <w:p>
      <w:pPr>
        <w:sectPr>
          <w:pgSz w:w="11900" w:h="16838" w:orient="portrait"/>
          <w:cols w:equalWidth="0" w:num="1">
            <w:col w:w="9160"/>
          </w:cols>
          <w:pgMar w:left="1440" w:top="1173" w:right="1306" w:bottom="0" w:gutter="0" w:footer="0" w:header="0"/>
          <w:type w:val="continuous"/>
        </w:sectPr>
      </w:pPr>
    </w:p>
    <w:bookmarkStart w:id="139" w:name="page140"/>
    <w:bookmarkEnd w:id="139"/>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Other Real Estate Owned</w:t>
      </w:r>
    </w:p>
    <w:p>
      <w:pPr>
        <w:spacing w:after="0" w:line="200" w:lineRule="exact"/>
        <w:rPr>
          <w:sz w:val="20"/>
          <w:szCs w:val="20"/>
          <w:color w:val="auto"/>
        </w:rPr>
      </w:pPr>
    </w:p>
    <w:p>
      <w:pPr>
        <w:jc w:val="both"/>
        <w:ind w:left="620" w:right="60"/>
        <w:spacing w:after="0" w:line="329" w:lineRule="auto"/>
        <w:rPr>
          <w:sz w:val="20"/>
          <w:szCs w:val="20"/>
          <w:color w:val="auto"/>
        </w:rPr>
      </w:pPr>
      <w:r>
        <w:rPr>
          <w:rFonts w:ascii="Arial" w:cs="Arial" w:eastAsia="Arial" w:hAnsi="Arial"/>
          <w:sz w:val="19"/>
          <w:szCs w:val="19"/>
          <w:color w:val="auto"/>
        </w:rPr>
        <w:t>Other real estate held for sale is carried at the lower of fair value of the real estate minus estimated costs to sell the asset, or the cost of the assets. Costs of holding other real estate are charged to expense in the current period, except for significant property improvements, which are capitalized. Valuations are periodically performed by management and an allowance is established by a charge to noninterest expense if the carrying value exceeds the fair value minus the estimated costs to sell. The net loss from operations of other real estate held for sale is reported in noninterest expense. The Bank held no other real estate at December 31, 2025 or December 31, 2024.</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Premises and Equipment</w:t>
      </w:r>
    </w:p>
    <w:p>
      <w:pPr>
        <w:spacing w:after="0" w:line="200" w:lineRule="exact"/>
        <w:rPr>
          <w:sz w:val="20"/>
          <w:szCs w:val="20"/>
          <w:color w:val="auto"/>
        </w:rPr>
      </w:pPr>
    </w:p>
    <w:p>
      <w:pPr>
        <w:jc w:val="both"/>
        <w:ind w:left="620"/>
        <w:spacing w:after="0" w:line="330" w:lineRule="auto"/>
        <w:rPr>
          <w:sz w:val="20"/>
          <w:szCs w:val="20"/>
          <w:color w:val="auto"/>
        </w:rPr>
      </w:pPr>
      <w:r>
        <w:rPr>
          <w:rFonts w:ascii="Arial" w:cs="Arial" w:eastAsia="Arial" w:hAnsi="Arial"/>
          <w:sz w:val="19"/>
          <w:szCs w:val="19"/>
          <w:color w:val="auto"/>
        </w:rPr>
        <w:t>Land is carried at cost. Bank premises and equipment are stated at cost less accumulated depreciation. Depreciation is based on the estimated useful lives of the various properties and is computed using straight-line and accelerated methods. Costs for maintenance and repairs are charged to operations as incurred. Gains and losses on dispositions are included in current operations.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Bank Owned Life Insurance</w:t>
      </w:r>
    </w:p>
    <w:p>
      <w:pPr>
        <w:spacing w:after="0" w:line="200" w:lineRule="exact"/>
        <w:rPr>
          <w:sz w:val="20"/>
          <w:szCs w:val="20"/>
          <w:color w:val="auto"/>
        </w:rPr>
      </w:pPr>
    </w:p>
    <w:p>
      <w:pPr>
        <w:jc w:val="both"/>
        <w:ind w:left="620" w:right="80"/>
        <w:spacing w:after="0" w:line="363" w:lineRule="auto"/>
        <w:rPr>
          <w:sz w:val="20"/>
          <w:szCs w:val="20"/>
          <w:color w:val="auto"/>
        </w:rPr>
      </w:pPr>
      <w:r>
        <w:rPr>
          <w:rFonts w:ascii="Arial" w:cs="Arial" w:eastAsia="Arial" w:hAnsi="Arial"/>
          <w:sz w:val="18"/>
          <w:szCs w:val="18"/>
          <w:color w:val="auto"/>
        </w:rPr>
        <w:t>Bank owned life insurance policies are carried at their cash surrender value. The Bank recognizes tax-free income from the periodic increases in the cash surrender value of these policies and from death benefits.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Revenue Recognition</w:t>
      </w:r>
    </w:p>
    <w:p>
      <w:pPr>
        <w:spacing w:after="0" w:line="200" w:lineRule="exact"/>
        <w:rPr>
          <w:sz w:val="20"/>
          <w:szCs w:val="20"/>
          <w:color w:val="auto"/>
        </w:rPr>
      </w:pPr>
    </w:p>
    <w:p>
      <w:pPr>
        <w:jc w:val="both"/>
        <w:ind w:left="620" w:right="60"/>
        <w:spacing w:after="0" w:line="350" w:lineRule="auto"/>
        <w:rPr>
          <w:sz w:val="20"/>
          <w:szCs w:val="20"/>
          <w:color w:val="auto"/>
        </w:rPr>
      </w:pPr>
      <w:r>
        <w:rPr>
          <w:rFonts w:ascii="Arial" w:cs="Arial" w:eastAsia="Arial" w:hAnsi="Arial"/>
          <w:sz w:val="18"/>
          <w:szCs w:val="18"/>
          <w:color w:val="auto"/>
        </w:rPr>
        <w:t>Accounting Standards Codification 606, “Revenue from Contracts with Customers" (ASC 606) provides that an entity should recognize revenue to depict the transfer of promised goods or services to customers in an amount that reflects the consideration to which the entity expects to be entitled in exchange for those goods or services. Revenue generated from financial instruments, including loans and investment securities, are not included within the scope of ASC 606. Revenue-generating activities that are within the scope of ASC 606 that are presented as noninterest income in the Company’s consolidated statements of income include:</w:t>
      </w:r>
    </w:p>
    <w:p>
      <w:pPr>
        <w:spacing w:after="0" w:line="109" w:lineRule="exact"/>
        <w:rPr>
          <w:sz w:val="20"/>
          <w:szCs w:val="20"/>
          <w:color w:val="auto"/>
        </w:rPr>
      </w:pPr>
    </w:p>
    <w:p>
      <w:pPr>
        <w:jc w:val="both"/>
        <w:ind w:left="1240" w:right="60" w:hanging="306"/>
        <w:spacing w:after="0" w:line="309" w:lineRule="auto"/>
        <w:tabs>
          <w:tab w:leader="none" w:pos="12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Customer service fees – these include miscellaneous service fees and transaction-based fees charged for certain services, such as credit card. Revenue is recognized when the performance obligation is completed, which is generally after a transaction is completed or monthly for account maintenance services.</w:t>
      </w:r>
    </w:p>
    <w:p>
      <w:pPr>
        <w:spacing w:after="0" w:line="135" w:lineRule="exact"/>
        <w:rPr>
          <w:rFonts w:ascii="Arial" w:cs="Arial" w:eastAsia="Arial" w:hAnsi="Arial"/>
          <w:sz w:val="20"/>
          <w:szCs w:val="20"/>
          <w:color w:val="auto"/>
        </w:rPr>
      </w:pPr>
    </w:p>
    <w:p>
      <w:pPr>
        <w:jc w:val="both"/>
        <w:ind w:left="1240" w:right="60" w:hanging="306"/>
        <w:spacing w:after="0" w:line="310" w:lineRule="auto"/>
        <w:tabs>
          <w:tab w:leader="none" w:pos="12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Other service charges and fees – these include service fees charged for deposit account maintenance and activity along with transaction-based fees charged for certain services, such as overdraft activities, returned check charges and wire transfers. Revenue is recognized when the performance obligation is completed, which is generally after a transaction is completed or monthly for account maintenance services.</w:t>
      </w:r>
    </w:p>
    <w:p>
      <w:pPr>
        <w:spacing w:after="0" w:line="134" w:lineRule="exact"/>
        <w:rPr>
          <w:rFonts w:ascii="Arial" w:cs="Arial" w:eastAsia="Arial" w:hAnsi="Arial"/>
          <w:sz w:val="20"/>
          <w:szCs w:val="20"/>
          <w:color w:val="auto"/>
        </w:rPr>
      </w:pPr>
    </w:p>
    <w:p>
      <w:pPr>
        <w:jc w:val="both"/>
        <w:ind w:left="1240" w:right="60" w:hanging="306"/>
        <w:spacing w:after="0" w:line="307" w:lineRule="auto"/>
        <w:tabs>
          <w:tab w:leader="none" w:pos="12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Interchange income – transaction-based fees charged for debit card. Revenue is recognized when the performance obligation is completed, which is generally after a transaction is completed or monthly for account maintenance services.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32</w:t>
      </w:r>
    </w:p>
    <w:p>
      <w:pPr>
        <w:sectPr>
          <w:pgSz w:w="11900" w:h="16838" w:orient="portrait"/>
          <w:cols w:equalWidth="0" w:num="1">
            <w:col w:w="9400"/>
          </w:cols>
          <w:pgMar w:left="1260" w:top="1440" w:right="1246" w:bottom="0" w:gutter="0" w:footer="0" w:header="0"/>
          <w:type w:val="continuous"/>
        </w:sectPr>
      </w:pPr>
    </w:p>
    <w:bookmarkStart w:id="140" w:name="page141"/>
    <w:bookmarkEnd w:id="140"/>
    <w:p>
      <w:pPr>
        <w:ind w:left="440"/>
        <w:spacing w:after="0"/>
        <w:rPr>
          <w:sz w:val="20"/>
          <w:szCs w:val="20"/>
          <w:color w:val="auto"/>
        </w:rPr>
      </w:pPr>
      <w:r>
        <w:rPr>
          <w:rFonts w:ascii="Arial" w:cs="Arial" w:eastAsia="Arial" w:hAnsi="Arial"/>
          <w:sz w:val="20"/>
          <w:szCs w:val="20"/>
          <w:b w:val="1"/>
          <w:bCs w:val="1"/>
          <w:color w:val="auto"/>
        </w:rPr>
        <w:t>Income Tax</w:t>
      </w:r>
    </w:p>
    <w:p>
      <w:pPr>
        <w:spacing w:after="0" w:line="200" w:lineRule="exact"/>
        <w:rPr>
          <w:sz w:val="20"/>
          <w:szCs w:val="20"/>
          <w:color w:val="auto"/>
        </w:rPr>
      </w:pPr>
    </w:p>
    <w:p>
      <w:pPr>
        <w:jc w:val="both"/>
        <w:ind w:left="440"/>
        <w:spacing w:after="0" w:line="311" w:lineRule="auto"/>
        <w:rPr>
          <w:sz w:val="20"/>
          <w:szCs w:val="20"/>
          <w:color w:val="auto"/>
        </w:rPr>
      </w:pPr>
      <w:r>
        <w:rPr>
          <w:rFonts w:ascii="Arial" w:cs="Arial" w:eastAsia="Arial" w:hAnsi="Arial"/>
          <w:sz w:val="20"/>
          <w:szCs w:val="20"/>
          <w:color w:val="auto"/>
        </w:rPr>
        <w:t>The Company’s income tax expense consists of the following components for federal and state: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254" w:lineRule="exact"/>
        <w:rPr>
          <w:sz w:val="20"/>
          <w:szCs w:val="20"/>
          <w:color w:val="auto"/>
        </w:rPr>
      </w:pPr>
    </w:p>
    <w:p>
      <w:pPr>
        <w:jc w:val="both"/>
        <w:ind w:left="440" w:right="40"/>
        <w:spacing w:after="0" w:line="329" w:lineRule="auto"/>
        <w:rPr>
          <w:sz w:val="20"/>
          <w:szCs w:val="20"/>
          <w:color w:val="auto"/>
        </w:rPr>
      </w:pPr>
      <w:r>
        <w:rPr>
          <w:rFonts w:ascii="Arial" w:cs="Arial" w:eastAsia="Arial" w:hAnsi="Arial"/>
          <w:sz w:val="19"/>
          <w:szCs w:val="19"/>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more-likely-than-not recognition threshold is initially and subsequently measured as the largest amount of tax benefit that has a greater than 50 percent likelihood of being realized upon settlement with a taxing</w:t>
      </w:r>
    </w:p>
    <w:p>
      <w:pPr>
        <w:spacing w:after="0" w:line="23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16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23 / 32</w:t>
      </w:r>
    </w:p>
    <w:p>
      <w:pPr>
        <w:sectPr>
          <w:pgSz w:w="11900" w:h="16838" w:orient="portrait"/>
          <w:cols w:equalWidth="0" w:num="1">
            <w:col w:w="9200"/>
          </w:cols>
          <w:pgMar w:left="1440" w:top="1163" w:right="1266" w:bottom="0" w:gutter="0" w:footer="0" w:header="0"/>
          <w:type w:val="continuous"/>
        </w:sectPr>
      </w:pPr>
    </w:p>
    <w:bookmarkStart w:id="141" w:name="page142"/>
    <w:bookmarkEnd w:id="141"/>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620" w:right="60"/>
        <w:spacing w:after="0" w:line="330" w:lineRule="auto"/>
        <w:rPr>
          <w:sz w:val="20"/>
          <w:szCs w:val="20"/>
          <w:color w:val="auto"/>
        </w:rPr>
      </w:pPr>
      <w:r>
        <w:rPr>
          <w:rFonts w:ascii="Arial" w:cs="Arial" w:eastAsia="Arial" w:hAnsi="Arial"/>
          <w:sz w:val="19"/>
          <w:szCs w:val="19"/>
          <w:color w:val="auto"/>
        </w:rPr>
        <w:t>authority that has full knowledge of all relevant information. The determination of whether or not a tax position has met the more-likely-than-not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238" w:lineRule="exact"/>
        <w:rPr>
          <w:sz w:val="20"/>
          <w:szCs w:val="20"/>
          <w:color w:val="auto"/>
        </w:rPr>
      </w:pPr>
    </w:p>
    <w:p>
      <w:pPr>
        <w:jc w:val="both"/>
        <w:ind w:left="620" w:right="60"/>
        <w:spacing w:after="0" w:line="309" w:lineRule="auto"/>
        <w:rPr>
          <w:sz w:val="20"/>
          <w:szCs w:val="20"/>
          <w:color w:val="auto"/>
        </w:rPr>
      </w:pPr>
      <w:r>
        <w:rPr>
          <w:rFonts w:ascii="Arial" w:cs="Arial" w:eastAsia="Arial" w:hAnsi="Arial"/>
          <w:sz w:val="20"/>
          <w:szCs w:val="20"/>
          <w:color w:val="auto"/>
        </w:rPr>
        <w:t>The Company recognizes interest and penalties, if any, related to unrecognized tax benefits in tax expense. Based on management’s analysis, the Company did not have any uncertain tax positions as of December 31, 2025 and 2024. With a few exceptions, the Company is no longer subject to U.S. Federal, state or local examinations by tax authorities for years before 2022.</w:t>
      </w:r>
    </w:p>
    <w:p>
      <w:pPr>
        <w:spacing w:after="0" w:line="246"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Earnings Per Share</w:t>
      </w:r>
    </w:p>
    <w:p>
      <w:pPr>
        <w:spacing w:after="0" w:line="200" w:lineRule="exact"/>
        <w:rPr>
          <w:sz w:val="20"/>
          <w:szCs w:val="20"/>
          <w:color w:val="auto"/>
        </w:rPr>
      </w:pPr>
    </w:p>
    <w:p>
      <w:pPr>
        <w:jc w:val="both"/>
        <w:ind w:left="620" w:right="40"/>
        <w:spacing w:after="0" w:line="349" w:lineRule="auto"/>
        <w:rPr>
          <w:sz w:val="20"/>
          <w:szCs w:val="20"/>
          <w:color w:val="auto"/>
        </w:rPr>
      </w:pPr>
      <w:r>
        <w:rPr>
          <w:rFonts w:ascii="Arial" w:cs="Arial" w:eastAsia="Arial" w:hAnsi="Arial"/>
          <w:sz w:val="18"/>
          <w:szCs w:val="18"/>
          <w:color w:val="auto"/>
        </w:rPr>
        <w:t>Basic earnings per share is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stock-based compensation plans.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Stock-Based Compensation</w:t>
      </w:r>
    </w:p>
    <w:p>
      <w:pPr>
        <w:spacing w:after="0" w:line="200" w:lineRule="exact"/>
        <w:rPr>
          <w:sz w:val="20"/>
          <w:szCs w:val="20"/>
          <w:color w:val="auto"/>
        </w:rPr>
      </w:pPr>
    </w:p>
    <w:p>
      <w:pPr>
        <w:jc w:val="both"/>
        <w:ind w:left="620" w:right="60"/>
        <w:spacing w:after="0" w:line="309" w:lineRule="auto"/>
        <w:rPr>
          <w:sz w:val="20"/>
          <w:szCs w:val="20"/>
          <w:color w:val="auto"/>
        </w:rPr>
      </w:pPr>
      <w:r>
        <w:rPr>
          <w:rFonts w:ascii="Arial" w:cs="Arial" w:eastAsia="Arial" w:hAnsi="Arial"/>
          <w:sz w:val="20"/>
          <w:szCs w:val="20"/>
          <w:color w:val="auto"/>
        </w:rPr>
        <w:t>The fair value of restricted common stock is the fair market value on the date of grant. The fair value of restricted stock is amortized as compensation expense on a straight-line basis over the vesting period of the grants. Compensation expense recognized is included in salaries and wages in the consolidated statements of income.</w:t>
      </w:r>
    </w:p>
    <w:p>
      <w:pPr>
        <w:spacing w:after="0" w:line="246"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Transfers of Financial Assets</w:t>
      </w:r>
    </w:p>
    <w:p>
      <w:pPr>
        <w:spacing w:after="0" w:line="200" w:lineRule="exact"/>
        <w:rPr>
          <w:sz w:val="20"/>
          <w:szCs w:val="20"/>
          <w:color w:val="auto"/>
        </w:rPr>
      </w:pPr>
    </w:p>
    <w:p>
      <w:pPr>
        <w:jc w:val="both"/>
        <w:ind w:left="620" w:right="60"/>
        <w:spacing w:after="0" w:line="352"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Control over transferred assets is deemed to be surrendered when (1) the assets have been isolated from the Corporation – put presumptively beyond the reach of the transferor and its creditors, even in bankruptcy or other receivership, (2) the transferee obtains the right (free of conditions that constrain it from taking</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32</w:t>
      </w:r>
    </w:p>
    <w:p>
      <w:pPr>
        <w:sectPr>
          <w:pgSz w:w="11900" w:h="16838" w:orient="portrait"/>
          <w:cols w:equalWidth="0" w:num="1">
            <w:col w:w="9400"/>
          </w:cols>
          <w:pgMar w:left="1260" w:top="1440" w:right="1246" w:bottom="0" w:gutter="0" w:footer="0" w:header="0"/>
          <w:type w:val="continuous"/>
        </w:sectPr>
      </w:pPr>
    </w:p>
    <w:bookmarkStart w:id="142" w:name="page143"/>
    <w:bookmarkEnd w:id="142"/>
    <w:p>
      <w:pPr>
        <w:jc w:val="both"/>
        <w:ind w:left="440"/>
        <w:spacing w:after="0" w:line="307" w:lineRule="auto"/>
        <w:rPr>
          <w:sz w:val="20"/>
          <w:szCs w:val="20"/>
          <w:color w:val="auto"/>
        </w:rPr>
      </w:pPr>
      <w:r>
        <w:rPr>
          <w:rFonts w:ascii="Arial" w:cs="Arial" w:eastAsia="Arial" w:hAnsi="Arial"/>
          <w:sz w:val="20"/>
          <w:szCs w:val="20"/>
          <w:color w:val="auto"/>
        </w:rPr>
        <w:t>advantage of that right) to pledge or exchange the transferred assets and (3) the Corporation does not maintain effective control over the transferred assets through an agreement to repurchase them before their maturity or the ability to unilaterally cause the holder to return specific assets.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Treasury Stock</w:t>
      </w:r>
    </w:p>
    <w:p>
      <w:pPr>
        <w:spacing w:after="0" w:line="200" w:lineRule="exact"/>
        <w:rPr>
          <w:sz w:val="20"/>
          <w:szCs w:val="20"/>
          <w:color w:val="auto"/>
        </w:rPr>
      </w:pPr>
    </w:p>
    <w:p>
      <w:pPr>
        <w:jc w:val="both"/>
        <w:ind w:left="440"/>
        <w:spacing w:after="0" w:line="302" w:lineRule="auto"/>
        <w:rPr>
          <w:sz w:val="20"/>
          <w:szCs w:val="20"/>
          <w:color w:val="auto"/>
        </w:rPr>
      </w:pPr>
      <w:r>
        <w:rPr>
          <w:rFonts w:ascii="Arial" w:cs="Arial" w:eastAsia="Arial" w:hAnsi="Arial"/>
          <w:sz w:val="20"/>
          <w:szCs w:val="20"/>
          <w:color w:val="auto"/>
        </w:rPr>
        <w:t>Common stock shares repurchased are recorded at market value on date of purchase. Restricted shares when awarded are removed from treasury stock using the weighted average method.</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Other Comprehensive Income (Loss)</w:t>
      </w:r>
    </w:p>
    <w:p>
      <w:pPr>
        <w:spacing w:after="0" w:line="200" w:lineRule="exact"/>
        <w:rPr>
          <w:sz w:val="20"/>
          <w:szCs w:val="20"/>
          <w:color w:val="auto"/>
        </w:rPr>
      </w:pPr>
    </w:p>
    <w:p>
      <w:pPr>
        <w:jc w:val="both"/>
        <w:ind w:left="440"/>
        <w:spacing w:after="0" w:line="352" w:lineRule="auto"/>
        <w:rPr>
          <w:sz w:val="20"/>
          <w:szCs w:val="20"/>
          <w:color w:val="auto"/>
        </w:rPr>
      </w:pPr>
      <w:r>
        <w:rPr>
          <w:rFonts w:ascii="Arial" w:cs="Arial" w:eastAsia="Arial" w:hAnsi="Arial"/>
          <w:sz w:val="18"/>
          <w:szCs w:val="18"/>
          <w:color w:val="auto"/>
        </w:rPr>
        <w:t>Accounting principles generally require that recognized revenue, expenses, gains and losses be included in net income. Certain changes in assets and liabilities, such as unrealized gains and losses on available-for-sale securities, are reported as a separate component of the equity section of the balance sheet. Such items, along with net income, are components of other comprehensive income (loss).</w:t>
      </w:r>
    </w:p>
    <w:p>
      <w:pPr>
        <w:spacing w:after="0" w:line="216"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25 / 32</w:t>
      </w:r>
    </w:p>
    <w:p>
      <w:pPr>
        <w:sectPr>
          <w:pgSz w:w="11900" w:h="16838" w:orient="portrait"/>
          <w:cols w:equalWidth="0" w:num="1">
            <w:col w:w="9160"/>
          </w:cols>
          <w:pgMar w:left="1440" w:top="1173" w:right="1306" w:bottom="0" w:gutter="0" w:footer="0" w:header="0"/>
          <w:type w:val="continuous"/>
        </w:sectPr>
      </w:pPr>
    </w:p>
    <w:bookmarkStart w:id="143" w:name="page144"/>
    <w:bookmarkEnd w:id="143"/>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components of other comprehensive income and related tax expense are as follows:</w:t>
      </w:r>
    </w:p>
    <w:p>
      <w:pPr>
        <w:spacing w:after="0" w:line="200" w:lineRule="exact"/>
        <w:rPr>
          <w:sz w:val="20"/>
          <w:szCs w:val="20"/>
          <w:color w:val="auto"/>
        </w:rPr>
      </w:pP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w w:val="92"/>
              </w:rPr>
              <w:t>(In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24"/>
        </w:trPr>
        <w:tc>
          <w:tcPr>
            <w:tcW w:w="3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240"/>
              <w:spacing w:after="0"/>
              <w:rPr>
                <w:sz w:val="20"/>
                <w:szCs w:val="20"/>
                <w:color w:val="auto"/>
              </w:rPr>
            </w:pPr>
            <w:r>
              <w:rPr>
                <w:rFonts w:ascii="Arial" w:cs="Arial" w:eastAsia="Arial" w:hAnsi="Arial"/>
                <w:sz w:val="20"/>
                <w:szCs w:val="20"/>
                <w:color w:val="auto"/>
              </w:rPr>
              <w:t>2025</w:t>
            </w:r>
          </w:p>
        </w:tc>
        <w:tc>
          <w:tcPr>
            <w:tcW w:w="340" w:type="dxa"/>
            <w:vAlign w:val="bottom"/>
          </w:tcPr>
          <w:p>
            <w:pPr>
              <w:spacing w:after="0"/>
              <w:rPr>
                <w:sz w:val="24"/>
                <w:szCs w:val="24"/>
                <w:color w:val="auto"/>
              </w:rPr>
            </w:pPr>
          </w:p>
        </w:tc>
        <w:tc>
          <w:tcPr>
            <w:tcW w:w="960" w:type="dxa"/>
            <w:vAlign w:val="bottom"/>
          </w:tcPr>
          <w:p>
            <w:pPr>
              <w:jc w:val="right"/>
              <w:ind w:right="360"/>
              <w:spacing w:after="0"/>
              <w:rPr>
                <w:sz w:val="20"/>
                <w:szCs w:val="20"/>
                <w:color w:val="auto"/>
              </w:rPr>
            </w:pPr>
            <w:r>
              <w:rPr>
                <w:rFonts w:ascii="Arial" w:cs="Arial" w:eastAsia="Arial" w:hAnsi="Arial"/>
                <w:sz w:val="20"/>
                <w:szCs w:val="20"/>
                <w:color w:val="auto"/>
              </w:rPr>
              <w:t>2024</w:t>
            </w:r>
          </w:p>
        </w:tc>
        <w:tc>
          <w:tcPr>
            <w:tcW w:w="240" w:type="dxa"/>
            <w:vAlign w:val="bottom"/>
          </w:tcPr>
          <w:p>
            <w:pPr>
              <w:spacing w:after="0"/>
              <w:rPr>
                <w:sz w:val="24"/>
                <w:szCs w:val="24"/>
                <w:color w:val="auto"/>
              </w:rPr>
            </w:pPr>
          </w:p>
        </w:tc>
        <w:tc>
          <w:tcPr>
            <w:tcW w:w="880" w:type="dxa"/>
            <w:vAlign w:val="bottom"/>
          </w:tcPr>
          <w:p>
            <w:pPr>
              <w:jc w:val="right"/>
              <w:ind w:right="280"/>
              <w:spacing w:after="0"/>
              <w:rPr>
                <w:sz w:val="20"/>
                <w:szCs w:val="20"/>
                <w:color w:val="auto"/>
              </w:rPr>
            </w:pPr>
            <w:r>
              <w:rPr>
                <w:rFonts w:ascii="Arial" w:cs="Arial" w:eastAsia="Arial" w:hAnsi="Arial"/>
                <w:sz w:val="20"/>
                <w:szCs w:val="20"/>
                <w:color w:val="auto"/>
              </w:rPr>
              <w:t>2023</w:t>
            </w:r>
          </w:p>
        </w:tc>
      </w:tr>
      <w:tr>
        <w:trPr>
          <w:trHeight w:val="51"/>
        </w:trPr>
        <w:tc>
          <w:tcPr>
            <w:tcW w:w="3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74"/>
        </w:trPr>
        <w:tc>
          <w:tcPr>
            <w:tcW w:w="3860" w:type="dxa"/>
            <w:vAlign w:val="bottom"/>
            <w:shd w:val="clear" w:color="auto" w:fill="CFF0FC"/>
          </w:tcPr>
          <w:p>
            <w:pPr>
              <w:spacing w:after="0"/>
              <w:rPr>
                <w:sz w:val="20"/>
                <w:szCs w:val="20"/>
                <w:color w:val="auto"/>
              </w:rPr>
            </w:pPr>
            <w:r>
              <w:rPr>
                <w:rFonts w:ascii="Arial" w:cs="Arial" w:eastAsia="Arial" w:hAnsi="Arial"/>
                <w:sz w:val="20"/>
                <w:szCs w:val="20"/>
                <w:color w:val="auto"/>
              </w:rPr>
              <w:t>Net unrealized gain on available-for-sale</w:t>
            </w:r>
          </w:p>
        </w:tc>
        <w:tc>
          <w:tcPr>
            <w:tcW w:w="40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r>
      <w:tr>
        <w:trPr>
          <w:trHeight w:val="321"/>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securities</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16,880</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4,797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10,781</w:t>
            </w:r>
          </w:p>
        </w:tc>
      </w:tr>
      <w:tr>
        <w:trPr>
          <w:trHeight w:val="274"/>
        </w:trPr>
        <w:tc>
          <w:tcPr>
            <w:tcW w:w="3860" w:type="dxa"/>
            <w:vAlign w:val="bottom"/>
          </w:tcPr>
          <w:p>
            <w:pPr>
              <w:spacing w:after="0"/>
              <w:rPr>
                <w:sz w:val="20"/>
                <w:szCs w:val="20"/>
                <w:color w:val="auto"/>
              </w:rPr>
            </w:pPr>
            <w:r>
              <w:rPr>
                <w:rFonts w:ascii="Arial" w:cs="Arial" w:eastAsia="Arial" w:hAnsi="Arial"/>
                <w:sz w:val="20"/>
                <w:szCs w:val="20"/>
                <w:color w:val="auto"/>
                <w:w w:val="94"/>
              </w:rPr>
              <w:t>Reclassification adjustment for loss on sale of</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00"/>
        </w:trPr>
        <w:tc>
          <w:tcPr>
            <w:tcW w:w="3860" w:type="dxa"/>
            <w:vAlign w:val="bottom"/>
          </w:tcPr>
          <w:p>
            <w:pPr>
              <w:ind w:left="140"/>
              <w:spacing w:after="0"/>
              <w:rPr>
                <w:sz w:val="20"/>
                <w:szCs w:val="20"/>
                <w:color w:val="auto"/>
              </w:rPr>
            </w:pPr>
            <w:r>
              <w:rPr>
                <w:rFonts w:ascii="Arial" w:cs="Arial" w:eastAsia="Arial" w:hAnsi="Arial"/>
                <w:sz w:val="20"/>
                <w:szCs w:val="20"/>
                <w:color w:val="auto"/>
              </w:rPr>
              <w:t>available-for-sale securities</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96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891</w:t>
            </w:r>
          </w:p>
        </w:tc>
      </w:tr>
      <w:tr>
        <w:trPr>
          <w:trHeight w:val="41"/>
        </w:trPr>
        <w:tc>
          <w:tcPr>
            <w:tcW w:w="3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74"/>
        </w:trPr>
        <w:tc>
          <w:tcPr>
            <w:tcW w:w="3860" w:type="dxa"/>
            <w:vAlign w:val="bottom"/>
            <w:shd w:val="clear" w:color="auto" w:fill="CFF0FC"/>
          </w:tcPr>
          <w:p>
            <w:pPr>
              <w:spacing w:after="0"/>
              <w:rPr>
                <w:sz w:val="20"/>
                <w:szCs w:val="20"/>
                <w:color w:val="auto"/>
              </w:rPr>
            </w:pPr>
            <w:r>
              <w:rPr>
                <w:rFonts w:ascii="Arial" w:cs="Arial" w:eastAsia="Arial" w:hAnsi="Arial"/>
                <w:sz w:val="20"/>
                <w:szCs w:val="20"/>
                <w:color w:val="auto"/>
              </w:rPr>
              <w:t>Net unrealized gain on available-for-sale</w:t>
            </w:r>
          </w:p>
        </w:tc>
        <w:tc>
          <w:tcPr>
            <w:tcW w:w="40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r>
      <w:tr>
        <w:trPr>
          <w:trHeight w:val="321"/>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securities</w:t>
            </w:r>
          </w:p>
        </w:tc>
        <w:tc>
          <w:tcPr>
            <w:tcW w:w="4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16,880</w:t>
            </w:r>
          </w:p>
        </w:tc>
        <w:tc>
          <w:tcPr>
            <w:tcW w:w="3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4,797</w:t>
            </w:r>
          </w:p>
        </w:tc>
        <w:tc>
          <w:tcPr>
            <w:tcW w:w="2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11,672</w:t>
            </w:r>
          </w:p>
        </w:tc>
      </w:tr>
      <w:tr>
        <w:trPr>
          <w:trHeight w:val="279"/>
        </w:trPr>
        <w:tc>
          <w:tcPr>
            <w:tcW w:w="3860" w:type="dxa"/>
            <w:vAlign w:val="bottom"/>
          </w:tcPr>
          <w:p>
            <w:pPr>
              <w:spacing w:after="0"/>
              <w:rPr>
                <w:sz w:val="20"/>
                <w:szCs w:val="20"/>
                <w:color w:val="auto"/>
              </w:rPr>
            </w:pPr>
            <w:r>
              <w:rPr>
                <w:rFonts w:ascii="Arial" w:cs="Arial" w:eastAsia="Arial" w:hAnsi="Arial"/>
                <w:sz w:val="20"/>
                <w:szCs w:val="20"/>
                <w:color w:val="auto"/>
              </w:rPr>
              <w:t>Tax expense</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3,545</w:t>
            </w:r>
          </w:p>
        </w:tc>
        <w:tc>
          <w:tcPr>
            <w:tcW w:w="340" w:type="dxa"/>
            <w:vAlign w:val="bottom"/>
          </w:tcPr>
          <w:p>
            <w:pPr>
              <w:spacing w:after="0"/>
              <w:rPr>
                <w:sz w:val="24"/>
                <w:szCs w:val="24"/>
                <w:color w:val="auto"/>
              </w:rPr>
            </w:pPr>
          </w:p>
        </w:tc>
        <w:tc>
          <w:tcPr>
            <w:tcW w:w="960" w:type="dxa"/>
            <w:vAlign w:val="bottom"/>
          </w:tcPr>
          <w:p>
            <w:pPr>
              <w:jc w:val="right"/>
              <w:ind w:right="60"/>
              <w:spacing w:after="0"/>
              <w:rPr>
                <w:sz w:val="20"/>
                <w:szCs w:val="20"/>
                <w:color w:val="auto"/>
              </w:rPr>
            </w:pPr>
            <w:r>
              <w:rPr>
                <w:rFonts w:ascii="Arial" w:cs="Arial" w:eastAsia="Arial" w:hAnsi="Arial"/>
                <w:sz w:val="20"/>
                <w:szCs w:val="20"/>
                <w:color w:val="auto"/>
              </w:rPr>
              <w:t>1,008</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2,451</w:t>
            </w:r>
          </w:p>
        </w:tc>
      </w:tr>
      <w:tr>
        <w:trPr>
          <w:trHeight w:val="46"/>
        </w:trPr>
        <w:tc>
          <w:tcPr>
            <w:tcW w:w="3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96"/>
        </w:trPr>
        <w:tc>
          <w:tcPr>
            <w:tcW w:w="3860" w:type="dxa"/>
            <w:vAlign w:val="bottom"/>
            <w:shd w:val="clear" w:color="auto" w:fill="CFF0FC"/>
          </w:tcPr>
          <w:p>
            <w:pPr>
              <w:spacing w:after="0"/>
              <w:rPr>
                <w:sz w:val="20"/>
                <w:szCs w:val="20"/>
                <w:color w:val="auto"/>
              </w:rPr>
            </w:pPr>
            <w:r>
              <w:rPr>
                <w:rFonts w:ascii="Arial" w:cs="Arial" w:eastAsia="Arial" w:hAnsi="Arial"/>
                <w:sz w:val="20"/>
                <w:szCs w:val="20"/>
                <w:color w:val="auto"/>
              </w:rPr>
              <w:t>Other comprehensive income</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13,335</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3,789</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9,221</w:t>
            </w:r>
          </w:p>
        </w:tc>
      </w:tr>
      <w:tr>
        <w:trPr>
          <w:trHeight w:val="63"/>
        </w:trPr>
        <w:tc>
          <w:tcPr>
            <w:tcW w:w="386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3178810</wp:posOffset>
            </wp:positionH>
            <wp:positionV relativeFrom="paragraph">
              <wp:posOffset>-1816100</wp:posOffset>
            </wp:positionV>
            <wp:extent cx="2140585"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7">
                      <a:extLst>
                        <a:ext uri="{28A0092B-C50C-407E-A947-70E740481C1C}"/>
                      </a:extLst>
                    </a:blip>
                    <a:srcRect/>
                    <a:stretch>
                      <a:fillRect/>
                    </a:stretch>
                  </pic:blipFill>
                  <pic:spPr bwMode="auto">
                    <a:xfrm>
                      <a:off x="0" y="0"/>
                      <a:ext cx="2140585" cy="6350"/>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-1610360</wp:posOffset>
            </wp:positionV>
            <wp:extent cx="2140585"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18">
                      <a:extLst>
                        <a:ext uri="{28A0092B-C50C-407E-A947-70E740481C1C}"/>
                      </a:extLst>
                    </a:blip>
                    <a:srcRect/>
                    <a:stretch>
                      <a:fillRect/>
                    </a:stretch>
                  </pic:blipFill>
                  <pic:spPr bwMode="auto">
                    <a:xfrm>
                      <a:off x="0" y="0"/>
                      <a:ext cx="2140585" cy="6350"/>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-829945</wp:posOffset>
            </wp:positionV>
            <wp:extent cx="2140585"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19">
                      <a:extLst>
                        <a:ext uri="{28A0092B-C50C-407E-A947-70E740481C1C}"/>
                      </a:extLst>
                    </a:blip>
                    <a:srcRect/>
                    <a:stretch>
                      <a:fillRect/>
                    </a:stretch>
                  </pic:blipFill>
                  <pic:spPr bwMode="auto">
                    <a:xfrm>
                      <a:off x="0" y="0"/>
                      <a:ext cx="2140585" cy="6350"/>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-233680</wp:posOffset>
            </wp:positionV>
            <wp:extent cx="2140585"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0">
                      <a:extLst>
                        <a:ext uri="{28A0092B-C50C-407E-A947-70E740481C1C}"/>
                      </a:extLst>
                    </a:blip>
                    <a:srcRect/>
                    <a:stretch>
                      <a:fillRect/>
                    </a:stretch>
                  </pic:blipFill>
                  <pic:spPr bwMode="auto">
                    <a:xfrm>
                      <a:off x="0" y="0"/>
                      <a:ext cx="2140585" cy="6350"/>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-27940</wp:posOffset>
            </wp:positionV>
            <wp:extent cx="2188210" cy="285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1">
                      <a:extLst>
                        <a:ext uri="{28A0092B-C50C-407E-A947-70E740481C1C}"/>
                      </a:extLst>
                    </a:blip>
                    <a:srcRect/>
                    <a:stretch>
                      <a:fillRect/>
                    </a:stretch>
                  </pic:blipFill>
                  <pic:spPr bwMode="auto">
                    <a:xfrm>
                      <a:off x="0" y="0"/>
                      <a:ext cx="2188210" cy="28575"/>
                    </a:xfrm>
                    <a:prstGeom prst="rect">
                      <a:avLst/>
                    </a:prstGeom>
                    <a:noFill/>
                  </pic:spPr>
                </pic:pic>
              </a:graphicData>
            </a:graphic>
          </wp:anchor>
        </w:drawing>
      </w:r>
    </w:p>
    <w:p>
      <w:pPr>
        <w:spacing w:after="0" w:line="310"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Advertising Expense</w:t>
      </w:r>
    </w:p>
    <w:p>
      <w:pPr>
        <w:spacing w:after="0" w:line="200" w:lineRule="exact"/>
        <w:rPr>
          <w:sz w:val="20"/>
          <w:szCs w:val="20"/>
          <w:color w:val="auto"/>
        </w:rPr>
      </w:pPr>
    </w:p>
    <w:p>
      <w:pPr>
        <w:ind w:left="620" w:right="100"/>
        <w:spacing w:after="0" w:line="302" w:lineRule="auto"/>
        <w:rPr>
          <w:sz w:val="20"/>
          <w:szCs w:val="20"/>
          <w:color w:val="auto"/>
        </w:rPr>
      </w:pPr>
      <w:r>
        <w:rPr>
          <w:rFonts w:ascii="Arial" w:cs="Arial" w:eastAsia="Arial" w:hAnsi="Arial"/>
          <w:sz w:val="20"/>
          <w:szCs w:val="20"/>
          <w:color w:val="auto"/>
        </w:rPr>
        <w:t>Advertising costs are generally expensed as incurred and are recorded as advertising, a component of noninterest expense.</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Recent Accounting Pronouncements</w:t>
      </w:r>
    </w:p>
    <w:p>
      <w:pPr>
        <w:spacing w:after="0" w:line="200" w:lineRule="exact"/>
        <w:rPr>
          <w:sz w:val="20"/>
          <w:szCs w:val="20"/>
          <w:color w:val="auto"/>
        </w:rPr>
      </w:pPr>
    </w:p>
    <w:p>
      <w:pPr>
        <w:jc w:val="both"/>
        <w:ind w:left="620" w:right="60"/>
        <w:spacing w:after="0" w:line="311" w:lineRule="auto"/>
        <w:rPr>
          <w:sz w:val="20"/>
          <w:szCs w:val="20"/>
          <w:color w:val="auto"/>
        </w:rPr>
      </w:pPr>
      <w:r>
        <w:rPr>
          <w:rFonts w:ascii="Arial" w:cs="Arial" w:eastAsia="Arial" w:hAnsi="Arial"/>
          <w:sz w:val="20"/>
          <w:szCs w:val="20"/>
          <w:color w:val="auto"/>
        </w:rPr>
        <w:t xml:space="preserve">In October 2023, the Financial Accounting Standards Board (FASB) issued Accounting Standards Update (ASU) 2023-06 </w:t>
      </w:r>
      <w:r>
        <w:rPr>
          <w:rFonts w:ascii="Arial" w:cs="Arial" w:eastAsia="Arial" w:hAnsi="Arial"/>
          <w:sz w:val="20"/>
          <w:szCs w:val="20"/>
          <w:i w:val="1"/>
          <w:iCs w:val="1"/>
          <w:color w:val="auto"/>
        </w:rPr>
        <w:t>"Disclosure Improvements - Codification Amendments in Response to the SEC’s Disclosure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Update and Simplification Initiative." </w:t>
      </w:r>
      <w:r>
        <w:rPr>
          <w:rFonts w:ascii="Arial" w:cs="Arial" w:eastAsia="Arial" w:hAnsi="Arial"/>
          <w:sz w:val="20"/>
          <w:szCs w:val="20"/>
          <w:color w:val="auto"/>
        </w:rPr>
        <w:t>The amendments in this Update are the result of the FASB’s decision</w:t>
      </w:r>
      <w:r>
        <w:rPr>
          <w:rFonts w:ascii="Arial" w:cs="Arial" w:eastAsia="Arial" w:hAnsi="Arial"/>
          <w:sz w:val="20"/>
          <w:szCs w:val="20"/>
          <w:i w:val="1"/>
          <w:iCs w:val="1"/>
          <w:color w:val="auto"/>
        </w:rPr>
        <w:t xml:space="preserve"> </w:t>
      </w:r>
      <w:r>
        <w:rPr>
          <w:rFonts w:ascii="Arial" w:cs="Arial" w:eastAsia="Arial" w:hAnsi="Arial"/>
          <w:sz w:val="20"/>
          <w:szCs w:val="20"/>
          <w:color w:val="auto"/>
        </w:rPr>
        <w:t>to incorporate into the Accounting Standards Codification certain disclosure requirements, referred by the SEC, that require incremental information to US GAAP. Topics in the ASU that have applicability to the Company are as follows:</w:t>
      </w:r>
    </w:p>
    <w:p>
      <w:pPr>
        <w:spacing w:after="0" w:line="122" w:lineRule="exact"/>
        <w:rPr>
          <w:sz w:val="20"/>
          <w:szCs w:val="20"/>
          <w:color w:val="auto"/>
        </w:rPr>
      </w:pPr>
    </w:p>
    <w:p>
      <w:pPr>
        <w:ind w:left="1240"/>
        <w:spacing w:after="0"/>
        <w:tabs>
          <w:tab w:leader="none" w:pos="3000" w:val="left"/>
          <w:tab w:leader="none" w:pos="5460" w:val="left"/>
          <w:tab w:leader="none" w:pos="72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i w:val="1"/>
          <w:iCs w:val="1"/>
          <w:color w:val="auto"/>
        </w:rPr>
        <w:t>Statement</w:t>
      </w:r>
      <w:r>
        <w:rPr>
          <w:sz w:val="20"/>
          <w:szCs w:val="20"/>
          <w:color w:val="auto"/>
        </w:rPr>
        <w:tab/>
      </w:r>
      <w:r>
        <w:rPr>
          <w:rFonts w:ascii="Arial" w:cs="Arial" w:eastAsia="Arial" w:hAnsi="Arial"/>
          <w:sz w:val="20"/>
          <w:szCs w:val="20"/>
          <w:i w:val="1"/>
          <w:iCs w:val="1"/>
          <w:color w:val="auto"/>
        </w:rPr>
        <w:t>of</w:t>
      </w:r>
      <w:r>
        <w:rPr>
          <w:sz w:val="20"/>
          <w:szCs w:val="20"/>
          <w:color w:val="auto"/>
        </w:rPr>
        <w:tab/>
      </w:r>
      <w:r>
        <w:rPr>
          <w:rFonts w:ascii="Arial" w:cs="Arial" w:eastAsia="Arial" w:hAnsi="Arial"/>
          <w:sz w:val="17"/>
          <w:szCs w:val="17"/>
          <w:i w:val="1"/>
          <w:iCs w:val="1"/>
          <w:color w:val="auto"/>
        </w:rPr>
        <w:t>Cash</w:t>
      </w:r>
    </w:p>
    <w:p>
      <w:pPr>
        <w:spacing w:after="0" w:line="80" w:lineRule="exact"/>
        <w:rPr>
          <w:sz w:val="20"/>
          <w:szCs w:val="20"/>
          <w:color w:val="auto"/>
        </w:rPr>
      </w:pPr>
    </w:p>
    <w:p>
      <w:pPr>
        <w:jc w:val="both"/>
        <w:ind w:left="1240" w:right="60"/>
        <w:spacing w:after="0" w:line="307" w:lineRule="auto"/>
        <w:rPr>
          <w:sz w:val="20"/>
          <w:szCs w:val="20"/>
          <w:color w:val="auto"/>
        </w:rPr>
      </w:pPr>
      <w:r>
        <w:rPr>
          <w:rFonts w:ascii="Arial" w:cs="Arial" w:eastAsia="Arial" w:hAnsi="Arial"/>
          <w:sz w:val="20"/>
          <w:szCs w:val="20"/>
          <w:i w:val="1"/>
          <w:iCs w:val="1"/>
          <w:color w:val="auto"/>
        </w:rPr>
        <w:t xml:space="preserve">Flows </w:t>
      </w:r>
      <w:r>
        <w:rPr>
          <w:rFonts w:ascii="Arial" w:cs="Arial" w:eastAsia="Arial" w:hAnsi="Arial"/>
          <w:sz w:val="20"/>
          <w:szCs w:val="20"/>
          <w:color w:val="auto"/>
        </w:rPr>
        <w:t>- requires an accounting policy disclosure in annual periods of where cash flows associated</w:t>
      </w:r>
      <w:r>
        <w:rPr>
          <w:rFonts w:ascii="Arial" w:cs="Arial" w:eastAsia="Arial" w:hAnsi="Arial"/>
          <w:sz w:val="20"/>
          <w:szCs w:val="20"/>
          <w:i w:val="1"/>
          <w:iCs w:val="1"/>
          <w:color w:val="auto"/>
        </w:rPr>
        <w:t xml:space="preserve"> </w:t>
      </w:r>
      <w:r>
        <w:rPr>
          <w:rFonts w:ascii="Arial" w:cs="Arial" w:eastAsia="Arial" w:hAnsi="Arial"/>
          <w:sz w:val="20"/>
          <w:szCs w:val="20"/>
          <w:color w:val="auto"/>
        </w:rPr>
        <w:t>with derivative instruments and their related gains and losses are presented in the statement of cash flows.</w:t>
      </w:r>
    </w:p>
    <w:p>
      <w:pPr>
        <w:spacing w:after="0" w:line="137" w:lineRule="exact"/>
        <w:rPr>
          <w:sz w:val="20"/>
          <w:szCs w:val="20"/>
          <w:color w:val="auto"/>
        </w:rPr>
      </w:pPr>
    </w:p>
    <w:p>
      <w:pPr>
        <w:ind w:left="1240" w:right="120" w:firstLine="7"/>
        <w:spacing w:after="0" w:line="331" w:lineRule="auto"/>
        <w:tabs>
          <w:tab w:leader="none" w:pos="1459" w:val="left"/>
        </w:tabs>
        <w:numPr>
          <w:ilvl w:val="0"/>
          <w:numId w:val="18"/>
        </w:numPr>
        <w:rPr>
          <w:rFonts w:ascii="Arial" w:cs="Arial" w:eastAsia="Arial" w:hAnsi="Arial"/>
          <w:sz w:val="19"/>
          <w:szCs w:val="19"/>
          <w:color w:val="auto"/>
        </w:rPr>
      </w:pPr>
      <w:r>
        <w:rPr>
          <w:rFonts w:ascii="Arial" w:cs="Arial" w:eastAsia="Arial" w:hAnsi="Arial"/>
          <w:sz w:val="19"/>
          <w:szCs w:val="19"/>
          <w:i w:val="1"/>
          <w:iCs w:val="1"/>
          <w:color w:val="auto"/>
        </w:rPr>
        <w:t>Debt</w:t>
      </w:r>
      <w:r>
        <w:rPr>
          <w:rFonts w:ascii="Arial" w:cs="Arial" w:eastAsia="Arial" w:hAnsi="Arial"/>
          <w:sz w:val="19"/>
          <w:szCs w:val="19"/>
          <w:color w:val="auto"/>
        </w:rPr>
        <w:t>- requires disclosure of amounts and terms of unused lines of credit and unfunded</w:t>
      </w:r>
      <w:r>
        <w:rPr>
          <w:rFonts w:ascii="Arial" w:cs="Arial" w:eastAsia="Arial" w:hAnsi="Arial"/>
          <w:sz w:val="19"/>
          <w:szCs w:val="19"/>
          <w:i w:val="1"/>
          <w:iCs w:val="1"/>
          <w:color w:val="auto"/>
        </w:rPr>
        <w:t xml:space="preserve"> </w:t>
      </w:r>
      <w:r>
        <w:rPr>
          <w:rFonts w:ascii="Arial" w:cs="Arial" w:eastAsia="Arial" w:hAnsi="Arial"/>
          <w:sz w:val="19"/>
          <w:szCs w:val="19"/>
          <w:color w:val="auto"/>
        </w:rPr>
        <w:t>commitments and the weighted-average interest rate on outstanding short-term borrowings.</w:t>
      </w:r>
    </w:p>
    <w:p>
      <w:pPr>
        <w:spacing w:after="0" w:line="117" w:lineRule="exact"/>
        <w:rPr>
          <w:rFonts w:ascii="Arial" w:cs="Arial" w:eastAsia="Arial" w:hAnsi="Arial"/>
          <w:sz w:val="19"/>
          <w:szCs w:val="19"/>
          <w:color w:val="auto"/>
        </w:rPr>
      </w:pPr>
    </w:p>
    <w:p>
      <w:pPr>
        <w:jc w:val="both"/>
        <w:ind w:left="1240" w:right="80" w:firstLine="7"/>
        <w:spacing w:after="0" w:line="307" w:lineRule="auto"/>
        <w:tabs>
          <w:tab w:leader="none" w:pos="1406"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 xml:space="preserve">Derivatives and Hedging </w:t>
      </w:r>
      <w:r>
        <w:rPr>
          <w:rFonts w:ascii="Arial" w:cs="Arial" w:eastAsia="Arial" w:hAnsi="Arial"/>
          <w:sz w:val="20"/>
          <w:szCs w:val="20"/>
          <w:color w:val="auto"/>
        </w:rPr>
        <w:t>- adds cross-reference to disclosure requirements related to where cash</w:t>
      </w:r>
      <w:r>
        <w:rPr>
          <w:rFonts w:ascii="Arial" w:cs="Arial" w:eastAsia="Arial" w:hAnsi="Arial"/>
          <w:sz w:val="20"/>
          <w:szCs w:val="20"/>
          <w:i w:val="1"/>
          <w:iCs w:val="1"/>
          <w:color w:val="auto"/>
        </w:rPr>
        <w:t xml:space="preserve"> </w:t>
      </w:r>
      <w:r>
        <w:rPr>
          <w:rFonts w:ascii="Arial" w:cs="Arial" w:eastAsia="Arial" w:hAnsi="Arial"/>
          <w:sz w:val="20"/>
          <w:szCs w:val="20"/>
          <w:color w:val="auto"/>
        </w:rPr>
        <w:t>flows associated with derivative instruments and their related gains and losses are presented in the statement of cash flows.</w:t>
      </w:r>
    </w:p>
    <w:p>
      <w:pPr>
        <w:spacing w:after="0" w:line="137" w:lineRule="exact"/>
        <w:rPr>
          <w:sz w:val="20"/>
          <w:szCs w:val="20"/>
          <w:color w:val="auto"/>
        </w:rPr>
      </w:pPr>
    </w:p>
    <w:p>
      <w:pPr>
        <w:jc w:val="both"/>
        <w:ind w:left="620" w:right="40"/>
        <w:spacing w:after="0" w:line="355" w:lineRule="auto"/>
        <w:rPr>
          <w:sz w:val="20"/>
          <w:szCs w:val="20"/>
          <w:color w:val="auto"/>
        </w:rPr>
      </w:pPr>
      <w:r>
        <w:rPr>
          <w:rFonts w:ascii="Arial" w:cs="Arial" w:eastAsia="Arial" w:hAnsi="Arial"/>
          <w:sz w:val="18"/>
          <w:szCs w:val="18"/>
          <w:color w:val="auto"/>
        </w:rPr>
        <w:t>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32</w:t>
      </w:r>
    </w:p>
    <w:p>
      <w:pPr>
        <w:sectPr>
          <w:pgSz w:w="11900" w:h="16838" w:orient="portrait"/>
          <w:cols w:equalWidth="0" w:num="1">
            <w:col w:w="9400"/>
          </w:cols>
          <w:pgMar w:left="1260" w:top="1440" w:right="1246" w:bottom="0" w:gutter="0" w:footer="0" w:header="0"/>
          <w:type w:val="continuous"/>
        </w:sectPr>
      </w:pPr>
    </w:p>
    <w:bookmarkStart w:id="144" w:name="page145"/>
    <w:bookmarkEnd w:id="144"/>
    <w:p>
      <w:pPr>
        <w:jc w:val="both"/>
        <w:ind w:left="440" w:right="60"/>
        <w:spacing w:after="0" w:line="355" w:lineRule="auto"/>
        <w:rPr>
          <w:sz w:val="20"/>
          <w:szCs w:val="20"/>
          <w:color w:val="auto"/>
        </w:rPr>
      </w:pPr>
      <w:r>
        <w:rPr>
          <w:rFonts w:ascii="Arial" w:cs="Arial" w:eastAsia="Arial" w:hAnsi="Arial"/>
          <w:sz w:val="18"/>
          <w:szCs w:val="18"/>
          <w:color w:val="auto"/>
        </w:rPr>
        <w:t>the pending content of the related amendment will be removed from the Accounting Standards Codification and will not become effective for any entity. Management is reviewing the provisions of ASU 2023-06, and does not expect the adoption of the ASU to have a material effect on the Company’s financial statements.</w:t>
      </w:r>
    </w:p>
    <w:p>
      <w:pPr>
        <w:spacing w:after="0" w:line="222" w:lineRule="exact"/>
        <w:rPr>
          <w:sz w:val="20"/>
          <w:szCs w:val="20"/>
          <w:color w:val="auto"/>
        </w:rPr>
      </w:pPr>
    </w:p>
    <w:p>
      <w:pPr>
        <w:jc w:val="both"/>
        <w:ind w:left="440" w:right="60"/>
        <w:spacing w:after="0" w:line="349"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 Improvements to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 Disclosures." </w:t>
      </w:r>
      <w:r>
        <w:rPr>
          <w:rFonts w:ascii="Arial" w:cs="Arial" w:eastAsia="Arial" w:hAnsi="Arial"/>
          <w:sz w:val="18"/>
          <w:szCs w:val="18"/>
          <w:color w:val="auto"/>
        </w:rPr>
        <w:t>The amendments in this Update require that public business entities on an annual basis (1)</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The amendments also require disclosure of the amount of income taxes paid (net of refunds received) disaggregated by federal (national) and state jurisdictions. For public business entities, the amendments in this Update are effective for annual periods beginning after December 15, 2024. Early adoption is permitted for annual financial statements that have not yet been issued or made available for issuance. The amendments in this Update should be applied on a prospective basis and retrospective application is permitted. Management adopted the Update effective December 31, 2025, as required, without material effect on the Company’s financial position or results of operations.</w:t>
      </w:r>
    </w:p>
    <w:p>
      <w:pPr>
        <w:spacing w:after="0" w:line="228" w:lineRule="exact"/>
        <w:rPr>
          <w:sz w:val="20"/>
          <w:szCs w:val="20"/>
          <w:color w:val="auto"/>
        </w:rPr>
      </w:pPr>
    </w:p>
    <w:p>
      <w:pPr>
        <w:ind w:left="440"/>
        <w:spacing w:after="0" w:line="309" w:lineRule="auto"/>
        <w:rPr>
          <w:sz w:val="20"/>
          <w:szCs w:val="20"/>
          <w:color w:val="auto"/>
        </w:rPr>
      </w:pPr>
      <w:r>
        <w:rPr>
          <w:rFonts w:ascii="Arial" w:cs="Arial" w:eastAsia="Arial" w:hAnsi="Arial"/>
          <w:sz w:val="20"/>
          <w:szCs w:val="20"/>
          <w:color w:val="auto"/>
        </w:rPr>
        <w:t xml:space="preserve">In November 2024, the FASB issued ASU 2024-03 </w:t>
      </w:r>
      <w:r>
        <w:rPr>
          <w:rFonts w:ascii="Arial" w:cs="Arial" w:eastAsia="Arial" w:hAnsi="Arial"/>
          <w:sz w:val="20"/>
          <w:szCs w:val="20"/>
          <w:i w:val="1"/>
          <w:iCs w:val="1"/>
          <w:color w:val="auto"/>
        </w:rPr>
        <w:t>Income Statement—Reporting Comprehensive Income—</w:t>
      </w:r>
      <w:r>
        <w:rPr>
          <w:rFonts w:ascii="Arial" w:cs="Arial" w:eastAsia="Arial" w:hAnsi="Arial"/>
          <w:sz w:val="20"/>
          <w:szCs w:val="20"/>
          <w:color w:val="auto"/>
        </w:rPr>
        <w:t xml:space="preserve"> </w:t>
      </w:r>
      <w:r>
        <w:rPr>
          <w:rFonts w:ascii="Arial" w:cs="Arial" w:eastAsia="Arial" w:hAnsi="Arial"/>
          <w:sz w:val="20"/>
          <w:szCs w:val="20"/>
          <w:i w:val="1"/>
          <w:iCs w:val="1"/>
          <w:color w:val="auto"/>
        </w:rPr>
        <w:t>Expense Disaggregation Disclosures (Subtopic 220-40)</w:t>
      </w:r>
      <w:r>
        <w:rPr>
          <w:rFonts w:ascii="Arial" w:cs="Arial" w:eastAsia="Arial" w:hAnsi="Arial"/>
          <w:sz w:val="20"/>
          <w:szCs w:val="20"/>
          <w:color w:val="auto"/>
        </w:rPr>
        <w:t>. The amendments in this Update require disclosure,</w:t>
      </w:r>
      <w:r>
        <w:rPr>
          <w:rFonts w:ascii="Arial" w:cs="Arial" w:eastAsia="Arial" w:hAnsi="Arial"/>
          <w:sz w:val="20"/>
          <w:szCs w:val="20"/>
          <w:i w:val="1"/>
          <w:iCs w:val="1"/>
          <w:color w:val="auto"/>
        </w:rPr>
        <w:t xml:space="preserve"> </w:t>
      </w:r>
      <w:r>
        <w:rPr>
          <w:rFonts w:ascii="Arial" w:cs="Arial" w:eastAsia="Arial" w:hAnsi="Arial"/>
          <w:sz w:val="20"/>
          <w:szCs w:val="20"/>
          <w:color w:val="auto"/>
        </w:rPr>
        <w:t>in the notes to financial statements, of specified information about certain costs and expenses. The amendments require that at each</w:t>
      </w:r>
    </w:p>
    <w:p>
      <w:pPr>
        <w:spacing w:after="0" w:line="246"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27 / 32</w:t>
      </w:r>
    </w:p>
    <w:p>
      <w:pPr>
        <w:sectPr>
          <w:pgSz w:w="11900" w:h="16838" w:orient="portrait"/>
          <w:cols w:equalWidth="0" w:num="1">
            <w:col w:w="9220"/>
          </w:cols>
          <w:pgMar w:left="1440" w:top="1173" w:right="1246" w:bottom="0" w:gutter="0" w:footer="0" w:header="0"/>
          <w:type w:val="continuous"/>
        </w:sectPr>
      </w:pPr>
    </w:p>
    <w:bookmarkStart w:id="145" w:name="page146"/>
    <w:bookmarkEnd w:id="145"/>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interim and annual reporting period (1) the Company disclose the amounts of (a) employee compensation,</w:t>
      </w:r>
    </w:p>
    <w:p>
      <w:pPr>
        <w:spacing w:after="0" w:line="93" w:lineRule="exact"/>
        <w:rPr>
          <w:sz w:val="20"/>
          <w:szCs w:val="20"/>
          <w:color w:val="auto"/>
        </w:rPr>
      </w:pPr>
    </w:p>
    <w:p>
      <w:pPr>
        <w:jc w:val="both"/>
        <w:ind w:left="620" w:right="60"/>
        <w:spacing w:after="0" w:line="329" w:lineRule="auto"/>
        <w:tabs>
          <w:tab w:leader="none" w:pos="911" w:val="left"/>
        </w:tabs>
        <w:numPr>
          <w:ilvl w:val="0"/>
          <w:numId w:val="19"/>
        </w:numPr>
        <w:rPr>
          <w:rFonts w:ascii="Arial" w:cs="Arial" w:eastAsia="Arial" w:hAnsi="Arial"/>
          <w:sz w:val="19"/>
          <w:szCs w:val="19"/>
          <w:color w:val="auto"/>
        </w:rPr>
      </w:pPr>
      <w:r>
        <w:rPr>
          <w:rFonts w:ascii="Arial" w:cs="Arial" w:eastAsia="Arial" w:hAnsi="Arial"/>
          <w:sz w:val="19"/>
          <w:szCs w:val="19"/>
          <w:color w:val="auto"/>
        </w:rPr>
        <w:t>depreciation, and (c) intangible asset amortization included in each relevant expense caption. A relevant expense caption is an expense caption presented on the face of the income statement within continuing operations that contains any of the expense categories listed. (2) Include certain amounts that are already required to be disclosed under current generally accepted accounting principles (GAAP) in the same disclosure as the other disaggregation requirements. (3) Disclose a qualitative description of the amounts remaining in relevant expense captions that are not separately disaggregated quantitatively. (4) Disclose the total amount of selling expenses and, in annual reporting periods, the Company’s definition of selling expenses. The amendments in this Update are effective for annual reporting periods beginning after December 15, 2026, and interim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Management is currently evaluating the Update and does not expect adoption of the Update to have a material effect on the Company’s financial position or results of operations.</w:t>
      </w:r>
    </w:p>
    <w:p>
      <w:pPr>
        <w:spacing w:after="0" w:line="247" w:lineRule="exact"/>
        <w:rPr>
          <w:sz w:val="20"/>
          <w:szCs w:val="20"/>
          <w:color w:val="auto"/>
        </w:rPr>
      </w:pPr>
    </w:p>
    <w:p>
      <w:pPr>
        <w:ind w:left="620" w:right="80"/>
        <w:spacing w:after="0" w:line="302" w:lineRule="auto"/>
        <w:rPr>
          <w:sz w:val="20"/>
          <w:szCs w:val="20"/>
          <w:color w:val="auto"/>
        </w:rPr>
      </w:pPr>
      <w:r>
        <w:rPr>
          <w:rFonts w:ascii="Arial" w:cs="Arial" w:eastAsia="Arial" w:hAnsi="Arial"/>
          <w:sz w:val="20"/>
          <w:szCs w:val="20"/>
          <w:color w:val="auto"/>
        </w:rPr>
        <w:t xml:space="preserve">In November 2025, the FASB issued ASU 2025-08 </w:t>
      </w:r>
      <w:r>
        <w:rPr>
          <w:rFonts w:ascii="Arial" w:cs="Arial" w:eastAsia="Arial" w:hAnsi="Arial"/>
          <w:sz w:val="20"/>
          <w:szCs w:val="20"/>
          <w:i w:val="1"/>
          <w:iCs w:val="1"/>
          <w:color w:val="auto"/>
        </w:rPr>
        <w:t>Financial Instruments—Credit Losses (Topic 326) —</w:t>
      </w:r>
      <w:r>
        <w:rPr>
          <w:rFonts w:ascii="Arial" w:cs="Arial" w:eastAsia="Arial" w:hAnsi="Arial"/>
          <w:sz w:val="20"/>
          <w:szCs w:val="20"/>
          <w:color w:val="auto"/>
        </w:rPr>
        <w:t xml:space="preserve"> </w:t>
      </w:r>
      <w:r>
        <w:rPr>
          <w:rFonts w:ascii="Arial" w:cs="Arial" w:eastAsia="Arial" w:hAnsi="Arial"/>
          <w:sz w:val="20"/>
          <w:szCs w:val="20"/>
          <w:i w:val="1"/>
          <w:iCs w:val="1"/>
          <w:color w:val="auto"/>
        </w:rPr>
        <w:t>Purchased</w:t>
      </w:r>
    </w:p>
    <w:p>
      <w:pPr>
        <w:spacing w:after="0" w:line="21" w:lineRule="exact"/>
        <w:rPr>
          <w:sz w:val="20"/>
          <w:szCs w:val="20"/>
          <w:color w:val="auto"/>
        </w:rPr>
      </w:pPr>
    </w:p>
    <w:p>
      <w:pPr>
        <w:jc w:val="both"/>
        <w:ind w:left="620" w:right="60"/>
        <w:spacing w:after="0" w:line="349" w:lineRule="auto"/>
        <w:rPr>
          <w:sz w:val="20"/>
          <w:szCs w:val="20"/>
          <w:color w:val="auto"/>
        </w:rPr>
      </w:pPr>
      <w:r>
        <w:rPr>
          <w:rFonts w:ascii="Arial" w:cs="Arial" w:eastAsia="Arial" w:hAnsi="Arial"/>
          <w:sz w:val="18"/>
          <w:szCs w:val="18"/>
          <w:i w:val="1"/>
          <w:iCs w:val="1"/>
          <w:color w:val="auto"/>
        </w:rPr>
        <w:t>Loans</w:t>
      </w:r>
      <w:r>
        <w:rPr>
          <w:rFonts w:ascii="Arial" w:cs="Arial" w:eastAsia="Arial" w:hAnsi="Arial"/>
          <w:sz w:val="18"/>
          <w:szCs w:val="18"/>
          <w:color w:val="auto"/>
        </w:rPr>
        <w:t>. The amendments in this Update expand the population of acquired financial assets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gross-up approach in Topic 326. In accordance with the amendments in this Update, loans (excluding credit cards) acquired without credit deterioration and deemed “seasoned” are purchased seasoned loans and accounted for using the gross-up approach at acquisition. All non- PCD (purchased financial asset with credit deterioration) loans (excluding credit cards) that are acquired in a business combination are deemed seasoned. Other non-PCD loans (excluding credit cards) are seasoned if they were purchased at least 90 days after origination and the acquirer was not involved in the origination of the loans. The amendments in this Update are effective for all entities for annual reporting periods beginning after December 15, 2026, and interim reporting periods within those annual reporting periods. The amendments in this Update should be applied prospectively to loans that are acquired on or after the initial application date. Early adoption is permitted in an interim or annual reporting period in which financial statements have not yet been issued or made available for issuance. Management is currently evaluating the Update and does not expect adoption of the Update to have a material effect on the Company’s financial position or results of operations.</w:t>
      </w:r>
    </w:p>
    <w:p>
      <w:pPr>
        <w:spacing w:after="0" w:line="227" w:lineRule="exact"/>
        <w:rPr>
          <w:sz w:val="20"/>
          <w:szCs w:val="20"/>
          <w:color w:val="auto"/>
        </w:rPr>
      </w:pPr>
    </w:p>
    <w:p>
      <w:pPr>
        <w:jc w:val="both"/>
        <w:ind w:left="620" w:right="60"/>
        <w:spacing w:after="0" w:line="311" w:lineRule="auto"/>
        <w:rPr>
          <w:sz w:val="20"/>
          <w:szCs w:val="20"/>
          <w:color w:val="auto"/>
        </w:rPr>
      </w:pPr>
      <w:r>
        <w:rPr>
          <w:rFonts w:ascii="Arial" w:cs="Arial" w:eastAsia="Arial" w:hAnsi="Arial"/>
          <w:sz w:val="20"/>
          <w:szCs w:val="20"/>
          <w:color w:val="auto"/>
        </w:rPr>
        <w:t xml:space="preserve">In November 2025, the FASB issued ASU 2025-09 </w:t>
      </w:r>
      <w:r>
        <w:rPr>
          <w:rFonts w:ascii="Arial" w:cs="Arial" w:eastAsia="Arial" w:hAnsi="Arial"/>
          <w:sz w:val="20"/>
          <w:szCs w:val="20"/>
          <w:i w:val="1"/>
          <w:iCs w:val="1"/>
          <w:color w:val="auto"/>
        </w:rPr>
        <w:t>Derivatives and Hedging (Topic 815) — Hedge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Accounting Improvements. </w:t>
      </w:r>
      <w:r>
        <w:rPr>
          <w:rFonts w:ascii="Arial" w:cs="Arial" w:eastAsia="Arial" w:hAnsi="Arial"/>
          <w:sz w:val="20"/>
          <w:szCs w:val="20"/>
          <w:color w:val="auto"/>
        </w:rPr>
        <w:t>The amendments in this Update are intended to more closely align hedge</w:t>
      </w:r>
      <w:r>
        <w:rPr>
          <w:rFonts w:ascii="Arial" w:cs="Arial" w:eastAsia="Arial" w:hAnsi="Arial"/>
          <w:sz w:val="20"/>
          <w:szCs w:val="20"/>
          <w:i w:val="1"/>
          <w:iCs w:val="1"/>
          <w:color w:val="auto"/>
        </w:rPr>
        <w:t xml:space="preserve"> </w:t>
      </w:r>
      <w:r>
        <w:rPr>
          <w:rFonts w:ascii="Arial" w:cs="Arial" w:eastAsia="Arial" w:hAnsi="Arial"/>
          <w:sz w:val="20"/>
          <w:szCs w:val="20"/>
          <w:color w:val="auto"/>
        </w:rPr>
        <w:t>accounting with the economics of an entity’s risk management activities. The amendments included in five issues addressed in this Update are intended to better reflect those strategies in financial reporting by enabling entities to achieve and maintain hedge accounting for highly effective economic hedges of forecasted transactions. The issues addressed in the ASU include: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32</w:t>
      </w:r>
    </w:p>
    <w:p>
      <w:pPr>
        <w:sectPr>
          <w:pgSz w:w="11900" w:h="16838" w:orient="portrait"/>
          <w:cols w:equalWidth="0" w:num="1">
            <w:col w:w="9400"/>
          </w:cols>
          <w:pgMar w:left="1260" w:top="1440" w:right="1246" w:bottom="0" w:gutter="0" w:footer="0" w:header="0"/>
          <w:type w:val="continuous"/>
        </w:sectPr>
      </w:pPr>
    </w:p>
    <w:bookmarkStart w:id="146" w:name="page147"/>
    <w:bookmarkEnd w:id="146"/>
    <w:p>
      <w:pPr>
        <w:jc w:val="both"/>
        <w:ind w:left="1060" w:right="60" w:firstLine="7"/>
        <w:spacing w:after="0" w:line="355" w:lineRule="auto"/>
        <w:tabs>
          <w:tab w:leader="none" w:pos="13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the hedged risks permitted to be aggregated in a group of individual forecasted transactions in a cash flow hedge by changing the requirement to designate a group of individual forecasted transactions from having a shared risk exposure to having a similar risk exposure;</w:t>
      </w:r>
    </w:p>
    <w:p>
      <w:pPr>
        <w:spacing w:after="0" w:line="101" w:lineRule="exact"/>
        <w:rPr>
          <w:rFonts w:ascii="Arial" w:cs="Arial" w:eastAsia="Arial" w:hAnsi="Arial"/>
          <w:sz w:val="18"/>
          <w:szCs w:val="18"/>
          <w:color w:val="auto"/>
        </w:rPr>
      </w:pPr>
    </w:p>
    <w:p>
      <w:pPr>
        <w:ind w:left="1060" w:firstLine="7"/>
        <w:spacing w:after="0" w:line="330" w:lineRule="auto"/>
        <w:tabs>
          <w:tab w:leader="none" w:pos="1382" w:val="left"/>
        </w:tabs>
        <w:numPr>
          <w:ilvl w:val="0"/>
          <w:numId w:val="20"/>
        </w:numPr>
        <w:rPr>
          <w:rFonts w:ascii="Arial" w:cs="Arial" w:eastAsia="Arial" w:hAnsi="Arial"/>
          <w:sz w:val="19"/>
          <w:szCs w:val="19"/>
          <w:color w:val="auto"/>
        </w:rPr>
      </w:pPr>
      <w:r>
        <w:rPr>
          <w:rFonts w:ascii="Arial" w:cs="Arial" w:eastAsia="Arial" w:hAnsi="Arial"/>
          <w:sz w:val="19"/>
          <w:szCs w:val="19"/>
          <w:color w:val="auto"/>
        </w:rPr>
        <w:t>providing a model to facilitate the application of cash flow hedge accounting to forecasted interest payments on variable-rate debt instruments with contractual terms that permit the borrower to change the interest rate index and interest rate tenor (that is, reset frequency) upon which interest is accrued (commonly referred to as “choose-your-rate” debt instruments);</w:t>
      </w:r>
    </w:p>
    <w:p>
      <w:pPr>
        <w:spacing w:after="0" w:line="108" w:lineRule="exact"/>
        <w:rPr>
          <w:rFonts w:ascii="Arial" w:cs="Arial" w:eastAsia="Arial" w:hAnsi="Arial"/>
          <w:sz w:val="19"/>
          <w:szCs w:val="19"/>
          <w:color w:val="auto"/>
        </w:rPr>
      </w:pPr>
    </w:p>
    <w:p>
      <w:pPr>
        <w:ind w:left="1360" w:hanging="293"/>
        <w:spacing w:after="0"/>
        <w:tabs>
          <w:tab w:leader="none" w:pos="13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expanding hedge accounting for forecasted purchases and sales of nonfinancial assets;</w:t>
      </w:r>
    </w:p>
    <w:p>
      <w:pPr>
        <w:spacing w:after="0" w:line="199" w:lineRule="exact"/>
        <w:rPr>
          <w:rFonts w:ascii="Arial" w:cs="Arial" w:eastAsia="Arial" w:hAnsi="Arial"/>
          <w:sz w:val="20"/>
          <w:szCs w:val="20"/>
          <w:color w:val="auto"/>
        </w:rPr>
      </w:pPr>
    </w:p>
    <w:p>
      <w:pPr>
        <w:jc w:val="both"/>
        <w:ind w:left="1060" w:right="20" w:firstLine="7"/>
        <w:spacing w:after="0" w:line="330" w:lineRule="auto"/>
        <w:tabs>
          <w:tab w:leader="none" w:pos="1386" w:val="left"/>
        </w:tabs>
        <w:numPr>
          <w:ilvl w:val="0"/>
          <w:numId w:val="20"/>
        </w:numPr>
        <w:rPr>
          <w:rFonts w:ascii="Arial" w:cs="Arial" w:eastAsia="Arial" w:hAnsi="Arial"/>
          <w:sz w:val="19"/>
          <w:szCs w:val="19"/>
          <w:color w:val="auto"/>
        </w:rPr>
      </w:pPr>
      <w:r>
        <w:rPr>
          <w:rFonts w:ascii="Arial" w:cs="Arial" w:eastAsia="Arial" w:hAnsi="Arial"/>
          <w:sz w:val="19"/>
          <w:szCs w:val="19"/>
          <w:color w:val="auto"/>
        </w:rPr>
        <w:t>updating the hedge accounting guidance to accommodate differences in the loan and swap markets that developed after the cessation of the London Interbank Offered Rate. Specifically, the amendments in this Update eliminate the requirement to apply the net written option test to a compound derivative comprising a swap and a written option designated as the hedging instrument in a cash flow hedge or a fair value hedge of interest rate risk; and</w:t>
      </w:r>
    </w:p>
    <w:p>
      <w:pPr>
        <w:spacing w:after="0" w:line="117" w:lineRule="exact"/>
        <w:rPr>
          <w:rFonts w:ascii="Arial" w:cs="Arial" w:eastAsia="Arial" w:hAnsi="Arial"/>
          <w:sz w:val="19"/>
          <w:szCs w:val="19"/>
          <w:color w:val="auto"/>
        </w:rPr>
      </w:pPr>
    </w:p>
    <w:p>
      <w:pPr>
        <w:jc w:val="both"/>
        <w:ind w:left="1060" w:right="40" w:firstLine="7"/>
        <w:spacing w:after="0" w:line="309" w:lineRule="auto"/>
        <w:tabs>
          <w:tab w:leader="none" w:pos="1351" w:val="left"/>
        </w:tabs>
        <w:numPr>
          <w:ilvl w:val="0"/>
          <w:numId w:val="20"/>
        </w:numPr>
        <w:rPr>
          <w:rFonts w:ascii="Arial" w:cs="Arial" w:eastAsia="Arial" w:hAnsi="Arial"/>
          <w:sz w:val="20"/>
          <w:szCs w:val="20"/>
          <w:color w:val="auto"/>
        </w:rPr>
      </w:pPr>
      <w:r>
        <w:rPr>
          <w:rFonts w:ascii="Arial" w:cs="Arial" w:eastAsia="Arial" w:hAnsi="Arial"/>
          <w:sz w:val="20"/>
          <w:szCs w:val="20"/>
          <w:color w:val="auto"/>
        </w:rPr>
        <w:t>eliminating the recognition and presentation mismatch related to a dual hedge strategy (that is, a hedge for which a foreign currency-denominated debt instrument is both designated as the hedging instrument in a net investment hedge and designated as the hedged item in a fair value hedge of interest rate risk).</w:t>
      </w:r>
    </w:p>
    <w:p>
      <w:pPr>
        <w:spacing w:after="0" w:line="136" w:lineRule="exact"/>
        <w:rPr>
          <w:sz w:val="20"/>
          <w:szCs w:val="20"/>
          <w:color w:val="auto"/>
        </w:rPr>
      </w:pPr>
    </w:p>
    <w:p>
      <w:pPr>
        <w:jc w:val="both"/>
        <w:ind w:left="440" w:right="80"/>
        <w:spacing w:after="0" w:line="309" w:lineRule="auto"/>
        <w:rPr>
          <w:sz w:val="20"/>
          <w:szCs w:val="20"/>
          <w:color w:val="auto"/>
        </w:rPr>
      </w:pPr>
      <w:r>
        <w:rPr>
          <w:rFonts w:ascii="Arial" w:cs="Arial" w:eastAsia="Arial" w:hAnsi="Arial"/>
          <w:sz w:val="20"/>
          <w:szCs w:val="20"/>
          <w:color w:val="auto"/>
        </w:rPr>
        <w:t>For public business entities, the amendments in this Update are effective for annual reporting periods beginning after December 15, 2026, and interim periods within those annual reporting periods. Early adoption is permitted on any date on or after the issuance of this Update. Entities should apply the amendments in this Update on a prospective</w:t>
      </w:r>
    </w:p>
    <w:p>
      <w:pPr>
        <w:spacing w:after="0" w:line="24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29 / 32</w:t>
      </w:r>
    </w:p>
    <w:p>
      <w:pPr>
        <w:sectPr>
          <w:pgSz w:w="11900" w:h="16838" w:orient="portrait"/>
          <w:cols w:equalWidth="0" w:num="1">
            <w:col w:w="9200"/>
          </w:cols>
          <w:pgMar w:left="1440" w:top="1173" w:right="1266" w:bottom="0" w:gutter="0" w:footer="0" w:header="0"/>
          <w:type w:val="continuous"/>
        </w:sectPr>
      </w:pPr>
    </w:p>
    <w:bookmarkStart w:id="147" w:name="page148"/>
    <w:bookmarkEnd w:id="147"/>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300" w:lineRule="exact"/>
        <w:rPr>
          <w:sz w:val="20"/>
          <w:szCs w:val="20"/>
          <w:color w:val="auto"/>
        </w:rPr>
      </w:pPr>
    </w:p>
    <w:p>
      <w:pPr>
        <w:jc w:val="both"/>
        <w:ind w:left="620" w:right="40"/>
        <w:spacing w:after="0" w:line="351" w:lineRule="auto"/>
        <w:rPr>
          <w:sz w:val="20"/>
          <w:szCs w:val="20"/>
          <w:color w:val="auto"/>
        </w:rPr>
      </w:pPr>
      <w:r>
        <w:rPr>
          <w:rFonts w:ascii="Arial" w:cs="Arial" w:eastAsia="Arial" w:hAnsi="Arial"/>
          <w:sz w:val="18"/>
          <w:szCs w:val="18"/>
          <w:color w:val="auto"/>
        </w:rPr>
        <w:t>basis for all hedging relationships. An entity may elect to adopt the amendments in this Update for hedging relationships that exist as of the date of adoption. Upon adoption of the amendments in this Update, entities are permitted to modify certain critical terms of certain existing hedging relationships without de-designating the hedge. Management is currently evaluating the Update and does not expect adoption of the Update to have a material effect on the Company’s financial position or results of operations.</w:t>
      </w:r>
    </w:p>
    <w:p>
      <w:pPr>
        <w:spacing w:after="0" w:line="226" w:lineRule="exact"/>
        <w:rPr>
          <w:sz w:val="20"/>
          <w:szCs w:val="20"/>
          <w:color w:val="auto"/>
        </w:rPr>
      </w:pPr>
    </w:p>
    <w:p>
      <w:pPr>
        <w:jc w:val="both"/>
        <w:ind w:left="620" w:right="20"/>
        <w:spacing w:after="0" w:line="329" w:lineRule="auto"/>
        <w:rPr>
          <w:sz w:val="20"/>
          <w:szCs w:val="20"/>
          <w:color w:val="auto"/>
        </w:rPr>
      </w:pPr>
      <w:r>
        <w:rPr>
          <w:rFonts w:ascii="Arial" w:cs="Arial" w:eastAsia="Arial" w:hAnsi="Arial"/>
          <w:sz w:val="19"/>
          <w:szCs w:val="19"/>
          <w:color w:val="auto"/>
        </w:rPr>
        <w:t xml:space="preserve">In December 2025, the FASB issued ASU 2025-11 </w:t>
      </w:r>
      <w:r>
        <w:rPr>
          <w:rFonts w:ascii="Arial" w:cs="Arial" w:eastAsia="Arial" w:hAnsi="Arial"/>
          <w:sz w:val="19"/>
          <w:szCs w:val="19"/>
          <w:i w:val="1"/>
          <w:iCs w:val="1"/>
          <w:color w:val="auto"/>
        </w:rPr>
        <w:t>Interim Reporting (Topic 270) -- Narrow-Scope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Improvements. </w:t>
      </w:r>
      <w:r>
        <w:rPr>
          <w:rFonts w:ascii="Arial" w:cs="Arial" w:eastAsia="Arial" w:hAnsi="Arial"/>
          <w:sz w:val="19"/>
          <w:szCs w:val="19"/>
          <w:color w:val="auto"/>
        </w:rPr>
        <w:t>The amendments in this Update clarify interim disclosure requirements and the applicability</w:t>
      </w:r>
      <w:r>
        <w:rPr>
          <w:rFonts w:ascii="Arial" w:cs="Arial" w:eastAsia="Arial" w:hAnsi="Arial"/>
          <w:sz w:val="19"/>
          <w:szCs w:val="19"/>
          <w:i w:val="1"/>
          <w:iCs w:val="1"/>
          <w:color w:val="auto"/>
        </w:rPr>
        <w:t xml:space="preserve"> </w:t>
      </w:r>
      <w:r>
        <w:rPr>
          <w:rFonts w:ascii="Arial" w:cs="Arial" w:eastAsia="Arial" w:hAnsi="Arial"/>
          <w:sz w:val="19"/>
          <w:szCs w:val="19"/>
          <w:color w:val="auto"/>
        </w:rPr>
        <w:t>of Topic 270. The amendments in this Update result in a comprehensive list of interim disclosures that are required by GAAP. In developing the list of disclosures required by other Topics, the FASB Board focused on identifying the interim disclosures that are currently required under GAAP. The objective of the amendments is to provide clarity about the current requirements, rather than evaluate whether to expand or reduce interim disclosure requirements. The amendments in this Update also include a disclosure principle that requires entities to disclose events since the end of the last annual reporting period that have a material impact on the entity. The amendments in this Update are effective for public business entities for interim reporting periods within annual reporting periods beginning after December 15, 2027. Early adoption is permitted. The amendments in this Update can be applied either (1) prospectively or (2) retrospectively to any or all prior periods presented in the financial statements. Management is currently evaluating the Update and does not expect adoption of the Update to have a material effect on the Company’s financial position or results of operations.</w:t>
      </w:r>
    </w:p>
    <w:p>
      <w:pPr>
        <w:spacing w:after="0" w:line="247" w:lineRule="exact"/>
        <w:rPr>
          <w:sz w:val="20"/>
          <w:szCs w:val="20"/>
          <w:color w:val="auto"/>
        </w:rPr>
      </w:pPr>
    </w:p>
    <w:p>
      <w:pPr>
        <w:jc w:val="both"/>
        <w:ind w:left="620" w:right="40"/>
        <w:spacing w:after="0" w:line="349" w:lineRule="auto"/>
        <w:rPr>
          <w:sz w:val="20"/>
          <w:szCs w:val="20"/>
          <w:color w:val="auto"/>
        </w:rPr>
      </w:pPr>
      <w:r>
        <w:rPr>
          <w:rFonts w:ascii="Arial" w:cs="Arial" w:eastAsia="Arial" w:hAnsi="Arial"/>
          <w:sz w:val="18"/>
          <w:szCs w:val="18"/>
          <w:color w:val="auto"/>
        </w:rPr>
        <w:t xml:space="preserve">In December 2025, the FASB issued ASU 2025-12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The amendments in this Update represent changes to the Codification that (1) clarify, (2) correct errors, or (3) make minor improvements. The amendments make the Codification easier to understand and apply. The amendments in this Update are varied in nature and may affect the application of guidance in cases in which the original guidance may have been unclear. Codification improvements are generally not expected to have a significant effect on current accounting practice or result in significant costs to most entities. The amendments in this Update are effective for all entities for annual reporting periods beginning after December 15, 2026, and interim reporting periods within those annual reporting periods. Early adoption is permitted in both interim and annual reporting periods in which financial statements have not yet been issued or made available for issuance. Management is currently evaluating the Update and does not expect adoption of the Update to have a material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Business Combination &amp; Asset Purchase</w:t>
      </w:r>
    </w:p>
    <w:p>
      <w:pPr>
        <w:spacing w:after="0" w:line="200" w:lineRule="exact"/>
        <w:rPr>
          <w:sz w:val="20"/>
          <w:szCs w:val="20"/>
          <w:color w:val="auto"/>
        </w:rPr>
      </w:pPr>
    </w:p>
    <w:p>
      <w:pPr>
        <w:ind w:left="620" w:right="600"/>
        <w:spacing w:after="0" w:line="302" w:lineRule="auto"/>
        <w:rPr>
          <w:sz w:val="20"/>
          <w:szCs w:val="20"/>
          <w:color w:val="auto"/>
        </w:rPr>
      </w:pPr>
      <w:r>
        <w:rPr>
          <w:rFonts w:ascii="Arial" w:cs="Arial" w:eastAsia="Arial" w:hAnsi="Arial"/>
          <w:sz w:val="20"/>
          <w:szCs w:val="20"/>
          <w:color w:val="auto"/>
        </w:rPr>
        <w:t>Changes in accretable yield, or income expected to be collected, for the acquisition of Peoples Federal Savings and Loan completed in 2022, are as follows:</w:t>
      </w:r>
    </w:p>
    <w:p>
      <w:pPr>
        <w:spacing w:after="0" w:line="386"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26035</wp:posOffset>
            </wp:positionV>
            <wp:extent cx="132334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4">
                      <a:extLst>
                        <a:ext uri="{28A0092B-C50C-407E-A947-70E740481C1C}"/>
                      </a:extLst>
                    </a:blip>
                    <a:srcRect/>
                    <a:stretch>
                      <a:fillRect/>
                    </a:stretch>
                  </pic:blipFill>
                  <pic:spPr bwMode="auto">
                    <a:xfrm>
                      <a:off x="0" y="0"/>
                      <a:ext cx="132334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32</w:t>
      </w:r>
    </w:p>
    <w:p>
      <w:pPr>
        <w:sectPr>
          <w:pgSz w:w="11900" w:h="16838" w:orient="portrait"/>
          <w:cols w:equalWidth="0" w:num="1">
            <w:col w:w="9400"/>
          </w:cols>
          <w:pgMar w:left="1260" w:top="1440" w:right="1246" w:bottom="0" w:gutter="0" w:footer="0" w:header="0"/>
          <w:type w:val="continuous"/>
        </w:sectPr>
      </w:pPr>
    </w:p>
    <w:bookmarkStart w:id="148" w:name="page149"/>
    <w:bookmarkEnd w:id="148"/>
    <w:tbl>
      <w:tblPr>
        <w:tblLayout w:type="fixed"/>
        <w:tblInd w:w="140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00" w:type="dxa"/>
            <w:vAlign w:val="bottom"/>
          </w:tcPr>
          <w:p>
            <w:pPr>
              <w:jc w:val="right"/>
              <w:ind w:right="320"/>
              <w:spacing w:after="0"/>
              <w:rPr>
                <w:sz w:val="20"/>
                <w:szCs w:val="20"/>
                <w:color w:val="auto"/>
              </w:rPr>
            </w:pPr>
            <w:r>
              <w:rPr>
                <w:rFonts w:ascii="Arial" w:cs="Arial" w:eastAsia="Arial" w:hAnsi="Arial"/>
                <w:sz w:val="20"/>
                <w:szCs w:val="20"/>
                <w:color w:val="auto"/>
              </w:rPr>
              <w:t>2025</w:t>
            </w:r>
          </w:p>
        </w:tc>
        <w:tc>
          <w:tcPr>
            <w:tcW w:w="240" w:type="dxa"/>
            <w:vAlign w:val="bottom"/>
          </w:tcPr>
          <w:p>
            <w:pPr>
              <w:spacing w:after="0"/>
              <w:rPr>
                <w:sz w:val="19"/>
                <w:szCs w:val="19"/>
                <w:color w:val="auto"/>
              </w:rPr>
            </w:pPr>
          </w:p>
        </w:tc>
        <w:tc>
          <w:tcPr>
            <w:tcW w:w="840" w:type="dxa"/>
            <w:vAlign w:val="bottom"/>
          </w:tcPr>
          <w:p>
            <w:pPr>
              <w:jc w:val="right"/>
              <w:ind w:right="260"/>
              <w:spacing w:after="0"/>
              <w:rPr>
                <w:sz w:val="20"/>
                <w:szCs w:val="20"/>
                <w:color w:val="auto"/>
              </w:rPr>
            </w:pPr>
            <w:r>
              <w:rPr>
                <w:rFonts w:ascii="Arial" w:cs="Arial" w:eastAsia="Arial" w:hAnsi="Arial"/>
                <w:sz w:val="20"/>
                <w:szCs w:val="20"/>
                <w:color w:val="auto"/>
              </w:rPr>
              <w:t>2024</w:t>
            </w:r>
          </w:p>
        </w:tc>
      </w:tr>
      <w:tr>
        <w:trPr>
          <w:trHeight w:val="51"/>
        </w:trPr>
        <w:tc>
          <w:tcPr>
            <w:tcW w:w="29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94"/>
        </w:trPr>
        <w:tc>
          <w:tcPr>
            <w:tcW w:w="2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Beginning Balance</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335</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566</w:t>
            </w:r>
          </w:p>
        </w:tc>
      </w:tr>
      <w:tr>
        <w:trPr>
          <w:trHeight w:val="274"/>
        </w:trPr>
        <w:tc>
          <w:tcPr>
            <w:tcW w:w="2980" w:type="dxa"/>
            <w:vAlign w:val="bottom"/>
          </w:tcPr>
          <w:p>
            <w:pPr>
              <w:ind w:left="80"/>
              <w:spacing w:after="0"/>
              <w:rPr>
                <w:sz w:val="20"/>
                <w:szCs w:val="20"/>
                <w:color w:val="auto"/>
              </w:rPr>
            </w:pPr>
            <w:r>
              <w:rPr>
                <w:rFonts w:ascii="Arial" w:cs="Arial" w:eastAsia="Arial" w:hAnsi="Arial"/>
                <w:sz w:val="20"/>
                <w:szCs w:val="20"/>
                <w:color w:val="auto"/>
              </w:rPr>
              <w:t>Accretion</w:t>
            </w:r>
          </w:p>
        </w:tc>
        <w:tc>
          <w:tcPr>
            <w:tcW w:w="16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(231)</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(231)</w:t>
            </w:r>
          </w:p>
        </w:tc>
      </w:tr>
      <w:tr>
        <w:trPr>
          <w:trHeight w:val="41"/>
        </w:trPr>
        <w:tc>
          <w:tcPr>
            <w:tcW w:w="29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04"/>
        </w:trPr>
        <w:tc>
          <w:tcPr>
            <w:tcW w:w="29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Disposals</w:t>
            </w:r>
          </w:p>
        </w:tc>
        <w:tc>
          <w:tcPr>
            <w:tcW w:w="16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296"/>
        </w:trPr>
        <w:tc>
          <w:tcPr>
            <w:tcW w:w="2980" w:type="dxa"/>
            <w:vAlign w:val="bottom"/>
          </w:tcPr>
          <w:p>
            <w:pPr>
              <w:spacing w:after="0"/>
              <w:rPr>
                <w:sz w:val="20"/>
                <w:szCs w:val="20"/>
                <w:color w:val="auto"/>
              </w:rPr>
            </w:pPr>
            <w:r>
              <w:rPr>
                <w:rFonts w:ascii="Arial" w:cs="Arial" w:eastAsia="Arial" w:hAnsi="Arial"/>
                <w:sz w:val="20"/>
                <w:szCs w:val="20"/>
                <w:color w:val="auto"/>
              </w:rPr>
              <w:t>Ending Balance</w:t>
            </w:r>
          </w:p>
        </w:tc>
        <w:tc>
          <w:tcPr>
            <w:tcW w:w="162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40"/>
              <w:spacing w:after="0"/>
              <w:rPr>
                <w:sz w:val="20"/>
                <w:szCs w:val="20"/>
                <w:color w:val="auto"/>
              </w:rPr>
            </w:pPr>
            <w:r>
              <w:rPr>
                <w:rFonts w:ascii="Arial" w:cs="Arial" w:eastAsia="Arial" w:hAnsi="Arial"/>
                <w:sz w:val="20"/>
                <w:szCs w:val="20"/>
                <w:color w:val="auto"/>
              </w:rPr>
              <w:t>104</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-799465</wp:posOffset>
            </wp:positionV>
            <wp:extent cx="132334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5">
                      <a:extLst>
                        <a:ext uri="{28A0092B-C50C-407E-A947-70E740481C1C}"/>
                      </a:extLst>
                    </a:blip>
                    <a:srcRect/>
                    <a:stretch>
                      <a:fillRect/>
                    </a:stretch>
                  </pic:blipFill>
                  <pic:spPr bwMode="auto">
                    <a:xfrm>
                      <a:off x="0" y="0"/>
                      <a:ext cx="1323340" cy="6350"/>
                    </a:xfrm>
                    <a:prstGeom prst="rect">
                      <a:avLst/>
                    </a:prstGeom>
                    <a:noFill/>
                  </pic:spPr>
                </pic:pic>
              </a:graphicData>
            </a:graphic>
          </wp:anchor>
        </w:drawing>
        <w:drawing>
          <wp:anchor simplePos="0" relativeHeight="251657728" behindDoc="1" locked="0" layoutInCell="0" allowOverlap="1">
            <wp:simplePos x="0" y="0"/>
            <wp:positionH relativeFrom="column">
              <wp:posOffset>3693795</wp:posOffset>
            </wp:positionH>
            <wp:positionV relativeFrom="paragraph">
              <wp:posOffset>-193675</wp:posOffset>
            </wp:positionV>
            <wp:extent cx="1374775"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6">
                      <a:extLst>
                        <a:ext uri="{28A0092B-C50C-407E-A947-70E740481C1C}"/>
                      </a:extLst>
                    </a:blip>
                    <a:srcRect/>
                    <a:stretch>
                      <a:fillRect/>
                    </a:stretch>
                  </pic:blipFill>
                  <pic:spPr bwMode="auto">
                    <a:xfrm>
                      <a:off x="0" y="0"/>
                      <a:ext cx="1374775" cy="6350"/>
                    </a:xfrm>
                    <a:prstGeom prst="rect">
                      <a:avLst/>
                    </a:prstGeom>
                    <a:noFill/>
                  </pic:spPr>
                </pic:pic>
              </a:graphicData>
            </a:graphic>
          </wp:anchor>
        </w:drawing>
        <w:drawing>
          <wp:anchor simplePos="0" relativeHeight="251657728" behindDoc="1" locked="0" layoutInCell="0" allowOverlap="1">
            <wp:simplePos x="0" y="0"/>
            <wp:positionH relativeFrom="column">
              <wp:posOffset>3693795</wp:posOffset>
            </wp:positionH>
            <wp:positionV relativeFrom="paragraph">
              <wp:posOffset>11430</wp:posOffset>
            </wp:positionV>
            <wp:extent cx="1323340" cy="285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7">
                      <a:extLst>
                        <a:ext uri="{28A0092B-C50C-407E-A947-70E740481C1C}"/>
                      </a:extLst>
                    </a:blip>
                    <a:srcRect/>
                    <a:stretch>
                      <a:fillRect/>
                    </a:stretch>
                  </pic:blipFill>
                  <pic:spPr bwMode="auto">
                    <a:xfrm>
                      <a:off x="0" y="0"/>
                      <a:ext cx="1323340" cy="28575"/>
                    </a:xfrm>
                    <a:prstGeom prst="rect">
                      <a:avLst/>
                    </a:prstGeom>
                    <a:noFill/>
                  </pic:spPr>
                </pic:pic>
              </a:graphicData>
            </a:graphic>
          </wp:anchor>
        </w:drawing>
      </w:r>
    </w:p>
    <w:p>
      <w:pPr>
        <w:spacing w:after="0" w:line="382" w:lineRule="exact"/>
        <w:rPr>
          <w:sz w:val="20"/>
          <w:szCs w:val="20"/>
          <w:color w:val="auto"/>
        </w:rPr>
      </w:pPr>
    </w:p>
    <w:p>
      <w:pPr>
        <w:ind w:left="620" w:right="460"/>
        <w:spacing w:after="0" w:line="302" w:lineRule="auto"/>
        <w:rPr>
          <w:sz w:val="20"/>
          <w:szCs w:val="20"/>
          <w:color w:val="auto"/>
        </w:rPr>
      </w:pPr>
      <w:r>
        <w:rPr>
          <w:rFonts w:ascii="Arial" w:cs="Arial" w:eastAsia="Arial" w:hAnsi="Arial"/>
          <w:sz w:val="20"/>
          <w:szCs w:val="20"/>
          <w:color w:val="auto"/>
        </w:rPr>
        <w:t>Changes in accretable yield, or income expected to be collected, for the acquisition of Perpetual Federal Savings Bank completed in 2021, are as follows: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280" w:type="dxa"/>
            <w:vAlign w:val="bottom"/>
            <w:gridSpan w:val="4"/>
          </w:tcPr>
          <w:p>
            <w:pPr>
              <w:ind w:left="300"/>
              <w:spacing w:after="0"/>
              <w:rPr>
                <w:sz w:val="20"/>
                <w:szCs w:val="20"/>
                <w:color w:val="auto"/>
              </w:rPr>
            </w:pPr>
            <w:r>
              <w:rPr>
                <w:rFonts w:ascii="Arial" w:cs="Arial" w:eastAsia="Arial" w:hAnsi="Arial"/>
                <w:sz w:val="20"/>
                <w:szCs w:val="20"/>
                <w:color w:val="auto"/>
              </w:rPr>
              <w:t>(In Thousands)</w:t>
            </w:r>
          </w:p>
        </w:tc>
      </w:tr>
      <w:tr>
        <w:trPr>
          <w:trHeight w:val="324"/>
        </w:trPr>
        <w:tc>
          <w:tcPr>
            <w:tcW w:w="1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40" w:type="dxa"/>
            <w:vAlign w:val="bottom"/>
          </w:tcPr>
          <w:p>
            <w:pPr>
              <w:jc w:val="right"/>
              <w:ind w:right="340"/>
              <w:spacing w:after="0"/>
              <w:rPr>
                <w:sz w:val="20"/>
                <w:szCs w:val="20"/>
                <w:color w:val="auto"/>
              </w:rPr>
            </w:pPr>
            <w:r>
              <w:rPr>
                <w:rFonts w:ascii="Arial" w:cs="Arial" w:eastAsia="Arial" w:hAnsi="Arial"/>
                <w:sz w:val="20"/>
                <w:szCs w:val="20"/>
                <w:color w:val="auto"/>
              </w:rPr>
              <w:t>2025</w:t>
            </w:r>
          </w:p>
        </w:tc>
        <w:tc>
          <w:tcPr>
            <w:tcW w:w="260" w:type="dxa"/>
            <w:vAlign w:val="bottom"/>
          </w:tcPr>
          <w:p>
            <w:pPr>
              <w:spacing w:after="0"/>
              <w:rPr>
                <w:sz w:val="24"/>
                <w:szCs w:val="24"/>
                <w:color w:val="auto"/>
              </w:rPr>
            </w:pPr>
          </w:p>
        </w:tc>
        <w:tc>
          <w:tcPr>
            <w:tcW w:w="900" w:type="dxa"/>
            <w:vAlign w:val="bottom"/>
          </w:tcPr>
          <w:p>
            <w:pPr>
              <w:jc w:val="right"/>
              <w:ind w:right="300"/>
              <w:spacing w:after="0"/>
              <w:rPr>
                <w:sz w:val="20"/>
                <w:szCs w:val="20"/>
                <w:color w:val="auto"/>
              </w:rPr>
            </w:pPr>
            <w:r>
              <w:rPr>
                <w:rFonts w:ascii="Arial" w:cs="Arial" w:eastAsia="Arial" w:hAnsi="Arial"/>
                <w:sz w:val="20"/>
                <w:szCs w:val="20"/>
                <w:color w:val="auto"/>
              </w:rPr>
              <w:t>2024</w:t>
            </w:r>
          </w:p>
        </w:tc>
        <w:tc>
          <w:tcPr>
            <w:tcW w:w="1180" w:type="dxa"/>
            <w:vAlign w:val="bottom"/>
          </w:tcPr>
          <w:p>
            <w:pPr>
              <w:spacing w:after="0"/>
              <w:rPr>
                <w:sz w:val="24"/>
                <w:szCs w:val="24"/>
                <w:color w:val="auto"/>
              </w:rPr>
            </w:pPr>
          </w:p>
        </w:tc>
      </w:tr>
      <w:tr>
        <w:trPr>
          <w:trHeight w:val="51"/>
        </w:trPr>
        <w:tc>
          <w:tcPr>
            <w:tcW w:w="116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94"/>
        </w:trPr>
        <w:tc>
          <w:tcPr>
            <w:tcW w:w="1160" w:type="dxa"/>
            <w:vAlign w:val="bottom"/>
          </w:tcPr>
          <w:p>
            <w:pPr>
              <w:spacing w:after="0"/>
              <w:rPr>
                <w:sz w:val="24"/>
                <w:szCs w:val="24"/>
                <w:color w:val="auto"/>
              </w:rPr>
            </w:pPr>
          </w:p>
        </w:tc>
        <w:tc>
          <w:tcPr>
            <w:tcW w:w="2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Beginning Balance</w:t>
            </w:r>
          </w:p>
        </w:tc>
        <w:tc>
          <w:tcPr>
            <w:tcW w:w="2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1,453</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2,795</w:t>
            </w:r>
          </w:p>
        </w:tc>
        <w:tc>
          <w:tcPr>
            <w:tcW w:w="1180" w:type="dxa"/>
            <w:vAlign w:val="bottom"/>
          </w:tcPr>
          <w:p>
            <w:pPr>
              <w:spacing w:after="0"/>
              <w:rPr>
                <w:sz w:val="24"/>
                <w:szCs w:val="24"/>
                <w:color w:val="auto"/>
              </w:rPr>
            </w:pPr>
          </w:p>
        </w:tc>
      </w:tr>
      <w:tr>
        <w:trPr>
          <w:trHeight w:val="274"/>
        </w:trPr>
        <w:tc>
          <w:tcPr>
            <w:tcW w:w="1160" w:type="dxa"/>
            <w:vAlign w:val="bottom"/>
          </w:tcPr>
          <w:p>
            <w:pPr>
              <w:spacing w:after="0"/>
              <w:rPr>
                <w:sz w:val="23"/>
                <w:szCs w:val="23"/>
                <w:color w:val="auto"/>
              </w:rPr>
            </w:pPr>
          </w:p>
        </w:tc>
        <w:tc>
          <w:tcPr>
            <w:tcW w:w="2480" w:type="dxa"/>
            <w:vAlign w:val="bottom"/>
          </w:tcPr>
          <w:p>
            <w:pPr>
              <w:ind w:left="100"/>
              <w:spacing w:after="0"/>
              <w:rPr>
                <w:sz w:val="20"/>
                <w:szCs w:val="20"/>
                <w:color w:val="auto"/>
              </w:rPr>
            </w:pPr>
            <w:r>
              <w:rPr>
                <w:rFonts w:ascii="Arial" w:cs="Arial" w:eastAsia="Arial" w:hAnsi="Arial"/>
                <w:sz w:val="20"/>
                <w:szCs w:val="20"/>
                <w:color w:val="auto"/>
              </w:rPr>
              <w:t>Additions</w:t>
            </w:r>
          </w:p>
        </w:tc>
        <w:tc>
          <w:tcPr>
            <w:tcW w:w="248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spacing w:after="0"/>
              <w:rPr>
                <w:sz w:val="23"/>
                <w:szCs w:val="23"/>
                <w:color w:val="auto"/>
              </w:rPr>
            </w:pPr>
          </w:p>
        </w:tc>
      </w:tr>
      <w:tr>
        <w:trPr>
          <w:trHeight w:val="41"/>
        </w:trPr>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4"/>
        </w:trPr>
        <w:tc>
          <w:tcPr>
            <w:tcW w:w="1160" w:type="dxa"/>
            <w:vAlign w:val="bottom"/>
          </w:tcPr>
          <w:p>
            <w:pPr>
              <w:spacing w:after="0"/>
              <w:rPr>
                <w:sz w:val="24"/>
                <w:szCs w:val="24"/>
                <w:color w:val="auto"/>
              </w:rPr>
            </w:pPr>
          </w:p>
        </w:tc>
        <w:tc>
          <w:tcPr>
            <w:tcW w:w="24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Accretion</w:t>
            </w:r>
          </w:p>
        </w:tc>
        <w:tc>
          <w:tcPr>
            <w:tcW w:w="24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(1,341)</w:t>
            </w:r>
          </w:p>
        </w:tc>
        <w:tc>
          <w:tcPr>
            <w:tcW w:w="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(1,342)</w:t>
            </w:r>
          </w:p>
        </w:tc>
        <w:tc>
          <w:tcPr>
            <w:tcW w:w="1180" w:type="dxa"/>
            <w:vAlign w:val="bottom"/>
          </w:tcPr>
          <w:p>
            <w:pPr>
              <w:spacing w:after="0"/>
              <w:rPr>
                <w:sz w:val="24"/>
                <w:szCs w:val="24"/>
                <w:color w:val="auto"/>
              </w:rPr>
            </w:pPr>
          </w:p>
        </w:tc>
      </w:tr>
      <w:tr>
        <w:trPr>
          <w:trHeight w:val="301"/>
        </w:trPr>
        <w:tc>
          <w:tcPr>
            <w:tcW w:w="116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20"/>
                <w:szCs w:val="20"/>
                <w:color w:val="auto"/>
              </w:rPr>
              <w:t>Ending Balance</w:t>
            </w:r>
          </w:p>
        </w:tc>
        <w:tc>
          <w:tcPr>
            <w:tcW w:w="248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40"/>
              <w:spacing w:after="0"/>
              <w:rPr>
                <w:sz w:val="20"/>
                <w:szCs w:val="20"/>
                <w:color w:val="auto"/>
              </w:rPr>
            </w:pPr>
            <w:r>
              <w:rPr>
                <w:rFonts w:ascii="Arial" w:cs="Arial" w:eastAsia="Arial" w:hAnsi="Arial"/>
                <w:sz w:val="20"/>
                <w:szCs w:val="20"/>
                <w:color w:val="auto"/>
              </w:rPr>
              <w:t>112</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1,453</w:t>
            </w:r>
          </w:p>
        </w:tc>
        <w:tc>
          <w:tcPr>
            <w:tcW w:w="1180" w:type="dxa"/>
            <w:vAlign w:val="bottom"/>
          </w:tcPr>
          <w:p>
            <w:pPr>
              <w:spacing w:after="0"/>
              <w:rPr>
                <w:sz w:val="24"/>
                <w:szCs w:val="24"/>
                <w:color w:val="auto"/>
              </w:rPr>
            </w:pPr>
          </w:p>
        </w:tc>
      </w:tr>
      <w:tr>
        <w:trPr>
          <w:trHeight w:val="868"/>
        </w:trPr>
        <w:tc>
          <w:tcPr>
            <w:tcW w:w="1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80" w:type="dxa"/>
            <w:vAlign w:val="bottom"/>
          </w:tcPr>
          <w:p>
            <w:pPr>
              <w:jc w:val="right"/>
              <w:ind w:right="1220"/>
              <w:spacing w:after="0"/>
              <w:rPr>
                <w:sz w:val="20"/>
                <w:szCs w:val="20"/>
                <w:color w:val="auto"/>
              </w:rPr>
            </w:pPr>
            <w:r>
              <w:rPr>
                <w:rFonts w:ascii="Arial" w:cs="Arial" w:eastAsia="Arial" w:hAnsi="Arial"/>
                <w:sz w:val="20"/>
                <w:szCs w:val="20"/>
                <w:color w:val="auto"/>
              </w:rPr>
              <w:t>73</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891"/>
        </w:trPr>
        <w:tc>
          <w:tcPr>
            <w:tcW w:w="1160" w:type="dxa"/>
            <w:vAlign w:val="bottom"/>
            <w:tcBorders>
              <w:bottom w:val="single" w:sz="8" w:color="010101"/>
            </w:tcBorders>
          </w:tcPr>
          <w:p>
            <w:pPr>
              <w:spacing w:after="0"/>
              <w:rPr>
                <w:sz w:val="24"/>
                <w:szCs w:val="24"/>
                <w:color w:val="auto"/>
              </w:rPr>
            </w:pPr>
          </w:p>
        </w:tc>
        <w:tc>
          <w:tcPr>
            <w:tcW w:w="2480" w:type="dxa"/>
            <w:vAlign w:val="bottom"/>
            <w:tcBorders>
              <w:bottom w:val="single" w:sz="8" w:color="010101"/>
            </w:tcBorders>
          </w:tcPr>
          <w:p>
            <w:pPr>
              <w:spacing w:after="0"/>
              <w:rPr>
                <w:sz w:val="24"/>
                <w:szCs w:val="24"/>
                <w:color w:val="auto"/>
              </w:rPr>
            </w:pPr>
          </w:p>
        </w:tc>
        <w:tc>
          <w:tcPr>
            <w:tcW w:w="248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2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2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-2131060</wp:posOffset>
            </wp:positionV>
            <wp:extent cx="1410335"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0">
                      <a:extLst>
                        <a:ext uri="{28A0092B-C50C-407E-A947-70E740481C1C}"/>
                      </a:extLst>
                    </a:blip>
                    <a:srcRect/>
                    <a:stretch>
                      <a:fillRect/>
                    </a:stretch>
                  </pic:blipFill>
                  <pic:spPr bwMode="auto">
                    <a:xfrm>
                      <a:off x="0" y="0"/>
                      <a:ext cx="1410335" cy="6350"/>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-1925320</wp:posOffset>
            </wp:positionV>
            <wp:extent cx="1410335"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1">
                      <a:extLst>
                        <a:ext uri="{28A0092B-C50C-407E-A947-70E740481C1C}"/>
                      </a:extLst>
                    </a:blip>
                    <a:srcRect/>
                    <a:stretch>
                      <a:fillRect/>
                    </a:stretch>
                  </pic:blipFill>
                  <pic:spPr bwMode="auto">
                    <a:xfrm>
                      <a:off x="0" y="0"/>
                      <a:ext cx="1410335" cy="6350"/>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-1319530</wp:posOffset>
            </wp:positionV>
            <wp:extent cx="1410335" cy="2343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2">
                      <a:extLst>
                        <a:ext uri="{28A0092B-C50C-407E-A947-70E740481C1C}"/>
                      </a:extLst>
                    </a:blip>
                    <a:srcRect/>
                    <a:stretch>
                      <a:fillRect/>
                    </a:stretch>
                  </pic:blipFill>
                  <pic:spPr bwMode="auto">
                    <a:xfrm>
                      <a:off x="0" y="0"/>
                      <a:ext cx="1410335" cy="234315"/>
                    </a:xfrm>
                    <a:prstGeom prst="rect">
                      <a:avLst/>
                    </a:prstGeom>
                    <a:noFill/>
                  </pic:spPr>
                </pic:pic>
              </a:graphicData>
            </a:graphic>
          </wp:anchor>
        </w:drawing>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32</w:t>
      </w:r>
    </w:p>
    <w:p>
      <w:pPr>
        <w:sectPr>
          <w:pgSz w:w="11900" w:h="16838" w:orient="portrait"/>
          <w:cols w:equalWidth="0" w:num="1">
            <w:col w:w="9400"/>
          </w:cols>
          <w:pgMar w:left="1260" w:top="1177" w:right="1246" w:bottom="0" w:gutter="0" w:footer="0" w:header="0"/>
          <w:type w:val="continuous"/>
        </w:sectPr>
      </w:pPr>
    </w:p>
    <w:bookmarkStart w:id="149" w:name="page150"/>
    <w:bookmarkEnd w:id="149"/>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380" w:lineRule="exact"/>
        <w:rPr>
          <w:sz w:val="20"/>
          <w:szCs w:val="20"/>
          <w:color w:val="auto"/>
        </w:rPr>
      </w:pPr>
    </w:p>
    <w:p>
      <w:pPr>
        <w:ind w:left="620" w:right="400"/>
        <w:spacing w:after="0" w:line="302" w:lineRule="auto"/>
        <w:rPr>
          <w:sz w:val="20"/>
          <w:szCs w:val="20"/>
          <w:color w:val="auto"/>
        </w:rPr>
      </w:pPr>
      <w:r>
        <w:rPr>
          <w:rFonts w:ascii="Arial" w:cs="Arial" w:eastAsia="Arial" w:hAnsi="Arial"/>
          <w:sz w:val="20"/>
          <w:szCs w:val="20"/>
          <w:color w:val="auto"/>
        </w:rPr>
        <w:t>Changes in accretable yield, or income expected to be collected, for the acquisition of Ossian State Bank completed in 2021, are as follows:</w:t>
      </w:r>
    </w:p>
    <w:p>
      <w:pPr>
        <w:spacing w:after="0" w:line="386"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3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100" w:type="dxa"/>
            <w:vAlign w:val="bottom"/>
            <w:gridSpan w:val="3"/>
          </w:tcPr>
          <w:p>
            <w:pPr>
              <w:jc w:val="right"/>
              <w:ind w:right="500"/>
              <w:spacing w:after="0"/>
              <w:rPr>
                <w:sz w:val="20"/>
                <w:szCs w:val="20"/>
                <w:color w:val="auto"/>
              </w:rPr>
            </w:pPr>
            <w:r>
              <w:rPr>
                <w:rFonts w:ascii="Arial" w:cs="Arial" w:eastAsia="Arial" w:hAnsi="Arial"/>
                <w:sz w:val="20"/>
                <w:szCs w:val="20"/>
                <w:color w:val="auto"/>
              </w:rPr>
              <w:t>(In Thousands)</w:t>
            </w:r>
          </w:p>
        </w:tc>
      </w:tr>
      <w:tr>
        <w:trPr>
          <w:trHeight w:val="324"/>
        </w:trPr>
        <w:tc>
          <w:tcPr>
            <w:tcW w:w="3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40" w:type="dxa"/>
            <w:vAlign w:val="bottom"/>
          </w:tcPr>
          <w:p>
            <w:pPr>
              <w:jc w:val="right"/>
              <w:ind w:right="340"/>
              <w:spacing w:after="0"/>
              <w:rPr>
                <w:sz w:val="20"/>
                <w:szCs w:val="20"/>
                <w:color w:val="auto"/>
              </w:rPr>
            </w:pPr>
            <w:r>
              <w:rPr>
                <w:rFonts w:ascii="Arial" w:cs="Arial" w:eastAsia="Arial" w:hAnsi="Arial"/>
                <w:sz w:val="20"/>
                <w:szCs w:val="20"/>
                <w:color w:val="auto"/>
              </w:rPr>
              <w:t>2025</w:t>
            </w:r>
          </w:p>
        </w:tc>
        <w:tc>
          <w:tcPr>
            <w:tcW w:w="260" w:type="dxa"/>
            <w:vAlign w:val="bottom"/>
          </w:tcPr>
          <w:p>
            <w:pPr>
              <w:spacing w:after="0"/>
              <w:rPr>
                <w:sz w:val="24"/>
                <w:szCs w:val="24"/>
                <w:color w:val="auto"/>
              </w:rPr>
            </w:pPr>
          </w:p>
        </w:tc>
        <w:tc>
          <w:tcPr>
            <w:tcW w:w="900" w:type="dxa"/>
            <w:vAlign w:val="bottom"/>
          </w:tcPr>
          <w:p>
            <w:pPr>
              <w:jc w:val="right"/>
              <w:ind w:right="300"/>
              <w:spacing w:after="0"/>
              <w:rPr>
                <w:sz w:val="20"/>
                <w:szCs w:val="20"/>
                <w:color w:val="auto"/>
              </w:rPr>
            </w:pPr>
            <w:r>
              <w:rPr>
                <w:rFonts w:ascii="Arial" w:cs="Arial" w:eastAsia="Arial" w:hAnsi="Arial"/>
                <w:sz w:val="20"/>
                <w:szCs w:val="20"/>
                <w:color w:val="auto"/>
              </w:rPr>
              <w:t>2024</w:t>
            </w:r>
          </w:p>
        </w:tc>
      </w:tr>
      <w:tr>
        <w:trPr>
          <w:trHeight w:val="51"/>
        </w:trPr>
        <w:tc>
          <w:tcPr>
            <w:tcW w:w="31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94"/>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Beginning Balance</w:t>
            </w:r>
          </w:p>
        </w:tc>
        <w:tc>
          <w:tcPr>
            <w:tcW w:w="1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107</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294</w:t>
            </w:r>
          </w:p>
        </w:tc>
      </w:tr>
      <w:tr>
        <w:trPr>
          <w:trHeight w:val="274"/>
        </w:trPr>
        <w:tc>
          <w:tcPr>
            <w:tcW w:w="3140" w:type="dxa"/>
            <w:vAlign w:val="bottom"/>
          </w:tcPr>
          <w:p>
            <w:pPr>
              <w:ind w:left="100"/>
              <w:spacing w:after="0"/>
              <w:rPr>
                <w:sz w:val="20"/>
                <w:szCs w:val="20"/>
                <w:color w:val="auto"/>
              </w:rPr>
            </w:pPr>
            <w:r>
              <w:rPr>
                <w:rFonts w:ascii="Arial" w:cs="Arial" w:eastAsia="Arial" w:hAnsi="Arial"/>
                <w:sz w:val="20"/>
                <w:szCs w:val="20"/>
                <w:color w:val="auto"/>
              </w:rPr>
              <w:t>Additions</w:t>
            </w:r>
          </w:p>
        </w:tc>
        <w:tc>
          <w:tcPr>
            <w:tcW w:w="18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20"/>
                <w:szCs w:val="20"/>
                <w:color w:val="auto"/>
              </w:rPr>
              <w:t>2</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1"/>
        </w:trPr>
        <w:tc>
          <w:tcPr>
            <w:tcW w:w="3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4"/>
        </w:trPr>
        <w:tc>
          <w:tcPr>
            <w:tcW w:w="31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Accretion</w:t>
            </w:r>
          </w:p>
        </w:tc>
        <w:tc>
          <w:tcPr>
            <w:tcW w:w="18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(108)</w:t>
            </w:r>
          </w:p>
        </w:tc>
        <w:tc>
          <w:tcPr>
            <w:tcW w:w="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(175)</w:t>
            </w:r>
          </w:p>
        </w:tc>
      </w:tr>
      <w:tr>
        <w:trPr>
          <w:trHeight w:val="279"/>
        </w:trPr>
        <w:tc>
          <w:tcPr>
            <w:tcW w:w="3140" w:type="dxa"/>
            <w:vAlign w:val="bottom"/>
          </w:tcPr>
          <w:p>
            <w:pPr>
              <w:ind w:left="100"/>
              <w:spacing w:after="0"/>
              <w:rPr>
                <w:sz w:val="20"/>
                <w:szCs w:val="20"/>
                <w:color w:val="auto"/>
              </w:rPr>
            </w:pPr>
            <w:r>
              <w:rPr>
                <w:rFonts w:ascii="Arial" w:cs="Arial" w:eastAsia="Arial" w:hAnsi="Arial"/>
                <w:sz w:val="20"/>
                <w:szCs w:val="20"/>
                <w:color w:val="auto"/>
              </w:rPr>
              <w:t>Disposals</w:t>
            </w:r>
          </w:p>
        </w:tc>
        <w:tc>
          <w:tcPr>
            <w:tcW w:w="18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46"/>
        </w:trPr>
        <w:tc>
          <w:tcPr>
            <w:tcW w:w="3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3140" w:type="dxa"/>
            <w:vAlign w:val="bottom"/>
            <w:shd w:val="clear" w:color="auto" w:fill="CFF0FC"/>
          </w:tcPr>
          <w:p>
            <w:pPr>
              <w:spacing w:after="0"/>
              <w:rPr>
                <w:sz w:val="20"/>
                <w:szCs w:val="20"/>
                <w:color w:val="auto"/>
              </w:rPr>
            </w:pPr>
            <w:r>
              <w:rPr>
                <w:rFonts w:ascii="Arial" w:cs="Arial" w:eastAsia="Arial" w:hAnsi="Arial"/>
                <w:sz w:val="20"/>
                <w:szCs w:val="20"/>
                <w:color w:val="auto"/>
              </w:rPr>
              <w:t>Ending Balance</w:t>
            </w:r>
          </w:p>
        </w:tc>
        <w:tc>
          <w:tcPr>
            <w:tcW w:w="1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107</w:t>
            </w:r>
          </w:p>
        </w:tc>
      </w:tr>
      <w:tr>
        <w:trPr>
          <w:trHeight w:val="63"/>
        </w:trPr>
        <w:tc>
          <w:tcPr>
            <w:tcW w:w="3140" w:type="dxa"/>
            <w:vAlign w:val="bottom"/>
            <w:shd w:val="clear" w:color="auto" w:fill="CFF0FC"/>
          </w:tcPr>
          <w:p>
            <w:pPr>
              <w:spacing w:after="0"/>
              <w:rPr>
                <w:sz w:val="5"/>
                <w:szCs w:val="5"/>
                <w:color w:val="auto"/>
              </w:rPr>
            </w:pPr>
          </w:p>
        </w:tc>
        <w:tc>
          <w:tcPr>
            <w:tcW w:w="182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-1244600</wp:posOffset>
            </wp:positionV>
            <wp:extent cx="1407160"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3">
                      <a:extLst>
                        <a:ext uri="{28A0092B-C50C-407E-A947-70E740481C1C}"/>
                      </a:extLst>
                    </a:blip>
                    <a:srcRect/>
                    <a:stretch>
                      <a:fillRect/>
                    </a:stretch>
                  </pic:blipFill>
                  <pic:spPr bwMode="auto">
                    <a:xfrm>
                      <a:off x="0" y="0"/>
                      <a:ext cx="1407160" cy="635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-1038860</wp:posOffset>
            </wp:positionV>
            <wp:extent cx="1407160"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4">
                      <a:extLst>
                        <a:ext uri="{28A0092B-C50C-407E-A947-70E740481C1C}"/>
                      </a:extLst>
                    </a:blip>
                    <a:srcRect/>
                    <a:stretch>
                      <a:fillRect/>
                    </a:stretch>
                  </pic:blipFill>
                  <pic:spPr bwMode="auto">
                    <a:xfrm>
                      <a:off x="0" y="0"/>
                      <a:ext cx="1407160" cy="635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-233680</wp:posOffset>
            </wp:positionV>
            <wp:extent cx="140716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5">
                      <a:extLst>
                        <a:ext uri="{28A0092B-C50C-407E-A947-70E740481C1C}"/>
                      </a:extLst>
                    </a:blip>
                    <a:srcRect/>
                    <a:stretch>
                      <a:fillRect/>
                    </a:stretch>
                  </pic:blipFill>
                  <pic:spPr bwMode="auto">
                    <a:xfrm>
                      <a:off x="0" y="0"/>
                      <a:ext cx="1407160" cy="635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-27940</wp:posOffset>
            </wp:positionV>
            <wp:extent cx="1458595" cy="285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6">
                      <a:extLst>
                        <a:ext uri="{28A0092B-C50C-407E-A947-70E740481C1C}"/>
                      </a:extLst>
                    </a:blip>
                    <a:srcRect/>
                    <a:stretch>
                      <a:fillRect/>
                    </a:stretch>
                  </pic:blipFill>
                  <pic:spPr bwMode="auto">
                    <a:xfrm>
                      <a:off x="0" y="0"/>
                      <a:ext cx="1458595" cy="28575"/>
                    </a:xfrm>
                    <a:prstGeom prst="rect">
                      <a:avLst/>
                    </a:prstGeom>
                    <a:noFill/>
                  </pic:spPr>
                </pic:pic>
              </a:graphicData>
            </a:graphic>
          </wp:anchor>
        </w:drawing>
      </w:r>
    </w:p>
    <w:p>
      <w:pPr>
        <w:spacing w:after="0" w:line="319" w:lineRule="exact"/>
        <w:rPr>
          <w:sz w:val="20"/>
          <w:szCs w:val="20"/>
          <w:color w:val="auto"/>
        </w:rPr>
      </w:pPr>
    </w:p>
    <w:p>
      <w:pPr>
        <w:ind w:left="620" w:right="80"/>
        <w:spacing w:after="0" w:line="302" w:lineRule="auto"/>
        <w:rPr>
          <w:sz w:val="20"/>
          <w:szCs w:val="20"/>
          <w:color w:val="auto"/>
        </w:rPr>
      </w:pPr>
      <w:r>
        <w:rPr>
          <w:rFonts w:ascii="Arial" w:cs="Arial" w:eastAsia="Arial" w:hAnsi="Arial"/>
          <w:sz w:val="20"/>
          <w:szCs w:val="20"/>
          <w:color w:val="auto"/>
        </w:rPr>
        <w:t>Accretable yield, or income expected to be collected, for the acquisition of Bank of Geneva completed in 2019, are as follows:</w:t>
      </w:r>
    </w:p>
    <w:p>
      <w:pPr>
        <w:spacing w:after="0" w:line="356"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3420" w:type="dxa"/>
            <w:vAlign w:val="bottom"/>
            <w:gridSpan w:val="2"/>
          </w:tcPr>
          <w:p>
            <w:pPr>
              <w:ind w:left="2100"/>
              <w:spacing w:after="0"/>
              <w:rPr>
                <w:sz w:val="20"/>
                <w:szCs w:val="20"/>
                <w:color w:val="auto"/>
              </w:rPr>
            </w:pPr>
            <w:r>
              <w:rPr>
                <w:rFonts w:ascii="Arial" w:cs="Arial" w:eastAsia="Arial" w:hAnsi="Arial"/>
                <w:sz w:val="20"/>
                <w:szCs w:val="20"/>
                <w:color w:val="auto"/>
                <w:w w:val="96"/>
              </w:rPr>
              <w:t>(In Thousands)</w:t>
            </w:r>
          </w:p>
        </w:tc>
      </w:tr>
      <w:tr>
        <w:trPr>
          <w:trHeight w:val="324"/>
        </w:trPr>
        <w:tc>
          <w:tcPr>
            <w:tcW w:w="3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80" w:type="dxa"/>
            <w:vAlign w:val="bottom"/>
          </w:tcPr>
          <w:p>
            <w:pPr>
              <w:jc w:val="right"/>
              <w:ind w:right="420"/>
              <w:spacing w:after="0"/>
              <w:rPr>
                <w:sz w:val="20"/>
                <w:szCs w:val="20"/>
                <w:color w:val="auto"/>
              </w:rPr>
            </w:pPr>
            <w:r>
              <w:rPr>
                <w:rFonts w:ascii="Arial" w:cs="Arial" w:eastAsia="Arial" w:hAnsi="Arial"/>
                <w:sz w:val="20"/>
                <w:szCs w:val="20"/>
                <w:color w:val="auto"/>
              </w:rPr>
              <w:t>2024</w:t>
            </w:r>
          </w:p>
        </w:tc>
      </w:tr>
      <w:tr>
        <w:trPr>
          <w:trHeight w:val="51"/>
        </w:trPr>
        <w:tc>
          <w:tcPr>
            <w:tcW w:w="364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94"/>
        </w:trPr>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Beginning Balance</w:t>
            </w:r>
          </w:p>
        </w:tc>
        <w:tc>
          <w:tcPr>
            <w:tcW w:w="2340" w:type="dxa"/>
            <w:vAlign w:val="bottom"/>
            <w:tcBorders>
              <w:bottom w:val="single" w:sz="8" w:color="CFF0FC"/>
            </w:tcBorders>
            <w:shd w:val="clear" w:color="auto" w:fill="CFF0FC"/>
          </w:tcPr>
          <w:p>
            <w:pPr>
              <w:ind w:left="208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363</w:t>
            </w:r>
          </w:p>
        </w:tc>
      </w:tr>
      <w:tr>
        <w:trPr>
          <w:trHeight w:val="274"/>
        </w:trPr>
        <w:tc>
          <w:tcPr>
            <w:tcW w:w="3640" w:type="dxa"/>
            <w:vAlign w:val="bottom"/>
          </w:tcPr>
          <w:p>
            <w:pPr>
              <w:ind w:left="120"/>
              <w:spacing w:after="0"/>
              <w:rPr>
                <w:sz w:val="20"/>
                <w:szCs w:val="20"/>
                <w:color w:val="auto"/>
              </w:rPr>
            </w:pPr>
            <w:r>
              <w:rPr>
                <w:rFonts w:ascii="Arial" w:cs="Arial" w:eastAsia="Arial" w:hAnsi="Arial"/>
                <w:sz w:val="20"/>
                <w:szCs w:val="20"/>
                <w:color w:val="auto"/>
              </w:rPr>
              <w:t>Additions</w:t>
            </w:r>
          </w:p>
        </w:tc>
        <w:tc>
          <w:tcPr>
            <w:tcW w:w="2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1"/>
        </w:trPr>
        <w:tc>
          <w:tcPr>
            <w:tcW w:w="36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94"/>
        </w:trPr>
        <w:tc>
          <w:tcPr>
            <w:tcW w:w="36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Accretion</w:t>
            </w:r>
          </w:p>
        </w:tc>
        <w:tc>
          <w:tcPr>
            <w:tcW w:w="23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(364)</w:t>
            </w:r>
          </w:p>
        </w:tc>
      </w:tr>
      <w:tr>
        <w:trPr>
          <w:trHeight w:val="301"/>
        </w:trPr>
        <w:tc>
          <w:tcPr>
            <w:tcW w:w="3640" w:type="dxa"/>
            <w:vAlign w:val="bottom"/>
          </w:tcPr>
          <w:p>
            <w:pPr>
              <w:spacing w:after="0"/>
              <w:rPr>
                <w:sz w:val="20"/>
                <w:szCs w:val="20"/>
                <w:color w:val="auto"/>
              </w:rPr>
            </w:pPr>
            <w:r>
              <w:rPr>
                <w:rFonts w:ascii="Arial" w:cs="Arial" w:eastAsia="Arial" w:hAnsi="Arial"/>
                <w:sz w:val="20"/>
                <w:szCs w:val="20"/>
                <w:color w:val="auto"/>
              </w:rPr>
              <w:t>Ending Balance</w:t>
            </w:r>
          </w:p>
        </w:tc>
        <w:tc>
          <w:tcPr>
            <w:tcW w:w="2340" w:type="dxa"/>
            <w:vAlign w:val="bottom"/>
          </w:tcPr>
          <w:p>
            <w:pPr>
              <w:ind w:left="208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-1002030</wp:posOffset>
            </wp:positionV>
            <wp:extent cx="795020"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7">
                      <a:extLst>
                        <a:ext uri="{28A0092B-C50C-407E-A947-70E740481C1C}"/>
                      </a:extLst>
                    </a:blip>
                    <a:srcRect/>
                    <a:stretch>
                      <a:fillRect/>
                    </a:stretch>
                  </pic:blipFill>
                  <pic:spPr bwMode="auto">
                    <a:xfrm>
                      <a:off x="0" y="0"/>
                      <a:ext cx="795020" cy="6350"/>
                    </a:xfrm>
                    <a:prstGeom prst="rect">
                      <a:avLst/>
                    </a:prstGeom>
                    <a:noFill/>
                  </pic:spPr>
                </pic:pic>
              </a:graphicData>
            </a:graphic>
          </wp:anchor>
        </w:drawing>
        <w:drawing>
          <wp:anchor simplePos="0" relativeHeight="251657728" behindDoc="1" locked="0" layoutInCell="0" allowOverlap="1">
            <wp:simplePos x="0" y="0"/>
            <wp:positionH relativeFrom="column">
              <wp:posOffset>4371340</wp:posOffset>
            </wp:positionH>
            <wp:positionV relativeFrom="paragraph">
              <wp:posOffset>-796290</wp:posOffset>
            </wp:positionV>
            <wp:extent cx="79502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38">
                      <a:extLst>
                        <a:ext uri="{28A0092B-C50C-407E-A947-70E740481C1C}"/>
                      </a:extLst>
                    </a:blip>
                    <a:srcRect/>
                    <a:stretch>
                      <a:fillRect/>
                    </a:stretch>
                  </pic:blipFill>
                  <pic:spPr bwMode="auto">
                    <a:xfrm>
                      <a:off x="0" y="0"/>
                      <a:ext cx="795020" cy="6350"/>
                    </a:xfrm>
                    <a:prstGeom prst="rect">
                      <a:avLst/>
                    </a:prstGeom>
                    <a:noFill/>
                  </pic:spPr>
                </pic:pic>
              </a:graphicData>
            </a:graphic>
          </wp:anchor>
        </w:drawing>
        <w:drawing>
          <wp:anchor simplePos="0" relativeHeight="251657728" behindDoc="1" locked="0" layoutInCell="0" allowOverlap="1">
            <wp:simplePos x="0" y="0"/>
            <wp:positionH relativeFrom="column">
              <wp:posOffset>4371340</wp:posOffset>
            </wp:positionH>
            <wp:positionV relativeFrom="paragraph">
              <wp:posOffset>-190500</wp:posOffset>
            </wp:positionV>
            <wp:extent cx="795020" cy="2343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39">
                      <a:extLst>
                        <a:ext uri="{28A0092B-C50C-407E-A947-70E740481C1C}"/>
                      </a:extLst>
                    </a:blip>
                    <a:srcRect/>
                    <a:stretch>
                      <a:fillRect/>
                    </a:stretch>
                  </pic:blipFill>
                  <pic:spPr bwMode="auto">
                    <a:xfrm>
                      <a:off x="0" y="0"/>
                      <a:ext cx="795020" cy="234315"/>
                    </a:xfrm>
                    <a:prstGeom prst="rect">
                      <a:avLst/>
                    </a:prstGeom>
                    <a:noFill/>
                  </pic:spPr>
                </pic:pic>
              </a:graphicData>
            </a:graphic>
          </wp:anchor>
        </w:drawing>
      </w:r>
    </w:p>
    <w:p>
      <w:pPr>
        <w:spacing w:after="0" w:line="387" w:lineRule="exact"/>
        <w:rPr>
          <w:sz w:val="20"/>
          <w:szCs w:val="20"/>
          <w:color w:val="auto"/>
        </w:rPr>
      </w:pPr>
    </w:p>
    <w:p>
      <w:pPr>
        <w:ind w:left="620" w:right="80"/>
        <w:spacing w:after="0" w:line="311" w:lineRule="auto"/>
        <w:rPr>
          <w:sz w:val="20"/>
          <w:szCs w:val="20"/>
          <w:color w:val="auto"/>
        </w:rPr>
      </w:pPr>
      <w:r>
        <w:rPr>
          <w:rFonts w:ascii="Arial" w:cs="Arial" w:eastAsia="Arial" w:hAnsi="Arial"/>
          <w:sz w:val="20"/>
          <w:szCs w:val="20"/>
          <w:color w:val="auto"/>
        </w:rPr>
        <w:t>The acquisition of Bank of Geneva resulted in the recognition of $3.9 million in core deposit intangible assets, the acquisition of Ossian State Bank resulted in the recognition of $980 thousand in core deposits assets, the acquisition of Perpetual Federal Savings Bank resulted in the recognition of $668 thousand in core deposits and the acquisition of Peoples Federal Savings and Loan resulted in the recognition of $6.0 million in core deposits which are all being amortized over the remaining economic useful life of 7 years on a straight-line basis. Core deposit intangible is included in other assets on the Company's consolidated balance sheets.</w:t>
      </w:r>
    </w:p>
    <w:p>
      <w:pPr>
        <w:spacing w:after="0" w:line="254" w:lineRule="exact"/>
        <w:rPr>
          <w:sz w:val="20"/>
          <w:szCs w:val="20"/>
          <w:color w:val="auto"/>
        </w:rPr>
      </w:pPr>
    </w:p>
    <w:p>
      <w:pPr>
        <w:ind w:left="620" w:right="60"/>
        <w:spacing w:after="0" w:line="302" w:lineRule="auto"/>
        <w:rPr>
          <w:sz w:val="20"/>
          <w:szCs w:val="20"/>
          <w:color w:val="auto"/>
        </w:rPr>
      </w:pPr>
      <w:r>
        <w:rPr>
          <w:rFonts w:ascii="Arial" w:cs="Arial" w:eastAsia="Arial" w:hAnsi="Arial"/>
          <w:sz w:val="20"/>
          <w:szCs w:val="20"/>
          <w:color w:val="auto"/>
        </w:rPr>
        <w:t>The amortization expense for the years ended December 31, 2025, 2024 and 2023 was $1.7 million for each of the three years presented.</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Future amortization expense of core deposit intangible assets is as follows:</w:t>
      </w:r>
    </w:p>
    <w:p>
      <w:pPr>
        <w:spacing w:after="0" w:line="200" w:lineRule="exact"/>
        <w:rPr>
          <w:sz w:val="20"/>
          <w:szCs w:val="20"/>
          <w:color w:val="auto"/>
        </w:rPr>
      </w:pP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40" w:type="dxa"/>
            <w:vAlign w:val="bottom"/>
            <w:gridSpan w:val="3"/>
          </w:tcPr>
          <w:p>
            <w:pPr>
              <w:jc w:val="right"/>
              <w:ind w:right="520"/>
              <w:spacing w:after="0"/>
              <w:rPr>
                <w:sz w:val="20"/>
                <w:szCs w:val="20"/>
                <w:color w:val="auto"/>
              </w:rPr>
            </w:pPr>
            <w:r>
              <w:rPr>
                <w:rFonts w:ascii="Arial" w:cs="Arial" w:eastAsia="Arial" w:hAnsi="Arial"/>
                <w:sz w:val="20"/>
                <w:szCs w:val="20"/>
                <w:color w:val="auto"/>
              </w:rPr>
              <w:t>(In Thousands)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24"/>
        </w:trPr>
        <w:tc>
          <w:tcPr>
            <w:tcW w:w="15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20"/>
                <w:szCs w:val="20"/>
                <w:color w:val="auto"/>
              </w:rPr>
              <w:t>Ossian</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Perpetual</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Peoples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180"/>
              <w:spacing w:after="0"/>
              <w:rPr>
                <w:sz w:val="20"/>
                <w:szCs w:val="20"/>
                <w:color w:val="auto"/>
              </w:rPr>
            </w:pPr>
            <w:r>
              <w:rPr>
                <w:rFonts w:ascii="Arial" w:cs="Arial" w:eastAsia="Arial" w:hAnsi="Arial"/>
                <w:sz w:val="20"/>
                <w:szCs w:val="20"/>
                <w:color w:val="auto"/>
              </w:rPr>
              <w:t>Total</w:t>
            </w:r>
          </w:p>
        </w:tc>
      </w:tr>
      <w:tr>
        <w:trPr>
          <w:trHeight w:val="51"/>
        </w:trPr>
        <w:tc>
          <w:tcPr>
            <w:tcW w:w="15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94"/>
        </w:trPr>
        <w:tc>
          <w:tcPr>
            <w:tcW w:w="1500" w:type="dxa"/>
            <w:vAlign w:val="bottom"/>
            <w:tcBorders>
              <w:bottom w:val="single" w:sz="8" w:color="CFF0FC"/>
            </w:tcBorders>
            <w:shd w:val="clear" w:color="auto" w:fill="CFF0FC"/>
          </w:tcPr>
          <w:p>
            <w:pPr>
              <w:jc w:val="right"/>
              <w:ind w:right="1000"/>
              <w:spacing w:after="0"/>
              <w:rPr>
                <w:sz w:val="20"/>
                <w:szCs w:val="20"/>
                <w:color w:val="auto"/>
              </w:rPr>
            </w:pPr>
            <w:r>
              <w:rPr>
                <w:rFonts w:ascii="Arial" w:cs="Arial" w:eastAsia="Arial" w:hAnsi="Arial"/>
                <w:sz w:val="20"/>
                <w:szCs w:val="20"/>
                <w:color w:val="auto"/>
                <w:w w:val="85"/>
              </w:rPr>
              <w:t>2026</w:t>
            </w:r>
          </w:p>
        </w:tc>
        <w:tc>
          <w:tcPr>
            <w:tcW w:w="2040" w:type="dxa"/>
            <w:vAlign w:val="bottom"/>
            <w:tcBorders>
              <w:bottom w:val="single" w:sz="8" w:color="CFF0FC"/>
            </w:tcBorders>
            <w:shd w:val="clear" w:color="auto" w:fill="CFF0FC"/>
          </w:tcPr>
          <w:p>
            <w:pPr>
              <w:jc w:val="right"/>
              <w:ind w:right="720"/>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9"/>
              </w:rPr>
              <w:t>140</w:t>
            </w:r>
          </w:p>
        </w:tc>
        <w:tc>
          <w:tcPr>
            <w:tcW w:w="1080" w:type="dxa"/>
            <w:vAlign w:val="bottom"/>
            <w:tcBorders>
              <w:bottom w:val="single" w:sz="8" w:color="CFF0FC"/>
            </w:tcBorders>
            <w:shd w:val="clear" w:color="auto" w:fill="CFF0FC"/>
          </w:tcPr>
          <w:p>
            <w:pPr>
              <w:jc w:val="right"/>
              <w:ind w:right="84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8"/>
              </w:rPr>
              <w:t>95</w:t>
            </w:r>
          </w:p>
        </w:tc>
        <w:tc>
          <w:tcPr>
            <w:tcW w:w="980" w:type="dxa"/>
            <w:vAlign w:val="bottom"/>
            <w:tcBorders>
              <w:bottom w:val="single" w:sz="8" w:color="CFF0FC"/>
            </w:tcBorders>
            <w:shd w:val="clear" w:color="auto" w:fill="CFF0FC"/>
          </w:tcPr>
          <w:p>
            <w:pPr>
              <w:jc w:val="right"/>
              <w:ind w:right="740"/>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9"/>
              </w:rPr>
              <w:t>861</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1,096</w:t>
            </w:r>
          </w:p>
        </w:tc>
      </w:tr>
      <w:tr>
        <w:trPr>
          <w:trHeight w:val="274"/>
        </w:trPr>
        <w:tc>
          <w:tcPr>
            <w:tcW w:w="1500" w:type="dxa"/>
            <w:vAlign w:val="bottom"/>
          </w:tcPr>
          <w:p>
            <w:pPr>
              <w:jc w:val="right"/>
              <w:ind w:right="1000"/>
              <w:spacing w:after="0"/>
              <w:rPr>
                <w:sz w:val="20"/>
                <w:szCs w:val="20"/>
                <w:color w:val="auto"/>
              </w:rPr>
            </w:pPr>
            <w:r>
              <w:rPr>
                <w:rFonts w:ascii="Arial" w:cs="Arial" w:eastAsia="Arial" w:hAnsi="Arial"/>
                <w:sz w:val="20"/>
                <w:szCs w:val="20"/>
                <w:color w:val="auto"/>
                <w:w w:val="85"/>
              </w:rPr>
              <w:t>2027</w:t>
            </w:r>
          </w:p>
        </w:tc>
        <w:tc>
          <w:tcPr>
            <w:tcW w:w="20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w w:val="89"/>
              </w:rPr>
              <w:t>140</w:t>
            </w:r>
          </w:p>
        </w:tc>
        <w:tc>
          <w:tcPr>
            <w:tcW w:w="10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w w:val="98"/>
              </w:rPr>
              <w:t>95</w:t>
            </w:r>
          </w:p>
        </w:tc>
        <w:tc>
          <w:tcPr>
            <w:tcW w:w="9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w w:val="89"/>
              </w:rPr>
              <w:t>861</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1,096</w:t>
            </w:r>
          </w:p>
        </w:tc>
      </w:tr>
      <w:tr>
        <w:trPr>
          <w:trHeight w:val="41"/>
        </w:trPr>
        <w:tc>
          <w:tcPr>
            <w:tcW w:w="15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4"/>
        </w:trPr>
        <w:tc>
          <w:tcPr>
            <w:tcW w:w="1500" w:type="dxa"/>
            <w:vAlign w:val="bottom"/>
            <w:shd w:val="clear" w:color="auto" w:fill="CFF0FC"/>
          </w:tcPr>
          <w:p>
            <w:pPr>
              <w:jc w:val="right"/>
              <w:ind w:right="1000"/>
              <w:spacing w:after="0"/>
              <w:rPr>
                <w:sz w:val="20"/>
                <w:szCs w:val="20"/>
                <w:color w:val="auto"/>
              </w:rPr>
            </w:pPr>
            <w:r>
              <w:rPr>
                <w:rFonts w:ascii="Arial" w:cs="Arial" w:eastAsia="Arial" w:hAnsi="Arial"/>
                <w:sz w:val="20"/>
                <w:szCs w:val="20"/>
                <w:color w:val="auto"/>
                <w:w w:val="85"/>
              </w:rPr>
              <w:t>2028</w:t>
            </w:r>
          </w:p>
        </w:tc>
        <w:tc>
          <w:tcPr>
            <w:tcW w:w="2040" w:type="dxa"/>
            <w:vAlign w:val="bottom"/>
            <w:shd w:val="clear" w:color="auto" w:fill="CFF0FC"/>
          </w:tcPr>
          <w:p>
            <w:pPr>
              <w:spacing w:after="0"/>
              <w:rPr>
                <w:sz w:val="23"/>
                <w:szCs w:val="2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w:t>
            </w:r>
          </w:p>
        </w:tc>
        <w:tc>
          <w:tcPr>
            <w:tcW w:w="1080" w:type="dxa"/>
            <w:vAlign w:val="bottom"/>
            <w:shd w:val="clear" w:color="auto" w:fill="CFF0FC"/>
          </w:tcPr>
          <w:p>
            <w:pPr>
              <w:spacing w:after="0"/>
              <w:rPr>
                <w:sz w:val="23"/>
                <w:szCs w:val="2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8"/>
              </w:rPr>
              <w:t>72</w:t>
            </w:r>
          </w:p>
        </w:tc>
        <w:tc>
          <w:tcPr>
            <w:tcW w:w="980" w:type="dxa"/>
            <w:vAlign w:val="bottom"/>
            <w:shd w:val="clear" w:color="auto" w:fill="CFF0FC"/>
          </w:tcPr>
          <w:p>
            <w:pPr>
              <w:spacing w:after="0"/>
              <w:rPr>
                <w:sz w:val="23"/>
                <w:szCs w:val="2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861</w:t>
            </w:r>
          </w:p>
        </w:tc>
        <w:tc>
          <w:tcPr>
            <w:tcW w:w="160" w:type="dxa"/>
            <w:vAlign w:val="bottom"/>
            <w:shd w:val="clear" w:color="auto" w:fill="CFF0FC"/>
          </w:tcPr>
          <w:p>
            <w:pPr>
              <w:spacing w:after="0"/>
              <w:rPr>
                <w:sz w:val="23"/>
                <w:szCs w:val="23"/>
                <w:color w:val="auto"/>
              </w:rPr>
            </w:pPr>
          </w:p>
        </w:tc>
        <w:tc>
          <w:tcPr>
            <w:tcW w:w="760" w:type="dxa"/>
            <w:vAlign w:val="bottom"/>
          </w:tcPr>
          <w:p>
            <w:pPr>
              <w:spacing w:after="0"/>
              <w:rPr>
                <w:sz w:val="23"/>
                <w:szCs w:val="23"/>
                <w:color w:val="auto"/>
              </w:rPr>
            </w:pPr>
          </w:p>
        </w:tc>
      </w:tr>
      <w:tr>
        <w:trPr>
          <w:trHeight w:val="41"/>
        </w:trPr>
        <w:tc>
          <w:tcPr>
            <w:tcW w:w="1500" w:type="dxa"/>
            <w:vAlign w:val="bottom"/>
            <w:shd w:val="clear" w:color="auto" w:fill="CFF0FC"/>
          </w:tcPr>
          <w:p>
            <w:pPr>
              <w:spacing w:after="0"/>
              <w:rPr>
                <w:sz w:val="3"/>
                <w:szCs w:val="3"/>
                <w:color w:val="auto"/>
              </w:rPr>
            </w:pPr>
          </w:p>
        </w:tc>
        <w:tc>
          <w:tcPr>
            <w:tcW w:w="204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76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-810895</wp:posOffset>
            </wp:positionV>
            <wp:extent cx="3062605"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0">
                      <a:extLst>
                        <a:ext uri="{28A0092B-C50C-407E-A947-70E740481C1C}"/>
                      </a:extLst>
                    </a:blip>
                    <a:srcRect/>
                    <a:stretch>
                      <a:fillRect/>
                    </a:stretch>
                  </pic:blipFill>
                  <pic:spPr bwMode="auto">
                    <a:xfrm>
                      <a:off x="0" y="0"/>
                      <a:ext cx="3062605" cy="6350"/>
                    </a:xfrm>
                    <a:prstGeom prst="rect">
                      <a:avLst/>
                    </a:prstGeom>
                    <a:noFill/>
                  </pic:spPr>
                </pic:pic>
              </a:graphicData>
            </a:graphic>
          </wp:anchor>
        </w:drawing>
        <w:drawing>
          <wp:anchor simplePos="0" relativeHeight="251657728" behindDoc="1" locked="0" layoutInCell="0" allowOverlap="1">
            <wp:simplePos x="0" y="0"/>
            <wp:positionH relativeFrom="column">
              <wp:posOffset>2256790</wp:posOffset>
            </wp:positionH>
            <wp:positionV relativeFrom="paragraph">
              <wp:posOffset>-604520</wp:posOffset>
            </wp:positionV>
            <wp:extent cx="3062605"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1">
                      <a:extLst>
                        <a:ext uri="{28A0092B-C50C-407E-A947-70E740481C1C}"/>
                      </a:extLst>
                    </a:blip>
                    <a:srcRect/>
                    <a:stretch>
                      <a:fillRect/>
                    </a:stretch>
                  </pic:blipFill>
                  <pic:spPr bwMode="auto">
                    <a:xfrm>
                      <a:off x="0" y="0"/>
                      <a:ext cx="306260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32 / 32</w:t>
      </w:r>
    </w:p>
    <w:p>
      <w:pPr>
        <w:sectPr>
          <w:pgSz w:w="11900" w:h="16838" w:orient="portrait"/>
          <w:cols w:equalWidth="0" w:num="1">
            <w:col w:w="9400"/>
          </w:cols>
          <w:pgMar w:left="1260" w:top="1440" w:right="1246" w:bottom="0" w:gutter="0" w:footer="0" w:header="0"/>
          <w:type w:val="continuous"/>
        </w:sectPr>
      </w:pPr>
    </w:p>
    <w:bookmarkStart w:id="150" w:name="page151"/>
    <w:bookmarkEnd w:id="150"/>
    <w:p>
      <w:pPr>
        <w:jc w:val="right"/>
        <w:spacing w:after="0"/>
        <w:rPr>
          <w:sz w:val="20"/>
          <w:szCs w:val="20"/>
          <w:color w:val="auto"/>
        </w:rPr>
      </w:pPr>
      <w:r>
        <w:rPr>
          <w:rFonts w:ascii="Arial" w:cs="Arial" w:eastAsia="Arial" w:hAnsi="Arial"/>
          <w:sz w:val="20"/>
          <w:szCs w:val="20"/>
          <w:color w:val="auto"/>
        </w:rPr>
        <w:t>980</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2029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646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646</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Total</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327</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262</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3,229</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3,818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20" w:right="60"/>
        <w:spacing w:after="0" w:line="363" w:lineRule="auto"/>
        <w:rPr>
          <w:sz w:val="20"/>
          <w:szCs w:val="20"/>
          <w:color w:val="auto"/>
        </w:rPr>
      </w:pPr>
      <w:r>
        <w:rPr>
          <w:rFonts w:ascii="Arial" w:cs="Arial" w:eastAsia="Arial" w:hAnsi="Arial"/>
          <w:sz w:val="18"/>
          <w:szCs w:val="18"/>
          <w:color w:val="auto"/>
        </w:rPr>
        <w:t>The purchase of Adams County Financial Resources in 2020 resulted in the allocation of $800 thousand to customer list intangible, included in other assets, to be amortized over 6.5 years on a straight-line basis.</w:t>
      </w:r>
    </w:p>
    <w:p>
      <w:pPr>
        <w:spacing w:after="0" w:line="214" w:lineRule="exact"/>
        <w:rPr>
          <w:sz w:val="20"/>
          <w:szCs w:val="20"/>
          <w:color w:val="auto"/>
        </w:rPr>
      </w:pPr>
    </w:p>
    <w:p>
      <w:pPr>
        <w:jc w:val="both"/>
        <w:ind w:left="620" w:right="80"/>
        <w:spacing w:after="0" w:line="307" w:lineRule="auto"/>
        <w:rPr>
          <w:sz w:val="20"/>
          <w:szCs w:val="20"/>
          <w:color w:val="auto"/>
        </w:rPr>
      </w:pPr>
      <w:r>
        <w:rPr>
          <w:rFonts w:ascii="Arial" w:cs="Arial" w:eastAsia="Arial" w:hAnsi="Arial"/>
          <w:sz w:val="20"/>
          <w:szCs w:val="20"/>
          <w:color w:val="auto"/>
        </w:rPr>
        <w:t>The customer list intangible amortization expense for the years ended December 31, 2025, 2024 and 2023 was $123 thousand for each of the three years presented. Future amortization expense of customer list intangible is as follows:</w:t>
      </w:r>
    </w:p>
    <w:p>
      <w:pPr>
        <w:spacing w:after="0" w:line="352" w:lineRule="exact"/>
        <w:rPr>
          <w:sz w:val="20"/>
          <w:szCs w:val="20"/>
          <w:color w:val="auto"/>
        </w:rPr>
      </w:pPr>
    </w:p>
    <w:tbl>
      <w:tblPr>
        <w:tblLayout w:type="fixed"/>
        <w:tblInd w:w="282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2660" w:type="dxa"/>
            <w:vAlign w:val="bottom"/>
            <w:gridSpan w:val="2"/>
          </w:tcPr>
          <w:p>
            <w:pPr>
              <w:ind w:left="1340"/>
              <w:spacing w:after="0"/>
              <w:rPr>
                <w:sz w:val="20"/>
                <w:szCs w:val="20"/>
                <w:color w:val="auto"/>
              </w:rPr>
            </w:pPr>
            <w:r>
              <w:rPr>
                <w:rFonts w:ascii="Arial" w:cs="Arial" w:eastAsia="Arial" w:hAnsi="Arial"/>
                <w:sz w:val="20"/>
                <w:szCs w:val="20"/>
                <w:color w:val="auto"/>
                <w:w w:val="96"/>
              </w:rPr>
              <w:t>(In Thousands)</w:t>
            </w:r>
          </w:p>
        </w:tc>
      </w:tr>
      <w:tr>
        <w:trPr>
          <w:trHeight w:val="51"/>
        </w:trPr>
        <w:tc>
          <w:tcPr>
            <w:tcW w:w="1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94"/>
        </w:trPr>
        <w:tc>
          <w:tcPr>
            <w:tcW w:w="1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2026</w:t>
            </w:r>
          </w:p>
        </w:tc>
        <w:tc>
          <w:tcPr>
            <w:tcW w:w="1840" w:type="dxa"/>
            <w:vAlign w:val="bottom"/>
            <w:tcBorders>
              <w:bottom w:val="single" w:sz="8" w:color="CFF0FC"/>
            </w:tcBorders>
            <w:shd w:val="clear" w:color="auto" w:fill="CFF0FC"/>
          </w:tcPr>
          <w:p>
            <w:pPr>
              <w:ind w:left="132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123</w:t>
            </w:r>
          </w:p>
        </w:tc>
      </w:tr>
      <w:tr>
        <w:trPr>
          <w:trHeight w:val="274"/>
        </w:trPr>
        <w:tc>
          <w:tcPr>
            <w:tcW w:w="1100" w:type="dxa"/>
            <w:vAlign w:val="bottom"/>
          </w:tcPr>
          <w:p>
            <w:pPr>
              <w:spacing w:after="0"/>
              <w:rPr>
                <w:sz w:val="20"/>
                <w:szCs w:val="20"/>
                <w:color w:val="auto"/>
              </w:rPr>
            </w:pPr>
            <w:r>
              <w:rPr>
                <w:rFonts w:ascii="Arial" w:cs="Arial" w:eastAsia="Arial" w:hAnsi="Arial"/>
                <w:sz w:val="20"/>
                <w:szCs w:val="20"/>
                <w:color w:val="auto"/>
              </w:rPr>
              <w:t>2027</w:t>
            </w:r>
          </w:p>
        </w:tc>
        <w:tc>
          <w:tcPr>
            <w:tcW w:w="18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41"/>
        </w:trPr>
        <w:tc>
          <w:tcPr>
            <w:tcW w:w="1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1100" w:type="dxa"/>
            <w:vAlign w:val="bottom"/>
            <w:shd w:val="clear" w:color="auto" w:fill="CFF0FC"/>
          </w:tcPr>
          <w:p>
            <w:pPr>
              <w:spacing w:after="0"/>
              <w:rPr>
                <w:sz w:val="20"/>
                <w:szCs w:val="20"/>
                <w:color w:val="auto"/>
              </w:rPr>
            </w:pPr>
            <w:r>
              <w:rPr>
                <w:rFonts w:ascii="Arial" w:cs="Arial" w:eastAsia="Arial" w:hAnsi="Arial"/>
                <w:sz w:val="20"/>
                <w:szCs w:val="20"/>
                <w:color w:val="auto"/>
              </w:rPr>
              <w:t>Total</w:t>
            </w:r>
          </w:p>
        </w:tc>
        <w:tc>
          <w:tcPr>
            <w:tcW w:w="1840" w:type="dxa"/>
            <w:vAlign w:val="bottom"/>
            <w:shd w:val="clear" w:color="auto" w:fill="CFF0FC"/>
          </w:tcPr>
          <w:p>
            <w:pPr>
              <w:ind w:left="1320"/>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172</w:t>
            </w:r>
          </w:p>
        </w:tc>
      </w:tr>
      <w:tr>
        <w:trPr>
          <w:trHeight w:val="86"/>
        </w:trPr>
        <w:tc>
          <w:tcPr>
            <w:tcW w:w="1100" w:type="dxa"/>
            <w:vAlign w:val="bottom"/>
            <w:shd w:val="clear" w:color="auto" w:fill="CFF0FC"/>
          </w:tcPr>
          <w:p>
            <w:pPr>
              <w:spacing w:after="0"/>
              <w:rPr>
                <w:sz w:val="7"/>
                <w:szCs w:val="7"/>
                <w:color w:val="auto"/>
              </w:rPr>
            </w:pPr>
          </w:p>
        </w:tc>
        <w:tc>
          <w:tcPr>
            <w:tcW w:w="184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r>
      <w:tr>
        <w:trPr>
          <w:trHeight w:val="799"/>
        </w:trPr>
        <w:tc>
          <w:tcPr>
            <w:tcW w:w="1100" w:type="dxa"/>
            <w:vAlign w:val="bottom"/>
          </w:tcPr>
          <w:p>
            <w:pPr>
              <w:spacing w:after="0"/>
              <w:rPr>
                <w:sz w:val="24"/>
                <w:szCs w:val="24"/>
                <w:color w:val="auto"/>
              </w:rPr>
            </w:pPr>
          </w:p>
        </w:tc>
        <w:tc>
          <w:tcPr>
            <w:tcW w:w="1840" w:type="dxa"/>
            <w:vAlign w:val="bottom"/>
          </w:tcPr>
          <w:p>
            <w:pPr>
              <w:jc w:val="right"/>
              <w:ind w:right="860"/>
              <w:spacing w:after="0"/>
              <w:rPr>
                <w:sz w:val="20"/>
                <w:szCs w:val="20"/>
                <w:color w:val="auto"/>
              </w:rPr>
            </w:pPr>
            <w:r>
              <w:rPr>
                <w:rFonts w:ascii="Arial" w:cs="Arial" w:eastAsia="Arial" w:hAnsi="Arial"/>
                <w:sz w:val="20"/>
                <w:szCs w:val="20"/>
                <w:color w:val="auto"/>
              </w:rPr>
              <w:t>74</w:t>
            </w: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-1147445</wp:posOffset>
            </wp:positionV>
            <wp:extent cx="803910"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2">
                      <a:extLst>
                        <a:ext uri="{28A0092B-C50C-407E-A947-70E740481C1C}"/>
                      </a:extLst>
                    </a:blip>
                    <a:srcRect/>
                    <a:stretch>
                      <a:fillRect/>
                    </a:stretch>
                  </pic:blipFill>
                  <pic:spPr bwMode="auto">
                    <a:xfrm>
                      <a:off x="0" y="0"/>
                      <a:ext cx="803910" cy="6350"/>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-741680</wp:posOffset>
            </wp:positionV>
            <wp:extent cx="844550" cy="2343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3">
                      <a:extLst>
                        <a:ext uri="{28A0092B-C50C-407E-A947-70E740481C1C}"/>
                      </a:extLst>
                    </a:blip>
                    <a:srcRect/>
                    <a:stretch>
                      <a:fillRect/>
                    </a:stretch>
                  </pic:blipFill>
                  <pic:spPr bwMode="auto">
                    <a:xfrm>
                      <a:off x="0" y="0"/>
                      <a:ext cx="844550" cy="2343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28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17</w:t>
      </w:r>
    </w:p>
    <w:p>
      <w:pPr>
        <w:sectPr>
          <w:pgSz w:w="11900" w:h="16838" w:orient="portrait"/>
          <w:cols w:equalWidth="0" w:num="1">
            <w:col w:w="9400"/>
          </w:cols>
          <w:pgMar w:left="1260" w:top="1283" w:right="1246" w:bottom="0" w:gutter="0" w:footer="0" w:header="0"/>
          <w:type w:val="continuous"/>
        </w:sectPr>
      </w:pPr>
    </w:p>
    <w:bookmarkStart w:id="151" w:name="page152"/>
    <w:bookmarkEnd w:id="151"/>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17</w:t>
      </w:r>
    </w:p>
    <w:p>
      <w:pPr>
        <w:sectPr>
          <w:pgSz w:w="11900" w:h="16838" w:orient="portrait"/>
          <w:cols w:equalWidth="0" w:num="1">
            <w:col w:w="9400"/>
          </w:cols>
          <w:pgMar w:left="1260" w:top="1440" w:right="1246" w:bottom="0" w:gutter="0" w:footer="0" w:header="0"/>
          <w:type w:val="continuous"/>
        </w:sectPr>
      </w:pPr>
    </w:p>
    <w:bookmarkStart w:id="152" w:name="page153"/>
    <w:bookmarkEnd w:id="152"/>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Securities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amortized cost and fair value of securities, with gross unrealized gains and losses, follows:</w:t>
      </w:r>
    </w:p>
    <w:p>
      <w:pPr>
        <w:spacing w:after="0" w:line="200" w:lineRule="exact"/>
        <w:rPr>
          <w:sz w:val="20"/>
          <w:szCs w:val="20"/>
          <w:color w:val="auto"/>
        </w:rPr>
      </w:pP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gridSpan w:val="3"/>
          </w:tcPr>
          <w:p>
            <w:pPr>
              <w:jc w:val="center"/>
              <w:ind w:right="240"/>
              <w:spacing w:after="0"/>
              <w:rPr>
                <w:sz w:val="20"/>
                <w:szCs w:val="20"/>
                <w:color w:val="auto"/>
              </w:rPr>
            </w:pPr>
            <w:r>
              <w:rPr>
                <w:rFonts w:ascii="Arial" w:cs="Arial" w:eastAsia="Arial" w:hAnsi="Arial"/>
                <w:sz w:val="20"/>
                <w:szCs w:val="20"/>
                <w:color w:val="auto"/>
                <w:w w:val="90"/>
              </w:rPr>
              <w:t>(In Thousands)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24"/>
        </w:trPr>
        <w:tc>
          <w:tcPr>
            <w:tcW w:w="3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2025</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4"/>
        </w:trPr>
        <w:tc>
          <w:tcPr>
            <w:tcW w:w="3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200"/>
              <w:spacing w:after="0"/>
              <w:rPr>
                <w:sz w:val="20"/>
                <w:szCs w:val="20"/>
                <w:color w:val="auto"/>
              </w:rPr>
            </w:pPr>
            <w:r>
              <w:rPr>
                <w:rFonts w:ascii="Arial" w:cs="Arial" w:eastAsia="Arial" w:hAnsi="Arial"/>
                <w:sz w:val="20"/>
                <w:szCs w:val="20"/>
                <w:color w:val="auto"/>
                <w:w w:val="93"/>
              </w:rPr>
              <w:t>Gross</w:t>
            </w:r>
          </w:p>
        </w:tc>
        <w:tc>
          <w:tcPr>
            <w:tcW w:w="240" w:type="dxa"/>
            <w:vAlign w:val="bottom"/>
          </w:tcPr>
          <w:p>
            <w:pPr>
              <w:spacing w:after="0"/>
              <w:rPr>
                <w:sz w:val="24"/>
                <w:szCs w:val="24"/>
                <w:color w:val="auto"/>
              </w:rPr>
            </w:pPr>
          </w:p>
        </w:tc>
        <w:tc>
          <w:tcPr>
            <w:tcW w:w="900" w:type="dxa"/>
            <w:vAlign w:val="bottom"/>
          </w:tcPr>
          <w:p>
            <w:pPr>
              <w:jc w:val="right"/>
              <w:ind w:right="260"/>
              <w:spacing w:after="0"/>
              <w:rPr>
                <w:sz w:val="20"/>
                <w:szCs w:val="20"/>
                <w:color w:val="auto"/>
              </w:rPr>
            </w:pPr>
            <w:r>
              <w:rPr>
                <w:rFonts w:ascii="Arial" w:cs="Arial" w:eastAsia="Arial" w:hAnsi="Arial"/>
                <w:sz w:val="20"/>
                <w:szCs w:val="20"/>
                <w:color w:val="auto"/>
                <w:w w:val="97"/>
              </w:rPr>
              <w:t>Gross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4"/>
        </w:trPr>
        <w:tc>
          <w:tcPr>
            <w:tcW w:w="3480" w:type="dxa"/>
            <w:vAlign w:val="bottom"/>
          </w:tcPr>
          <w:p>
            <w:pPr>
              <w:spacing w:after="0"/>
              <w:rPr>
                <w:sz w:val="24"/>
                <w:szCs w:val="24"/>
                <w:color w:val="auto"/>
              </w:rPr>
            </w:pPr>
          </w:p>
        </w:tc>
        <w:tc>
          <w:tcPr>
            <w:tcW w:w="1760" w:type="dxa"/>
            <w:vAlign w:val="bottom"/>
            <w:gridSpan w:val="2"/>
          </w:tcPr>
          <w:p>
            <w:pPr>
              <w:ind w:left="780"/>
              <w:spacing w:after="0"/>
              <w:rPr>
                <w:sz w:val="20"/>
                <w:szCs w:val="20"/>
                <w:color w:val="auto"/>
              </w:rPr>
            </w:pPr>
            <w:r>
              <w:rPr>
                <w:rFonts w:ascii="Arial" w:cs="Arial" w:eastAsia="Arial" w:hAnsi="Arial"/>
                <w:sz w:val="20"/>
                <w:szCs w:val="20"/>
                <w:color w:val="auto"/>
              </w:rPr>
              <w:t>Amortized</w:t>
            </w:r>
          </w:p>
        </w:tc>
        <w:tc>
          <w:tcPr>
            <w:tcW w:w="1080" w:type="dxa"/>
            <w:vAlign w:val="bottom"/>
            <w:gridSpan w:val="2"/>
          </w:tcPr>
          <w:p>
            <w:pPr>
              <w:ind w:left="100"/>
              <w:spacing w:after="0"/>
              <w:rPr>
                <w:sz w:val="20"/>
                <w:szCs w:val="20"/>
                <w:color w:val="auto"/>
              </w:rPr>
            </w:pPr>
            <w:r>
              <w:rPr>
                <w:rFonts w:ascii="Arial" w:cs="Arial" w:eastAsia="Arial" w:hAnsi="Arial"/>
                <w:sz w:val="20"/>
                <w:szCs w:val="20"/>
                <w:color w:val="auto"/>
              </w:rPr>
              <w:t>Unrealized</w:t>
            </w:r>
          </w:p>
        </w:tc>
        <w:tc>
          <w:tcPr>
            <w:tcW w:w="1140" w:type="dxa"/>
            <w:vAlign w:val="bottom"/>
            <w:gridSpan w:val="2"/>
          </w:tcPr>
          <w:p>
            <w:pPr>
              <w:ind w:left="120"/>
              <w:spacing w:after="0"/>
              <w:rPr>
                <w:sz w:val="20"/>
                <w:szCs w:val="20"/>
                <w:color w:val="auto"/>
              </w:rPr>
            </w:pPr>
            <w:r>
              <w:rPr>
                <w:rFonts w:ascii="Arial" w:cs="Arial" w:eastAsia="Arial" w:hAnsi="Arial"/>
                <w:sz w:val="20"/>
                <w:szCs w:val="20"/>
                <w:color w:val="auto"/>
              </w:rPr>
              <w:t>Unrealized</w:t>
            </w:r>
          </w:p>
        </w:tc>
        <w:tc>
          <w:tcPr>
            <w:tcW w:w="200" w:type="dxa"/>
            <w:vAlign w:val="bottom"/>
          </w:tcPr>
          <w:p>
            <w:pPr>
              <w:spacing w:after="0"/>
              <w:rPr>
                <w:sz w:val="24"/>
                <w:szCs w:val="24"/>
                <w:color w:val="auto"/>
              </w:rPr>
            </w:pPr>
          </w:p>
        </w:tc>
        <w:tc>
          <w:tcPr>
            <w:tcW w:w="800" w:type="dxa"/>
            <w:vAlign w:val="bottom"/>
          </w:tcPr>
          <w:p>
            <w:pPr>
              <w:jc w:val="right"/>
              <w:ind w:right="260"/>
              <w:spacing w:after="0"/>
              <w:rPr>
                <w:sz w:val="20"/>
                <w:szCs w:val="20"/>
                <w:color w:val="auto"/>
              </w:rPr>
            </w:pPr>
            <w:r>
              <w:rPr>
                <w:rFonts w:ascii="Arial" w:cs="Arial" w:eastAsia="Arial" w:hAnsi="Arial"/>
                <w:sz w:val="20"/>
                <w:szCs w:val="20"/>
                <w:color w:val="auto"/>
              </w:rPr>
              <w:t>Fair</w:t>
            </w:r>
          </w:p>
        </w:tc>
      </w:tr>
      <w:tr>
        <w:trPr>
          <w:trHeight w:val="314"/>
        </w:trPr>
        <w:tc>
          <w:tcPr>
            <w:tcW w:w="3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jc w:val="right"/>
              <w:ind w:right="260"/>
              <w:spacing w:after="0"/>
              <w:rPr>
                <w:sz w:val="20"/>
                <w:szCs w:val="20"/>
                <w:color w:val="auto"/>
              </w:rPr>
            </w:pPr>
            <w:r>
              <w:rPr>
                <w:rFonts w:ascii="Arial" w:cs="Arial" w:eastAsia="Arial" w:hAnsi="Arial"/>
                <w:sz w:val="20"/>
                <w:szCs w:val="20"/>
                <w:color w:val="auto"/>
              </w:rPr>
              <w:t>Cost</w:t>
            </w:r>
          </w:p>
        </w:tc>
        <w:tc>
          <w:tcPr>
            <w:tcW w:w="260" w:type="dxa"/>
            <w:vAlign w:val="bottom"/>
          </w:tcPr>
          <w:p>
            <w:pPr>
              <w:spacing w:after="0"/>
              <w:rPr>
                <w:sz w:val="24"/>
                <w:szCs w:val="24"/>
                <w:color w:val="auto"/>
              </w:rPr>
            </w:pPr>
          </w:p>
        </w:tc>
        <w:tc>
          <w:tcPr>
            <w:tcW w:w="820" w:type="dxa"/>
            <w:vAlign w:val="bottom"/>
          </w:tcPr>
          <w:p>
            <w:pPr>
              <w:jc w:val="right"/>
              <w:ind w:right="200"/>
              <w:spacing w:after="0"/>
              <w:rPr>
                <w:sz w:val="20"/>
                <w:szCs w:val="20"/>
                <w:color w:val="auto"/>
              </w:rPr>
            </w:pPr>
            <w:r>
              <w:rPr>
                <w:rFonts w:ascii="Arial" w:cs="Arial" w:eastAsia="Arial" w:hAnsi="Arial"/>
                <w:sz w:val="20"/>
                <w:szCs w:val="20"/>
                <w:color w:val="auto"/>
                <w:w w:val="95"/>
              </w:rPr>
              <w:t>Gains</w:t>
            </w:r>
          </w:p>
        </w:tc>
        <w:tc>
          <w:tcPr>
            <w:tcW w:w="240" w:type="dxa"/>
            <w:vAlign w:val="bottom"/>
          </w:tcPr>
          <w:p>
            <w:pPr>
              <w:spacing w:after="0"/>
              <w:rPr>
                <w:sz w:val="24"/>
                <w:szCs w:val="24"/>
                <w:color w:val="auto"/>
              </w:rPr>
            </w:pPr>
          </w:p>
        </w:tc>
        <w:tc>
          <w:tcPr>
            <w:tcW w:w="900" w:type="dxa"/>
            <w:vAlign w:val="bottom"/>
          </w:tcPr>
          <w:p>
            <w:pPr>
              <w:jc w:val="right"/>
              <w:ind w:right="220"/>
              <w:spacing w:after="0"/>
              <w:rPr>
                <w:sz w:val="20"/>
                <w:szCs w:val="20"/>
                <w:color w:val="auto"/>
              </w:rPr>
            </w:pPr>
            <w:r>
              <w:rPr>
                <w:rFonts w:ascii="Arial" w:cs="Arial" w:eastAsia="Arial" w:hAnsi="Arial"/>
                <w:sz w:val="20"/>
                <w:szCs w:val="20"/>
                <w:color w:val="auto"/>
                <w:w w:val="88"/>
              </w:rPr>
              <w:t>Losses</w:t>
            </w:r>
          </w:p>
        </w:tc>
        <w:tc>
          <w:tcPr>
            <w:tcW w:w="200" w:type="dxa"/>
            <w:vAlign w:val="bottom"/>
          </w:tcPr>
          <w:p>
            <w:pPr>
              <w:spacing w:after="0"/>
              <w:rPr>
                <w:sz w:val="24"/>
                <w:szCs w:val="24"/>
                <w:color w:val="auto"/>
              </w:rPr>
            </w:pPr>
          </w:p>
        </w:tc>
        <w:tc>
          <w:tcPr>
            <w:tcW w:w="800" w:type="dxa"/>
            <w:vAlign w:val="bottom"/>
          </w:tcPr>
          <w:p>
            <w:pPr>
              <w:jc w:val="right"/>
              <w:ind w:right="180"/>
              <w:spacing w:after="0"/>
              <w:rPr>
                <w:sz w:val="20"/>
                <w:szCs w:val="20"/>
                <w:color w:val="auto"/>
              </w:rPr>
            </w:pPr>
            <w:r>
              <w:rPr>
                <w:rFonts w:ascii="Arial" w:cs="Arial" w:eastAsia="Arial" w:hAnsi="Arial"/>
                <w:sz w:val="20"/>
                <w:szCs w:val="20"/>
                <w:color w:val="auto"/>
                <w:w w:val="97"/>
              </w:rPr>
              <w:t>Value</w:t>
            </w:r>
          </w:p>
        </w:tc>
      </w:tr>
      <w:tr>
        <w:trPr>
          <w:trHeight w:val="51"/>
        </w:trPr>
        <w:tc>
          <w:tcPr>
            <w:tcW w:w="3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94"/>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Available-for-Sale:</w:t>
            </w:r>
          </w:p>
        </w:tc>
        <w:tc>
          <w:tcPr>
            <w:tcW w:w="9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r>
      <w:tr>
        <w:trPr>
          <w:trHeight w:val="274"/>
        </w:trPr>
        <w:tc>
          <w:tcPr>
            <w:tcW w:w="3480" w:type="dxa"/>
            <w:vAlign w:val="bottom"/>
          </w:tcPr>
          <w:p>
            <w:pPr>
              <w:ind w:left="80"/>
              <w:spacing w:after="0"/>
              <w:rPr>
                <w:sz w:val="20"/>
                <w:szCs w:val="20"/>
                <w:color w:val="auto"/>
              </w:rPr>
            </w:pPr>
            <w:r>
              <w:rPr>
                <w:rFonts w:ascii="Arial" w:cs="Arial" w:eastAsia="Arial" w:hAnsi="Arial"/>
                <w:sz w:val="20"/>
                <w:szCs w:val="20"/>
                <w:color w:val="auto"/>
              </w:rPr>
              <w:t>U.S. Treasury</w:t>
            </w:r>
          </w:p>
        </w:tc>
        <w:tc>
          <w:tcPr>
            <w:tcW w:w="940" w:type="dxa"/>
            <w:vAlign w:val="bottom"/>
          </w:tcPr>
          <w:p>
            <w:pPr>
              <w:ind w:left="780"/>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20"/>
              <w:spacing w:after="0"/>
              <w:rPr>
                <w:sz w:val="20"/>
                <w:szCs w:val="20"/>
                <w:color w:val="auto"/>
              </w:rPr>
            </w:pPr>
            <w:r>
              <w:rPr>
                <w:rFonts w:ascii="Arial" w:cs="Arial" w:eastAsia="Arial" w:hAnsi="Arial"/>
                <w:sz w:val="20"/>
                <w:szCs w:val="20"/>
                <w:color w:val="auto"/>
              </w:rPr>
              <w:t>91,988</w:t>
            </w:r>
          </w:p>
        </w:tc>
        <w:tc>
          <w:tcPr>
            <w:tcW w:w="260" w:type="dxa"/>
            <w:vAlign w:val="bottom"/>
          </w:tcPr>
          <w:p>
            <w:pPr>
              <w:ind w:lef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157</w:t>
            </w:r>
          </w:p>
        </w:tc>
        <w:tc>
          <w:tcPr>
            <w:tcW w:w="240" w:type="dxa"/>
            <w:vAlign w:val="bottom"/>
          </w:tcPr>
          <w:p>
            <w:pPr>
              <w:ind w:left="12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(2,292)</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89,853</w:t>
            </w:r>
          </w:p>
        </w:tc>
      </w:tr>
      <w:tr>
        <w:trPr>
          <w:trHeight w:val="41"/>
        </w:trPr>
        <w:tc>
          <w:tcPr>
            <w:tcW w:w="3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34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U.S. Government agencies</w:t>
            </w:r>
          </w:p>
        </w:tc>
        <w:tc>
          <w:tcPr>
            <w:tcW w:w="9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94"/>
              </w:rPr>
              <w:t>136,026</w:t>
            </w: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116</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(4,181)</w:t>
            </w:r>
          </w:p>
        </w:tc>
        <w:tc>
          <w:tcPr>
            <w:tcW w:w="2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4"/>
              </w:rPr>
              <w:t>131,961</w:t>
            </w:r>
          </w:p>
        </w:tc>
      </w:tr>
      <w:tr>
        <w:trPr>
          <w:trHeight w:val="274"/>
        </w:trPr>
        <w:tc>
          <w:tcPr>
            <w:tcW w:w="3480" w:type="dxa"/>
            <w:vAlign w:val="bottom"/>
          </w:tcPr>
          <w:p>
            <w:pPr>
              <w:ind w:left="80"/>
              <w:spacing w:after="0"/>
              <w:rPr>
                <w:sz w:val="20"/>
                <w:szCs w:val="20"/>
                <w:color w:val="auto"/>
              </w:rPr>
            </w:pPr>
            <w:r>
              <w:rPr>
                <w:rFonts w:ascii="Arial" w:cs="Arial" w:eastAsia="Arial" w:hAnsi="Arial"/>
                <w:sz w:val="20"/>
                <w:szCs w:val="20"/>
                <w:color w:val="auto"/>
              </w:rPr>
              <w:t>Mortgage-backed securities</w:t>
            </w:r>
          </w:p>
        </w:tc>
        <w:tc>
          <w:tcPr>
            <w:tcW w:w="94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20"/>
                <w:szCs w:val="20"/>
                <w:color w:val="auto"/>
                <w:w w:val="94"/>
              </w:rPr>
              <w:t>150,081</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1,034</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(7,733)</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94"/>
              </w:rPr>
              <w:t>143,382</w:t>
            </w:r>
          </w:p>
        </w:tc>
      </w:tr>
      <w:tr>
        <w:trPr>
          <w:trHeight w:val="41"/>
        </w:trPr>
        <w:tc>
          <w:tcPr>
            <w:tcW w:w="3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304"/>
        </w:trPr>
        <w:tc>
          <w:tcPr>
            <w:tcW w:w="34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State and local governments</w:t>
            </w:r>
          </w:p>
        </w:tc>
        <w:tc>
          <w:tcPr>
            <w:tcW w:w="9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59,025</w:t>
            </w: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71</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(2,220)</w:t>
            </w:r>
          </w:p>
        </w:tc>
        <w:tc>
          <w:tcPr>
            <w:tcW w:w="2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56,876</w:t>
            </w:r>
          </w:p>
        </w:tc>
      </w:tr>
      <w:tr>
        <w:trPr>
          <w:trHeight w:val="296"/>
        </w:trPr>
        <w:tc>
          <w:tcPr>
            <w:tcW w:w="3480" w:type="dxa"/>
            <w:vAlign w:val="bottom"/>
          </w:tcPr>
          <w:p>
            <w:pPr>
              <w:spacing w:after="0"/>
              <w:rPr>
                <w:sz w:val="20"/>
                <w:szCs w:val="20"/>
                <w:color w:val="auto"/>
              </w:rPr>
            </w:pPr>
            <w:r>
              <w:rPr>
                <w:rFonts w:ascii="Arial" w:cs="Arial" w:eastAsia="Arial" w:hAnsi="Arial"/>
                <w:sz w:val="20"/>
                <w:szCs w:val="20"/>
                <w:color w:val="auto"/>
              </w:rPr>
              <w:t>Total available-for-sale securities</w:t>
            </w:r>
          </w:p>
        </w:tc>
        <w:tc>
          <w:tcPr>
            <w:tcW w:w="940" w:type="dxa"/>
            <w:vAlign w:val="bottom"/>
          </w:tcPr>
          <w:p>
            <w:pPr>
              <w:ind w:left="780"/>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20"/>
              <w:spacing w:after="0"/>
              <w:rPr>
                <w:sz w:val="20"/>
                <w:szCs w:val="20"/>
                <w:color w:val="auto"/>
              </w:rPr>
            </w:pPr>
            <w:r>
              <w:rPr>
                <w:rFonts w:ascii="Arial" w:cs="Arial" w:eastAsia="Arial" w:hAnsi="Arial"/>
                <w:sz w:val="20"/>
                <w:szCs w:val="20"/>
                <w:color w:val="auto"/>
                <w:w w:val="94"/>
              </w:rPr>
              <w:t>437,120</w:t>
            </w:r>
          </w:p>
        </w:tc>
        <w:tc>
          <w:tcPr>
            <w:tcW w:w="260" w:type="dxa"/>
            <w:vAlign w:val="bottom"/>
          </w:tcPr>
          <w:p>
            <w:pPr>
              <w:ind w:lef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1,378</w:t>
            </w:r>
          </w:p>
        </w:tc>
        <w:tc>
          <w:tcPr>
            <w:tcW w:w="240" w:type="dxa"/>
            <w:vAlign w:val="bottom"/>
          </w:tcPr>
          <w:p>
            <w:pPr>
              <w:ind w:left="120"/>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(16,426)</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4"/>
              </w:rPr>
              <w:t>422,072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-2009775</wp:posOffset>
            </wp:positionV>
            <wp:extent cx="2609215"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6">
                      <a:extLst>
                        <a:ext uri="{28A0092B-C50C-407E-A947-70E740481C1C}"/>
                      </a:extLst>
                    </a:blip>
                    <a:srcRect/>
                    <a:stretch>
                      <a:fillRect/>
                    </a:stretch>
                  </pic:blipFill>
                  <pic:spPr bwMode="auto">
                    <a:xfrm>
                      <a:off x="0" y="0"/>
                      <a:ext cx="2609215" cy="635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-1804035</wp:posOffset>
            </wp:positionV>
            <wp:extent cx="2609215"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7">
                      <a:extLst>
                        <a:ext uri="{28A0092B-C50C-407E-A947-70E740481C1C}"/>
                      </a:extLst>
                    </a:blip>
                    <a:srcRect/>
                    <a:stretch>
                      <a:fillRect/>
                    </a:stretch>
                  </pic:blipFill>
                  <pic:spPr bwMode="auto">
                    <a:xfrm>
                      <a:off x="0" y="0"/>
                      <a:ext cx="2609215" cy="635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-1198245</wp:posOffset>
            </wp:positionV>
            <wp:extent cx="2609215"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48">
                      <a:extLst>
                        <a:ext uri="{28A0092B-C50C-407E-A947-70E740481C1C}"/>
                      </a:extLst>
                    </a:blip>
                    <a:srcRect/>
                    <a:stretch>
                      <a:fillRect/>
                    </a:stretch>
                  </pic:blipFill>
                  <pic:spPr bwMode="auto">
                    <a:xfrm>
                      <a:off x="0" y="0"/>
                      <a:ext cx="2609215" cy="635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-193675</wp:posOffset>
            </wp:positionV>
            <wp:extent cx="266192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49">
                      <a:extLst>
                        <a:ext uri="{28A0092B-C50C-407E-A947-70E740481C1C}"/>
                      </a:extLst>
                    </a:blip>
                    <a:srcRect/>
                    <a:stretch>
                      <a:fillRect/>
                    </a:stretch>
                  </pic:blipFill>
                  <pic:spPr bwMode="auto">
                    <a:xfrm>
                      <a:off x="0" y="0"/>
                      <a:ext cx="2661920" cy="6350"/>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11430</wp:posOffset>
            </wp:positionV>
            <wp:extent cx="2609215" cy="285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0">
                      <a:extLst>
                        <a:ext uri="{28A0092B-C50C-407E-A947-70E740481C1C}"/>
                      </a:extLst>
                    </a:blip>
                    <a:srcRect/>
                    <a:stretch>
                      <a:fillRect/>
                    </a:stretch>
                  </pic:blipFill>
                  <pic:spPr bwMode="auto">
                    <a:xfrm>
                      <a:off x="0" y="0"/>
                      <a:ext cx="2609215"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Available-for-Sale:</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20"/>
          <w:szCs w:val="20"/>
          <w:color w:val="auto"/>
        </w:rPr>
        <w:t>U.S. Treasury</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20"/>
          <w:szCs w:val="20"/>
          <w:color w:val="auto"/>
        </w:rPr>
        <w:t>U.S. Government agencies</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20"/>
          <w:szCs w:val="20"/>
          <w:color w:val="auto"/>
        </w:rPr>
        <w:t>Mortgage-backed securities</w:t>
      </w:r>
    </w:p>
    <w:p>
      <w:pPr>
        <w:spacing w:after="0" w:line="75" w:lineRule="exact"/>
        <w:rPr>
          <w:sz w:val="20"/>
          <w:szCs w:val="20"/>
          <w:color w:val="auto"/>
        </w:rPr>
      </w:pPr>
    </w:p>
    <w:p>
      <w:pPr>
        <w:ind w:left="540"/>
        <w:spacing w:after="0"/>
        <w:rPr>
          <w:sz w:val="20"/>
          <w:szCs w:val="20"/>
          <w:color w:val="auto"/>
        </w:rPr>
      </w:pPr>
      <w:r>
        <w:rPr>
          <w:rFonts w:ascii="Arial" w:cs="Arial" w:eastAsia="Arial" w:hAnsi="Arial"/>
          <w:sz w:val="20"/>
          <w:szCs w:val="20"/>
          <w:color w:val="auto"/>
        </w:rPr>
        <w:t>State and local governments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available-for-sale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gridSpan w:val="3"/>
          </w:tcPr>
          <w:p>
            <w:pPr>
              <w:jc w:val="center"/>
              <w:ind w:right="200"/>
              <w:spacing w:after="0"/>
              <w:rPr>
                <w:sz w:val="20"/>
                <w:szCs w:val="20"/>
                <w:color w:val="auto"/>
              </w:rPr>
            </w:pPr>
            <w:r>
              <w:rPr>
                <w:rFonts w:ascii="Arial" w:cs="Arial" w:eastAsia="Arial" w:hAnsi="Arial"/>
                <w:sz w:val="20"/>
                <w:szCs w:val="20"/>
                <w:color w:val="auto"/>
                <w:w w:val="90"/>
              </w:rPr>
              <w:t>(In Thousands)</w:t>
            </w:r>
          </w:p>
        </w:tc>
        <w:tc>
          <w:tcPr>
            <w:tcW w:w="900" w:type="dxa"/>
            <w:vAlign w:val="bottom"/>
          </w:tcPr>
          <w:p>
            <w:pPr>
              <w:spacing w:after="0"/>
              <w:rPr>
                <w:sz w:val="19"/>
                <w:szCs w:val="19"/>
                <w:color w:val="auto"/>
              </w:rPr>
            </w:pPr>
          </w:p>
        </w:tc>
      </w:tr>
      <w:tr>
        <w:trPr>
          <w:trHeight w:val="310"/>
        </w:trPr>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2024</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0"/>
        </w:trPr>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220"/>
              <w:spacing w:after="0"/>
              <w:rPr>
                <w:sz w:val="20"/>
                <w:szCs w:val="20"/>
                <w:color w:val="auto"/>
              </w:rPr>
            </w:pPr>
            <w:r>
              <w:rPr>
                <w:rFonts w:ascii="Arial" w:cs="Arial" w:eastAsia="Arial" w:hAnsi="Arial"/>
                <w:sz w:val="20"/>
                <w:szCs w:val="20"/>
                <w:color w:val="auto"/>
                <w:w w:val="93"/>
              </w:rPr>
              <w:t>Gross</w:t>
            </w:r>
          </w:p>
        </w:tc>
        <w:tc>
          <w:tcPr>
            <w:tcW w:w="240" w:type="dxa"/>
            <w:vAlign w:val="bottom"/>
          </w:tcPr>
          <w:p>
            <w:pPr>
              <w:spacing w:after="0"/>
              <w:rPr>
                <w:sz w:val="24"/>
                <w:szCs w:val="24"/>
                <w:color w:val="auto"/>
              </w:rPr>
            </w:pPr>
          </w:p>
        </w:tc>
        <w:tc>
          <w:tcPr>
            <w:tcW w:w="880" w:type="dxa"/>
            <w:vAlign w:val="bottom"/>
          </w:tcPr>
          <w:p>
            <w:pPr>
              <w:jc w:val="right"/>
              <w:ind w:right="240"/>
              <w:spacing w:after="0"/>
              <w:rPr>
                <w:sz w:val="20"/>
                <w:szCs w:val="20"/>
                <w:color w:val="auto"/>
              </w:rPr>
            </w:pPr>
            <w:r>
              <w:rPr>
                <w:rFonts w:ascii="Arial" w:cs="Arial" w:eastAsia="Arial" w:hAnsi="Arial"/>
                <w:sz w:val="20"/>
                <w:szCs w:val="20"/>
                <w:color w:val="auto"/>
                <w:w w:val="97"/>
              </w:rPr>
              <w:t>Gross</w:t>
            </w:r>
          </w:p>
        </w:tc>
        <w:tc>
          <w:tcPr>
            <w:tcW w:w="900" w:type="dxa"/>
            <w:vAlign w:val="bottom"/>
          </w:tcPr>
          <w:p>
            <w:pPr>
              <w:spacing w:after="0"/>
              <w:rPr>
                <w:sz w:val="24"/>
                <w:szCs w:val="24"/>
                <w:color w:val="auto"/>
              </w:rPr>
            </w:pPr>
          </w:p>
        </w:tc>
      </w:tr>
      <w:tr>
        <w:trPr>
          <w:trHeight w:val="300"/>
        </w:trPr>
        <w:tc>
          <w:tcPr>
            <w:tcW w:w="960" w:type="dxa"/>
            <w:vAlign w:val="bottom"/>
            <w:gridSpan w:val="2"/>
          </w:tcPr>
          <w:p>
            <w:pPr>
              <w:spacing w:after="0"/>
              <w:rPr>
                <w:sz w:val="20"/>
                <w:szCs w:val="20"/>
                <w:color w:val="auto"/>
              </w:rPr>
            </w:pPr>
            <w:r>
              <w:rPr>
                <w:rFonts w:ascii="Arial" w:cs="Arial" w:eastAsia="Arial" w:hAnsi="Arial"/>
                <w:sz w:val="20"/>
                <w:szCs w:val="20"/>
                <w:color w:val="auto"/>
              </w:rPr>
              <w:t>Amortized</w:t>
            </w:r>
          </w:p>
        </w:tc>
        <w:tc>
          <w:tcPr>
            <w:tcW w:w="1100" w:type="dxa"/>
            <w:vAlign w:val="bottom"/>
            <w:gridSpan w:val="2"/>
          </w:tcPr>
          <w:p>
            <w:pPr>
              <w:ind w:left="120"/>
              <w:spacing w:after="0"/>
              <w:rPr>
                <w:sz w:val="20"/>
                <w:szCs w:val="20"/>
                <w:color w:val="auto"/>
              </w:rPr>
            </w:pPr>
            <w:r>
              <w:rPr>
                <w:rFonts w:ascii="Arial" w:cs="Arial" w:eastAsia="Arial" w:hAnsi="Arial"/>
                <w:sz w:val="20"/>
                <w:szCs w:val="20"/>
                <w:color w:val="auto"/>
              </w:rPr>
              <w:t>Unrealized</w:t>
            </w:r>
          </w:p>
        </w:tc>
        <w:tc>
          <w:tcPr>
            <w:tcW w:w="1120" w:type="dxa"/>
            <w:vAlign w:val="bottom"/>
            <w:gridSpan w:val="2"/>
          </w:tcPr>
          <w:p>
            <w:pPr>
              <w:ind w:left="100"/>
              <w:spacing w:after="0"/>
              <w:rPr>
                <w:sz w:val="20"/>
                <w:szCs w:val="20"/>
                <w:color w:val="auto"/>
              </w:rPr>
            </w:pPr>
            <w:r>
              <w:rPr>
                <w:rFonts w:ascii="Arial" w:cs="Arial" w:eastAsia="Arial" w:hAnsi="Arial"/>
                <w:sz w:val="20"/>
                <w:szCs w:val="20"/>
                <w:color w:val="auto"/>
              </w:rPr>
              <w:t>Unrealized</w:t>
            </w:r>
          </w:p>
        </w:tc>
        <w:tc>
          <w:tcPr>
            <w:tcW w:w="900" w:type="dxa"/>
            <w:vAlign w:val="bottom"/>
          </w:tcPr>
          <w:p>
            <w:pPr>
              <w:jc w:val="right"/>
              <w:ind w:right="160"/>
              <w:spacing w:after="0"/>
              <w:rPr>
                <w:sz w:val="20"/>
                <w:szCs w:val="20"/>
                <w:color w:val="auto"/>
              </w:rPr>
            </w:pPr>
            <w:r>
              <w:rPr>
                <w:rFonts w:ascii="Arial" w:cs="Arial" w:eastAsia="Arial" w:hAnsi="Arial"/>
                <w:sz w:val="20"/>
                <w:szCs w:val="20"/>
                <w:color w:val="auto"/>
              </w:rPr>
              <w:t>Fair</w:t>
            </w:r>
          </w:p>
        </w:tc>
      </w:tr>
      <w:tr>
        <w:trPr>
          <w:trHeight w:val="300"/>
        </w:trPr>
        <w:tc>
          <w:tcPr>
            <w:tcW w:w="160" w:type="dxa"/>
            <w:vAlign w:val="bottom"/>
          </w:tcPr>
          <w:p>
            <w:pPr>
              <w:spacing w:after="0"/>
              <w:rPr>
                <w:sz w:val="24"/>
                <w:szCs w:val="24"/>
                <w:color w:val="auto"/>
              </w:rPr>
            </w:pPr>
          </w:p>
        </w:tc>
        <w:tc>
          <w:tcPr>
            <w:tcW w:w="800" w:type="dxa"/>
            <w:vAlign w:val="bottom"/>
          </w:tcPr>
          <w:p>
            <w:pPr>
              <w:jc w:val="right"/>
              <w:ind w:right="240"/>
              <w:spacing w:after="0"/>
              <w:rPr>
                <w:sz w:val="20"/>
                <w:szCs w:val="20"/>
                <w:color w:val="auto"/>
              </w:rPr>
            </w:pPr>
            <w:r>
              <w:rPr>
                <w:rFonts w:ascii="Arial" w:cs="Arial" w:eastAsia="Arial" w:hAnsi="Arial"/>
                <w:sz w:val="20"/>
                <w:szCs w:val="20"/>
                <w:color w:val="auto"/>
              </w:rPr>
              <w:t>Cost</w:t>
            </w:r>
          </w:p>
        </w:tc>
        <w:tc>
          <w:tcPr>
            <w:tcW w:w="260" w:type="dxa"/>
            <w:vAlign w:val="bottom"/>
          </w:tcPr>
          <w:p>
            <w:pPr>
              <w:spacing w:after="0"/>
              <w:rPr>
                <w:sz w:val="24"/>
                <w:szCs w:val="24"/>
                <w:color w:val="auto"/>
              </w:rPr>
            </w:pPr>
          </w:p>
        </w:tc>
        <w:tc>
          <w:tcPr>
            <w:tcW w:w="840" w:type="dxa"/>
            <w:vAlign w:val="bottom"/>
          </w:tcPr>
          <w:p>
            <w:pPr>
              <w:jc w:val="right"/>
              <w:ind w:right="220"/>
              <w:spacing w:after="0"/>
              <w:rPr>
                <w:sz w:val="20"/>
                <w:szCs w:val="20"/>
                <w:color w:val="auto"/>
              </w:rPr>
            </w:pPr>
            <w:r>
              <w:rPr>
                <w:rFonts w:ascii="Arial" w:cs="Arial" w:eastAsia="Arial" w:hAnsi="Arial"/>
                <w:sz w:val="20"/>
                <w:szCs w:val="20"/>
                <w:color w:val="auto"/>
                <w:w w:val="95"/>
              </w:rPr>
              <w:t>Gains</w:t>
            </w:r>
          </w:p>
        </w:tc>
        <w:tc>
          <w:tcPr>
            <w:tcW w:w="240" w:type="dxa"/>
            <w:vAlign w:val="bottom"/>
          </w:tcPr>
          <w:p>
            <w:pPr>
              <w:spacing w:after="0"/>
              <w:rPr>
                <w:sz w:val="24"/>
                <w:szCs w:val="24"/>
                <w:color w:val="auto"/>
              </w:rPr>
            </w:pPr>
          </w:p>
        </w:tc>
        <w:tc>
          <w:tcPr>
            <w:tcW w:w="880" w:type="dxa"/>
            <w:vAlign w:val="bottom"/>
          </w:tcPr>
          <w:p>
            <w:pPr>
              <w:jc w:val="right"/>
              <w:ind w:right="200"/>
              <w:spacing w:after="0"/>
              <w:rPr>
                <w:sz w:val="20"/>
                <w:szCs w:val="20"/>
                <w:color w:val="auto"/>
              </w:rPr>
            </w:pPr>
            <w:r>
              <w:rPr>
                <w:rFonts w:ascii="Arial" w:cs="Arial" w:eastAsia="Arial" w:hAnsi="Arial"/>
                <w:sz w:val="20"/>
                <w:szCs w:val="20"/>
                <w:color w:val="auto"/>
                <w:w w:val="88"/>
              </w:rPr>
              <w:t>Losses</w:t>
            </w:r>
          </w:p>
        </w:tc>
        <w:tc>
          <w:tcPr>
            <w:tcW w:w="900" w:type="dxa"/>
            <w:vAlign w:val="bottom"/>
          </w:tcPr>
          <w:p>
            <w:pPr>
              <w:jc w:val="right"/>
              <w:ind w:right="80"/>
              <w:spacing w:after="0"/>
              <w:rPr>
                <w:sz w:val="20"/>
                <w:szCs w:val="20"/>
                <w:color w:val="auto"/>
              </w:rPr>
            </w:pPr>
            <w:r>
              <w:rPr>
                <w:rFonts w:ascii="Arial" w:cs="Arial" w:eastAsia="Arial" w:hAnsi="Arial"/>
                <w:sz w:val="20"/>
                <w:szCs w:val="20"/>
                <w:color w:val="auto"/>
              </w:rPr>
              <w:t>Value</w:t>
            </w:r>
          </w:p>
        </w:tc>
      </w:tr>
      <w:tr>
        <w:trPr>
          <w:trHeight w:val="61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4"/>
              </w:rPr>
              <w:t>111,397</w:t>
            </w:r>
          </w:p>
        </w:tc>
        <w:tc>
          <w:tcPr>
            <w:tcW w:w="260" w:type="dxa"/>
            <w:vAlign w:val="bottom"/>
          </w:tcPr>
          <w:p>
            <w:pPr>
              <w:ind w:lef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17</w:t>
            </w:r>
          </w:p>
        </w:tc>
        <w:tc>
          <w:tcPr>
            <w:tcW w:w="240" w:type="dxa"/>
            <w:vAlign w:val="bottom"/>
          </w:tcPr>
          <w:p>
            <w:pPr>
              <w:ind w:left="10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(5,415)</w:t>
            </w:r>
          </w:p>
        </w:tc>
        <w:tc>
          <w:tcPr>
            <w:tcW w:w="900" w:type="dxa"/>
            <w:vAlign w:val="bottom"/>
          </w:tcPr>
          <w:p>
            <w:pPr>
              <w:jc w:val="right"/>
              <w:spacing w:after="0"/>
              <w:rPr>
                <w:sz w:val="20"/>
                <w:szCs w:val="20"/>
                <w:color w:val="auto"/>
              </w:rPr>
            </w:pPr>
            <w:r>
              <w:rPr>
                <w:rFonts w:ascii="Arial" w:cs="Arial" w:eastAsia="Arial" w:hAnsi="Arial"/>
                <w:sz w:val="20"/>
                <w:szCs w:val="20"/>
                <w:color w:val="auto"/>
                <w:w w:val="98"/>
              </w:rPr>
              <w:t>$ 105,999</w:t>
            </w:r>
          </w:p>
        </w:tc>
      </w:tr>
      <w:tr>
        <w:trPr>
          <w:trHeight w:val="300"/>
        </w:trPr>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94"/>
              </w:rPr>
              <w:t>144,660</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(9,494)</w:t>
            </w:r>
          </w:p>
        </w:tc>
        <w:tc>
          <w:tcPr>
            <w:tcW w:w="900" w:type="dxa"/>
            <w:vAlign w:val="bottom"/>
          </w:tcPr>
          <w:p>
            <w:pPr>
              <w:jc w:val="right"/>
              <w:spacing w:after="0"/>
              <w:rPr>
                <w:sz w:val="20"/>
                <w:szCs w:val="20"/>
                <w:color w:val="auto"/>
              </w:rPr>
            </w:pPr>
            <w:r>
              <w:rPr>
                <w:rFonts w:ascii="Arial" w:cs="Arial" w:eastAsia="Arial" w:hAnsi="Arial"/>
                <w:sz w:val="20"/>
                <w:szCs w:val="20"/>
                <w:color w:val="auto"/>
              </w:rPr>
              <w:t>135,166</w:t>
            </w:r>
          </w:p>
        </w:tc>
      </w:tr>
      <w:tr>
        <w:trPr>
          <w:trHeight w:val="300"/>
        </w:trPr>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94"/>
              </w:rPr>
              <w:t>133,268</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17</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(12,654)</w:t>
            </w:r>
          </w:p>
        </w:tc>
        <w:tc>
          <w:tcPr>
            <w:tcW w:w="900" w:type="dxa"/>
            <w:vAlign w:val="bottom"/>
          </w:tcPr>
          <w:p>
            <w:pPr>
              <w:jc w:val="right"/>
              <w:spacing w:after="0"/>
              <w:rPr>
                <w:sz w:val="20"/>
                <w:szCs w:val="20"/>
                <w:color w:val="auto"/>
              </w:rPr>
            </w:pPr>
            <w:r>
              <w:rPr>
                <w:rFonts w:ascii="Arial" w:cs="Arial" w:eastAsia="Arial" w:hAnsi="Arial"/>
                <w:sz w:val="20"/>
                <w:szCs w:val="20"/>
                <w:color w:val="auto"/>
              </w:rPr>
              <w:t>120,631</w:t>
            </w:r>
          </w:p>
        </w:tc>
      </w:tr>
      <w:tr>
        <w:trPr>
          <w:trHeight w:val="300"/>
        </w:trPr>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69,159</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28</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(4,427)</w:t>
            </w:r>
          </w:p>
        </w:tc>
        <w:tc>
          <w:tcPr>
            <w:tcW w:w="900" w:type="dxa"/>
            <w:vAlign w:val="bottom"/>
          </w:tcPr>
          <w:p>
            <w:pPr>
              <w:jc w:val="right"/>
              <w:spacing w:after="0"/>
              <w:rPr>
                <w:sz w:val="20"/>
                <w:szCs w:val="20"/>
                <w:color w:val="auto"/>
              </w:rPr>
            </w:pPr>
            <w:r>
              <w:rPr>
                <w:rFonts w:ascii="Arial" w:cs="Arial" w:eastAsia="Arial" w:hAnsi="Arial"/>
                <w:sz w:val="20"/>
                <w:szCs w:val="20"/>
                <w:color w:val="auto"/>
              </w:rPr>
              <w:t>64,760</w:t>
            </w:r>
          </w:p>
        </w:tc>
      </w:tr>
      <w:tr>
        <w:trPr>
          <w:trHeight w:val="31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4"/>
              </w:rPr>
              <w:t>458,484</w:t>
            </w:r>
          </w:p>
        </w:tc>
        <w:tc>
          <w:tcPr>
            <w:tcW w:w="260" w:type="dxa"/>
            <w:vAlign w:val="bottom"/>
          </w:tcPr>
          <w:p>
            <w:pPr>
              <w:ind w:left="10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62</w:t>
            </w:r>
          </w:p>
        </w:tc>
        <w:tc>
          <w:tcPr>
            <w:tcW w:w="240" w:type="dxa"/>
            <w:vAlign w:val="bottom"/>
          </w:tcPr>
          <w:p>
            <w:pPr>
              <w:ind w:left="10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(31,990)</w:t>
            </w:r>
          </w:p>
        </w:tc>
        <w:tc>
          <w:tcPr>
            <w:tcW w:w="900" w:type="dxa"/>
            <w:vAlign w:val="bottom"/>
          </w:tcPr>
          <w:p>
            <w:pPr>
              <w:jc w:val="right"/>
              <w:spacing w:after="0"/>
              <w:rPr>
                <w:sz w:val="20"/>
                <w:szCs w:val="20"/>
                <w:color w:val="auto"/>
              </w:rPr>
            </w:pPr>
            <w:r>
              <w:rPr>
                <w:rFonts w:ascii="Arial" w:cs="Arial" w:eastAsia="Arial" w:hAnsi="Arial"/>
                <w:sz w:val="20"/>
                <w:szCs w:val="20"/>
                <w:color w:val="auto"/>
                <w:w w:val="98"/>
              </w:rPr>
              <w:t>$ 426,556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-2727325</wp:posOffset>
            </wp:positionH>
            <wp:positionV relativeFrom="paragraph">
              <wp:posOffset>-1903730</wp:posOffset>
            </wp:positionV>
            <wp:extent cx="5370830" cy="13525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1">
                      <a:extLst>
                        <a:ext uri="{28A0092B-C50C-407E-A947-70E740481C1C}"/>
                      </a:extLst>
                    </a:blip>
                    <a:srcRect/>
                    <a:stretch>
                      <a:fillRect/>
                    </a:stretch>
                  </pic:blipFill>
                  <pic:spPr bwMode="auto">
                    <a:xfrm>
                      <a:off x="0" y="0"/>
                      <a:ext cx="5370830" cy="1352550"/>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-360680</wp:posOffset>
            </wp:positionV>
            <wp:extent cx="5370830" cy="1968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2">
                      <a:extLst>
                        <a:ext uri="{28A0092B-C50C-407E-A947-70E740481C1C}"/>
                      </a:extLst>
                    </a:blip>
                    <a:srcRect/>
                    <a:stretch>
                      <a:fillRect/>
                    </a:stretch>
                  </pic:blipFill>
                  <pic:spPr bwMode="auto">
                    <a:xfrm>
                      <a:off x="0" y="0"/>
                      <a:ext cx="537083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2584450" cy="285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3">
                      <a:extLst>
                        <a:ext uri="{28A0092B-C50C-407E-A947-70E740481C1C}"/>
                      </a:extLst>
                    </a:blip>
                    <a:srcRect/>
                    <a:stretch>
                      <a:fillRect/>
                    </a:stretch>
                  </pic:blipFill>
                  <pic:spPr bwMode="auto">
                    <a:xfrm>
                      <a:off x="0" y="0"/>
                      <a:ext cx="2584450" cy="2857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4040" w:space="720"/>
            <w:col w:w="4640"/>
          </w:cols>
          <w:pgMar w:left="1260" w:top="1440" w:right="1246" w:bottom="0" w:gutter="0" w:footer="0" w:header="0"/>
          <w:type w:val="continuous"/>
        </w:sectPr>
      </w:pPr>
    </w:p>
    <w:p>
      <w:pPr>
        <w:spacing w:after="0" w:line="193" w:lineRule="exact"/>
        <w:rPr>
          <w:sz w:val="20"/>
          <w:szCs w:val="20"/>
          <w:color w:val="auto"/>
        </w:rPr>
      </w:pPr>
    </w:p>
    <w:p>
      <w:pPr>
        <w:jc w:val="both"/>
        <w:ind w:left="620" w:right="60"/>
        <w:spacing w:after="0" w:line="307" w:lineRule="auto"/>
        <w:rPr>
          <w:sz w:val="20"/>
          <w:szCs w:val="20"/>
          <w:color w:val="auto"/>
        </w:rPr>
      </w:pPr>
      <w:r>
        <w:rPr>
          <w:rFonts w:ascii="Arial" w:cs="Arial" w:eastAsia="Arial" w:hAnsi="Arial"/>
          <w:sz w:val="20"/>
          <w:szCs w:val="20"/>
          <w:color w:val="auto"/>
        </w:rPr>
        <w:t>Information pertaining to securities with gross unrealized losses at December 31, 2025 and 2024, aggregated by investment category and length of time that individual securities have been in a continuous loss position are as follows:</w:t>
      </w:r>
    </w:p>
    <w:p>
      <w:pPr>
        <w:spacing w:after="0" w:line="352" w:lineRule="exact"/>
        <w:rPr>
          <w:sz w:val="20"/>
          <w:szCs w:val="20"/>
          <w:color w:val="auto"/>
        </w:rPr>
      </w:pPr>
    </w:p>
    <w:p>
      <w:pPr>
        <w:jc w:val="center"/>
        <w:ind w:left="4180"/>
        <w:spacing w:after="0"/>
        <w:rPr>
          <w:sz w:val="20"/>
          <w:szCs w:val="20"/>
          <w:color w:val="auto"/>
        </w:rPr>
      </w:pPr>
      <w:r>
        <w:rPr>
          <w:rFonts w:ascii="Arial" w:cs="Arial" w:eastAsia="Arial" w:hAnsi="Arial"/>
          <w:sz w:val="20"/>
          <w:szCs w:val="20"/>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26035</wp:posOffset>
            </wp:positionV>
            <wp:extent cx="260223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4">
                      <a:extLst>
                        <a:ext uri="{28A0092B-C50C-407E-A947-70E740481C1C}"/>
                      </a:extLst>
                    </a:blip>
                    <a:srcRect/>
                    <a:stretch>
                      <a:fillRect/>
                    </a:stretch>
                  </pic:blipFill>
                  <pic:spPr bwMode="auto">
                    <a:xfrm>
                      <a:off x="0" y="0"/>
                      <a:ext cx="2602230" cy="6350"/>
                    </a:xfrm>
                    <a:prstGeom prst="rect">
                      <a:avLst/>
                    </a:prstGeom>
                    <a:noFill/>
                  </pic:spPr>
                </pic:pic>
              </a:graphicData>
            </a:graphic>
          </wp:anchor>
        </w:drawing>
      </w:r>
    </w:p>
    <w:p>
      <w:pPr>
        <w:spacing w:after="0" w:line="74" w:lineRule="exact"/>
        <w:rPr>
          <w:sz w:val="20"/>
          <w:szCs w:val="20"/>
          <w:color w:val="auto"/>
        </w:rPr>
      </w:pPr>
    </w:p>
    <w:p>
      <w:pPr>
        <w:jc w:val="center"/>
        <w:ind w:left="4180"/>
        <w:spacing w:after="0"/>
        <w:rPr>
          <w:sz w:val="20"/>
          <w:szCs w:val="20"/>
          <w:color w:val="auto"/>
        </w:rPr>
      </w:pPr>
      <w:r>
        <w:rPr>
          <w:rFonts w:ascii="Arial" w:cs="Arial" w:eastAsia="Arial" w:hAnsi="Arial"/>
          <w:sz w:val="20"/>
          <w:szCs w:val="20"/>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26035</wp:posOffset>
            </wp:positionV>
            <wp:extent cx="2602230"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5">
                      <a:extLst>
                        <a:ext uri="{28A0092B-C50C-407E-A947-70E740481C1C}"/>
                      </a:extLst>
                    </a:blip>
                    <a:srcRect/>
                    <a:stretch>
                      <a:fillRect/>
                    </a:stretch>
                  </pic:blipFill>
                  <pic:spPr bwMode="auto">
                    <a:xfrm>
                      <a:off x="0" y="0"/>
                      <a:ext cx="2602230" cy="6350"/>
                    </a:xfrm>
                    <a:prstGeom prst="rect">
                      <a:avLst/>
                    </a:prstGeom>
                    <a:noFill/>
                  </pic:spPr>
                </pic:pic>
              </a:graphicData>
            </a:graphic>
          </wp:anchor>
        </w:drawing>
      </w:r>
    </w:p>
    <w:p>
      <w:pPr>
        <w:spacing w:after="0" w:line="74"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Less Than Twelve</w:t>
      </w:r>
    </w:p>
    <w:p>
      <w:pPr>
        <w:spacing w:after="0" w:line="70" w:lineRule="exact"/>
        <w:rPr>
          <w:sz w:val="20"/>
          <w:szCs w:val="20"/>
          <w:color w:val="auto"/>
        </w:rPr>
      </w:pPr>
    </w:p>
    <w:p>
      <w:pPr>
        <w:ind w:left="5400"/>
        <w:spacing w:after="0"/>
        <w:tabs>
          <w:tab w:leader="none" w:pos="6880" w:val="left"/>
        </w:tabs>
        <w:rPr>
          <w:sz w:val="20"/>
          <w:szCs w:val="20"/>
          <w:color w:val="auto"/>
        </w:rPr>
      </w:pPr>
      <w:r>
        <w:rPr>
          <w:rFonts w:ascii="Arial" w:cs="Arial" w:eastAsia="Arial" w:hAnsi="Arial"/>
          <w:sz w:val="20"/>
          <w:szCs w:val="20"/>
          <w:color w:val="auto"/>
        </w:rPr>
        <w:t>Months</w:t>
      </w:r>
      <w:r>
        <w:rPr>
          <w:sz w:val="20"/>
          <w:szCs w:val="20"/>
          <w:color w:val="auto"/>
        </w:rPr>
        <w:tab/>
      </w:r>
      <w:r>
        <w:rPr>
          <w:rFonts w:ascii="Arial" w:cs="Arial" w:eastAsia="Arial" w:hAnsi="Arial"/>
          <w:sz w:val="20"/>
          <w:szCs w:val="20"/>
          <w:color w:val="auto"/>
        </w:rPr>
        <w:t>Twelve Months &amp;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26035</wp:posOffset>
            </wp:positionV>
            <wp:extent cx="2602230"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6">
                      <a:extLst>
                        <a:ext uri="{28A0092B-C50C-407E-A947-70E740481C1C}"/>
                      </a:extLst>
                    </a:blip>
                    <a:srcRect/>
                    <a:stretch>
                      <a:fillRect/>
                    </a:stretch>
                  </pic:blipFill>
                  <pic:spPr bwMode="auto">
                    <a:xfrm>
                      <a:off x="0" y="0"/>
                      <a:ext cx="2602230" cy="6350"/>
                    </a:xfrm>
                    <a:prstGeom prst="rect">
                      <a:avLst/>
                    </a:prstGeom>
                    <a:noFill/>
                  </pic:spPr>
                </pic:pic>
              </a:graphicData>
            </a:graphic>
          </wp:anchor>
        </w:drawing>
      </w:r>
    </w:p>
    <w:p>
      <w:pPr>
        <w:spacing w:after="0" w:line="74" w:lineRule="exact"/>
        <w:rPr>
          <w:sz w:val="20"/>
          <w:szCs w:val="20"/>
          <w:color w:val="auto"/>
        </w:rPr>
      </w:pPr>
    </w:p>
    <w:p>
      <w:pPr>
        <w:ind w:left="4960"/>
        <w:spacing w:after="0"/>
        <w:tabs>
          <w:tab w:leader="none" w:pos="7080" w:val="left"/>
        </w:tabs>
        <w:rPr>
          <w:sz w:val="20"/>
          <w:szCs w:val="20"/>
          <w:color w:val="auto"/>
        </w:rPr>
      </w:pPr>
      <w:r>
        <w:rPr>
          <w:rFonts w:ascii="Arial" w:cs="Arial" w:eastAsia="Arial" w:hAnsi="Arial"/>
          <w:sz w:val="20"/>
          <w:szCs w:val="20"/>
          <w:color w:val="auto"/>
        </w:rPr>
        <w:t>Gross</w:t>
      </w:r>
      <w:r>
        <w:rPr>
          <w:sz w:val="20"/>
          <w:szCs w:val="20"/>
          <w:color w:val="auto"/>
        </w:rPr>
        <w:tab/>
      </w:r>
      <w:r>
        <w:rPr>
          <w:rFonts w:ascii="Arial" w:cs="Arial" w:eastAsia="Arial" w:hAnsi="Arial"/>
          <w:sz w:val="20"/>
          <w:szCs w:val="20"/>
          <w:color w:val="auto"/>
        </w:rPr>
        <w:t>Gross</w:t>
      </w:r>
    </w:p>
    <w:p>
      <w:pPr>
        <w:spacing w:after="0" w:line="84" w:lineRule="exact"/>
        <w:rPr>
          <w:sz w:val="20"/>
          <w:szCs w:val="20"/>
          <w:color w:val="auto"/>
        </w:rPr>
      </w:pPr>
    </w:p>
    <w:p>
      <w:pPr>
        <w:ind w:left="4740"/>
        <w:spacing w:after="0"/>
        <w:tabs>
          <w:tab w:leader="none" w:pos="6080" w:val="left"/>
          <w:tab w:leader="none" w:pos="6880" w:val="left"/>
          <w:tab w:leader="none" w:pos="8220" w:val="left"/>
        </w:tabs>
        <w:rPr>
          <w:sz w:val="20"/>
          <w:szCs w:val="20"/>
          <w:color w:val="auto"/>
        </w:rPr>
      </w:pPr>
      <w:r>
        <w:rPr>
          <w:rFonts w:ascii="Arial" w:cs="Arial" w:eastAsia="Arial" w:hAnsi="Arial"/>
          <w:sz w:val="20"/>
          <w:szCs w:val="20"/>
          <w:color w:val="auto"/>
        </w:rPr>
        <w:t>Unrealized</w:t>
      </w:r>
      <w:r>
        <w:rPr>
          <w:sz w:val="20"/>
          <w:szCs w:val="20"/>
          <w:color w:val="auto"/>
        </w:rPr>
        <w:tab/>
      </w:r>
      <w:r>
        <w:rPr>
          <w:rFonts w:ascii="Arial" w:cs="Arial" w:eastAsia="Arial" w:hAnsi="Arial"/>
          <w:sz w:val="20"/>
          <w:szCs w:val="20"/>
          <w:color w:val="auto"/>
        </w:rPr>
        <w:t>Fair</w:t>
      </w:r>
      <w:r>
        <w:rPr>
          <w:sz w:val="20"/>
          <w:szCs w:val="20"/>
          <w:color w:val="auto"/>
        </w:rPr>
        <w:tab/>
      </w:r>
      <w:r>
        <w:rPr>
          <w:rFonts w:ascii="Arial" w:cs="Arial" w:eastAsia="Arial" w:hAnsi="Arial"/>
          <w:sz w:val="20"/>
          <w:szCs w:val="20"/>
          <w:color w:val="auto"/>
        </w:rPr>
        <w:t>Unrealized</w:t>
      </w:r>
      <w:r>
        <w:rPr>
          <w:sz w:val="20"/>
          <w:szCs w:val="20"/>
          <w:color w:val="auto"/>
        </w:rPr>
        <w:tab/>
      </w:r>
      <w:r>
        <w:rPr>
          <w:rFonts w:ascii="Arial" w:cs="Arial" w:eastAsia="Arial" w:hAnsi="Arial"/>
          <w:sz w:val="18"/>
          <w:szCs w:val="18"/>
          <w:color w:val="auto"/>
        </w:rPr>
        <w:t>Fair</w:t>
      </w:r>
    </w:p>
    <w:p>
      <w:pPr>
        <w:sectPr>
          <w:pgSz w:w="11900" w:h="16838" w:orient="portrait"/>
          <w:cols w:equalWidth="0" w:num="1">
            <w:col w:w="940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17</w:t>
      </w:r>
    </w:p>
    <w:p>
      <w:pPr>
        <w:sectPr>
          <w:pgSz w:w="11900" w:h="16838" w:orient="portrait"/>
          <w:cols w:equalWidth="0" w:num="1">
            <w:col w:w="9400"/>
          </w:cols>
          <w:pgMar w:left="1260" w:top="1440" w:right="1246" w:bottom="0" w:gutter="0" w:footer="0" w:header="0"/>
          <w:type w:val="continuous"/>
        </w:sectPr>
      </w:pPr>
    </w:p>
    <w:bookmarkStart w:id="153" w:name="page154"/>
    <w:bookmarkEnd w:id="153"/>
    <w:tbl>
      <w:tblPr>
        <w:tblLayout w:type="fixed"/>
        <w:tblInd w:w="28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jc w:val="right"/>
              <w:ind w:right="220"/>
              <w:spacing w:after="0"/>
              <w:rPr>
                <w:sz w:val="20"/>
                <w:szCs w:val="20"/>
                <w:color w:val="auto"/>
              </w:rPr>
            </w:pPr>
            <w:r>
              <w:rPr>
                <w:rFonts w:ascii="Arial" w:cs="Arial" w:eastAsia="Arial" w:hAnsi="Arial"/>
                <w:sz w:val="20"/>
                <w:szCs w:val="20"/>
                <w:color w:val="auto"/>
                <w:w w:val="88"/>
              </w:rPr>
              <w:t>Losses</w:t>
            </w:r>
          </w:p>
        </w:tc>
        <w:tc>
          <w:tcPr>
            <w:tcW w:w="200" w:type="dxa"/>
            <w:vAlign w:val="bottom"/>
          </w:tcPr>
          <w:p>
            <w:pPr>
              <w:spacing w:after="0"/>
              <w:rPr>
                <w:sz w:val="19"/>
                <w:szCs w:val="19"/>
                <w:color w:val="auto"/>
              </w:rPr>
            </w:pPr>
          </w:p>
        </w:tc>
        <w:tc>
          <w:tcPr>
            <w:tcW w:w="800" w:type="dxa"/>
            <w:vAlign w:val="bottom"/>
          </w:tcPr>
          <w:p>
            <w:pPr>
              <w:jc w:val="right"/>
              <w:ind w:right="180"/>
              <w:spacing w:after="0"/>
              <w:rPr>
                <w:sz w:val="20"/>
                <w:szCs w:val="20"/>
                <w:color w:val="auto"/>
              </w:rPr>
            </w:pPr>
            <w:r>
              <w:rPr>
                <w:rFonts w:ascii="Arial" w:cs="Arial" w:eastAsia="Arial" w:hAnsi="Arial"/>
                <w:sz w:val="20"/>
                <w:szCs w:val="20"/>
                <w:color w:val="auto"/>
                <w:w w:val="97"/>
              </w:rPr>
              <w:t>Value</w:t>
            </w:r>
          </w:p>
        </w:tc>
        <w:tc>
          <w:tcPr>
            <w:tcW w:w="240" w:type="dxa"/>
            <w:vAlign w:val="bottom"/>
          </w:tcPr>
          <w:p>
            <w:pPr>
              <w:spacing w:after="0"/>
              <w:rPr>
                <w:sz w:val="19"/>
                <w:szCs w:val="19"/>
                <w:color w:val="auto"/>
              </w:rPr>
            </w:pPr>
          </w:p>
        </w:tc>
        <w:tc>
          <w:tcPr>
            <w:tcW w:w="900" w:type="dxa"/>
            <w:vAlign w:val="bottom"/>
          </w:tcPr>
          <w:p>
            <w:pPr>
              <w:jc w:val="right"/>
              <w:ind w:right="220"/>
              <w:spacing w:after="0"/>
              <w:rPr>
                <w:sz w:val="20"/>
                <w:szCs w:val="20"/>
                <w:color w:val="auto"/>
              </w:rPr>
            </w:pPr>
            <w:r>
              <w:rPr>
                <w:rFonts w:ascii="Arial" w:cs="Arial" w:eastAsia="Arial" w:hAnsi="Arial"/>
                <w:sz w:val="20"/>
                <w:szCs w:val="20"/>
                <w:color w:val="auto"/>
                <w:w w:val="88"/>
              </w:rPr>
              <w:t>Losses</w:t>
            </w:r>
          </w:p>
        </w:tc>
        <w:tc>
          <w:tcPr>
            <w:tcW w:w="200" w:type="dxa"/>
            <w:vAlign w:val="bottom"/>
          </w:tcPr>
          <w:p>
            <w:pPr>
              <w:spacing w:after="0"/>
              <w:rPr>
                <w:sz w:val="19"/>
                <w:szCs w:val="19"/>
                <w:color w:val="auto"/>
              </w:rPr>
            </w:pPr>
          </w:p>
        </w:tc>
        <w:tc>
          <w:tcPr>
            <w:tcW w:w="800" w:type="dxa"/>
            <w:vAlign w:val="bottom"/>
          </w:tcPr>
          <w:p>
            <w:pPr>
              <w:jc w:val="right"/>
              <w:ind w:right="180"/>
              <w:spacing w:after="0"/>
              <w:rPr>
                <w:sz w:val="20"/>
                <w:szCs w:val="20"/>
                <w:color w:val="auto"/>
              </w:rPr>
            </w:pPr>
            <w:r>
              <w:rPr>
                <w:rFonts w:ascii="Arial" w:cs="Arial" w:eastAsia="Arial" w:hAnsi="Arial"/>
                <w:sz w:val="20"/>
                <w:szCs w:val="20"/>
                <w:color w:val="auto"/>
                <w:w w:val="97"/>
              </w:rPr>
              <w:t>Value</w:t>
            </w:r>
          </w:p>
        </w:tc>
      </w:tr>
      <w:tr>
        <w:trPr>
          <w:trHeight w:val="51"/>
        </w:trPr>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94"/>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U.S. Treasury</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7,038</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(2,287)</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50,161</w:t>
            </w:r>
          </w:p>
        </w:tc>
      </w:tr>
      <w:tr>
        <w:trPr>
          <w:trHeight w:val="274"/>
        </w:trPr>
        <w:tc>
          <w:tcPr>
            <w:tcW w:w="3520" w:type="dxa"/>
            <w:vAlign w:val="bottom"/>
          </w:tcPr>
          <w:p>
            <w:pPr>
              <w:spacing w:after="0"/>
              <w:rPr>
                <w:sz w:val="20"/>
                <w:szCs w:val="20"/>
                <w:color w:val="auto"/>
              </w:rPr>
            </w:pPr>
            <w:r>
              <w:rPr>
                <w:rFonts w:ascii="Arial" w:cs="Arial" w:eastAsia="Arial" w:hAnsi="Arial"/>
                <w:sz w:val="20"/>
                <w:szCs w:val="20"/>
                <w:color w:val="auto"/>
              </w:rPr>
              <w:t>U.S. Government agencies</w:t>
            </w:r>
          </w:p>
        </w:tc>
        <w:tc>
          <w:tcPr>
            <w:tcW w:w="90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(4,181)</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94"/>
              </w:rPr>
              <w:t>120,103</w:t>
            </w:r>
          </w:p>
        </w:tc>
      </w:tr>
      <w:tr>
        <w:trPr>
          <w:trHeight w:val="41"/>
        </w:trPr>
        <w:tc>
          <w:tcPr>
            <w:tcW w:w="3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Mortgage-backed securities</w:t>
            </w:r>
          </w:p>
        </w:tc>
        <w:tc>
          <w:tcPr>
            <w:tcW w:w="9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w:t>
            </w:r>
          </w:p>
        </w:tc>
        <w:tc>
          <w:tcPr>
            <w:tcW w:w="2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8,214</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(7,683)</w:t>
            </w:r>
          </w:p>
        </w:tc>
        <w:tc>
          <w:tcPr>
            <w:tcW w:w="2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59,386</w:t>
            </w:r>
          </w:p>
        </w:tc>
      </w:tr>
      <w:tr>
        <w:trPr>
          <w:trHeight w:val="279"/>
        </w:trPr>
        <w:tc>
          <w:tcPr>
            <w:tcW w:w="3520" w:type="dxa"/>
            <w:vAlign w:val="bottom"/>
          </w:tcPr>
          <w:p>
            <w:pPr>
              <w:spacing w:after="0"/>
              <w:rPr>
                <w:sz w:val="20"/>
                <w:szCs w:val="20"/>
                <w:color w:val="auto"/>
              </w:rPr>
            </w:pPr>
            <w:r>
              <w:rPr>
                <w:rFonts w:ascii="Arial" w:cs="Arial" w:eastAsia="Arial" w:hAnsi="Arial"/>
                <w:sz w:val="20"/>
                <w:szCs w:val="20"/>
                <w:color w:val="auto"/>
              </w:rPr>
              <w:t>State and local governments</w:t>
            </w:r>
          </w:p>
        </w:tc>
        <w:tc>
          <w:tcPr>
            <w:tcW w:w="9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2,534</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(2,214)</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45,202</w:t>
            </w:r>
          </w:p>
        </w:tc>
      </w:tr>
      <w:tr>
        <w:trPr>
          <w:trHeight w:val="46"/>
        </w:trPr>
        <w:tc>
          <w:tcPr>
            <w:tcW w:w="3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6"/>
        </w:trPr>
        <w:tc>
          <w:tcPr>
            <w:tcW w:w="3520" w:type="dxa"/>
            <w:vAlign w:val="bottom"/>
            <w:shd w:val="clear" w:color="auto" w:fill="CFF0FC"/>
          </w:tcPr>
          <w:p>
            <w:pPr>
              <w:spacing w:after="0"/>
              <w:rPr>
                <w:sz w:val="20"/>
                <w:szCs w:val="20"/>
                <w:color w:val="auto"/>
              </w:rPr>
            </w:pPr>
            <w:r>
              <w:rPr>
                <w:rFonts w:ascii="Arial" w:cs="Arial" w:eastAsia="Arial" w:hAnsi="Arial"/>
                <w:sz w:val="20"/>
                <w:szCs w:val="20"/>
                <w:color w:val="auto"/>
              </w:rPr>
              <w:t>Total available-for-sales securities</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17,786</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(16,365)</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274,852</w:t>
            </w:r>
          </w:p>
        </w:tc>
      </w:tr>
      <w:tr>
        <w:trPr>
          <w:trHeight w:val="63"/>
        </w:trPr>
        <w:tc>
          <w:tcPr>
            <w:tcW w:w="35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-1038860</wp:posOffset>
            </wp:positionV>
            <wp:extent cx="2602230"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7">
                      <a:extLst>
                        <a:ext uri="{28A0092B-C50C-407E-A947-70E740481C1C}"/>
                      </a:extLst>
                    </a:blip>
                    <a:srcRect/>
                    <a:stretch>
                      <a:fillRect/>
                    </a:stretch>
                  </pic:blipFill>
                  <pic:spPr bwMode="auto">
                    <a:xfrm>
                      <a:off x="0" y="0"/>
                      <a:ext cx="2602230" cy="6350"/>
                    </a:xfrm>
                    <a:prstGeom prst="rect">
                      <a:avLst/>
                    </a:prstGeom>
                    <a:noFill/>
                  </pic:spPr>
                </pic:pic>
              </a:graphicData>
            </a:graphic>
          </wp:anchor>
        </w:drawing>
        <w:drawing>
          <wp:anchor simplePos="0" relativeHeight="251657728" behindDoc="1" locked="0" layoutInCell="0" allowOverlap="1">
            <wp:simplePos x="0" y="0"/>
            <wp:positionH relativeFrom="column">
              <wp:posOffset>2896235</wp:posOffset>
            </wp:positionH>
            <wp:positionV relativeFrom="paragraph">
              <wp:posOffset>-233680</wp:posOffset>
            </wp:positionV>
            <wp:extent cx="2602230"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58">
                      <a:extLst>
                        <a:ext uri="{28A0092B-C50C-407E-A947-70E740481C1C}"/>
                      </a:extLst>
                    </a:blip>
                    <a:srcRect/>
                    <a:stretch>
                      <a:fillRect/>
                    </a:stretch>
                  </pic:blipFill>
                  <pic:spPr bwMode="auto">
                    <a:xfrm>
                      <a:off x="0" y="0"/>
                      <a:ext cx="2602230" cy="6350"/>
                    </a:xfrm>
                    <a:prstGeom prst="rect">
                      <a:avLst/>
                    </a:prstGeom>
                    <a:noFill/>
                  </pic:spPr>
                </pic:pic>
              </a:graphicData>
            </a:graphic>
          </wp:anchor>
        </w:drawing>
        <w:drawing>
          <wp:anchor simplePos="0" relativeHeight="251657728" behindDoc="1" locked="0" layoutInCell="0" allowOverlap="1">
            <wp:simplePos x="0" y="0"/>
            <wp:positionH relativeFrom="column">
              <wp:posOffset>2896235</wp:posOffset>
            </wp:positionH>
            <wp:positionV relativeFrom="paragraph">
              <wp:posOffset>-27940</wp:posOffset>
            </wp:positionV>
            <wp:extent cx="2654935" cy="285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59">
                      <a:extLst>
                        <a:ext uri="{28A0092B-C50C-407E-A947-70E740481C1C}"/>
                      </a:extLst>
                    </a:blip>
                    <a:srcRect/>
                    <a:stretch>
                      <a:fillRect/>
                    </a:stretch>
                  </pic:blipFill>
                  <pic:spPr bwMode="auto">
                    <a:xfrm>
                      <a:off x="0" y="0"/>
                      <a:ext cx="265493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 / 17</w:t>
      </w:r>
    </w:p>
    <w:p>
      <w:pPr>
        <w:sectPr>
          <w:pgSz w:w="11900" w:h="16838" w:orient="portrait"/>
          <w:cols w:equalWidth="0" w:num="1">
            <w:col w:w="9026"/>
          </w:cols>
          <w:pgMar w:left="1440" w:top="1177" w:right="1440" w:bottom="0" w:gutter="0" w:footer="0" w:header="0"/>
          <w:type w:val="continuous"/>
        </w:sectPr>
      </w:pPr>
    </w:p>
    <w:bookmarkStart w:id="154" w:name="page155"/>
    <w:bookmarkEnd w:id="154"/>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U.S. Treasury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U.S. Government agencies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Mortgage-backed securities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20"/>
          <w:szCs w:val="20"/>
          <w:color w:val="auto"/>
        </w:rPr>
        <w:t>State and local governments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Total available-for-sales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80" w:type="dxa"/>
            <w:vAlign w:val="bottom"/>
            <w:gridSpan w:val="4"/>
          </w:tcPr>
          <w:p>
            <w:pPr>
              <w:jc w:val="right"/>
              <w:spacing w:after="0"/>
              <w:rPr>
                <w:sz w:val="20"/>
                <w:szCs w:val="20"/>
                <w:color w:val="auto"/>
              </w:rPr>
            </w:pPr>
            <w:r>
              <w:rPr>
                <w:rFonts w:ascii="Arial" w:cs="Arial" w:eastAsia="Arial" w:hAnsi="Arial"/>
                <w:sz w:val="20"/>
                <w:szCs w:val="20"/>
                <w:b w:val="1"/>
                <w:bCs w:val="1"/>
                <w:color w:val="auto"/>
                <w:w w:val="91"/>
              </w:rPr>
              <w:t>December 31, 2025, 2024, 2023</w:t>
            </w:r>
          </w:p>
        </w:tc>
      </w:tr>
      <w:tr>
        <w:trPr>
          <w:trHeight w:val="644"/>
        </w:trPr>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3"/>
          </w:tcPr>
          <w:p>
            <w:pPr>
              <w:jc w:val="right"/>
              <w:ind w:right="420"/>
              <w:spacing w:after="0"/>
              <w:rPr>
                <w:sz w:val="20"/>
                <w:szCs w:val="20"/>
                <w:color w:val="auto"/>
              </w:rPr>
            </w:pPr>
            <w:r>
              <w:rPr>
                <w:rFonts w:ascii="Arial" w:cs="Arial" w:eastAsia="Arial" w:hAnsi="Arial"/>
                <w:sz w:val="20"/>
                <w:szCs w:val="20"/>
                <w:color w:val="auto"/>
              </w:rPr>
              <w:t>(In Thousands)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2024</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1840" w:type="dxa"/>
            <w:vAlign w:val="bottom"/>
            <w:gridSpan w:val="3"/>
          </w:tcPr>
          <w:p>
            <w:pPr>
              <w:jc w:val="right"/>
              <w:ind w:right="200"/>
              <w:spacing w:after="0"/>
              <w:rPr>
                <w:sz w:val="20"/>
                <w:szCs w:val="20"/>
                <w:color w:val="auto"/>
              </w:rPr>
            </w:pPr>
            <w:r>
              <w:rPr>
                <w:rFonts w:ascii="Arial" w:cs="Arial" w:eastAsia="Arial" w:hAnsi="Arial"/>
                <w:sz w:val="20"/>
                <w:szCs w:val="20"/>
                <w:color w:val="auto"/>
                <w:w w:val="93"/>
              </w:rPr>
              <w:t>Less Than Twelve</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0"/>
        </w:trPr>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Months</w:t>
            </w:r>
          </w:p>
        </w:tc>
        <w:tc>
          <w:tcPr>
            <w:tcW w:w="700" w:type="dxa"/>
            <w:vAlign w:val="bottom"/>
          </w:tcPr>
          <w:p>
            <w:pPr>
              <w:spacing w:after="0"/>
              <w:rPr>
                <w:sz w:val="24"/>
                <w:szCs w:val="24"/>
                <w:color w:val="auto"/>
              </w:rPr>
            </w:pPr>
          </w:p>
        </w:tc>
        <w:tc>
          <w:tcPr>
            <w:tcW w:w="2680" w:type="dxa"/>
            <w:vAlign w:val="bottom"/>
            <w:gridSpan w:val="4"/>
          </w:tcPr>
          <w:p>
            <w:pPr>
              <w:jc w:val="right"/>
              <w:ind w:right="480"/>
              <w:spacing w:after="0"/>
              <w:rPr>
                <w:sz w:val="20"/>
                <w:szCs w:val="20"/>
                <w:color w:val="auto"/>
              </w:rPr>
            </w:pPr>
            <w:r>
              <w:rPr>
                <w:rFonts w:ascii="Arial" w:cs="Arial" w:eastAsia="Arial" w:hAnsi="Arial"/>
                <w:sz w:val="20"/>
                <w:szCs w:val="20"/>
                <w:color w:val="auto"/>
              </w:rPr>
              <w:t>Twelve Months &amp; Over</w:t>
            </w:r>
          </w:p>
        </w:tc>
      </w:tr>
      <w:tr>
        <w:trPr>
          <w:trHeight w:val="324"/>
        </w:trPr>
        <w:tc>
          <w:tcPr>
            <w:tcW w:w="120" w:type="dxa"/>
            <w:vAlign w:val="bottom"/>
          </w:tcPr>
          <w:p>
            <w:pPr>
              <w:spacing w:after="0"/>
              <w:rPr>
                <w:sz w:val="24"/>
                <w:szCs w:val="24"/>
                <w:color w:val="auto"/>
              </w:rPr>
            </w:pPr>
          </w:p>
        </w:tc>
        <w:tc>
          <w:tcPr>
            <w:tcW w:w="900" w:type="dxa"/>
            <w:vAlign w:val="bottom"/>
          </w:tcPr>
          <w:p>
            <w:pPr>
              <w:jc w:val="right"/>
              <w:ind w:right="260"/>
              <w:spacing w:after="0"/>
              <w:rPr>
                <w:sz w:val="20"/>
                <w:szCs w:val="20"/>
                <w:color w:val="auto"/>
              </w:rPr>
            </w:pPr>
            <w:r>
              <w:rPr>
                <w:rFonts w:ascii="Arial" w:cs="Arial" w:eastAsia="Arial" w:hAnsi="Arial"/>
                <w:sz w:val="20"/>
                <w:szCs w:val="20"/>
                <w:color w:val="auto"/>
                <w:w w:val="97"/>
              </w:rPr>
              <w:t>Gross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center"/>
              <w:ind w:right="180"/>
              <w:spacing w:after="0"/>
              <w:rPr>
                <w:sz w:val="20"/>
                <w:szCs w:val="20"/>
                <w:color w:val="auto"/>
              </w:rPr>
            </w:pPr>
            <w:r>
              <w:rPr>
                <w:rFonts w:ascii="Arial" w:cs="Arial" w:eastAsia="Arial" w:hAnsi="Arial"/>
                <w:sz w:val="20"/>
                <w:szCs w:val="20"/>
                <w:color w:val="auto"/>
                <w:w w:val="86"/>
              </w:rPr>
              <w:t>Gross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4"/>
        </w:trPr>
        <w:tc>
          <w:tcPr>
            <w:tcW w:w="1020" w:type="dxa"/>
            <w:vAlign w:val="bottom"/>
            <w:gridSpan w:val="2"/>
          </w:tcPr>
          <w:p>
            <w:pPr>
              <w:spacing w:after="0"/>
              <w:rPr>
                <w:sz w:val="20"/>
                <w:szCs w:val="20"/>
                <w:color w:val="auto"/>
              </w:rPr>
            </w:pPr>
            <w:r>
              <w:rPr>
                <w:rFonts w:ascii="Arial" w:cs="Arial" w:eastAsia="Arial" w:hAnsi="Arial"/>
                <w:sz w:val="20"/>
                <w:szCs w:val="20"/>
                <w:color w:val="auto"/>
              </w:rPr>
              <w:t>Unrealized</w:t>
            </w:r>
          </w:p>
        </w:tc>
        <w:tc>
          <w:tcPr>
            <w:tcW w:w="240" w:type="dxa"/>
            <w:vAlign w:val="bottom"/>
          </w:tcPr>
          <w:p>
            <w:pPr>
              <w:spacing w:after="0"/>
              <w:rPr>
                <w:sz w:val="24"/>
                <w:szCs w:val="24"/>
                <w:color w:val="auto"/>
              </w:rPr>
            </w:pPr>
          </w:p>
        </w:tc>
        <w:tc>
          <w:tcPr>
            <w:tcW w:w="700" w:type="dxa"/>
            <w:vAlign w:val="bottom"/>
          </w:tcPr>
          <w:p>
            <w:pPr>
              <w:jc w:val="right"/>
              <w:ind w:right="200"/>
              <w:spacing w:after="0"/>
              <w:rPr>
                <w:sz w:val="20"/>
                <w:szCs w:val="20"/>
                <w:color w:val="auto"/>
              </w:rPr>
            </w:pPr>
            <w:r>
              <w:rPr>
                <w:rFonts w:ascii="Arial" w:cs="Arial" w:eastAsia="Arial" w:hAnsi="Arial"/>
                <w:sz w:val="20"/>
                <w:szCs w:val="20"/>
                <w:color w:val="auto"/>
              </w:rPr>
              <w:t>Fair</w:t>
            </w:r>
          </w:p>
        </w:tc>
        <w:tc>
          <w:tcPr>
            <w:tcW w:w="1200" w:type="dxa"/>
            <w:vAlign w:val="bottom"/>
            <w:gridSpan w:val="2"/>
          </w:tcPr>
          <w:p>
            <w:pPr>
              <w:jc w:val="center"/>
              <w:spacing w:after="0"/>
              <w:rPr>
                <w:sz w:val="20"/>
                <w:szCs w:val="20"/>
                <w:color w:val="auto"/>
              </w:rPr>
            </w:pPr>
            <w:r>
              <w:rPr>
                <w:rFonts w:ascii="Arial" w:cs="Arial" w:eastAsia="Arial" w:hAnsi="Arial"/>
                <w:sz w:val="20"/>
                <w:szCs w:val="20"/>
                <w:color w:val="auto"/>
                <w:w w:val="92"/>
              </w:rPr>
              <w:t>Unrealized</w:t>
            </w:r>
          </w:p>
        </w:tc>
        <w:tc>
          <w:tcPr>
            <w:tcW w:w="200" w:type="dxa"/>
            <w:vAlign w:val="bottom"/>
          </w:tcPr>
          <w:p>
            <w:pPr>
              <w:spacing w:after="0"/>
              <w:rPr>
                <w:sz w:val="24"/>
                <w:szCs w:val="24"/>
                <w:color w:val="auto"/>
              </w:rPr>
            </w:pPr>
          </w:p>
        </w:tc>
        <w:tc>
          <w:tcPr>
            <w:tcW w:w="1280" w:type="dxa"/>
            <w:vAlign w:val="bottom"/>
          </w:tcPr>
          <w:p>
            <w:pPr>
              <w:jc w:val="right"/>
              <w:ind w:right="740"/>
              <w:spacing w:after="0"/>
              <w:rPr>
                <w:sz w:val="20"/>
                <w:szCs w:val="20"/>
                <w:color w:val="auto"/>
              </w:rPr>
            </w:pPr>
            <w:r>
              <w:rPr>
                <w:rFonts w:ascii="Arial" w:cs="Arial" w:eastAsia="Arial" w:hAnsi="Arial"/>
                <w:sz w:val="20"/>
                <w:szCs w:val="20"/>
                <w:color w:val="auto"/>
              </w:rPr>
              <w:t>Fair</w:t>
            </w:r>
          </w:p>
        </w:tc>
      </w:tr>
      <w:tr>
        <w:trPr>
          <w:trHeight w:val="314"/>
        </w:trPr>
        <w:tc>
          <w:tcPr>
            <w:tcW w:w="120" w:type="dxa"/>
            <w:vAlign w:val="bottom"/>
          </w:tcPr>
          <w:p>
            <w:pPr>
              <w:spacing w:after="0"/>
              <w:rPr>
                <w:sz w:val="24"/>
                <w:szCs w:val="24"/>
                <w:color w:val="auto"/>
              </w:rPr>
            </w:pPr>
          </w:p>
        </w:tc>
        <w:tc>
          <w:tcPr>
            <w:tcW w:w="900" w:type="dxa"/>
            <w:vAlign w:val="bottom"/>
          </w:tcPr>
          <w:p>
            <w:pPr>
              <w:jc w:val="right"/>
              <w:ind w:right="220"/>
              <w:spacing w:after="0"/>
              <w:rPr>
                <w:sz w:val="20"/>
                <w:szCs w:val="20"/>
                <w:color w:val="auto"/>
              </w:rPr>
            </w:pPr>
            <w:r>
              <w:rPr>
                <w:rFonts w:ascii="Arial" w:cs="Arial" w:eastAsia="Arial" w:hAnsi="Arial"/>
                <w:sz w:val="20"/>
                <w:szCs w:val="20"/>
                <w:color w:val="auto"/>
                <w:w w:val="88"/>
              </w:rPr>
              <w:t>Losses</w:t>
            </w:r>
          </w:p>
        </w:tc>
        <w:tc>
          <w:tcPr>
            <w:tcW w:w="240" w:type="dxa"/>
            <w:vAlign w:val="bottom"/>
          </w:tcPr>
          <w:p>
            <w:pPr>
              <w:spacing w:after="0"/>
              <w:rPr>
                <w:sz w:val="24"/>
                <w:szCs w:val="24"/>
                <w:color w:val="auto"/>
              </w:rPr>
            </w:pPr>
          </w:p>
        </w:tc>
        <w:tc>
          <w:tcPr>
            <w:tcW w:w="700" w:type="dxa"/>
            <w:vAlign w:val="bottom"/>
          </w:tcPr>
          <w:p>
            <w:pPr>
              <w:jc w:val="right"/>
              <w:ind w:right="120"/>
              <w:spacing w:after="0"/>
              <w:rPr>
                <w:sz w:val="20"/>
                <w:szCs w:val="20"/>
                <w:color w:val="auto"/>
              </w:rPr>
            </w:pPr>
            <w:r>
              <w:rPr>
                <w:rFonts w:ascii="Arial" w:cs="Arial" w:eastAsia="Arial" w:hAnsi="Arial"/>
                <w:sz w:val="20"/>
                <w:szCs w:val="20"/>
                <w:color w:val="auto"/>
                <w:w w:val="89"/>
              </w:rPr>
              <w:t>Value</w:t>
            </w:r>
          </w:p>
        </w:tc>
        <w:tc>
          <w:tcPr>
            <w:tcW w:w="300" w:type="dxa"/>
            <w:vAlign w:val="bottom"/>
          </w:tcPr>
          <w:p>
            <w:pPr>
              <w:spacing w:after="0"/>
              <w:rPr>
                <w:sz w:val="24"/>
                <w:szCs w:val="24"/>
                <w:color w:val="auto"/>
              </w:rPr>
            </w:pPr>
          </w:p>
        </w:tc>
        <w:tc>
          <w:tcPr>
            <w:tcW w:w="900" w:type="dxa"/>
            <w:vAlign w:val="bottom"/>
          </w:tcPr>
          <w:p>
            <w:pPr>
              <w:jc w:val="center"/>
              <w:ind w:right="180"/>
              <w:spacing w:after="0"/>
              <w:rPr>
                <w:sz w:val="20"/>
                <w:szCs w:val="20"/>
                <w:color w:val="auto"/>
              </w:rPr>
            </w:pPr>
            <w:r>
              <w:rPr>
                <w:rFonts w:ascii="Arial" w:cs="Arial" w:eastAsia="Arial" w:hAnsi="Arial"/>
                <w:sz w:val="20"/>
                <w:szCs w:val="20"/>
                <w:color w:val="auto"/>
                <w:w w:val="85"/>
              </w:rPr>
              <w:t>Losses</w:t>
            </w:r>
          </w:p>
        </w:tc>
        <w:tc>
          <w:tcPr>
            <w:tcW w:w="200" w:type="dxa"/>
            <w:vAlign w:val="bottom"/>
          </w:tcPr>
          <w:p>
            <w:pPr>
              <w:spacing w:after="0"/>
              <w:rPr>
                <w:sz w:val="24"/>
                <w:szCs w:val="24"/>
                <w:color w:val="auto"/>
              </w:rPr>
            </w:pPr>
          </w:p>
        </w:tc>
        <w:tc>
          <w:tcPr>
            <w:tcW w:w="1280" w:type="dxa"/>
            <w:vAlign w:val="bottom"/>
          </w:tcPr>
          <w:p>
            <w:pPr>
              <w:jc w:val="right"/>
              <w:ind w:right="660"/>
              <w:spacing w:after="0"/>
              <w:rPr>
                <w:sz w:val="20"/>
                <w:szCs w:val="20"/>
                <w:color w:val="auto"/>
              </w:rPr>
            </w:pPr>
            <w:r>
              <w:rPr>
                <w:rFonts w:ascii="Arial" w:cs="Arial" w:eastAsia="Arial" w:hAnsi="Arial"/>
                <w:sz w:val="20"/>
                <w:szCs w:val="20"/>
                <w:color w:val="auto"/>
                <w:w w:val="97"/>
              </w:rPr>
              <w:t>Value</w:t>
            </w:r>
          </w:p>
        </w:tc>
      </w:tr>
      <w:tr>
        <w:trPr>
          <w:trHeight w:val="324"/>
        </w:trPr>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(467)</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31,533</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(4,948)</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80"/>
              <w:spacing w:after="0"/>
              <w:rPr>
                <w:sz w:val="20"/>
                <w:szCs w:val="20"/>
                <w:color w:val="auto"/>
              </w:rPr>
            </w:pPr>
            <w:r>
              <w:rPr>
                <w:rFonts w:ascii="Arial" w:cs="Arial" w:eastAsia="Arial" w:hAnsi="Arial"/>
                <w:sz w:val="20"/>
                <w:szCs w:val="20"/>
                <w:color w:val="auto"/>
              </w:rPr>
              <w:t>62,151</w:t>
            </w:r>
          </w:p>
        </w:tc>
      </w:tr>
      <w:tr>
        <w:trPr>
          <w:trHeight w:val="314"/>
        </w:trPr>
        <w:tc>
          <w:tcPr>
            <w:tcW w:w="120" w:type="dxa"/>
            <w:vAlign w:val="bottom"/>
          </w:tcPr>
          <w:p>
            <w:pPr>
              <w:spacing w:after="0"/>
              <w:rPr>
                <w:sz w:val="24"/>
                <w:szCs w:val="24"/>
                <w:color w:val="auto"/>
              </w:rPr>
            </w:pPr>
          </w:p>
        </w:tc>
        <w:tc>
          <w:tcPr>
            <w:tcW w:w="9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(9,494)</w:t>
            </w:r>
          </w:p>
        </w:tc>
        <w:tc>
          <w:tcPr>
            <w:tcW w:w="200" w:type="dxa"/>
            <w:vAlign w:val="bottom"/>
          </w:tcPr>
          <w:p>
            <w:pPr>
              <w:spacing w:after="0"/>
              <w:rPr>
                <w:sz w:val="24"/>
                <w:szCs w:val="24"/>
                <w:color w:val="auto"/>
              </w:rPr>
            </w:pPr>
          </w:p>
        </w:tc>
        <w:tc>
          <w:tcPr>
            <w:tcW w:w="1280" w:type="dxa"/>
            <w:vAlign w:val="bottom"/>
          </w:tcPr>
          <w:p>
            <w:pPr>
              <w:jc w:val="right"/>
              <w:ind w:right="480"/>
              <w:spacing w:after="0"/>
              <w:rPr>
                <w:sz w:val="20"/>
                <w:szCs w:val="20"/>
                <w:color w:val="auto"/>
              </w:rPr>
            </w:pPr>
            <w:r>
              <w:rPr>
                <w:rFonts w:ascii="Arial" w:cs="Arial" w:eastAsia="Arial" w:hAnsi="Arial"/>
                <w:sz w:val="20"/>
                <w:szCs w:val="20"/>
                <w:color w:val="auto"/>
                <w:w w:val="94"/>
              </w:rPr>
              <w:t>131,335</w:t>
            </w:r>
          </w:p>
        </w:tc>
      </w:tr>
      <w:tr>
        <w:trPr>
          <w:trHeight w:val="314"/>
        </w:trPr>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(668)</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51,236</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(11,986)</w:t>
            </w:r>
          </w:p>
        </w:tc>
        <w:tc>
          <w:tcPr>
            <w:tcW w:w="200" w:type="dxa"/>
            <w:vAlign w:val="bottom"/>
          </w:tcPr>
          <w:p>
            <w:pPr>
              <w:spacing w:after="0"/>
              <w:rPr>
                <w:sz w:val="24"/>
                <w:szCs w:val="24"/>
                <w:color w:val="auto"/>
              </w:rPr>
            </w:pPr>
          </w:p>
        </w:tc>
        <w:tc>
          <w:tcPr>
            <w:tcW w:w="1280" w:type="dxa"/>
            <w:vAlign w:val="bottom"/>
          </w:tcPr>
          <w:p>
            <w:pPr>
              <w:jc w:val="right"/>
              <w:ind w:right="480"/>
              <w:spacing w:after="0"/>
              <w:rPr>
                <w:sz w:val="20"/>
                <w:szCs w:val="20"/>
                <w:color w:val="auto"/>
              </w:rPr>
            </w:pPr>
            <w:r>
              <w:rPr>
                <w:rFonts w:ascii="Arial" w:cs="Arial" w:eastAsia="Arial" w:hAnsi="Arial"/>
                <w:sz w:val="20"/>
                <w:szCs w:val="20"/>
                <w:color w:val="auto"/>
              </w:rPr>
              <w:t>66,877</w:t>
            </w:r>
          </w:p>
        </w:tc>
      </w:tr>
      <w:tr>
        <w:trPr>
          <w:trHeight w:val="314"/>
        </w:trPr>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(224)</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8,631</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(4,203)</w:t>
            </w:r>
          </w:p>
        </w:tc>
        <w:tc>
          <w:tcPr>
            <w:tcW w:w="200" w:type="dxa"/>
            <w:vAlign w:val="bottom"/>
          </w:tcPr>
          <w:p>
            <w:pPr>
              <w:spacing w:after="0"/>
              <w:rPr>
                <w:sz w:val="24"/>
                <w:szCs w:val="24"/>
                <w:color w:val="auto"/>
              </w:rPr>
            </w:pPr>
          </w:p>
        </w:tc>
        <w:tc>
          <w:tcPr>
            <w:tcW w:w="1280" w:type="dxa"/>
            <w:vAlign w:val="bottom"/>
          </w:tcPr>
          <w:p>
            <w:pPr>
              <w:jc w:val="right"/>
              <w:ind w:right="480"/>
              <w:spacing w:after="0"/>
              <w:rPr>
                <w:sz w:val="20"/>
                <w:szCs w:val="20"/>
                <w:color w:val="auto"/>
              </w:rPr>
            </w:pPr>
            <w:r>
              <w:rPr>
                <w:rFonts w:ascii="Arial" w:cs="Arial" w:eastAsia="Arial" w:hAnsi="Arial"/>
                <w:sz w:val="20"/>
                <w:szCs w:val="20"/>
                <w:color w:val="auto"/>
              </w:rPr>
              <w:t>53,091</w:t>
            </w:r>
          </w:p>
        </w:tc>
      </w:tr>
      <w:tr>
        <w:trPr>
          <w:trHeight w:val="324"/>
        </w:trPr>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(1,359)</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91,400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(30,631)</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80"/>
              <w:spacing w:after="0"/>
              <w:rPr>
                <w:sz w:val="20"/>
                <w:szCs w:val="20"/>
                <w:color w:val="auto"/>
              </w:rPr>
            </w:pPr>
            <w:r>
              <w:rPr>
                <w:rFonts w:ascii="Arial" w:cs="Arial" w:eastAsia="Arial" w:hAnsi="Arial"/>
                <w:sz w:val="20"/>
                <w:szCs w:val="20"/>
                <w:color w:val="auto"/>
                <w:w w:val="94"/>
              </w:rPr>
              <w:t>313,454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-2727325</wp:posOffset>
            </wp:positionH>
            <wp:positionV relativeFrom="paragraph">
              <wp:posOffset>-2192020</wp:posOffset>
            </wp:positionV>
            <wp:extent cx="5370830" cy="18129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1">
                      <a:extLst>
                        <a:ext uri="{28A0092B-C50C-407E-A947-70E740481C1C}"/>
                      </a:extLst>
                    </a:blip>
                    <a:srcRect/>
                    <a:stretch>
                      <a:fillRect/>
                    </a:stretch>
                  </pic:blipFill>
                  <pic:spPr bwMode="auto">
                    <a:xfrm>
                      <a:off x="0" y="0"/>
                      <a:ext cx="5370830" cy="181292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-179705</wp:posOffset>
            </wp:positionV>
            <wp:extent cx="5370830" cy="2343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2">
                      <a:extLst>
                        <a:ext uri="{28A0092B-C50C-407E-A947-70E740481C1C}"/>
                      </a:extLst>
                    </a:blip>
                    <a:srcRect/>
                    <a:stretch>
                      <a:fillRect/>
                    </a:stretch>
                  </pic:blipFill>
                  <pic:spPr bwMode="auto">
                    <a:xfrm>
                      <a:off x="0" y="0"/>
                      <a:ext cx="5370830" cy="23431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4600" w:space="160"/>
            <w:col w:w="4640"/>
          </w:cols>
          <w:pgMar w:left="1260" w:top="1440" w:right="1246" w:bottom="0" w:gutter="0" w:footer="0" w:header="0"/>
        </w:sectPr>
      </w:pPr>
    </w:p>
    <w:p>
      <w:pPr>
        <w:spacing w:after="0" w:line="180" w:lineRule="exact"/>
        <w:rPr>
          <w:sz w:val="20"/>
          <w:szCs w:val="20"/>
          <w:color w:val="auto"/>
        </w:rPr>
      </w:pPr>
    </w:p>
    <w:p>
      <w:pPr>
        <w:jc w:val="both"/>
        <w:ind w:left="620" w:right="40"/>
        <w:spacing w:after="0" w:line="309" w:lineRule="auto"/>
        <w:rPr>
          <w:sz w:val="20"/>
          <w:szCs w:val="20"/>
          <w:color w:val="auto"/>
        </w:rPr>
      </w:pPr>
      <w:r>
        <w:rPr>
          <w:rFonts w:ascii="Arial" w:cs="Arial" w:eastAsia="Arial" w:hAnsi="Arial"/>
          <w:sz w:val="20"/>
          <w:szCs w:val="20"/>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The fair value is expected to recover as the bonds approach the maturity date.</w:t>
      </w:r>
    </w:p>
    <w:p>
      <w:pPr>
        <w:spacing w:after="0" w:line="256" w:lineRule="exact"/>
        <w:rPr>
          <w:sz w:val="20"/>
          <w:szCs w:val="20"/>
          <w:color w:val="auto"/>
        </w:rPr>
      </w:pPr>
    </w:p>
    <w:p>
      <w:pPr>
        <w:jc w:val="both"/>
        <w:ind w:left="620" w:right="60"/>
        <w:spacing w:after="0" w:line="307" w:lineRule="auto"/>
        <w:rPr>
          <w:sz w:val="20"/>
          <w:szCs w:val="20"/>
          <w:color w:val="auto"/>
        </w:rPr>
      </w:pPr>
      <w:r>
        <w:rPr>
          <w:rFonts w:ascii="Arial" w:cs="Arial" w:eastAsia="Arial" w:hAnsi="Arial"/>
          <w:sz w:val="20"/>
          <w:szCs w:val="20"/>
          <w:color w:val="auto"/>
        </w:rPr>
        <w:t>The Company had no realized gains on sales of investment securities during the years ended December 31, 2025 and 2024. Sales of $22.0 million in 2023 generated gross realized losses for the year ended December 31, 2023 as presented below:</w:t>
      </w:r>
    </w:p>
    <w:p>
      <w:pPr>
        <w:spacing w:after="0" w:line="3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w w:val="92"/>
              </w:rPr>
              <w:t>(In Thousands)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24"/>
        </w:trPr>
        <w:tc>
          <w:tcPr>
            <w:tcW w:w="41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2025</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60"/>
              <w:spacing w:after="0"/>
              <w:rPr>
                <w:sz w:val="20"/>
                <w:szCs w:val="20"/>
                <w:color w:val="auto"/>
              </w:rPr>
            </w:pPr>
            <w:r>
              <w:rPr>
                <w:rFonts w:ascii="Arial" w:cs="Arial" w:eastAsia="Arial" w:hAnsi="Arial"/>
                <w:sz w:val="20"/>
                <w:szCs w:val="20"/>
                <w:color w:val="auto"/>
              </w:rPr>
              <w:t>2024</w:t>
            </w:r>
          </w:p>
        </w:tc>
        <w:tc>
          <w:tcPr>
            <w:tcW w:w="260" w:type="dxa"/>
            <w:vAlign w:val="bottom"/>
          </w:tcPr>
          <w:p>
            <w:pPr>
              <w:spacing w:after="0"/>
              <w:rPr>
                <w:sz w:val="24"/>
                <w:szCs w:val="24"/>
                <w:color w:val="auto"/>
              </w:rPr>
            </w:pPr>
          </w:p>
        </w:tc>
        <w:tc>
          <w:tcPr>
            <w:tcW w:w="860" w:type="dxa"/>
            <w:vAlign w:val="bottom"/>
          </w:tcPr>
          <w:p>
            <w:pPr>
              <w:jc w:val="right"/>
              <w:ind w:right="280"/>
              <w:spacing w:after="0"/>
              <w:rPr>
                <w:sz w:val="20"/>
                <w:szCs w:val="20"/>
                <w:color w:val="auto"/>
              </w:rPr>
            </w:pPr>
            <w:r>
              <w:rPr>
                <w:rFonts w:ascii="Arial" w:cs="Arial" w:eastAsia="Arial" w:hAnsi="Arial"/>
                <w:sz w:val="20"/>
                <w:szCs w:val="20"/>
                <w:color w:val="auto"/>
              </w:rPr>
              <w:t>2023</w:t>
            </w:r>
          </w:p>
        </w:tc>
      </w:tr>
      <w:tr>
        <w:trPr>
          <w:trHeight w:val="51"/>
        </w:trPr>
        <w:tc>
          <w:tcPr>
            <w:tcW w:w="41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94"/>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Gross realized gains</w:t>
            </w:r>
          </w:p>
        </w:tc>
        <w:tc>
          <w:tcPr>
            <w:tcW w:w="1680" w:type="dxa"/>
            <w:vAlign w:val="bottom"/>
            <w:tcBorders>
              <w:bottom w:val="single" w:sz="8" w:color="CFF0FC"/>
            </w:tcBorders>
            <w:shd w:val="clear" w:color="auto" w:fill="CFF0FC"/>
          </w:tcPr>
          <w:p>
            <w:pPr>
              <w:jc w:val="right"/>
              <w:ind w:right="58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4100" w:type="dxa"/>
            <w:vAlign w:val="bottom"/>
          </w:tcPr>
          <w:p>
            <w:pPr>
              <w:spacing w:after="0"/>
              <w:rPr>
                <w:sz w:val="20"/>
                <w:szCs w:val="20"/>
                <w:color w:val="auto"/>
              </w:rPr>
            </w:pPr>
            <w:r>
              <w:rPr>
                <w:rFonts w:ascii="Arial" w:cs="Arial" w:eastAsia="Arial" w:hAnsi="Arial"/>
                <w:sz w:val="20"/>
                <w:szCs w:val="20"/>
                <w:color w:val="auto"/>
              </w:rPr>
              <w:t>Gross realized losses</w:t>
            </w:r>
          </w:p>
        </w:tc>
        <w:tc>
          <w:tcPr>
            <w:tcW w:w="16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9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(891)</w:t>
            </w:r>
          </w:p>
        </w:tc>
      </w:tr>
      <w:tr>
        <w:trPr>
          <w:trHeight w:val="46"/>
        </w:trPr>
        <w:tc>
          <w:tcPr>
            <w:tcW w:w="4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6"/>
        </w:trPr>
        <w:tc>
          <w:tcPr>
            <w:tcW w:w="41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Net realized losses</w:t>
            </w:r>
          </w:p>
        </w:tc>
        <w:tc>
          <w:tcPr>
            <w:tcW w:w="1680" w:type="dxa"/>
            <w:vAlign w:val="bottom"/>
            <w:shd w:val="clear" w:color="auto" w:fill="CFF0FC"/>
          </w:tcPr>
          <w:p>
            <w:pPr>
              <w:jc w:val="right"/>
              <w:ind w:right="580"/>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(891)</w:t>
            </w:r>
          </w:p>
        </w:tc>
      </w:tr>
      <w:tr>
        <w:trPr>
          <w:trHeight w:val="63"/>
        </w:trPr>
        <w:tc>
          <w:tcPr>
            <w:tcW w:w="4100" w:type="dxa"/>
            <w:vAlign w:val="bottom"/>
            <w:shd w:val="clear" w:color="auto" w:fill="CFF0FC"/>
          </w:tcPr>
          <w:p>
            <w:pPr>
              <w:spacing w:after="0"/>
              <w:rPr>
                <w:sz w:val="5"/>
                <w:szCs w:val="5"/>
                <w:color w:val="auto"/>
              </w:rPr>
            </w:pPr>
          </w:p>
        </w:tc>
        <w:tc>
          <w:tcPr>
            <w:tcW w:w="16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r>
      <w:tr>
        <w:trPr>
          <w:trHeight w:val="296"/>
        </w:trPr>
        <w:tc>
          <w:tcPr>
            <w:tcW w:w="4100" w:type="dxa"/>
            <w:vAlign w:val="bottom"/>
          </w:tcPr>
          <w:p>
            <w:pPr>
              <w:spacing w:after="0"/>
              <w:rPr>
                <w:sz w:val="20"/>
                <w:szCs w:val="20"/>
                <w:color w:val="auto"/>
              </w:rPr>
            </w:pPr>
            <w:r>
              <w:rPr>
                <w:rFonts w:ascii="Arial" w:cs="Arial" w:eastAsia="Arial" w:hAnsi="Arial"/>
                <w:sz w:val="20"/>
                <w:szCs w:val="20"/>
                <w:color w:val="auto"/>
              </w:rPr>
              <w:t>Tax benefit related to net realized losses</w:t>
            </w:r>
          </w:p>
        </w:tc>
        <w:tc>
          <w:tcPr>
            <w:tcW w:w="1680" w:type="dxa"/>
            <w:vAlign w:val="bottom"/>
          </w:tcPr>
          <w:p>
            <w:pPr>
              <w:jc w:val="right"/>
              <w:ind w:right="580"/>
              <w:spacing w:after="0"/>
              <w:rPr>
                <w:sz w:val="20"/>
                <w:szCs w:val="20"/>
                <w:color w:val="auto"/>
              </w:rPr>
            </w:pPr>
            <w:r>
              <w:rPr>
                <w:rFonts w:ascii="Arial" w:cs="Arial" w:eastAsia="Arial" w:hAnsi="Arial"/>
                <w:sz w:val="20"/>
                <w:szCs w:val="20"/>
                <w:color w:val="auto"/>
              </w:rPr>
              <w: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-1033780</wp:posOffset>
            </wp:positionV>
            <wp:extent cx="2149475"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3">
                      <a:extLst>
                        <a:ext uri="{28A0092B-C50C-407E-A947-70E740481C1C}"/>
                      </a:extLst>
                    </a:blip>
                    <a:srcRect/>
                    <a:stretch>
                      <a:fillRect/>
                    </a:stretch>
                  </pic:blipFill>
                  <pic:spPr bwMode="auto">
                    <a:xfrm>
                      <a:off x="0" y="0"/>
                      <a:ext cx="2149475" cy="6350"/>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-828040</wp:posOffset>
            </wp:positionV>
            <wp:extent cx="2149475"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4">
                      <a:extLst>
                        <a:ext uri="{28A0092B-C50C-407E-A947-70E740481C1C}"/>
                      </a:extLst>
                    </a:blip>
                    <a:srcRect/>
                    <a:stretch>
                      <a:fillRect/>
                    </a:stretch>
                  </pic:blipFill>
                  <pic:spPr bwMode="auto">
                    <a:xfrm>
                      <a:off x="0" y="0"/>
                      <a:ext cx="2149475" cy="6350"/>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-422275</wp:posOffset>
            </wp:positionV>
            <wp:extent cx="2149475"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5">
                      <a:extLst>
                        <a:ext uri="{28A0092B-C50C-407E-A947-70E740481C1C}"/>
                      </a:extLst>
                    </a:blip>
                    <a:srcRect/>
                    <a:stretch>
                      <a:fillRect/>
                    </a:stretch>
                  </pic:blipFill>
                  <pic:spPr bwMode="auto">
                    <a:xfrm>
                      <a:off x="0" y="0"/>
                      <a:ext cx="2149475" cy="6350"/>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-215900</wp:posOffset>
            </wp:positionV>
            <wp:extent cx="2202815" cy="285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6">
                      <a:extLst>
                        <a:ext uri="{28A0092B-C50C-407E-A947-70E740481C1C}"/>
                      </a:extLst>
                    </a:blip>
                    <a:srcRect/>
                    <a:stretch>
                      <a:fillRect/>
                    </a:stretch>
                  </pic:blipFill>
                  <pic:spPr bwMode="auto">
                    <a:xfrm>
                      <a:off x="0" y="0"/>
                      <a:ext cx="2202815" cy="28575"/>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11430</wp:posOffset>
            </wp:positionV>
            <wp:extent cx="2149475" cy="285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7">
                      <a:extLst>
                        <a:ext uri="{28A0092B-C50C-407E-A947-70E740481C1C}"/>
                      </a:extLst>
                    </a:blip>
                    <a:srcRect/>
                    <a:stretch>
                      <a:fillRect/>
                    </a:stretch>
                  </pic:blipFill>
                  <pic:spPr bwMode="auto">
                    <a:xfrm>
                      <a:off x="0" y="0"/>
                      <a:ext cx="2149475" cy="28575"/>
                    </a:xfrm>
                    <a:prstGeom prst="rect">
                      <a:avLst/>
                    </a:prstGeom>
                    <a:noFill/>
                  </pic:spPr>
                </pic:pic>
              </a:graphicData>
            </a:graphic>
          </wp:anchor>
        </w:drawing>
      </w:r>
    </w:p>
    <w:p>
      <w:pPr>
        <w:spacing w:after="0" w:line="382" w:lineRule="exact"/>
        <w:rPr>
          <w:sz w:val="20"/>
          <w:szCs w:val="20"/>
          <w:color w:val="auto"/>
        </w:rPr>
      </w:pPr>
    </w:p>
    <w:p>
      <w:pPr>
        <w:jc w:val="both"/>
        <w:ind w:left="620" w:right="60"/>
        <w:spacing w:after="0" w:line="330" w:lineRule="auto"/>
        <w:rPr>
          <w:sz w:val="20"/>
          <w:szCs w:val="20"/>
          <w:color w:val="auto"/>
        </w:rPr>
      </w:pPr>
      <w:r>
        <w:rPr>
          <w:rFonts w:ascii="Arial" w:cs="Arial" w:eastAsia="Arial" w:hAnsi="Arial"/>
          <w:sz w:val="19"/>
          <w:szCs w:val="19"/>
          <w:color w:val="auto"/>
        </w:rPr>
        <w:t>The net realized loss on sales and related tax benefit is a reclassification out of accumulated other comprehensive loss. The net realized loss is included in net loss on sale of securities available-for-sale and the related tax benefit is included in income taxes in the consolidated statements of income.</w:t>
      </w:r>
    </w:p>
    <w:p>
      <w:pPr>
        <w:spacing w:after="0" w:line="239" w:lineRule="exact"/>
        <w:rPr>
          <w:sz w:val="20"/>
          <w:szCs w:val="20"/>
          <w:color w:val="auto"/>
        </w:rPr>
      </w:pPr>
    </w:p>
    <w:p>
      <w:pPr>
        <w:jc w:val="both"/>
        <w:ind w:left="620" w:right="80"/>
        <w:spacing w:after="0" w:line="330" w:lineRule="auto"/>
        <w:rPr>
          <w:sz w:val="20"/>
          <w:szCs w:val="20"/>
          <w:color w:val="auto"/>
        </w:rPr>
      </w:pPr>
      <w:r>
        <w:rPr>
          <w:rFonts w:ascii="Arial" w:cs="Arial" w:eastAsia="Arial" w:hAnsi="Arial"/>
          <w:sz w:val="19"/>
          <w:szCs w:val="19"/>
          <w:color w:val="auto"/>
        </w:rPr>
        <w:t>The amortized cost and fair value of debt securities at December 31, 2025, by contractual maturity, are shown below. Expected maturities will differ from contractual maturities because borrowers may have the right to call or prepay obligations with or without call or prepayment penalties.</w:t>
      </w:r>
    </w:p>
    <w:p>
      <w:pPr>
        <w:spacing w:after="0" w:line="333"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26035</wp:posOffset>
            </wp:positionV>
            <wp:extent cx="128651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68">
                      <a:extLst>
                        <a:ext uri="{28A0092B-C50C-407E-A947-70E740481C1C}"/>
                      </a:extLst>
                    </a:blip>
                    <a:srcRect/>
                    <a:stretch>
                      <a:fillRect/>
                    </a:stretch>
                  </pic:blipFill>
                  <pic:spPr bwMode="auto">
                    <a:xfrm>
                      <a:off x="0" y="0"/>
                      <a:ext cx="1286510" cy="6350"/>
                    </a:xfrm>
                    <a:prstGeom prst="rect">
                      <a:avLst/>
                    </a:prstGeom>
                    <a:noFill/>
                  </pic:spPr>
                </pic:pic>
              </a:graphicData>
            </a:graphic>
          </wp:anchor>
        </w:drawing>
      </w:r>
    </w:p>
    <w:p>
      <w:pPr>
        <w:spacing w:after="0" w:line="74"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Amortized</w:t>
      </w:r>
    </w:p>
    <w:p>
      <w:pPr>
        <w:sectPr>
          <w:pgSz w:w="11900" w:h="16838" w:orient="portrait"/>
          <w:cols w:equalWidth="0" w:num="1">
            <w:col w:w="940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17</w:t>
      </w:r>
    </w:p>
    <w:p>
      <w:pPr>
        <w:sectPr>
          <w:pgSz w:w="11900" w:h="16838" w:orient="portrait"/>
          <w:cols w:equalWidth="0" w:num="1">
            <w:col w:w="9400"/>
          </w:cols>
          <w:pgMar w:left="1260" w:top="1440" w:right="1246" w:bottom="0" w:gutter="0" w:footer="0" w:header="0"/>
          <w:type w:val="continuous"/>
        </w:sectPr>
      </w:pPr>
    </w:p>
    <w:bookmarkStart w:id="155" w:name="page156"/>
    <w:bookmarkEnd w:id="155"/>
    <w:tbl>
      <w:tblPr>
        <w:tblLayout w:type="fixed"/>
        <w:tblInd w:w="122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 w:type="dxa"/>
            <w:vAlign w:val="bottom"/>
          </w:tcPr>
          <w:p>
            <w:pPr>
              <w:jc w:val="right"/>
              <w:ind w:right="280"/>
              <w:spacing w:after="0"/>
              <w:rPr>
                <w:sz w:val="20"/>
                <w:szCs w:val="20"/>
                <w:color w:val="auto"/>
              </w:rPr>
            </w:pPr>
            <w:r>
              <w:rPr>
                <w:rFonts w:ascii="Arial" w:cs="Arial" w:eastAsia="Arial" w:hAnsi="Arial"/>
                <w:sz w:val="20"/>
                <w:szCs w:val="20"/>
                <w:color w:val="auto"/>
              </w:rPr>
              <w:t>Cost</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Fair Value</w:t>
            </w:r>
          </w:p>
        </w:tc>
      </w:tr>
      <w:tr>
        <w:trPr>
          <w:trHeight w:val="51"/>
        </w:trPr>
        <w:tc>
          <w:tcPr>
            <w:tcW w:w="36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94"/>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One year or less</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68,153</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67,329</w:t>
            </w:r>
          </w:p>
        </w:tc>
      </w:tr>
      <w:tr>
        <w:trPr>
          <w:trHeight w:val="274"/>
        </w:trPr>
        <w:tc>
          <w:tcPr>
            <w:tcW w:w="3600" w:type="dxa"/>
            <w:vAlign w:val="bottom"/>
          </w:tcPr>
          <w:p>
            <w:pPr>
              <w:spacing w:after="0"/>
              <w:rPr>
                <w:sz w:val="20"/>
                <w:szCs w:val="20"/>
                <w:color w:val="auto"/>
              </w:rPr>
            </w:pPr>
            <w:r>
              <w:rPr>
                <w:rFonts w:ascii="Arial" w:cs="Arial" w:eastAsia="Arial" w:hAnsi="Arial"/>
                <w:sz w:val="20"/>
                <w:szCs w:val="20"/>
                <w:color w:val="auto"/>
              </w:rPr>
              <w:t>After one year through five years</w:t>
            </w:r>
          </w:p>
        </w:tc>
        <w:tc>
          <w:tcPr>
            <w:tcW w:w="10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w w:val="99"/>
              </w:rPr>
              <w:t>208,527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96"/>
              </w:rPr>
              <w:t>201,123</w:t>
            </w:r>
          </w:p>
        </w:tc>
      </w:tr>
      <w:tr>
        <w:trPr>
          <w:trHeight w:val="41"/>
        </w:trPr>
        <w:tc>
          <w:tcPr>
            <w:tcW w:w="3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After five years through ten years</w:t>
            </w:r>
          </w:p>
        </w:tc>
        <w:tc>
          <w:tcPr>
            <w:tcW w:w="10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10,359</w:t>
            </w:r>
          </w:p>
        </w:tc>
        <w:tc>
          <w:tcPr>
            <w:tcW w:w="2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10,238</w:t>
            </w:r>
          </w:p>
        </w:tc>
      </w:tr>
      <w:tr>
        <w:trPr>
          <w:trHeight w:val="279"/>
        </w:trPr>
        <w:tc>
          <w:tcPr>
            <w:tcW w:w="3600" w:type="dxa"/>
            <w:vAlign w:val="bottom"/>
          </w:tcPr>
          <w:p>
            <w:pPr>
              <w:spacing w:after="0"/>
              <w:rPr>
                <w:sz w:val="20"/>
                <w:szCs w:val="20"/>
                <w:color w:val="auto"/>
              </w:rPr>
            </w:pPr>
            <w:r>
              <w:rPr>
                <w:rFonts w:ascii="Arial" w:cs="Arial" w:eastAsia="Arial" w:hAnsi="Arial"/>
                <w:sz w:val="20"/>
                <w:szCs w:val="20"/>
                <w:color w:val="auto"/>
              </w:rPr>
              <w:t>After ten years</w:t>
            </w:r>
          </w:p>
        </w:tc>
        <w:tc>
          <w:tcPr>
            <w:tcW w:w="10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6"/>
        </w:trPr>
        <w:tc>
          <w:tcPr>
            <w:tcW w:w="3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36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Total</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9"/>
              </w:rPr>
              <w:t>287,039</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6"/>
              </w:rPr>
              <w:t>278,690</w:t>
            </w:r>
          </w:p>
        </w:tc>
      </w:tr>
      <w:tr>
        <w:trPr>
          <w:trHeight w:val="279"/>
        </w:trPr>
        <w:tc>
          <w:tcPr>
            <w:tcW w:w="3600" w:type="dxa"/>
            <w:vAlign w:val="bottom"/>
          </w:tcPr>
          <w:p>
            <w:pPr>
              <w:spacing w:after="0"/>
              <w:rPr>
                <w:sz w:val="20"/>
                <w:szCs w:val="20"/>
                <w:color w:val="auto"/>
              </w:rPr>
            </w:pPr>
            <w:r>
              <w:rPr>
                <w:rFonts w:ascii="Arial" w:cs="Arial" w:eastAsia="Arial" w:hAnsi="Arial"/>
                <w:sz w:val="20"/>
                <w:szCs w:val="20"/>
                <w:color w:val="auto"/>
              </w:rPr>
              <w:t>Mortgage-backed securities</w:t>
            </w:r>
          </w:p>
        </w:tc>
        <w:tc>
          <w:tcPr>
            <w:tcW w:w="10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w w:val="99"/>
              </w:rPr>
              <w:t>150,081</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96"/>
              </w:rPr>
              <w:t>143,382</w:t>
            </w:r>
          </w:p>
        </w:tc>
      </w:tr>
      <w:tr>
        <w:trPr>
          <w:trHeight w:val="46"/>
        </w:trPr>
        <w:tc>
          <w:tcPr>
            <w:tcW w:w="3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6"/>
        </w:trPr>
        <w:tc>
          <w:tcPr>
            <w:tcW w:w="3600" w:type="dxa"/>
            <w:vAlign w:val="bottom"/>
            <w:shd w:val="clear" w:color="auto" w:fill="CFF0FC"/>
          </w:tcPr>
          <w:p>
            <w:pPr>
              <w:ind w:left="80"/>
              <w:spacing w:after="0"/>
              <w:rPr>
                <w:sz w:val="20"/>
                <w:szCs w:val="20"/>
                <w:color w:val="auto"/>
              </w:rPr>
            </w:pPr>
            <w:r>
              <w:rPr>
                <w:rFonts w:ascii="Arial" w:cs="Arial" w:eastAsia="Arial" w:hAnsi="Arial"/>
                <w:sz w:val="20"/>
                <w:szCs w:val="20"/>
                <w:color w:val="auto"/>
              </w:rPr>
              <w:t>Total</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437,120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422,072</w:t>
            </w:r>
          </w:p>
        </w:tc>
      </w:tr>
      <w:tr>
        <w:trPr>
          <w:trHeight w:val="63"/>
        </w:trPr>
        <w:tc>
          <w:tcPr>
            <w:tcW w:w="360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-1444625</wp:posOffset>
            </wp:positionV>
            <wp:extent cx="1286510"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69">
                      <a:extLst>
                        <a:ext uri="{28A0092B-C50C-407E-A947-70E740481C1C}"/>
                      </a:extLst>
                    </a:blip>
                    <a:srcRect/>
                    <a:stretch>
                      <a:fillRect/>
                    </a:stretch>
                  </pic:blipFill>
                  <pic:spPr bwMode="auto">
                    <a:xfrm>
                      <a:off x="0" y="0"/>
                      <a:ext cx="1286510" cy="63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-639445</wp:posOffset>
            </wp:positionV>
            <wp:extent cx="128651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0">
                      <a:extLst>
                        <a:ext uri="{28A0092B-C50C-407E-A947-70E740481C1C}"/>
                      </a:extLst>
                    </a:blip>
                    <a:srcRect/>
                    <a:stretch>
                      <a:fillRect/>
                    </a:stretch>
                  </pic:blipFill>
                  <pic:spPr bwMode="auto">
                    <a:xfrm>
                      <a:off x="0" y="0"/>
                      <a:ext cx="1286510" cy="63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-233680</wp:posOffset>
            </wp:positionV>
            <wp:extent cx="128651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1">
                      <a:extLst>
                        <a:ext uri="{28A0092B-C50C-407E-A947-70E740481C1C}"/>
                      </a:extLst>
                    </a:blip>
                    <a:srcRect/>
                    <a:stretch>
                      <a:fillRect/>
                    </a:stretch>
                  </pic:blipFill>
                  <pic:spPr bwMode="auto">
                    <a:xfrm>
                      <a:off x="0" y="0"/>
                      <a:ext cx="1286510" cy="63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-27940</wp:posOffset>
            </wp:positionV>
            <wp:extent cx="1327785" cy="285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2">
                      <a:extLst>
                        <a:ext uri="{28A0092B-C50C-407E-A947-70E740481C1C}"/>
                      </a:extLst>
                    </a:blip>
                    <a:srcRect/>
                    <a:stretch>
                      <a:fillRect/>
                    </a:stretch>
                  </pic:blipFill>
                  <pic:spPr bwMode="auto">
                    <a:xfrm>
                      <a:off x="0" y="0"/>
                      <a:ext cx="1327785" cy="28575"/>
                    </a:xfrm>
                    <a:prstGeom prst="rect">
                      <a:avLst/>
                    </a:prstGeom>
                    <a:noFill/>
                  </pic:spPr>
                </pic:pic>
              </a:graphicData>
            </a:graphic>
          </wp:anchor>
        </w:drawing>
      </w:r>
    </w:p>
    <w:p>
      <w:pPr>
        <w:spacing w:after="0" w:line="319" w:lineRule="exact"/>
        <w:rPr>
          <w:sz w:val="20"/>
          <w:szCs w:val="20"/>
          <w:color w:val="auto"/>
        </w:rPr>
      </w:pPr>
    </w:p>
    <w:p>
      <w:pPr>
        <w:jc w:val="both"/>
        <w:ind w:left="440"/>
        <w:spacing w:after="0" w:line="310" w:lineRule="auto"/>
        <w:rPr>
          <w:sz w:val="20"/>
          <w:szCs w:val="20"/>
          <w:color w:val="auto"/>
        </w:rPr>
      </w:pPr>
      <w:r>
        <w:rPr>
          <w:rFonts w:ascii="Arial" w:cs="Arial" w:eastAsia="Arial" w:hAnsi="Arial"/>
          <w:sz w:val="20"/>
          <w:szCs w:val="20"/>
          <w:color w:val="auto"/>
        </w:rPr>
        <w:t>Investments with a carrying value and fair value of $238.2 million at December 31, 2025 and $221.9 million at December 31, 2024 were pledged to secure public deposits and securities sold under repurchase agreements. Investments with a carrying value of $28.3 million and $29.9 million as of December 31, 2025 and December 31, 2024, respectively, were pledged to the Federal Reserve's Discount Window to provide additional borrowing capacity.</w:t>
      </w:r>
    </w:p>
    <w:p>
      <w:pPr>
        <w:spacing w:after="0" w:line="245"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7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6 / 17</w:t>
      </w:r>
    </w:p>
    <w:p>
      <w:pPr>
        <w:sectPr>
          <w:pgSz w:w="11900" w:h="16838" w:orient="portrait"/>
          <w:cols w:equalWidth="0" w:num="1">
            <w:col w:w="9160"/>
          </w:cols>
          <w:pgMar w:left="1440" w:top="1177" w:right="1306" w:bottom="0" w:gutter="0" w:footer="0" w:header="0"/>
          <w:type w:val="continuous"/>
        </w:sectPr>
      </w:pPr>
    </w:p>
    <w:bookmarkStart w:id="156" w:name="page157"/>
    <w:bookmarkEnd w:id="156"/>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Loans</w:t>
      </w:r>
    </w:p>
    <w:p>
      <w:pPr>
        <w:spacing w:after="0" w:line="200" w:lineRule="exact"/>
        <w:rPr>
          <w:sz w:val="20"/>
          <w:szCs w:val="20"/>
          <w:color w:val="auto"/>
        </w:rPr>
      </w:pPr>
    </w:p>
    <w:p>
      <w:pPr>
        <w:ind w:left="620" w:right="60"/>
        <w:spacing w:after="0" w:line="302" w:lineRule="auto"/>
        <w:rPr>
          <w:sz w:val="20"/>
          <w:szCs w:val="20"/>
          <w:color w:val="auto"/>
        </w:rPr>
      </w:pPr>
      <w:r>
        <w:rPr>
          <w:rFonts w:ascii="Arial" w:cs="Arial" w:eastAsia="Arial" w:hAnsi="Arial"/>
          <w:sz w:val="20"/>
          <w:szCs w:val="20"/>
          <w:color w:val="auto"/>
        </w:rPr>
        <w:t>The Company had $3.9 million in loans held for sale at December 31, 2025 as compared to $3.0 million in loans held for sale at December 31, 2024.</w:t>
      </w:r>
    </w:p>
    <w:p>
      <w:pPr>
        <w:sectPr>
          <w:pgSz w:w="11900" w:h="16838" w:orient="portrait"/>
          <w:cols w:equalWidth="0" w:num="1">
            <w:col w:w="9400"/>
          </w:cols>
          <w:pgMar w:left="1260" w:top="1440" w:right="1246" w:bottom="0" w:gutter="0" w:footer="0" w:header="0"/>
        </w:sectPr>
      </w:pPr>
    </w:p>
    <w:p>
      <w:pPr>
        <w:spacing w:after="0" w:line="26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Loan balances at December 31 are summarized below:</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00"/>
        <w:spacing w:after="0"/>
        <w:rPr>
          <w:sz w:val="20"/>
          <w:szCs w:val="20"/>
          <w:color w:val="auto"/>
        </w:rPr>
      </w:pPr>
      <w:r>
        <w:rPr>
          <w:rFonts w:ascii="Arial" w:cs="Arial" w:eastAsia="Arial" w:hAnsi="Arial"/>
          <w:sz w:val="20"/>
          <w:szCs w:val="20"/>
          <w:u w:val="single" w:color="auto"/>
          <w:color w:val="auto"/>
        </w:rPr>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26035</wp:posOffset>
            </wp:positionV>
            <wp:extent cx="4177030" cy="1993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4">
                      <a:extLst>
                        <a:ext uri="{28A0092B-C50C-407E-A947-70E740481C1C}"/>
                      </a:extLst>
                    </a:blip>
                    <a:srcRect/>
                    <a:stretch>
                      <a:fillRect/>
                    </a:stretch>
                  </pic:blipFill>
                  <pic:spPr bwMode="auto">
                    <a:xfrm>
                      <a:off x="0" y="0"/>
                      <a:ext cx="4177030" cy="199390"/>
                    </a:xfrm>
                    <a:prstGeom prst="rect">
                      <a:avLst/>
                    </a:prstGeom>
                    <a:noFill/>
                  </pic:spPr>
                </pic:pic>
              </a:graphicData>
            </a:graphic>
          </wp:anchor>
        </w:drawing>
      </w:r>
    </w:p>
    <w:p>
      <w:pPr>
        <w:spacing w:after="0" w:line="64"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Consumer Real Estate</w:t>
      </w:r>
    </w:p>
    <w:p>
      <w:pPr>
        <w:spacing w:after="0" w:line="84"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Agricultural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26035</wp:posOffset>
            </wp:positionV>
            <wp:extent cx="4177030" cy="1993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5">
                      <a:extLst>
                        <a:ext uri="{28A0092B-C50C-407E-A947-70E740481C1C}"/>
                      </a:extLst>
                    </a:blip>
                    <a:srcRect/>
                    <a:stretch>
                      <a:fillRect/>
                    </a:stretch>
                  </pic:blipFill>
                  <pic:spPr bwMode="auto">
                    <a:xfrm>
                      <a:off x="0" y="0"/>
                      <a:ext cx="4177030" cy="199390"/>
                    </a:xfrm>
                    <a:prstGeom prst="rect">
                      <a:avLst/>
                    </a:prstGeom>
                    <a:noFill/>
                  </pic:spPr>
                </pic:pic>
              </a:graphicData>
            </a:graphic>
          </wp:anchor>
        </w:drawing>
      </w:r>
    </w:p>
    <w:p>
      <w:pPr>
        <w:spacing w:after="0" w:line="64"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Agricultural</w:t>
      </w:r>
    </w:p>
    <w:p>
      <w:pPr>
        <w:spacing w:after="0" w:line="84"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Commercial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26035</wp:posOffset>
            </wp:positionV>
            <wp:extent cx="4177030" cy="1993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6">
                      <a:extLst>
                        <a:ext uri="{28A0092B-C50C-407E-A947-70E740481C1C}"/>
                      </a:extLst>
                    </a:blip>
                    <a:srcRect/>
                    <a:stretch>
                      <a:fillRect/>
                    </a:stretch>
                  </pic:blipFill>
                  <pic:spPr bwMode="auto">
                    <a:xfrm>
                      <a:off x="0" y="0"/>
                      <a:ext cx="4177030" cy="199390"/>
                    </a:xfrm>
                    <a:prstGeom prst="rect">
                      <a:avLst/>
                    </a:prstGeom>
                    <a:noFill/>
                  </pic:spPr>
                </pic:pic>
              </a:graphicData>
            </a:graphic>
          </wp:anchor>
        </w:drawing>
      </w:r>
    </w:p>
    <w:p>
      <w:pPr>
        <w:spacing w:after="0" w:line="64"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Commercial and Industrial</w:t>
      </w:r>
    </w:p>
    <w:p>
      <w:pPr>
        <w:spacing w:after="0" w:line="84"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26035</wp:posOffset>
            </wp:positionV>
            <wp:extent cx="4177030" cy="2057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7">
                      <a:extLst>
                        <a:ext uri="{28A0092B-C50C-407E-A947-70E740481C1C}"/>
                      </a:extLst>
                    </a:blip>
                    <a:srcRect/>
                    <a:stretch>
                      <a:fillRect/>
                    </a:stretch>
                  </pic:blipFill>
                  <pic:spPr bwMode="auto">
                    <a:xfrm>
                      <a:off x="0" y="0"/>
                      <a:ext cx="4177030" cy="205740"/>
                    </a:xfrm>
                    <a:prstGeom prst="rect">
                      <a:avLst/>
                    </a:prstGeom>
                    <a:noFill/>
                  </pic:spPr>
                </pic:pic>
              </a:graphicData>
            </a:graphic>
          </wp:anchor>
        </w:drawing>
      </w:r>
    </w:p>
    <w:p>
      <w:pPr>
        <w:spacing w:after="0" w:line="74"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225425</wp:posOffset>
            </wp:positionV>
            <wp:extent cx="4177030" cy="2057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78">
                      <a:extLst>
                        <a:ext uri="{28A0092B-C50C-407E-A947-70E740481C1C}"/>
                      </a:extLst>
                    </a:blip>
                    <a:srcRect/>
                    <a:stretch>
                      <a:fillRect/>
                    </a:stretch>
                  </pic:blipFill>
                  <pic:spPr bwMode="auto">
                    <a:xfrm>
                      <a:off x="0" y="0"/>
                      <a:ext cx="4177030" cy="205740"/>
                    </a:xfrm>
                    <a:prstGeom prst="rect">
                      <a:avLst/>
                    </a:prstGeom>
                    <a:noFill/>
                  </pic:spPr>
                </pic:pic>
              </a:graphicData>
            </a:graphic>
          </wp:anchor>
        </w:drawing>
      </w:r>
    </w:p>
    <w:p>
      <w:pPr>
        <w:spacing w:after="0" w:line="389"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Less: Net deferred loan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225425</wp:posOffset>
            </wp:positionV>
            <wp:extent cx="4177030" cy="1993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79">
                      <a:extLst>
                        <a:ext uri="{28A0092B-C50C-407E-A947-70E740481C1C}"/>
                      </a:extLst>
                    </a:blip>
                    <a:srcRect/>
                    <a:stretch>
                      <a:fillRect/>
                    </a:stretch>
                  </pic:blipFill>
                  <pic:spPr bwMode="auto">
                    <a:xfrm>
                      <a:off x="0" y="0"/>
                      <a:ext cx="4177030" cy="199390"/>
                    </a:xfrm>
                    <a:prstGeom prst="rect">
                      <a:avLst/>
                    </a:prstGeom>
                    <a:noFill/>
                  </pic:spPr>
                </pic:pic>
              </a:graphicData>
            </a:graphic>
          </wp:anchor>
        </w:drawing>
      </w:r>
    </w:p>
    <w:p>
      <w:pPr>
        <w:spacing w:after="0" w:line="379"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Less: Allowance for credit losses</w:t>
      </w:r>
    </w:p>
    <w:p>
      <w:pPr>
        <w:spacing w:after="0" w:line="94" w:lineRule="exact"/>
        <w:rPr>
          <w:sz w:val="20"/>
          <w:szCs w:val="20"/>
          <w:color w:val="auto"/>
        </w:rPr>
      </w:pPr>
    </w:p>
    <w:p>
      <w:pPr>
        <w:ind w:left="1480" w:right="80"/>
        <w:spacing w:after="0" w:line="302" w:lineRule="auto"/>
        <w:rPr>
          <w:sz w:val="20"/>
          <w:szCs w:val="20"/>
          <w:color w:val="auto"/>
        </w:rPr>
      </w:pPr>
      <w:r>
        <w:rPr>
          <w:rFonts w:ascii="Arial" w:cs="Arial" w:eastAsia="Arial" w:hAnsi="Arial"/>
          <w:sz w:val="20"/>
          <w:szCs w:val="20"/>
          <w:color w:val="auto"/>
        </w:rPr>
        <w:t>Less: Basis adjustment related to fair value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-10795</wp:posOffset>
            </wp:positionV>
            <wp:extent cx="4177030" cy="2279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0">
                      <a:extLst>
                        <a:ext uri="{28A0092B-C50C-407E-A947-70E740481C1C}"/>
                      </a:extLst>
                    </a:blip>
                    <a:srcRect/>
                    <a:stretch>
                      <a:fillRect/>
                    </a:stretch>
                  </pic:blipFill>
                  <pic:spPr bwMode="auto">
                    <a:xfrm>
                      <a:off x="0" y="0"/>
                      <a:ext cx="4177030" cy="227965"/>
                    </a:xfrm>
                    <a:prstGeom prst="rect">
                      <a:avLst/>
                    </a:prstGeom>
                    <a:noFill/>
                  </pic:spPr>
                </pic:pic>
              </a:graphicData>
            </a:graphic>
          </wp:anchor>
        </w:drawing>
      </w:r>
    </w:p>
    <w:p>
      <w:pPr>
        <w:spacing w:after="0" w:line="28"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Loans -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20"/>
        <w:spacing w:after="0"/>
        <w:rPr>
          <w:sz w:val="20"/>
          <w:szCs w:val="20"/>
          <w:color w:val="auto"/>
        </w:rPr>
      </w:pPr>
      <w:r>
        <w:rPr>
          <w:rFonts w:ascii="Arial" w:cs="Arial" w:eastAsia="Arial" w:hAnsi="Arial"/>
          <w:sz w:val="20"/>
          <w:szCs w:val="20"/>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1482725"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1">
                      <a:extLst>
                        <a:ext uri="{28A0092B-C50C-407E-A947-70E740481C1C}"/>
                      </a:extLst>
                    </a:blip>
                    <a:srcRect/>
                    <a:stretch>
                      <a:fillRect/>
                    </a:stretch>
                  </pic:blipFill>
                  <pic:spPr bwMode="auto">
                    <a:xfrm>
                      <a:off x="0" y="0"/>
                      <a:ext cx="1482725" cy="6350"/>
                    </a:xfrm>
                    <a:prstGeom prst="rect">
                      <a:avLst/>
                    </a:prstGeom>
                    <a:noFill/>
                  </pic:spPr>
                </pic:pic>
              </a:graphicData>
            </a:graphic>
          </wp:anchor>
        </w:drawing>
      </w:r>
    </w:p>
    <w:p>
      <w:pPr>
        <w:spacing w:after="0" w:line="74"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20"/>
          <w:szCs w:val="20"/>
          <w:color w:val="auto"/>
        </w:rPr>
        <w:t>2025</w:t>
      </w:r>
      <w:r>
        <w:rPr>
          <w:sz w:val="20"/>
          <w:szCs w:val="20"/>
          <w:color w:val="auto"/>
        </w:rPr>
        <w:tab/>
      </w:r>
      <w:r>
        <w:rPr>
          <w:rFonts w:ascii="Arial" w:cs="Arial" w:eastAsia="Arial" w:hAnsi="Arial"/>
          <w:sz w:val="20"/>
          <w:szCs w:val="20"/>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1482725"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2">
                      <a:extLst>
                        <a:ext uri="{28A0092B-C50C-407E-A947-70E740481C1C}"/>
                      </a:extLst>
                    </a:blip>
                    <a:srcRect/>
                    <a:stretch>
                      <a:fillRect/>
                    </a:stretch>
                  </pic:blipFill>
                  <pic:spPr bwMode="auto">
                    <a:xfrm>
                      <a:off x="0" y="0"/>
                      <a:ext cx="1482725" cy="6350"/>
                    </a:xfrm>
                    <a:prstGeom prst="rect">
                      <a:avLst/>
                    </a:prstGeom>
                    <a:noFill/>
                  </pic:spPr>
                </pic:pic>
              </a:graphicData>
            </a:graphic>
          </wp:anchor>
        </w:drawing>
      </w:r>
    </w:p>
    <w:p>
      <w:pPr>
        <w:spacing w:after="0" w:line="74" w:lineRule="exact"/>
        <w:rPr>
          <w:sz w:val="20"/>
          <w:szCs w:val="20"/>
          <w:color w:val="auto"/>
        </w:rPr>
      </w:pPr>
    </w:p>
    <w:p>
      <w:pPr>
        <w:ind w:left="400" w:hanging="394"/>
        <w:spacing w:after="0"/>
        <w:tabs>
          <w:tab w:leader="none" w:pos="4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526,439   $   520,114</w:t>
      </w:r>
    </w:p>
    <w:p>
      <w:pPr>
        <w:spacing w:after="0" w:line="84"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20"/>
          <w:szCs w:val="20"/>
          <w:color w:val="auto"/>
        </w:rPr>
        <w:t>217,034</w:t>
      </w:r>
      <w:r>
        <w:rPr>
          <w:rFonts w:ascii="Arial" w:cs="Arial" w:eastAsia="Arial" w:hAnsi="Arial"/>
          <w:sz w:val="17"/>
          <w:szCs w:val="17"/>
          <w:color w:val="auto"/>
        </w:rPr>
        <w:t>216,401</w:t>
      </w:r>
    </w:p>
    <w:p>
      <w:pPr>
        <w:spacing w:after="0" w:line="84"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20"/>
          <w:szCs w:val="20"/>
          <w:color w:val="auto"/>
        </w:rPr>
        <w:t>218,050</w:t>
      </w:r>
      <w:r>
        <w:rPr>
          <w:rFonts w:ascii="Arial" w:cs="Arial" w:eastAsia="Arial" w:hAnsi="Arial"/>
          <w:sz w:val="17"/>
          <w:szCs w:val="17"/>
          <w:color w:val="auto"/>
        </w:rPr>
        <w:t>152,080</w:t>
      </w:r>
    </w:p>
    <w:p>
      <w:pPr>
        <w:spacing w:after="0" w:line="94" w:lineRule="exact"/>
        <w:rPr>
          <w:sz w:val="20"/>
          <w:szCs w:val="20"/>
          <w:color w:val="auto"/>
        </w:rPr>
      </w:pPr>
    </w:p>
    <w:p>
      <w:pPr>
        <w:ind w:left="240"/>
        <w:spacing w:after="0"/>
        <w:tabs>
          <w:tab w:leader="none" w:pos="1500" w:val="left"/>
        </w:tabs>
        <w:rPr>
          <w:sz w:val="20"/>
          <w:szCs w:val="20"/>
          <w:color w:val="auto"/>
        </w:rPr>
      </w:pPr>
      <w:r>
        <w:rPr>
          <w:rFonts w:ascii="Arial" w:cs="Arial" w:eastAsia="Arial" w:hAnsi="Arial"/>
          <w:sz w:val="19"/>
          <w:szCs w:val="19"/>
          <w:color w:val="auto"/>
        </w:rPr>
        <w:t>1,355,571</w:t>
      </w:r>
      <w:r>
        <w:rPr>
          <w:sz w:val="20"/>
          <w:szCs w:val="20"/>
          <w:color w:val="auto"/>
        </w:rPr>
        <w:tab/>
      </w:r>
      <w:r>
        <w:rPr>
          <w:rFonts w:ascii="Arial" w:cs="Arial" w:eastAsia="Arial" w:hAnsi="Arial"/>
          <w:sz w:val="19"/>
          <w:szCs w:val="19"/>
          <w:color w:val="auto"/>
        </w:rPr>
        <w:t>1,310,811</w:t>
      </w:r>
    </w:p>
    <w:p>
      <w:pPr>
        <w:spacing w:after="0" w:line="96" w:lineRule="exact"/>
        <w:rPr>
          <w:sz w:val="20"/>
          <w:szCs w:val="20"/>
          <w:color w:val="auto"/>
        </w:rPr>
      </w:pPr>
    </w:p>
    <w:p>
      <w:pPr>
        <w:ind w:left="400"/>
        <w:spacing w:after="0"/>
        <w:tabs>
          <w:tab w:leader="none" w:pos="1660" w:val="left"/>
        </w:tabs>
        <w:rPr>
          <w:sz w:val="20"/>
          <w:szCs w:val="20"/>
          <w:color w:val="auto"/>
        </w:rPr>
      </w:pPr>
      <w:r>
        <w:rPr>
          <w:rFonts w:ascii="Arial" w:cs="Arial" w:eastAsia="Arial" w:hAnsi="Arial"/>
          <w:sz w:val="19"/>
          <w:szCs w:val="19"/>
          <w:color w:val="auto"/>
        </w:rPr>
        <w:t>314,405</w:t>
      </w:r>
      <w:r>
        <w:rPr>
          <w:sz w:val="20"/>
          <w:szCs w:val="20"/>
          <w:color w:val="auto"/>
        </w:rPr>
        <w:tab/>
      </w:r>
      <w:r>
        <w:rPr>
          <w:rFonts w:ascii="Arial" w:cs="Arial" w:eastAsia="Arial" w:hAnsi="Arial"/>
          <w:sz w:val="19"/>
          <w:szCs w:val="19"/>
          <w:color w:val="auto"/>
        </w:rPr>
        <w:t>275,152</w:t>
      </w:r>
    </w:p>
    <w:p>
      <w:pPr>
        <w:spacing w:after="0" w:line="86" w:lineRule="exact"/>
        <w:rPr>
          <w:sz w:val="20"/>
          <w:szCs w:val="20"/>
          <w:color w:val="auto"/>
        </w:rPr>
      </w:pPr>
    </w:p>
    <w:p>
      <w:pPr>
        <w:ind w:left="500"/>
        <w:spacing w:after="0"/>
        <w:tabs>
          <w:tab w:leader="none" w:pos="1760" w:val="left"/>
        </w:tabs>
        <w:rPr>
          <w:sz w:val="20"/>
          <w:szCs w:val="20"/>
          <w:color w:val="auto"/>
        </w:rPr>
      </w:pPr>
      <w:r>
        <w:rPr>
          <w:rFonts w:ascii="Arial" w:cs="Arial" w:eastAsia="Arial" w:hAnsi="Arial"/>
          <w:sz w:val="20"/>
          <w:szCs w:val="20"/>
          <w:color w:val="auto"/>
        </w:rPr>
        <w:t>58,838</w:t>
      </w:r>
      <w:r>
        <w:rPr>
          <w:sz w:val="20"/>
          <w:szCs w:val="20"/>
          <w:color w:val="auto"/>
        </w:rPr>
        <w:tab/>
      </w:r>
      <w:r>
        <w:rPr>
          <w:rFonts w:ascii="Arial" w:cs="Arial" w:eastAsia="Arial" w:hAnsi="Arial"/>
          <w:sz w:val="20"/>
          <w:szCs w:val="20"/>
          <w:color w:val="auto"/>
        </w:rPr>
        <w:t>63,009</w:t>
      </w:r>
    </w:p>
    <w:p>
      <w:pPr>
        <w:spacing w:after="0" w:line="84" w:lineRule="exact"/>
        <w:rPr>
          <w:sz w:val="20"/>
          <w:szCs w:val="20"/>
          <w:color w:val="auto"/>
        </w:rPr>
      </w:pPr>
    </w:p>
    <w:p>
      <w:pPr>
        <w:ind w:left="500"/>
        <w:spacing w:after="0"/>
        <w:tabs>
          <w:tab w:leader="none" w:pos="1760" w:val="left"/>
        </w:tabs>
        <w:rPr>
          <w:sz w:val="20"/>
          <w:szCs w:val="20"/>
          <w:color w:val="auto"/>
        </w:rPr>
      </w:pPr>
      <w:r>
        <w:rPr>
          <w:rFonts w:ascii="Arial" w:cs="Arial" w:eastAsia="Arial" w:hAnsi="Arial"/>
          <w:sz w:val="20"/>
          <w:szCs w:val="20"/>
          <w:color w:val="auto"/>
        </w:rPr>
        <w:t>23,133</w:t>
      </w:r>
      <w:r>
        <w:rPr>
          <w:sz w:val="20"/>
          <w:szCs w:val="20"/>
          <w:color w:val="auto"/>
        </w:rPr>
        <w:tab/>
      </w:r>
      <w:r>
        <w:rPr>
          <w:rFonts w:ascii="Arial" w:cs="Arial" w:eastAsia="Arial" w:hAnsi="Arial"/>
          <w:sz w:val="20"/>
          <w:szCs w:val="20"/>
          <w:color w:val="auto"/>
        </w:rPr>
        <w:t>24,978</w:t>
      </w:r>
    </w:p>
    <w:p>
      <w:pPr>
        <w:spacing w:after="0" w:line="104" w:lineRule="exact"/>
        <w:rPr>
          <w:sz w:val="20"/>
          <w:szCs w:val="20"/>
          <w:color w:val="auto"/>
        </w:rPr>
      </w:pPr>
    </w:p>
    <w:p>
      <w:pPr>
        <w:ind w:left="240"/>
        <w:spacing w:after="0"/>
        <w:tabs>
          <w:tab w:leader="none" w:pos="1500" w:val="left"/>
        </w:tabs>
        <w:rPr>
          <w:sz w:val="20"/>
          <w:szCs w:val="20"/>
          <w:color w:val="auto"/>
        </w:rPr>
      </w:pPr>
      <w:r>
        <w:rPr>
          <w:rFonts w:ascii="Arial" w:cs="Arial" w:eastAsia="Arial" w:hAnsi="Arial"/>
          <w:sz w:val="19"/>
          <w:szCs w:val="19"/>
          <w:color w:val="auto"/>
        </w:rPr>
        <w:t>2,713,470</w:t>
      </w:r>
      <w:r>
        <w:rPr>
          <w:sz w:val="20"/>
          <w:szCs w:val="20"/>
          <w:color w:val="auto"/>
        </w:rPr>
        <w:tab/>
      </w:r>
      <w:r>
        <w:rPr>
          <w:rFonts w:ascii="Arial" w:cs="Arial" w:eastAsia="Arial" w:hAnsi="Arial"/>
          <w:sz w:val="19"/>
          <w:szCs w:val="19"/>
          <w:color w:val="auto"/>
        </w:rPr>
        <w:t>2,562,545</w:t>
      </w:r>
    </w:p>
    <w:p>
      <w:pPr>
        <w:spacing w:after="0" w:line="86" w:lineRule="exact"/>
        <w:rPr>
          <w:sz w:val="20"/>
          <w:szCs w:val="20"/>
          <w:color w:val="auto"/>
        </w:rPr>
      </w:pPr>
    </w:p>
    <w:p>
      <w:pPr>
        <w:jc w:val="both"/>
        <w:ind w:left="540"/>
        <w:spacing w:after="0"/>
        <w:tabs>
          <w:tab w:leader="none" w:pos="1800" w:val="left"/>
        </w:tabs>
        <w:rPr>
          <w:sz w:val="20"/>
          <w:szCs w:val="20"/>
          <w:color w:val="auto"/>
        </w:rPr>
      </w:pPr>
      <w:r>
        <w:rPr>
          <w:rFonts w:ascii="Arial" w:cs="Arial" w:eastAsia="Arial" w:hAnsi="Arial"/>
          <w:sz w:val="20"/>
          <w:szCs w:val="20"/>
          <w:color w:val="auto"/>
        </w:rPr>
        <w:t>(1,511)</w:t>
      </w:r>
      <w:r>
        <w:rPr>
          <w:sz w:val="20"/>
          <w:szCs w:val="20"/>
          <w:color w:val="auto"/>
        </w:rPr>
        <w:tab/>
      </w:r>
      <w:r>
        <w:rPr>
          <w:rFonts w:ascii="Arial" w:cs="Arial" w:eastAsia="Arial" w:hAnsi="Arial"/>
          <w:sz w:val="20"/>
          <w:szCs w:val="20"/>
          <w:color w:val="auto"/>
        </w:rPr>
        <w:t>(1,750)</w:t>
      </w:r>
    </w:p>
    <w:p>
      <w:pPr>
        <w:spacing w:after="0" w:line="104" w:lineRule="exact"/>
        <w:rPr>
          <w:sz w:val="20"/>
          <w:szCs w:val="20"/>
          <w:color w:val="auto"/>
        </w:rPr>
      </w:pPr>
    </w:p>
    <w:p>
      <w:pPr>
        <w:ind w:left="240"/>
        <w:spacing w:after="0"/>
        <w:tabs>
          <w:tab w:leader="none" w:pos="1500" w:val="left"/>
        </w:tabs>
        <w:rPr>
          <w:sz w:val="20"/>
          <w:szCs w:val="20"/>
          <w:color w:val="auto"/>
        </w:rPr>
      </w:pPr>
      <w:r>
        <w:rPr>
          <w:rFonts w:ascii="Arial" w:cs="Arial" w:eastAsia="Arial" w:hAnsi="Arial"/>
          <w:sz w:val="19"/>
          <w:szCs w:val="19"/>
          <w:color w:val="auto"/>
        </w:rPr>
        <w:t>2,711,959</w:t>
      </w:r>
      <w:r>
        <w:rPr>
          <w:sz w:val="20"/>
          <w:szCs w:val="20"/>
          <w:color w:val="auto"/>
        </w:rPr>
        <w:tab/>
      </w:r>
      <w:r>
        <w:rPr>
          <w:rFonts w:ascii="Arial" w:cs="Arial" w:eastAsia="Arial" w:hAnsi="Arial"/>
          <w:sz w:val="19"/>
          <w:szCs w:val="19"/>
          <w:color w:val="auto"/>
        </w:rPr>
        <w:t>2,560,795</w:t>
      </w:r>
    </w:p>
    <w:p>
      <w:pPr>
        <w:spacing w:after="0" w:line="86" w:lineRule="exact"/>
        <w:rPr>
          <w:sz w:val="20"/>
          <w:szCs w:val="20"/>
          <w:color w:val="auto"/>
        </w:rPr>
      </w:pPr>
    </w:p>
    <w:p>
      <w:pPr>
        <w:jc w:val="both"/>
        <w:ind w:left="440"/>
        <w:spacing w:after="0"/>
        <w:tabs>
          <w:tab w:leader="none" w:pos="1700" w:val="left"/>
        </w:tabs>
        <w:rPr>
          <w:sz w:val="20"/>
          <w:szCs w:val="20"/>
          <w:color w:val="auto"/>
        </w:rPr>
      </w:pPr>
      <w:r>
        <w:rPr>
          <w:rFonts w:ascii="Arial" w:cs="Arial" w:eastAsia="Arial" w:hAnsi="Arial"/>
          <w:sz w:val="20"/>
          <w:szCs w:val="20"/>
          <w:color w:val="auto"/>
        </w:rPr>
        <w:t>(27,688)</w:t>
      </w:r>
      <w:r>
        <w:rPr>
          <w:sz w:val="20"/>
          <w:szCs w:val="20"/>
          <w:color w:val="auto"/>
        </w:rPr>
        <w:tab/>
      </w:r>
      <w:r>
        <w:rPr>
          <w:rFonts w:ascii="Arial" w:cs="Arial" w:eastAsia="Arial" w:hAnsi="Arial"/>
          <w:sz w:val="20"/>
          <w:szCs w:val="20"/>
          <w:color w:val="auto"/>
        </w:rPr>
        <w:t>(25,826)</w:t>
      </w:r>
    </w:p>
    <w:p>
      <w:pPr>
        <w:spacing w:after="0" w:line="229"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color w:val="auto"/>
        </w:rPr>
        <w:t>1,719</w:t>
      </w:r>
      <w:r>
        <w:rPr>
          <w:sz w:val="20"/>
          <w:szCs w:val="20"/>
          <w:color w:val="auto"/>
        </w:rPr>
        <w:tab/>
      </w:r>
      <w:r>
        <w:rPr>
          <w:rFonts w:ascii="Arial" w:cs="Arial" w:eastAsia="Arial" w:hAnsi="Arial"/>
          <w:sz w:val="20"/>
          <w:szCs w:val="20"/>
          <w:color w:val="auto"/>
        </w:rPr>
        <w:t>1,074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1482725"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3">
                      <a:extLst>
                        <a:ext uri="{28A0092B-C50C-407E-A947-70E740481C1C}"/>
                      </a:extLst>
                    </a:blip>
                    <a:srcRect/>
                    <a:stretch>
                      <a:fillRect/>
                    </a:stretch>
                  </pic:blipFill>
                  <pic:spPr bwMode="auto">
                    <a:xfrm>
                      <a:off x="0" y="0"/>
                      <a:ext cx="1482725" cy="6350"/>
                    </a:xfrm>
                    <a:prstGeom prst="rect">
                      <a:avLst/>
                    </a:prstGeom>
                    <a:noFill/>
                  </pic:spPr>
                </pic:pic>
              </a:graphicData>
            </a:graphic>
          </wp:anchor>
        </w:drawing>
      </w:r>
    </w:p>
    <w:p>
      <w:pPr>
        <w:spacing w:after="0" w:line="21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  2,685,990</w:t>
      </w:r>
      <w:r>
        <w:rPr>
          <w:sz w:val="20"/>
          <w:szCs w:val="20"/>
          <w:color w:val="auto"/>
        </w:rPr>
        <w:tab/>
      </w:r>
      <w:r>
        <w:rPr>
          <w:rFonts w:ascii="Arial" w:cs="Arial" w:eastAsia="Arial" w:hAnsi="Arial"/>
          <w:sz w:val="18"/>
          <w:szCs w:val="18"/>
          <w:color w:val="auto"/>
        </w:rPr>
        <w:t>$  2,536,043</w:t>
      </w:r>
    </w:p>
    <w:p>
      <w:pPr>
        <w:spacing w:after="0" w:line="222" w:lineRule="exact"/>
        <w:rPr>
          <w:sz w:val="20"/>
          <w:szCs w:val="20"/>
          <w:color w:val="auto"/>
        </w:rPr>
      </w:pPr>
    </w:p>
    <w:p>
      <w:pPr>
        <w:sectPr>
          <w:pgSz w:w="11900" w:h="16838" w:orient="portrait"/>
          <w:cols w:equalWidth="0" w:num="2">
            <w:col w:w="5000" w:space="560"/>
            <w:col w:w="3840"/>
          </w:cols>
          <w:pgMar w:left="1260" w:top="1440" w:right="1246" w:bottom="0" w:gutter="0" w:footer="0" w:header="0"/>
          <w:type w:val="continuous"/>
        </w:sect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333" w:lineRule="exact"/>
        <w:rPr>
          <w:sz w:val="20"/>
          <w:szCs w:val="20"/>
          <w:color w:val="auto"/>
        </w:rPr>
      </w:pPr>
    </w:p>
    <w:p>
      <w:pPr>
        <w:jc w:val="both"/>
        <w:ind w:left="620" w:right="60"/>
        <w:spacing w:after="0" w:line="307" w:lineRule="auto"/>
        <w:rPr>
          <w:sz w:val="20"/>
          <w:szCs w:val="20"/>
          <w:color w:val="auto"/>
        </w:rPr>
      </w:pPr>
      <w:r>
        <w:rPr>
          <w:rFonts w:ascii="Arial" w:cs="Arial" w:eastAsia="Arial" w:hAnsi="Arial"/>
          <w:sz w:val="20"/>
          <w:szCs w:val="20"/>
          <w:color w:val="auto"/>
        </w:rPr>
        <w:t>Consumer Real Estate: Purchase, refinance, or equity financing of one to four family owner occupied dwelling. Success in repayment is subject to borrower’s income, debt level, character in fulfilling payment obligations, employment, and other factors.</w:t>
      </w:r>
    </w:p>
    <w:p>
      <w:pPr>
        <w:spacing w:after="0" w:line="257" w:lineRule="exact"/>
        <w:rPr>
          <w:sz w:val="20"/>
          <w:szCs w:val="20"/>
          <w:color w:val="auto"/>
        </w:rPr>
      </w:pPr>
    </w:p>
    <w:p>
      <w:pPr>
        <w:jc w:val="both"/>
        <w:ind w:left="620" w:right="20"/>
        <w:spacing w:after="0" w:line="307" w:lineRule="auto"/>
        <w:rPr>
          <w:sz w:val="20"/>
          <w:szCs w:val="20"/>
          <w:color w:val="auto"/>
        </w:rPr>
      </w:pPr>
      <w:r>
        <w:rPr>
          <w:rFonts w:ascii="Arial" w:cs="Arial" w:eastAsia="Arial" w:hAnsi="Arial"/>
          <w:sz w:val="20"/>
          <w:szCs w:val="20"/>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257" w:lineRule="exact"/>
        <w:rPr>
          <w:sz w:val="20"/>
          <w:szCs w:val="20"/>
          <w:color w:val="auto"/>
        </w:rPr>
      </w:pPr>
    </w:p>
    <w:p>
      <w:pPr>
        <w:jc w:val="both"/>
        <w:ind w:left="620" w:right="60"/>
        <w:spacing w:after="0" w:line="307" w:lineRule="auto"/>
        <w:rPr>
          <w:sz w:val="20"/>
          <w:szCs w:val="20"/>
          <w:color w:val="auto"/>
        </w:rPr>
      </w:pPr>
      <w:r>
        <w:rPr>
          <w:rFonts w:ascii="Arial" w:cs="Arial" w:eastAsia="Arial" w:hAnsi="Arial"/>
          <w:sz w:val="20"/>
          <w:szCs w:val="20"/>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w:t>
      </w:r>
    </w:p>
    <w:p>
      <w:pPr>
        <w:spacing w:after="0" w:line="257" w:lineRule="exact"/>
        <w:rPr>
          <w:sz w:val="20"/>
          <w:szCs w:val="20"/>
          <w:color w:val="auto"/>
        </w:rPr>
      </w:pPr>
    </w:p>
    <w:p>
      <w:pPr>
        <w:jc w:val="both"/>
        <w:ind w:left="620" w:right="40"/>
        <w:spacing w:after="0" w:line="355"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 factors.</w:t>
      </w:r>
    </w:p>
    <w:p>
      <w:pPr>
        <w:sectPr>
          <w:pgSz w:w="11900" w:h="16838" w:orient="portrait"/>
          <w:cols w:equalWidth="0" w:num="1">
            <w:col w:w="9400"/>
          </w:cols>
          <w:pgMar w:left="1260" w:top="1440" w:right="1246" w:bottom="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17</w:t>
      </w:r>
    </w:p>
    <w:p>
      <w:pPr>
        <w:sectPr>
          <w:pgSz w:w="11900" w:h="16838" w:orient="portrait"/>
          <w:cols w:equalWidth="0" w:num="1">
            <w:col w:w="9400"/>
          </w:cols>
          <w:pgMar w:left="1260" w:top="1440" w:right="1246" w:bottom="0" w:gutter="0" w:footer="0" w:header="0"/>
          <w:type w:val="continuous"/>
        </w:sectPr>
      </w:pPr>
    </w:p>
    <w:bookmarkStart w:id="157" w:name="page158"/>
    <w:bookmarkEnd w:id="157"/>
    <w:p>
      <w:pPr>
        <w:jc w:val="both"/>
        <w:ind w:left="440"/>
        <w:spacing w:after="0" w:line="330" w:lineRule="auto"/>
        <w:rPr>
          <w:sz w:val="20"/>
          <w:szCs w:val="20"/>
          <w:color w:val="auto"/>
        </w:rPr>
      </w:pPr>
      <w:r>
        <w:rPr>
          <w:rFonts w:ascii="Arial" w:cs="Arial" w:eastAsia="Arial" w:hAnsi="Arial"/>
          <w:sz w:val="19"/>
          <w:szCs w:val="19"/>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w:t>
      </w:r>
    </w:p>
    <w:p>
      <w:pPr>
        <w:spacing w:after="0" w:line="238" w:lineRule="exact"/>
        <w:rPr>
          <w:sz w:val="20"/>
          <w:szCs w:val="20"/>
          <w:color w:val="auto"/>
        </w:rPr>
      </w:pPr>
    </w:p>
    <w:p>
      <w:pPr>
        <w:jc w:val="both"/>
        <w:ind w:left="440" w:right="20"/>
        <w:spacing w:after="0" w:line="331" w:lineRule="auto"/>
        <w:rPr>
          <w:sz w:val="20"/>
          <w:szCs w:val="20"/>
          <w:color w:val="auto"/>
        </w:rPr>
      </w:pPr>
      <w:r>
        <w:rPr>
          <w:rFonts w:ascii="Arial" w:cs="Arial" w:eastAsia="Arial" w:hAnsi="Arial"/>
          <w:sz w:val="19"/>
          <w:szCs w:val="19"/>
          <w:color w:val="auto"/>
        </w:rPr>
        <w:t>Consumer: Funding for individual and family purposes. Success in repayment is subject to borrower’s income, debt level, character in fulfilling payment obligations, employment and other factors.</w:t>
      </w:r>
    </w:p>
    <w:p>
      <w:pPr>
        <w:spacing w:after="0" w:line="237" w:lineRule="exact"/>
        <w:rPr>
          <w:sz w:val="20"/>
          <w:szCs w:val="20"/>
          <w:color w:val="auto"/>
        </w:rPr>
      </w:pPr>
    </w:p>
    <w:p>
      <w:pPr>
        <w:ind w:left="440"/>
        <w:spacing w:after="0" w:line="302" w:lineRule="auto"/>
        <w:rPr>
          <w:sz w:val="20"/>
          <w:szCs w:val="20"/>
          <w:color w:val="auto"/>
        </w:rPr>
      </w:pPr>
      <w:r>
        <w:rPr>
          <w:rFonts w:ascii="Arial" w:cs="Arial" w:eastAsia="Arial" w:hAnsi="Arial"/>
          <w:sz w:val="20"/>
          <w:szCs w:val="20"/>
          <w:color w:val="auto"/>
        </w:rPr>
        <w:t>Other: Primarily funds public improvements in the Bank’s service area. Repayment ability is based on the continuance of the taxation revenue as the source of repayment.</w:t>
      </w:r>
    </w:p>
    <w:p>
      <w:pPr>
        <w:spacing w:after="0" w:line="251"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40"/>
          </w:cols>
          <w:pgMar w:left="144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8 / 17</w:t>
      </w:r>
    </w:p>
    <w:p>
      <w:pPr>
        <w:sectPr>
          <w:pgSz w:w="11900" w:h="16838" w:orient="portrait"/>
          <w:cols w:equalWidth="0" w:num="1">
            <w:col w:w="9140"/>
          </w:cols>
          <w:pgMar w:left="1440" w:top="1173" w:right="1326" w:bottom="0" w:gutter="0" w:footer="0" w:header="0"/>
          <w:type w:val="continuous"/>
        </w:sectPr>
      </w:pPr>
    </w:p>
    <w:bookmarkStart w:id="158" w:name="page159"/>
    <w:bookmarkEnd w:id="158"/>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20" w:right="80"/>
        <w:spacing w:after="0" w:line="302" w:lineRule="auto"/>
        <w:rPr>
          <w:sz w:val="20"/>
          <w:szCs w:val="20"/>
          <w:color w:val="auto"/>
        </w:rPr>
      </w:pPr>
      <w:r>
        <w:rPr>
          <w:rFonts w:ascii="Arial" w:cs="Arial" w:eastAsia="Arial" w:hAnsi="Arial"/>
          <w:sz w:val="20"/>
          <w:szCs w:val="20"/>
          <w:color w:val="auto"/>
        </w:rPr>
        <w:t>The following table shows the contractual maturity by portfolio segment at amortized cost excluding fair value adjustments related to acquisitions at December 31, 2025:</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Arial" w:cs="Arial" w:eastAsia="Arial" w:hAnsi="Arial"/>
                <w:sz w:val="20"/>
                <w:szCs w:val="20"/>
                <w:color w:val="auto"/>
                <w:w w:val="90"/>
              </w:rPr>
              <w:t>(In Thousands)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After One</w:t>
            </w:r>
          </w:p>
        </w:tc>
        <w:tc>
          <w:tcPr>
            <w:tcW w:w="1300" w:type="dxa"/>
            <w:vAlign w:val="bottom"/>
            <w:gridSpan w:val="2"/>
          </w:tcPr>
          <w:p>
            <w:pPr>
              <w:jc w:val="center"/>
              <w:spacing w:after="0"/>
              <w:rPr>
                <w:sz w:val="20"/>
                <w:szCs w:val="20"/>
                <w:color w:val="auto"/>
              </w:rPr>
            </w:pPr>
            <w:r>
              <w:rPr>
                <w:rFonts w:ascii="Arial" w:cs="Arial" w:eastAsia="Arial" w:hAnsi="Arial"/>
                <w:sz w:val="20"/>
                <w:szCs w:val="20"/>
                <w:color w:val="auto"/>
                <w:w w:val="95"/>
              </w:rPr>
              <w:t>After Five</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vMerge w:val="restart"/>
          </w:tcPr>
          <w:p>
            <w:pPr>
              <w:jc w:val="right"/>
              <w:ind w:right="180"/>
              <w:spacing w:after="0"/>
              <w:rPr>
                <w:sz w:val="20"/>
                <w:szCs w:val="20"/>
                <w:color w:val="auto"/>
              </w:rPr>
            </w:pPr>
            <w:r>
              <w:rPr>
                <w:rFonts w:ascii="Arial" w:cs="Arial" w:eastAsia="Arial" w:hAnsi="Arial"/>
                <w:sz w:val="20"/>
                <w:szCs w:val="20"/>
                <w:color w:val="auto"/>
              </w:rPr>
              <w:t>Within</w:t>
            </w:r>
          </w:p>
        </w:tc>
        <w:tc>
          <w:tcPr>
            <w:tcW w:w="260" w:type="dxa"/>
            <w:vAlign w:val="bottom"/>
          </w:tcPr>
          <w:p>
            <w:pPr>
              <w:spacing w:after="0"/>
              <w:rPr>
                <w:sz w:val="24"/>
                <w:szCs w:val="24"/>
                <w:color w:val="auto"/>
              </w:rPr>
            </w:pPr>
          </w:p>
        </w:tc>
        <w:tc>
          <w:tcPr>
            <w:tcW w:w="800" w:type="dxa"/>
            <w:vAlign w:val="bottom"/>
          </w:tcPr>
          <w:p>
            <w:pPr>
              <w:jc w:val="right"/>
              <w:ind w:right="220"/>
              <w:spacing w:after="0"/>
              <w:rPr>
                <w:sz w:val="20"/>
                <w:szCs w:val="20"/>
                <w:color w:val="auto"/>
              </w:rPr>
            </w:pPr>
            <w:r>
              <w:rPr>
                <w:rFonts w:ascii="Arial" w:cs="Arial" w:eastAsia="Arial" w:hAnsi="Arial"/>
                <w:sz w:val="20"/>
                <w:szCs w:val="20"/>
                <w:color w:val="auto"/>
              </w:rPr>
              <w:t>Year</w:t>
            </w:r>
          </w:p>
        </w:tc>
        <w:tc>
          <w:tcPr>
            <w:tcW w:w="320" w:type="dxa"/>
            <w:vAlign w:val="bottom"/>
          </w:tcPr>
          <w:p>
            <w:pPr>
              <w:spacing w:after="0"/>
              <w:rPr>
                <w:sz w:val="24"/>
                <w:szCs w:val="24"/>
                <w:color w:val="auto"/>
              </w:rPr>
            </w:pPr>
          </w:p>
        </w:tc>
        <w:tc>
          <w:tcPr>
            <w:tcW w:w="980" w:type="dxa"/>
            <w:vAlign w:val="bottom"/>
          </w:tcPr>
          <w:p>
            <w:pPr>
              <w:jc w:val="right"/>
              <w:ind w:right="340"/>
              <w:spacing w:after="0"/>
              <w:rPr>
                <w:sz w:val="20"/>
                <w:szCs w:val="20"/>
                <w:color w:val="auto"/>
              </w:rPr>
            </w:pPr>
            <w:r>
              <w:rPr>
                <w:rFonts w:ascii="Arial" w:cs="Arial" w:eastAsia="Arial" w:hAnsi="Arial"/>
                <w:sz w:val="20"/>
                <w:szCs w:val="20"/>
                <w:color w:val="auto"/>
                <w:w w:val="99"/>
              </w:rPr>
              <w:t>Years</w:t>
            </w:r>
          </w:p>
        </w:tc>
        <w:tc>
          <w:tcPr>
            <w:tcW w:w="160" w:type="dxa"/>
            <w:vAlign w:val="bottom"/>
          </w:tcPr>
          <w:p>
            <w:pPr>
              <w:spacing w:after="0"/>
              <w:rPr>
                <w:sz w:val="24"/>
                <w:szCs w:val="24"/>
                <w:color w:val="auto"/>
              </w:rPr>
            </w:pPr>
          </w:p>
        </w:tc>
        <w:tc>
          <w:tcPr>
            <w:tcW w:w="900" w:type="dxa"/>
            <w:vAlign w:val="bottom"/>
            <w:vMerge w:val="restart"/>
          </w:tcPr>
          <w:p>
            <w:pPr>
              <w:jc w:val="right"/>
              <w:ind w:right="260"/>
              <w:spacing w:after="0"/>
              <w:rPr>
                <w:sz w:val="20"/>
                <w:szCs w:val="20"/>
                <w:color w:val="auto"/>
              </w:rPr>
            </w:pPr>
            <w:r>
              <w:rPr>
                <w:rFonts w:ascii="Arial" w:cs="Arial" w:eastAsia="Arial" w:hAnsi="Arial"/>
                <w:sz w:val="20"/>
                <w:szCs w:val="20"/>
                <w:color w:val="auto"/>
              </w:rPr>
              <w:t>After</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restart"/>
          </w:tcPr>
          <w:p>
            <w:pPr>
              <w:jc w:val="right"/>
              <w:ind w:right="100"/>
              <w:spacing w:after="0"/>
              <w:rPr>
                <w:sz w:val="20"/>
                <w:szCs w:val="20"/>
                <w:color w:val="auto"/>
              </w:rPr>
            </w:pPr>
            <w:r>
              <w:rPr>
                <w:rFonts w:ascii="Arial" w:cs="Arial" w:eastAsia="Arial" w:hAnsi="Arial"/>
                <w:sz w:val="20"/>
                <w:szCs w:val="20"/>
                <w:color w:val="auto"/>
              </w:rPr>
              <w:t>Within</w:t>
            </w:r>
          </w:p>
        </w:tc>
        <w:tc>
          <w:tcPr>
            <w:tcW w:w="320" w:type="dxa"/>
            <w:vAlign w:val="bottom"/>
          </w:tcPr>
          <w:p>
            <w:pPr>
              <w:spacing w:after="0"/>
              <w:rPr>
                <w:sz w:val="13"/>
                <w:szCs w:val="13"/>
                <w:color w:val="auto"/>
              </w:rPr>
            </w:pPr>
          </w:p>
        </w:tc>
        <w:tc>
          <w:tcPr>
            <w:tcW w:w="980" w:type="dxa"/>
            <w:vAlign w:val="bottom"/>
            <w:vMerge w:val="restart"/>
          </w:tcPr>
          <w:p>
            <w:pPr>
              <w:jc w:val="center"/>
              <w:ind w:right="240"/>
              <w:spacing w:after="0"/>
              <w:rPr>
                <w:sz w:val="20"/>
                <w:szCs w:val="20"/>
                <w:color w:val="auto"/>
              </w:rPr>
            </w:pPr>
            <w:r>
              <w:rPr>
                <w:rFonts w:ascii="Arial" w:cs="Arial" w:eastAsia="Arial" w:hAnsi="Arial"/>
                <w:sz w:val="20"/>
                <w:szCs w:val="20"/>
                <w:color w:val="auto"/>
              </w:rPr>
              <w:t>Within</w:t>
            </w: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2980" w:type="dxa"/>
            <w:vAlign w:val="bottom"/>
          </w:tcPr>
          <w:p>
            <w:pPr>
              <w:spacing w:after="0"/>
              <w:rPr>
                <w:sz w:val="24"/>
                <w:szCs w:val="24"/>
                <w:color w:val="auto"/>
              </w:rPr>
            </w:pPr>
          </w:p>
        </w:tc>
        <w:tc>
          <w:tcPr>
            <w:tcW w:w="186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One Year</w:t>
            </w:r>
          </w:p>
        </w:tc>
        <w:tc>
          <w:tcPr>
            <w:tcW w:w="1060" w:type="dxa"/>
            <w:vAlign w:val="bottom"/>
            <w:gridSpan w:val="2"/>
            <w:vMerge w:val="restart"/>
          </w:tcPr>
          <w:p>
            <w:pPr>
              <w:ind w:left="140"/>
              <w:spacing w:after="0"/>
              <w:rPr>
                <w:sz w:val="20"/>
                <w:szCs w:val="20"/>
                <w:color w:val="auto"/>
              </w:rPr>
            </w:pPr>
            <w:r>
              <w:rPr>
                <w:rFonts w:ascii="Arial" w:cs="Arial" w:eastAsia="Arial" w:hAnsi="Arial"/>
                <w:sz w:val="20"/>
                <w:szCs w:val="20"/>
                <w:color w:val="auto"/>
                <w:w w:val="94"/>
              </w:rPr>
              <w:t>Five Years</w:t>
            </w:r>
          </w:p>
        </w:tc>
        <w:tc>
          <w:tcPr>
            <w:tcW w:w="320" w:type="dxa"/>
            <w:vAlign w:val="bottom"/>
          </w:tcPr>
          <w:p>
            <w:pPr>
              <w:spacing w:after="0"/>
              <w:rPr>
                <w:sz w:val="24"/>
                <w:szCs w:val="24"/>
                <w:color w:val="auto"/>
              </w:rPr>
            </w:pPr>
          </w:p>
        </w:tc>
        <w:tc>
          <w:tcPr>
            <w:tcW w:w="980" w:type="dxa"/>
            <w:vAlign w:val="bottom"/>
          </w:tcPr>
          <w:p>
            <w:pPr>
              <w:jc w:val="right"/>
              <w:ind w:right="300"/>
              <w:spacing w:after="0"/>
              <w:rPr>
                <w:sz w:val="20"/>
                <w:szCs w:val="20"/>
                <w:color w:val="auto"/>
              </w:rPr>
            </w:pPr>
            <w:r>
              <w:rPr>
                <w:rFonts w:ascii="Arial" w:cs="Arial" w:eastAsia="Arial" w:hAnsi="Arial"/>
                <w:sz w:val="20"/>
                <w:szCs w:val="20"/>
                <w:color w:val="auto"/>
                <w:w w:val="91"/>
              </w:rPr>
              <w:t>Fifteen</w:t>
            </w:r>
          </w:p>
        </w:tc>
        <w:tc>
          <w:tcPr>
            <w:tcW w:w="160" w:type="dxa"/>
            <w:vAlign w:val="bottom"/>
          </w:tcPr>
          <w:p>
            <w:pPr>
              <w:spacing w:after="0"/>
              <w:rPr>
                <w:sz w:val="24"/>
                <w:szCs w:val="24"/>
                <w:color w:val="auto"/>
              </w:rPr>
            </w:pPr>
          </w:p>
        </w:tc>
        <w:tc>
          <w:tcPr>
            <w:tcW w:w="900" w:type="dxa"/>
            <w:vAlign w:val="bottom"/>
          </w:tcPr>
          <w:p>
            <w:pPr>
              <w:jc w:val="right"/>
              <w:ind w:right="220"/>
              <w:spacing w:after="0"/>
              <w:rPr>
                <w:sz w:val="20"/>
                <w:szCs w:val="20"/>
                <w:color w:val="auto"/>
              </w:rPr>
            </w:pPr>
            <w:r>
              <w:rPr>
                <w:rFonts w:ascii="Arial" w:cs="Arial" w:eastAsia="Arial" w:hAnsi="Arial"/>
                <w:sz w:val="20"/>
                <w:szCs w:val="20"/>
                <w:color w:val="auto"/>
                <w:w w:val="91"/>
              </w:rPr>
              <w:t>Fifteen</w:t>
            </w:r>
          </w:p>
        </w:tc>
        <w:tc>
          <w:tcPr>
            <w:tcW w:w="220" w:type="dxa"/>
            <w:vAlign w:val="bottom"/>
          </w:tcPr>
          <w:p>
            <w:pPr>
              <w:spacing w:after="0"/>
              <w:rPr>
                <w:sz w:val="24"/>
                <w:szCs w:val="24"/>
                <w:color w:val="auto"/>
              </w:rPr>
            </w:pPr>
          </w:p>
        </w:tc>
        <w:tc>
          <w:tcPr>
            <w:tcW w:w="920" w:type="dxa"/>
            <w:vAlign w:val="bottom"/>
            <w:vMerge w:val="restart"/>
          </w:tcPr>
          <w:p>
            <w:pPr>
              <w:jc w:val="right"/>
              <w:ind w:right="26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150"/>
        </w:trPr>
        <w:tc>
          <w:tcPr>
            <w:tcW w:w="2980" w:type="dxa"/>
            <w:vAlign w:val="bottom"/>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center"/>
              <w:ind w:right="220"/>
              <w:spacing w:after="0"/>
              <w:rPr>
                <w:sz w:val="20"/>
                <w:szCs w:val="20"/>
                <w:color w:val="auto"/>
              </w:rPr>
            </w:pPr>
            <w:r>
              <w:rPr>
                <w:rFonts w:ascii="Arial" w:cs="Arial" w:eastAsia="Arial" w:hAnsi="Arial"/>
                <w:sz w:val="20"/>
                <w:szCs w:val="20"/>
                <w:color w:val="auto"/>
                <w:w w:val="87"/>
              </w:rPr>
              <w:t>Years</w:t>
            </w:r>
          </w:p>
        </w:tc>
        <w:tc>
          <w:tcPr>
            <w:tcW w:w="160" w:type="dxa"/>
            <w:vAlign w:val="bottom"/>
          </w:tcPr>
          <w:p>
            <w:pPr>
              <w:spacing w:after="0"/>
              <w:rPr>
                <w:sz w:val="13"/>
                <w:szCs w:val="13"/>
                <w:color w:val="auto"/>
              </w:rPr>
            </w:pPr>
          </w:p>
        </w:tc>
        <w:tc>
          <w:tcPr>
            <w:tcW w:w="900" w:type="dxa"/>
            <w:vAlign w:val="bottom"/>
            <w:vMerge w:val="restart"/>
          </w:tcPr>
          <w:p>
            <w:pPr>
              <w:jc w:val="right"/>
              <w:ind w:right="240"/>
              <w:spacing w:after="0"/>
              <w:rPr>
                <w:sz w:val="20"/>
                <w:szCs w:val="20"/>
                <w:color w:val="auto"/>
              </w:rPr>
            </w:pPr>
            <w:r>
              <w:rPr>
                <w:rFonts w:ascii="Arial" w:cs="Arial" w:eastAsia="Arial" w:hAnsi="Arial"/>
                <w:sz w:val="20"/>
                <w:szCs w:val="20"/>
                <w:color w:val="auto"/>
              </w:rPr>
              <w:t>Years</w:t>
            </w:r>
          </w:p>
        </w:tc>
        <w:tc>
          <w:tcPr>
            <w:tcW w:w="2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Consumer Real Estate</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11,427</w:t>
            </w:r>
          </w:p>
        </w:tc>
        <w:tc>
          <w:tcPr>
            <w:tcW w:w="2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25,060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188,320</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302,571</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527,378</w:t>
            </w:r>
          </w:p>
        </w:tc>
        <w:tc>
          <w:tcPr>
            <w:tcW w:w="0" w:type="dxa"/>
            <w:vAlign w:val="bottom"/>
          </w:tcPr>
          <w:p>
            <w:pPr>
              <w:spacing w:after="0"/>
              <w:rPr>
                <w:sz w:val="1"/>
                <w:szCs w:val="1"/>
                <w:color w:val="auto"/>
              </w:rPr>
            </w:pPr>
          </w:p>
        </w:tc>
      </w:tr>
      <w:tr>
        <w:trPr>
          <w:trHeight w:val="274"/>
        </w:trPr>
        <w:tc>
          <w:tcPr>
            <w:tcW w:w="2980" w:type="dxa"/>
            <w:vAlign w:val="bottom"/>
          </w:tcPr>
          <w:p>
            <w:pPr>
              <w:spacing w:after="0"/>
              <w:rPr>
                <w:sz w:val="20"/>
                <w:szCs w:val="20"/>
                <w:color w:val="auto"/>
              </w:rPr>
            </w:pPr>
            <w:r>
              <w:rPr>
                <w:rFonts w:ascii="Arial" w:cs="Arial" w:eastAsia="Arial" w:hAnsi="Arial"/>
                <w:sz w:val="20"/>
                <w:szCs w:val="20"/>
                <w:color w:val="auto"/>
              </w:rPr>
              <w:t>Agricultural Real Estate</w:t>
            </w:r>
          </w:p>
        </w:tc>
        <w:tc>
          <w:tcPr>
            <w:tcW w:w="98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10,367</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8,974</w:t>
            </w:r>
          </w:p>
        </w:tc>
        <w:tc>
          <w:tcPr>
            <w:tcW w:w="320" w:type="dxa"/>
            <w:vAlign w:val="bottom"/>
          </w:tcPr>
          <w:p>
            <w:pPr>
              <w:spacing w:after="0"/>
              <w:rPr>
                <w:sz w:val="23"/>
                <w:szCs w:val="23"/>
                <w:color w:val="auto"/>
              </w:rPr>
            </w:pPr>
          </w:p>
        </w:tc>
        <w:tc>
          <w:tcPr>
            <w:tcW w:w="980" w:type="dxa"/>
            <w:vAlign w:val="bottom"/>
          </w:tcPr>
          <w:p>
            <w:pPr>
              <w:jc w:val="right"/>
              <w:ind w:right="100"/>
              <w:spacing w:after="0"/>
              <w:rPr>
                <w:sz w:val="20"/>
                <w:szCs w:val="20"/>
                <w:color w:val="auto"/>
              </w:rPr>
            </w:pPr>
            <w:r>
              <w:rPr>
                <w:rFonts w:ascii="Arial" w:cs="Arial" w:eastAsia="Arial" w:hAnsi="Arial"/>
                <w:sz w:val="20"/>
                <w:szCs w:val="20"/>
                <w:color w:val="auto"/>
              </w:rPr>
              <w:t>67,475</w:t>
            </w:r>
          </w:p>
        </w:tc>
        <w:tc>
          <w:tcPr>
            <w:tcW w:w="16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130,126</w:t>
            </w:r>
          </w:p>
        </w:tc>
        <w:tc>
          <w:tcPr>
            <w:tcW w:w="2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216,942</w:t>
            </w:r>
          </w:p>
        </w:tc>
        <w:tc>
          <w:tcPr>
            <w:tcW w:w="0" w:type="dxa"/>
            <w:vAlign w:val="bottom"/>
          </w:tcPr>
          <w:p>
            <w:pPr>
              <w:spacing w:after="0"/>
              <w:rPr>
                <w:sz w:val="1"/>
                <w:szCs w:val="1"/>
                <w:color w:val="auto"/>
              </w:rPr>
            </w:pPr>
          </w:p>
        </w:tc>
      </w:tr>
      <w:tr>
        <w:trPr>
          <w:trHeight w:val="41"/>
        </w:trPr>
        <w:tc>
          <w:tcPr>
            <w:tcW w:w="2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Agricultural</w:t>
            </w:r>
          </w:p>
        </w:tc>
        <w:tc>
          <w:tcPr>
            <w:tcW w:w="9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117,961</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64,885</w:t>
            </w: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31,115</w:t>
            </w:r>
          </w:p>
        </w:tc>
        <w:tc>
          <w:tcPr>
            <w:tcW w:w="1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4,386</w:t>
            </w:r>
          </w:p>
        </w:tc>
        <w:tc>
          <w:tcPr>
            <w:tcW w:w="2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218,347</w:t>
            </w:r>
          </w:p>
        </w:tc>
        <w:tc>
          <w:tcPr>
            <w:tcW w:w="0" w:type="dxa"/>
            <w:vAlign w:val="bottom"/>
          </w:tcPr>
          <w:p>
            <w:pPr>
              <w:spacing w:after="0"/>
              <w:rPr>
                <w:sz w:val="1"/>
                <w:szCs w:val="1"/>
                <w:color w:val="auto"/>
              </w:rPr>
            </w:pPr>
          </w:p>
        </w:tc>
      </w:tr>
      <w:tr>
        <w:trPr>
          <w:trHeight w:val="274"/>
        </w:trPr>
        <w:tc>
          <w:tcPr>
            <w:tcW w:w="2980" w:type="dxa"/>
            <w:vAlign w:val="bottom"/>
          </w:tcPr>
          <w:p>
            <w:pPr>
              <w:spacing w:after="0"/>
              <w:rPr>
                <w:sz w:val="20"/>
                <w:szCs w:val="20"/>
                <w:color w:val="auto"/>
              </w:rPr>
            </w:pPr>
            <w:r>
              <w:rPr>
                <w:rFonts w:ascii="Arial" w:cs="Arial" w:eastAsia="Arial" w:hAnsi="Arial"/>
                <w:sz w:val="20"/>
                <w:szCs w:val="20"/>
                <w:color w:val="auto"/>
              </w:rPr>
              <w:t>Commercial Real Estate</w:t>
            </w:r>
          </w:p>
        </w:tc>
        <w:tc>
          <w:tcPr>
            <w:tcW w:w="98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60,694</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569,512</w:t>
            </w:r>
          </w:p>
        </w:tc>
        <w:tc>
          <w:tcPr>
            <w:tcW w:w="320" w:type="dxa"/>
            <w:vAlign w:val="bottom"/>
          </w:tcPr>
          <w:p>
            <w:pPr>
              <w:spacing w:after="0"/>
              <w:rPr>
                <w:sz w:val="23"/>
                <w:szCs w:val="23"/>
                <w:color w:val="auto"/>
              </w:rPr>
            </w:pPr>
          </w:p>
        </w:tc>
        <w:tc>
          <w:tcPr>
            <w:tcW w:w="980" w:type="dxa"/>
            <w:vAlign w:val="bottom"/>
          </w:tcPr>
          <w:p>
            <w:pPr>
              <w:jc w:val="right"/>
              <w:ind w:right="100"/>
              <w:spacing w:after="0"/>
              <w:rPr>
                <w:sz w:val="20"/>
                <w:szCs w:val="20"/>
                <w:color w:val="auto"/>
              </w:rPr>
            </w:pPr>
            <w:r>
              <w:rPr>
                <w:rFonts w:ascii="Arial" w:cs="Arial" w:eastAsia="Arial" w:hAnsi="Arial"/>
                <w:sz w:val="20"/>
                <w:szCs w:val="20"/>
                <w:color w:val="auto"/>
              </w:rPr>
              <w:t>545,044</w:t>
            </w:r>
          </w:p>
        </w:tc>
        <w:tc>
          <w:tcPr>
            <w:tcW w:w="16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177,786</w:t>
            </w:r>
          </w:p>
        </w:tc>
        <w:tc>
          <w:tcPr>
            <w:tcW w:w="2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w w:val="87"/>
              </w:rPr>
              <w:t>1,353,036</w:t>
            </w:r>
          </w:p>
        </w:tc>
        <w:tc>
          <w:tcPr>
            <w:tcW w:w="0" w:type="dxa"/>
            <w:vAlign w:val="bottom"/>
          </w:tcPr>
          <w:p>
            <w:pPr>
              <w:spacing w:after="0"/>
              <w:rPr>
                <w:sz w:val="1"/>
                <w:szCs w:val="1"/>
                <w:color w:val="auto"/>
              </w:rPr>
            </w:pPr>
          </w:p>
        </w:tc>
      </w:tr>
      <w:tr>
        <w:trPr>
          <w:trHeight w:val="41"/>
        </w:trPr>
        <w:tc>
          <w:tcPr>
            <w:tcW w:w="2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Commercial and Industrial</w:t>
            </w:r>
          </w:p>
        </w:tc>
        <w:tc>
          <w:tcPr>
            <w:tcW w:w="9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139,242</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114,499</w:t>
            </w: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59,486</w:t>
            </w:r>
          </w:p>
        </w:tc>
        <w:tc>
          <w:tcPr>
            <w:tcW w:w="1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922</w:t>
            </w:r>
          </w:p>
        </w:tc>
        <w:tc>
          <w:tcPr>
            <w:tcW w:w="2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314,149</w:t>
            </w:r>
          </w:p>
        </w:tc>
        <w:tc>
          <w:tcPr>
            <w:tcW w:w="0" w:type="dxa"/>
            <w:vAlign w:val="bottom"/>
          </w:tcPr>
          <w:p>
            <w:pPr>
              <w:spacing w:after="0"/>
              <w:rPr>
                <w:sz w:val="1"/>
                <w:szCs w:val="1"/>
                <w:color w:val="auto"/>
              </w:rPr>
            </w:pPr>
          </w:p>
        </w:tc>
      </w:tr>
      <w:tr>
        <w:trPr>
          <w:trHeight w:val="274"/>
        </w:trPr>
        <w:tc>
          <w:tcPr>
            <w:tcW w:w="2980" w:type="dxa"/>
            <w:vAlign w:val="bottom"/>
          </w:tcPr>
          <w:p>
            <w:pPr>
              <w:spacing w:after="0"/>
              <w:rPr>
                <w:sz w:val="20"/>
                <w:szCs w:val="20"/>
                <w:color w:val="auto"/>
              </w:rPr>
            </w:pPr>
            <w:r>
              <w:rPr>
                <w:rFonts w:ascii="Arial" w:cs="Arial" w:eastAsia="Arial" w:hAnsi="Arial"/>
                <w:sz w:val="20"/>
                <w:szCs w:val="20"/>
                <w:color w:val="auto"/>
              </w:rPr>
              <w:t>Consumer</w:t>
            </w:r>
          </w:p>
        </w:tc>
        <w:tc>
          <w:tcPr>
            <w:tcW w:w="98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2,588</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41,292</w:t>
            </w:r>
          </w:p>
        </w:tc>
        <w:tc>
          <w:tcPr>
            <w:tcW w:w="320" w:type="dxa"/>
            <w:vAlign w:val="bottom"/>
          </w:tcPr>
          <w:p>
            <w:pPr>
              <w:spacing w:after="0"/>
              <w:rPr>
                <w:sz w:val="23"/>
                <w:szCs w:val="23"/>
                <w:color w:val="auto"/>
              </w:rPr>
            </w:pPr>
          </w:p>
        </w:tc>
        <w:tc>
          <w:tcPr>
            <w:tcW w:w="980" w:type="dxa"/>
            <w:vAlign w:val="bottom"/>
          </w:tcPr>
          <w:p>
            <w:pPr>
              <w:jc w:val="right"/>
              <w:ind w:right="100"/>
              <w:spacing w:after="0"/>
              <w:rPr>
                <w:sz w:val="20"/>
                <w:szCs w:val="20"/>
                <w:color w:val="auto"/>
              </w:rPr>
            </w:pPr>
            <w:r>
              <w:rPr>
                <w:rFonts w:ascii="Arial" w:cs="Arial" w:eastAsia="Arial" w:hAnsi="Arial"/>
                <w:sz w:val="20"/>
                <w:szCs w:val="20"/>
                <w:color w:val="auto"/>
              </w:rPr>
              <w:t>15,660</w:t>
            </w:r>
          </w:p>
        </w:tc>
        <w:tc>
          <w:tcPr>
            <w:tcW w:w="16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35</w:t>
            </w:r>
          </w:p>
        </w:tc>
        <w:tc>
          <w:tcPr>
            <w:tcW w:w="2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59,575</w:t>
            </w:r>
          </w:p>
        </w:tc>
        <w:tc>
          <w:tcPr>
            <w:tcW w:w="0" w:type="dxa"/>
            <w:vAlign w:val="bottom"/>
          </w:tcPr>
          <w:p>
            <w:pPr>
              <w:spacing w:after="0"/>
              <w:rPr>
                <w:sz w:val="1"/>
                <w:szCs w:val="1"/>
                <w:color w:val="auto"/>
              </w:rPr>
            </w:pPr>
          </w:p>
        </w:tc>
      </w:tr>
      <w:tr>
        <w:trPr>
          <w:trHeight w:val="41"/>
        </w:trPr>
        <w:tc>
          <w:tcPr>
            <w:tcW w:w="2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w:t>
            </w:r>
          </w:p>
        </w:tc>
        <w:tc>
          <w:tcPr>
            <w:tcW w:w="9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194</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1,618</w:t>
            </w: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21,321</w:t>
            </w:r>
          </w:p>
        </w:tc>
        <w:tc>
          <w:tcPr>
            <w:tcW w:w="1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23,133</w:t>
            </w:r>
          </w:p>
        </w:tc>
        <w:tc>
          <w:tcPr>
            <w:tcW w:w="0" w:type="dxa"/>
            <w:vAlign w:val="bottom"/>
          </w:tcPr>
          <w:p>
            <w:pPr>
              <w:spacing w:after="0"/>
              <w:rPr>
                <w:sz w:val="1"/>
                <w:szCs w:val="1"/>
                <w:color w:val="auto"/>
              </w:rPr>
            </w:pPr>
          </w:p>
        </w:tc>
      </w:tr>
      <w:tr>
        <w:trPr>
          <w:trHeight w:val="274"/>
        </w:trPr>
        <w:tc>
          <w:tcPr>
            <w:tcW w:w="29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342,473</w:t>
            </w:r>
          </w:p>
        </w:tc>
        <w:tc>
          <w:tcPr>
            <w:tcW w:w="260" w:type="dxa"/>
            <w:vAlign w:val="bottom"/>
          </w:tcPr>
          <w:p>
            <w:pPr>
              <w:ind w:left="12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825,840</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100"/>
              <w:spacing w:after="0"/>
              <w:rPr>
                <w:sz w:val="20"/>
                <w:szCs w:val="20"/>
                <w:color w:val="auto"/>
              </w:rPr>
            </w:pPr>
            <w:r>
              <w:rPr>
                <w:rFonts w:ascii="Arial" w:cs="Arial" w:eastAsia="Arial" w:hAnsi="Arial"/>
                <w:sz w:val="20"/>
                <w:szCs w:val="20"/>
                <w:color w:val="auto"/>
              </w:rPr>
              <w:t>928,421</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615,826</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0"/>
              <w:spacing w:after="0"/>
              <w:rPr>
                <w:sz w:val="20"/>
                <w:szCs w:val="20"/>
                <w:color w:val="auto"/>
              </w:rPr>
            </w:pPr>
            <w:r>
              <w:rPr>
                <w:rFonts w:ascii="Arial" w:cs="Arial" w:eastAsia="Arial" w:hAnsi="Arial"/>
                <w:sz w:val="20"/>
                <w:szCs w:val="20"/>
                <w:color w:val="auto"/>
                <w:w w:val="87"/>
              </w:rPr>
              <w:t>2,712,560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-2569845</wp:posOffset>
            </wp:positionV>
            <wp:extent cx="347345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5">
                      <a:extLst>
                        <a:ext uri="{28A0092B-C50C-407E-A947-70E740481C1C}"/>
                      </a:extLst>
                    </a:blip>
                    <a:srcRect/>
                    <a:stretch>
                      <a:fillRect/>
                    </a:stretch>
                  </pic:blipFill>
                  <pic:spPr bwMode="auto">
                    <a:xfrm>
                      <a:off x="0" y="0"/>
                      <a:ext cx="3473450" cy="6350"/>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-1583690</wp:posOffset>
            </wp:positionV>
            <wp:extent cx="347345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6">
                      <a:extLst>
                        <a:ext uri="{28A0092B-C50C-407E-A947-70E740481C1C}"/>
                      </a:extLst>
                    </a:blip>
                    <a:srcRect/>
                    <a:stretch>
                      <a:fillRect/>
                    </a:stretch>
                  </pic:blipFill>
                  <pic:spPr bwMode="auto">
                    <a:xfrm>
                      <a:off x="0" y="0"/>
                      <a:ext cx="3473450" cy="6350"/>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-179705</wp:posOffset>
            </wp:positionV>
            <wp:extent cx="3532505"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7">
                      <a:extLst>
                        <a:ext uri="{28A0092B-C50C-407E-A947-70E740481C1C}"/>
                      </a:extLst>
                    </a:blip>
                    <a:srcRect/>
                    <a:stretch>
                      <a:fillRect/>
                    </a:stretch>
                  </pic:blipFill>
                  <pic:spPr bwMode="auto">
                    <a:xfrm>
                      <a:off x="0" y="0"/>
                      <a:ext cx="3532505" cy="6350"/>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26035</wp:posOffset>
            </wp:positionV>
            <wp:extent cx="3473450" cy="285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88">
                      <a:extLst>
                        <a:ext uri="{28A0092B-C50C-407E-A947-70E740481C1C}"/>
                      </a:extLst>
                    </a:blip>
                    <a:srcRect/>
                    <a:stretch>
                      <a:fillRect/>
                    </a:stretch>
                  </pic:blipFill>
                  <pic:spPr bwMode="auto">
                    <a:xfrm>
                      <a:off x="0" y="0"/>
                      <a:ext cx="3473450" cy="2857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20" w:right="60"/>
        <w:spacing w:after="0" w:line="302" w:lineRule="auto"/>
        <w:rPr>
          <w:sz w:val="20"/>
          <w:szCs w:val="20"/>
          <w:color w:val="auto"/>
        </w:rPr>
      </w:pPr>
      <w:r>
        <w:rPr>
          <w:rFonts w:ascii="Arial" w:cs="Arial" w:eastAsia="Arial" w:hAnsi="Arial"/>
          <w:sz w:val="20"/>
          <w:szCs w:val="20"/>
          <w:color w:val="auto"/>
        </w:rPr>
        <w:t>The distribution of fixed rate loans and variable rate loans by portfolio segment is as follows as of December 31, 2025:</w:t>
      </w:r>
    </w:p>
    <w:p>
      <w:pPr>
        <w:spacing w:after="0" w:line="356"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3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20" w:type="dxa"/>
            <w:vAlign w:val="bottom"/>
            <w:gridSpan w:val="3"/>
          </w:tcPr>
          <w:p>
            <w:pPr>
              <w:jc w:val="right"/>
              <w:ind w:right="520"/>
              <w:spacing w:after="0"/>
              <w:rPr>
                <w:sz w:val="20"/>
                <w:szCs w:val="20"/>
                <w:color w:val="auto"/>
              </w:rPr>
            </w:pPr>
            <w:r>
              <w:rPr>
                <w:rFonts w:ascii="Arial" w:cs="Arial" w:eastAsia="Arial" w:hAnsi="Arial"/>
                <w:sz w:val="20"/>
                <w:szCs w:val="20"/>
                <w:color w:val="auto"/>
              </w:rPr>
              <w:t>(In Thousands)</w:t>
            </w:r>
          </w:p>
        </w:tc>
      </w:tr>
      <w:tr>
        <w:trPr>
          <w:trHeight w:val="324"/>
        </w:trPr>
        <w:tc>
          <w:tcPr>
            <w:tcW w:w="3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jc w:val="right"/>
              <w:ind w:right="300"/>
              <w:spacing w:after="0"/>
              <w:rPr>
                <w:sz w:val="20"/>
                <w:szCs w:val="20"/>
                <w:color w:val="auto"/>
              </w:rPr>
            </w:pPr>
            <w:r>
              <w:rPr>
                <w:rFonts w:ascii="Arial" w:cs="Arial" w:eastAsia="Arial" w:hAnsi="Arial"/>
                <w:sz w:val="20"/>
                <w:szCs w:val="20"/>
                <w:color w:val="auto"/>
              </w:rPr>
              <w:t>Fixed</w:t>
            </w:r>
          </w:p>
        </w:tc>
        <w:tc>
          <w:tcPr>
            <w:tcW w:w="260" w:type="dxa"/>
            <w:vAlign w:val="bottom"/>
          </w:tcPr>
          <w:p>
            <w:pPr>
              <w:spacing w:after="0"/>
              <w:rPr>
                <w:sz w:val="24"/>
                <w:szCs w:val="24"/>
                <w:color w:val="auto"/>
              </w:rPr>
            </w:pPr>
          </w:p>
        </w:tc>
        <w:tc>
          <w:tcPr>
            <w:tcW w:w="980" w:type="dxa"/>
            <w:vAlign w:val="bottom"/>
          </w:tcPr>
          <w:p>
            <w:pPr>
              <w:jc w:val="right"/>
              <w:ind w:right="160"/>
              <w:spacing w:after="0"/>
              <w:rPr>
                <w:sz w:val="20"/>
                <w:szCs w:val="20"/>
                <w:color w:val="auto"/>
              </w:rPr>
            </w:pPr>
            <w:r>
              <w:rPr>
                <w:rFonts w:ascii="Arial" w:cs="Arial" w:eastAsia="Arial" w:hAnsi="Arial"/>
                <w:sz w:val="20"/>
                <w:szCs w:val="20"/>
                <w:color w:val="auto"/>
                <w:w w:val="95"/>
              </w:rPr>
              <w:t>Variable</w:t>
            </w:r>
          </w:p>
        </w:tc>
      </w:tr>
      <w:tr>
        <w:trPr>
          <w:trHeight w:val="314"/>
        </w:trPr>
        <w:tc>
          <w:tcPr>
            <w:tcW w:w="3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jc w:val="right"/>
              <w:ind w:right="340"/>
              <w:spacing w:after="0"/>
              <w:rPr>
                <w:sz w:val="20"/>
                <w:szCs w:val="20"/>
                <w:color w:val="auto"/>
              </w:rPr>
            </w:pPr>
            <w:r>
              <w:rPr>
                <w:rFonts w:ascii="Arial" w:cs="Arial" w:eastAsia="Arial" w:hAnsi="Arial"/>
                <w:sz w:val="20"/>
                <w:szCs w:val="20"/>
                <w:color w:val="auto"/>
              </w:rPr>
              <w:t>Rate</w:t>
            </w:r>
          </w:p>
        </w:tc>
        <w:tc>
          <w:tcPr>
            <w:tcW w:w="260" w:type="dxa"/>
            <w:vAlign w:val="bottom"/>
          </w:tcPr>
          <w:p>
            <w:pPr>
              <w:spacing w:after="0"/>
              <w:rPr>
                <w:sz w:val="24"/>
                <w:szCs w:val="24"/>
                <w:color w:val="auto"/>
              </w:rPr>
            </w:pPr>
          </w:p>
        </w:tc>
        <w:tc>
          <w:tcPr>
            <w:tcW w:w="980" w:type="dxa"/>
            <w:vAlign w:val="bottom"/>
          </w:tcPr>
          <w:p>
            <w:pPr>
              <w:jc w:val="right"/>
              <w:ind w:right="320"/>
              <w:spacing w:after="0"/>
              <w:rPr>
                <w:sz w:val="20"/>
                <w:szCs w:val="20"/>
                <w:color w:val="auto"/>
              </w:rPr>
            </w:pPr>
            <w:r>
              <w:rPr>
                <w:rFonts w:ascii="Arial" w:cs="Arial" w:eastAsia="Arial" w:hAnsi="Arial"/>
                <w:sz w:val="20"/>
                <w:szCs w:val="20"/>
                <w:color w:val="auto"/>
              </w:rPr>
              <w:t>Rate</w:t>
            </w:r>
          </w:p>
        </w:tc>
      </w:tr>
      <w:tr>
        <w:trPr>
          <w:trHeight w:val="51"/>
        </w:trPr>
        <w:tc>
          <w:tcPr>
            <w:tcW w:w="3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94"/>
        </w:trPr>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Consumer Real Estate</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267,368</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259,071</w:t>
            </w:r>
          </w:p>
        </w:tc>
      </w:tr>
      <w:tr>
        <w:trPr>
          <w:trHeight w:val="274"/>
        </w:trPr>
        <w:tc>
          <w:tcPr>
            <w:tcW w:w="3180" w:type="dxa"/>
            <w:vAlign w:val="bottom"/>
          </w:tcPr>
          <w:p>
            <w:pPr>
              <w:spacing w:after="0"/>
              <w:rPr>
                <w:sz w:val="20"/>
                <w:szCs w:val="20"/>
                <w:color w:val="auto"/>
              </w:rPr>
            </w:pPr>
            <w:r>
              <w:rPr>
                <w:rFonts w:ascii="Arial" w:cs="Arial" w:eastAsia="Arial" w:hAnsi="Arial"/>
                <w:sz w:val="20"/>
                <w:szCs w:val="20"/>
                <w:color w:val="auto"/>
              </w:rPr>
              <w:t>Agricultural Real Estate</w:t>
            </w:r>
          </w:p>
        </w:tc>
        <w:tc>
          <w:tcPr>
            <w:tcW w:w="1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104,902</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112,132</w:t>
            </w:r>
          </w:p>
        </w:tc>
      </w:tr>
      <w:tr>
        <w:trPr>
          <w:trHeight w:val="41"/>
        </w:trPr>
        <w:tc>
          <w:tcPr>
            <w:tcW w:w="3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Agricultural</w:t>
            </w:r>
          </w:p>
        </w:tc>
        <w:tc>
          <w:tcPr>
            <w:tcW w:w="1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63,789</w:t>
            </w:r>
          </w:p>
        </w:tc>
        <w:tc>
          <w:tcPr>
            <w:tcW w:w="2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154,261</w:t>
            </w:r>
          </w:p>
        </w:tc>
      </w:tr>
      <w:tr>
        <w:trPr>
          <w:trHeight w:val="274"/>
        </w:trPr>
        <w:tc>
          <w:tcPr>
            <w:tcW w:w="3180" w:type="dxa"/>
            <w:vAlign w:val="bottom"/>
          </w:tcPr>
          <w:p>
            <w:pPr>
              <w:spacing w:after="0"/>
              <w:rPr>
                <w:sz w:val="20"/>
                <w:szCs w:val="20"/>
                <w:color w:val="auto"/>
              </w:rPr>
            </w:pPr>
            <w:r>
              <w:rPr>
                <w:rFonts w:ascii="Arial" w:cs="Arial" w:eastAsia="Arial" w:hAnsi="Arial"/>
                <w:sz w:val="20"/>
                <w:szCs w:val="20"/>
                <w:color w:val="auto"/>
              </w:rPr>
              <w:t>Commercial Real Estate</w:t>
            </w:r>
          </w:p>
        </w:tc>
        <w:tc>
          <w:tcPr>
            <w:tcW w:w="1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800,127</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555,444</w:t>
            </w:r>
          </w:p>
        </w:tc>
      </w:tr>
      <w:tr>
        <w:trPr>
          <w:trHeight w:val="41"/>
        </w:trPr>
        <w:tc>
          <w:tcPr>
            <w:tcW w:w="3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Commercial and Industrial</w:t>
            </w:r>
          </w:p>
        </w:tc>
        <w:tc>
          <w:tcPr>
            <w:tcW w:w="1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147,465</w:t>
            </w:r>
          </w:p>
        </w:tc>
        <w:tc>
          <w:tcPr>
            <w:tcW w:w="2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166,940</w:t>
            </w:r>
          </w:p>
        </w:tc>
      </w:tr>
      <w:tr>
        <w:trPr>
          <w:trHeight w:val="274"/>
        </w:trPr>
        <w:tc>
          <w:tcPr>
            <w:tcW w:w="3180" w:type="dxa"/>
            <w:vAlign w:val="bottom"/>
          </w:tcPr>
          <w:p>
            <w:pPr>
              <w:spacing w:after="0"/>
              <w:rPr>
                <w:sz w:val="20"/>
                <w:szCs w:val="20"/>
                <w:color w:val="auto"/>
              </w:rPr>
            </w:pPr>
            <w:r>
              <w:rPr>
                <w:rFonts w:ascii="Arial" w:cs="Arial" w:eastAsia="Arial" w:hAnsi="Arial"/>
                <w:sz w:val="20"/>
                <w:szCs w:val="20"/>
                <w:color w:val="auto"/>
              </w:rPr>
              <w:t>Consumer</w:t>
            </w:r>
          </w:p>
        </w:tc>
        <w:tc>
          <w:tcPr>
            <w:tcW w:w="1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58,809</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41"/>
        </w:trPr>
        <w:tc>
          <w:tcPr>
            <w:tcW w:w="3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w:t>
            </w:r>
          </w:p>
        </w:tc>
        <w:tc>
          <w:tcPr>
            <w:tcW w:w="11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13,709</w:t>
            </w:r>
          </w:p>
        </w:tc>
        <w:tc>
          <w:tcPr>
            <w:tcW w:w="2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9,424</w:t>
            </w:r>
          </w:p>
        </w:tc>
      </w:tr>
      <w:tr>
        <w:trPr>
          <w:trHeight w:val="274"/>
        </w:trPr>
        <w:tc>
          <w:tcPr>
            <w:tcW w:w="3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6"/>
              </w:rPr>
              <w:t>1,456,169</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8"/>
              </w:rPr>
              <w:t>1,257,301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-1988820</wp:posOffset>
            </wp:positionV>
            <wp:extent cx="1475105"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89">
                      <a:extLst>
                        <a:ext uri="{28A0092B-C50C-407E-A947-70E740481C1C}"/>
                      </a:extLst>
                    </a:blip>
                    <a:srcRect/>
                    <a:stretch>
                      <a:fillRect/>
                    </a:stretch>
                  </pic:blipFill>
                  <pic:spPr bwMode="auto">
                    <a:xfrm>
                      <a:off x="0" y="0"/>
                      <a:ext cx="1475105" cy="6350"/>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-1583690</wp:posOffset>
            </wp:positionV>
            <wp:extent cx="1475105"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0">
                      <a:extLst>
                        <a:ext uri="{28A0092B-C50C-407E-A947-70E740481C1C}"/>
                      </a:extLst>
                    </a:blip>
                    <a:srcRect/>
                    <a:stretch>
                      <a:fillRect/>
                    </a:stretch>
                  </pic:blipFill>
                  <pic:spPr bwMode="auto">
                    <a:xfrm>
                      <a:off x="0" y="0"/>
                      <a:ext cx="1475105" cy="6350"/>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-179705</wp:posOffset>
            </wp:positionV>
            <wp:extent cx="151638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1">
                      <a:extLst>
                        <a:ext uri="{28A0092B-C50C-407E-A947-70E740481C1C}"/>
                      </a:extLst>
                    </a:blip>
                    <a:srcRect/>
                    <a:stretch>
                      <a:fillRect/>
                    </a:stretch>
                  </pic:blipFill>
                  <pic:spPr bwMode="auto">
                    <a:xfrm>
                      <a:off x="0" y="0"/>
                      <a:ext cx="1516380" cy="6350"/>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26035</wp:posOffset>
            </wp:positionV>
            <wp:extent cx="1475105" cy="285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2">
                      <a:extLst>
                        <a:ext uri="{28A0092B-C50C-407E-A947-70E740481C1C}"/>
                      </a:extLst>
                    </a:blip>
                    <a:srcRect/>
                    <a:stretch>
                      <a:fillRect/>
                    </a:stretch>
                  </pic:blipFill>
                  <pic:spPr bwMode="auto">
                    <a:xfrm>
                      <a:off x="0" y="0"/>
                      <a:ext cx="1475105" cy="2857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20" w:right="60"/>
        <w:spacing w:after="0" w:line="302" w:lineRule="auto"/>
        <w:rPr>
          <w:sz w:val="20"/>
          <w:szCs w:val="20"/>
          <w:color w:val="auto"/>
        </w:rPr>
      </w:pPr>
      <w:r>
        <w:rPr>
          <w:rFonts w:ascii="Arial" w:cs="Arial" w:eastAsia="Arial" w:hAnsi="Arial"/>
          <w:sz w:val="20"/>
          <w:szCs w:val="20"/>
          <w:color w:val="auto"/>
        </w:rPr>
        <w:t>Variable rate loans that have reached ceiling or floor limits are reported as fixed rate loans until such time as their rates adjust away from those limits.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17</w:t>
      </w:r>
    </w:p>
    <w:p>
      <w:pPr>
        <w:sectPr>
          <w:pgSz w:w="11900" w:h="16838" w:orient="portrait"/>
          <w:cols w:equalWidth="0" w:num="1">
            <w:col w:w="9400"/>
          </w:cols>
          <w:pgMar w:left="1260" w:top="1440" w:right="1246" w:bottom="0" w:gutter="0" w:footer="0" w:header="0"/>
          <w:type w:val="continuous"/>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10 / 17</w:t>
      </w:r>
    </w:p>
    <w:p>
      <w:pPr>
        <w:sectPr>
          <w:pgSz w:w="11900" w:h="16838" w:orient="portrait"/>
          <w:cols w:equalWidth="0" w:num="1">
            <w:col w:w="9026"/>
          </w:cols>
          <w:pgMar w:left="1440" w:top="1440" w:right="1440" w:bottom="0" w:gutter="0" w:footer="0" w:header="0"/>
          <w:type w:val="continuous"/>
        </w:sectPr>
      </w:pPr>
    </w:p>
    <w:bookmarkStart w:id="160" w:name="page161"/>
    <w:bookmarkEnd w:id="160"/>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 w:right="60"/>
        <w:spacing w:after="0" w:line="302" w:lineRule="auto"/>
        <w:rPr>
          <w:sz w:val="20"/>
          <w:szCs w:val="20"/>
          <w:color w:val="auto"/>
        </w:rPr>
      </w:pPr>
      <w:r>
        <w:rPr>
          <w:rFonts w:ascii="Arial" w:cs="Arial" w:eastAsia="Arial" w:hAnsi="Arial"/>
          <w:sz w:val="20"/>
          <w:szCs w:val="20"/>
          <w:color w:val="auto"/>
        </w:rPr>
        <w:t>The following table represents the contractual aging at amortized cost in past due loans by portfolio segment of loans as of December 31, 2025 and 2024:</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20"/>
                <w:szCs w:val="20"/>
                <w:color w:val="auto"/>
              </w:rPr>
              <w:t>(In Thousands)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24"/>
        </w:trPr>
        <w:tc>
          <w:tcPr>
            <w:tcW w:w="2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jc w:val="center"/>
              <w:ind w:right="140"/>
              <w:spacing w:after="0"/>
              <w:rPr>
                <w:sz w:val="20"/>
                <w:szCs w:val="20"/>
                <w:color w:val="auto"/>
              </w:rPr>
            </w:pPr>
            <w:r>
              <w:rPr>
                <w:rFonts w:ascii="Arial" w:cs="Arial" w:eastAsia="Arial" w:hAnsi="Arial"/>
                <w:sz w:val="20"/>
                <w:szCs w:val="20"/>
                <w:color w:val="auto"/>
                <w:w w:val="89"/>
              </w:rPr>
              <w:t>30-59</w:t>
            </w:r>
          </w:p>
        </w:tc>
        <w:tc>
          <w:tcPr>
            <w:tcW w:w="2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20"/>
                <w:szCs w:val="20"/>
                <w:color w:val="auto"/>
              </w:rPr>
              <w:t>60-89</w:t>
            </w:r>
          </w:p>
        </w:tc>
        <w:tc>
          <w:tcPr>
            <w:tcW w:w="940" w:type="dxa"/>
            <w:vAlign w:val="bottom"/>
            <w:gridSpan w:val="2"/>
          </w:tcPr>
          <w:p>
            <w:pPr>
              <w:jc w:val="center"/>
              <w:spacing w:after="0"/>
              <w:rPr>
                <w:sz w:val="20"/>
                <w:szCs w:val="20"/>
                <w:color w:val="auto"/>
              </w:rPr>
            </w:pPr>
            <w:r>
              <w:rPr>
                <w:rFonts w:ascii="Arial" w:cs="Arial" w:eastAsia="Arial" w:hAnsi="Arial"/>
                <w:sz w:val="20"/>
                <w:szCs w:val="20"/>
                <w:color w:val="auto"/>
                <w:w w:val="88"/>
              </w:rPr>
              <w:t>Greater</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center"/>
              <w:ind w:right="200"/>
              <w:spacing w:after="0"/>
              <w:rPr>
                <w:sz w:val="20"/>
                <w:szCs w:val="20"/>
                <w:color w:val="auto"/>
              </w:rPr>
            </w:pPr>
            <w:r>
              <w:rPr>
                <w:rFonts w:ascii="Arial" w:cs="Arial" w:eastAsia="Arial" w:hAnsi="Arial"/>
                <w:sz w:val="20"/>
                <w:szCs w:val="20"/>
                <w:color w:val="auto"/>
                <w:w w:val="98"/>
              </w:rPr>
              <w:t>Total</w:t>
            </w:r>
          </w:p>
        </w:tc>
      </w:tr>
      <w:tr>
        <w:trPr>
          <w:trHeight w:val="300"/>
        </w:trPr>
        <w:tc>
          <w:tcPr>
            <w:tcW w:w="2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jc w:val="center"/>
              <w:ind w:right="140"/>
              <w:spacing w:after="0"/>
              <w:rPr>
                <w:sz w:val="20"/>
                <w:szCs w:val="20"/>
                <w:color w:val="auto"/>
              </w:rPr>
            </w:pPr>
            <w:r>
              <w:rPr>
                <w:rFonts w:ascii="Arial" w:cs="Arial" w:eastAsia="Arial" w:hAnsi="Arial"/>
                <w:sz w:val="20"/>
                <w:szCs w:val="20"/>
                <w:color w:val="auto"/>
                <w:w w:val="92"/>
              </w:rPr>
              <w:t>Days</w:t>
            </w:r>
          </w:p>
        </w:tc>
        <w:tc>
          <w:tcPr>
            <w:tcW w:w="20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20"/>
                <w:szCs w:val="20"/>
                <w:color w:val="auto"/>
              </w:rPr>
              <w:t>Days</w:t>
            </w:r>
          </w:p>
        </w:tc>
        <w:tc>
          <w:tcPr>
            <w:tcW w:w="220" w:type="dxa"/>
            <w:vAlign w:val="bottom"/>
          </w:tcPr>
          <w:p>
            <w:pPr>
              <w:spacing w:after="0"/>
              <w:rPr>
                <w:sz w:val="24"/>
                <w:szCs w:val="24"/>
                <w:color w:val="auto"/>
              </w:rPr>
            </w:pPr>
          </w:p>
        </w:tc>
        <w:tc>
          <w:tcPr>
            <w:tcW w:w="720" w:type="dxa"/>
            <w:vAlign w:val="bottom"/>
          </w:tcPr>
          <w:p>
            <w:pPr>
              <w:jc w:val="center"/>
              <w:ind w:right="160"/>
              <w:spacing w:after="0"/>
              <w:rPr>
                <w:sz w:val="20"/>
                <w:szCs w:val="20"/>
                <w:color w:val="auto"/>
              </w:rPr>
            </w:pPr>
            <w:r>
              <w:rPr>
                <w:rFonts w:ascii="Arial" w:cs="Arial" w:eastAsia="Arial" w:hAnsi="Arial"/>
                <w:sz w:val="20"/>
                <w:szCs w:val="20"/>
                <w:color w:val="auto"/>
                <w:w w:val="92"/>
              </w:rPr>
              <w:t>Than</w:t>
            </w:r>
          </w:p>
        </w:tc>
        <w:tc>
          <w:tcPr>
            <w:tcW w:w="220" w:type="dxa"/>
            <w:vAlign w:val="bottom"/>
          </w:tcPr>
          <w:p>
            <w:pPr>
              <w:spacing w:after="0"/>
              <w:rPr>
                <w:sz w:val="24"/>
                <w:szCs w:val="24"/>
                <w:color w:val="auto"/>
              </w:rPr>
            </w:pPr>
          </w:p>
        </w:tc>
        <w:tc>
          <w:tcPr>
            <w:tcW w:w="720" w:type="dxa"/>
            <w:vAlign w:val="bottom"/>
          </w:tcPr>
          <w:p>
            <w:pPr>
              <w:jc w:val="right"/>
              <w:ind w:right="180"/>
              <w:spacing w:after="0"/>
              <w:rPr>
                <w:sz w:val="20"/>
                <w:szCs w:val="20"/>
                <w:color w:val="auto"/>
              </w:rPr>
            </w:pPr>
            <w:r>
              <w:rPr>
                <w:rFonts w:ascii="Arial" w:cs="Arial" w:eastAsia="Arial" w:hAnsi="Arial"/>
                <w:sz w:val="20"/>
                <w:szCs w:val="20"/>
                <w:color w:val="auto"/>
                <w:w w:val="94"/>
              </w:rPr>
              <w:t>Total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20"/>
                <w:szCs w:val="20"/>
                <w:color w:val="auto"/>
                <w:w w:val="92"/>
              </w:rPr>
              <w:t>Financing</w:t>
            </w:r>
          </w:p>
        </w:tc>
      </w:tr>
      <w:tr>
        <w:trPr>
          <w:trHeight w:val="310"/>
        </w:trPr>
        <w:tc>
          <w:tcPr>
            <w:tcW w:w="2820" w:type="dxa"/>
            <w:vAlign w:val="bottom"/>
          </w:tcPr>
          <w:p>
            <w:pPr>
              <w:spacing w:after="0"/>
              <w:rPr>
                <w:sz w:val="20"/>
                <w:szCs w:val="20"/>
                <w:color w:val="auto"/>
              </w:rPr>
            </w:pPr>
            <w:r>
              <w:rPr>
                <w:rFonts w:ascii="Arial" w:cs="Arial" w:eastAsia="Arial" w:hAnsi="Arial"/>
                <w:sz w:val="20"/>
                <w:szCs w:val="20"/>
                <w:color w:val="auto"/>
              </w:rPr>
              <w:t>December 31, 2025</w:t>
            </w:r>
          </w:p>
        </w:tc>
        <w:tc>
          <w:tcPr>
            <w:tcW w:w="1500" w:type="dxa"/>
            <w:vAlign w:val="bottom"/>
            <w:gridSpan w:val="2"/>
          </w:tcPr>
          <w:p>
            <w:pPr>
              <w:ind w:left="680"/>
              <w:spacing w:after="0"/>
              <w:rPr>
                <w:sz w:val="20"/>
                <w:szCs w:val="20"/>
                <w:color w:val="auto"/>
              </w:rPr>
            </w:pPr>
            <w:r>
              <w:rPr>
                <w:rFonts w:ascii="Arial" w:cs="Arial" w:eastAsia="Arial" w:hAnsi="Arial"/>
                <w:sz w:val="20"/>
                <w:szCs w:val="20"/>
                <w:color w:val="auto"/>
                <w:w w:val="97"/>
              </w:rPr>
              <w:t>Past Due</w:t>
            </w:r>
          </w:p>
        </w:tc>
        <w:tc>
          <w:tcPr>
            <w:tcW w:w="920" w:type="dxa"/>
            <w:vAlign w:val="bottom"/>
            <w:gridSpan w:val="2"/>
          </w:tcPr>
          <w:p>
            <w:pPr>
              <w:ind w:left="100"/>
              <w:spacing w:after="0"/>
              <w:rPr>
                <w:sz w:val="20"/>
                <w:szCs w:val="20"/>
                <w:color w:val="auto"/>
              </w:rPr>
            </w:pPr>
            <w:r>
              <w:rPr>
                <w:rFonts w:ascii="Arial" w:cs="Arial" w:eastAsia="Arial" w:hAnsi="Arial"/>
                <w:sz w:val="20"/>
                <w:szCs w:val="20"/>
                <w:color w:val="auto"/>
                <w:w w:val="97"/>
              </w:rPr>
              <w:t>Past Due</w:t>
            </w:r>
          </w:p>
        </w:tc>
        <w:tc>
          <w:tcPr>
            <w:tcW w:w="940" w:type="dxa"/>
            <w:vAlign w:val="bottom"/>
            <w:gridSpan w:val="2"/>
          </w:tcPr>
          <w:p>
            <w:pPr>
              <w:jc w:val="center"/>
              <w:spacing w:after="0"/>
              <w:rPr>
                <w:sz w:val="20"/>
                <w:szCs w:val="20"/>
                <w:color w:val="auto"/>
              </w:rPr>
            </w:pPr>
            <w:r>
              <w:rPr>
                <w:rFonts w:ascii="Arial" w:cs="Arial" w:eastAsia="Arial" w:hAnsi="Arial"/>
                <w:sz w:val="20"/>
                <w:szCs w:val="20"/>
                <w:color w:val="auto"/>
                <w:w w:val="89"/>
              </w:rPr>
              <w:t>90 Days</w:t>
            </w:r>
          </w:p>
        </w:tc>
        <w:tc>
          <w:tcPr>
            <w:tcW w:w="940" w:type="dxa"/>
            <w:vAlign w:val="bottom"/>
            <w:gridSpan w:val="2"/>
          </w:tcPr>
          <w:p>
            <w:pPr>
              <w:ind w:left="100"/>
              <w:spacing w:after="0"/>
              <w:rPr>
                <w:sz w:val="20"/>
                <w:szCs w:val="20"/>
                <w:color w:val="auto"/>
              </w:rPr>
            </w:pPr>
            <w:r>
              <w:rPr>
                <w:rFonts w:ascii="Arial" w:cs="Arial" w:eastAsia="Arial" w:hAnsi="Arial"/>
                <w:sz w:val="20"/>
                <w:szCs w:val="20"/>
                <w:color w:val="auto"/>
                <w:w w:val="99"/>
              </w:rPr>
              <w:t>Past Due</w:t>
            </w:r>
          </w:p>
        </w:tc>
        <w:tc>
          <w:tcPr>
            <w:tcW w:w="200" w:type="dxa"/>
            <w:vAlign w:val="bottom"/>
          </w:tcPr>
          <w:p>
            <w:pPr>
              <w:spacing w:after="0"/>
              <w:rPr>
                <w:sz w:val="24"/>
                <w:szCs w:val="24"/>
                <w:color w:val="auto"/>
              </w:rPr>
            </w:pPr>
          </w:p>
        </w:tc>
        <w:tc>
          <w:tcPr>
            <w:tcW w:w="900" w:type="dxa"/>
            <w:vAlign w:val="bottom"/>
          </w:tcPr>
          <w:p>
            <w:pPr>
              <w:jc w:val="right"/>
              <w:ind w:right="140"/>
              <w:spacing w:after="0"/>
              <w:rPr>
                <w:sz w:val="20"/>
                <w:szCs w:val="20"/>
                <w:color w:val="auto"/>
              </w:rPr>
            </w:pPr>
            <w:r>
              <w:rPr>
                <w:rFonts w:ascii="Arial" w:cs="Arial" w:eastAsia="Arial" w:hAnsi="Arial"/>
                <w:sz w:val="20"/>
                <w:szCs w:val="20"/>
                <w:color w:val="auto"/>
                <w:w w:val="95"/>
              </w:rPr>
              <w:t>Current</w:t>
            </w:r>
          </w:p>
        </w:tc>
        <w:tc>
          <w:tcPr>
            <w:tcW w:w="1180" w:type="dxa"/>
            <w:vAlign w:val="bottom"/>
            <w:gridSpan w:val="2"/>
          </w:tcPr>
          <w:p>
            <w:pPr>
              <w:jc w:val="center"/>
              <w:spacing w:after="0"/>
              <w:rPr>
                <w:sz w:val="20"/>
                <w:szCs w:val="20"/>
                <w:color w:val="auto"/>
              </w:rPr>
            </w:pPr>
            <w:r>
              <w:rPr>
                <w:rFonts w:ascii="Arial" w:cs="Arial" w:eastAsia="Arial" w:hAnsi="Arial"/>
                <w:sz w:val="20"/>
                <w:szCs w:val="20"/>
                <w:color w:val="auto"/>
                <w:w w:val="88"/>
              </w:rPr>
              <w:t>Receivables</w:t>
            </w:r>
          </w:p>
        </w:tc>
      </w:tr>
      <w:tr>
        <w:trPr>
          <w:trHeight w:val="41"/>
        </w:trPr>
        <w:tc>
          <w:tcPr>
            <w:tcW w:w="2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Consumer Real Estate</w:t>
            </w:r>
          </w:p>
        </w:tc>
        <w:tc>
          <w:tcPr>
            <w:tcW w:w="76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3,536</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919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766</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5,221</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521,822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527,043</w:t>
            </w:r>
          </w:p>
        </w:tc>
      </w:tr>
      <w:tr>
        <w:trPr>
          <w:trHeight w:val="274"/>
        </w:trPr>
        <w:tc>
          <w:tcPr>
            <w:tcW w:w="2820" w:type="dxa"/>
            <w:vAlign w:val="bottom"/>
          </w:tcPr>
          <w:p>
            <w:pPr>
              <w:spacing w:after="0"/>
              <w:rPr>
                <w:sz w:val="20"/>
                <w:szCs w:val="20"/>
                <w:color w:val="auto"/>
              </w:rPr>
            </w:pPr>
            <w:r>
              <w:rPr>
                <w:rFonts w:ascii="Arial" w:cs="Arial" w:eastAsia="Arial" w:hAnsi="Arial"/>
                <w:sz w:val="20"/>
                <w:szCs w:val="20"/>
                <w:color w:val="auto"/>
              </w:rPr>
              <w:t>Agricultural Real Estate</w:t>
            </w:r>
          </w:p>
        </w:tc>
        <w:tc>
          <w:tcPr>
            <w:tcW w:w="7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516</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130</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646</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216,184</w:t>
            </w:r>
          </w:p>
        </w:tc>
        <w:tc>
          <w:tcPr>
            <w:tcW w:w="2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216,830</w:t>
            </w:r>
          </w:p>
        </w:tc>
      </w:tr>
      <w:tr>
        <w:trPr>
          <w:trHeight w:val="41"/>
        </w:trPr>
        <w:tc>
          <w:tcPr>
            <w:tcW w:w="2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Agricultural</w:t>
            </w:r>
          </w:p>
        </w:tc>
        <w:tc>
          <w:tcPr>
            <w:tcW w:w="7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1,444</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1,494</w:t>
            </w:r>
          </w:p>
        </w:tc>
        <w:tc>
          <w:tcPr>
            <w:tcW w:w="2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216,851</w:t>
            </w: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218,345</w:t>
            </w:r>
          </w:p>
        </w:tc>
      </w:tr>
      <w:tr>
        <w:trPr>
          <w:trHeight w:val="274"/>
        </w:trPr>
        <w:tc>
          <w:tcPr>
            <w:tcW w:w="2820" w:type="dxa"/>
            <w:vAlign w:val="bottom"/>
          </w:tcPr>
          <w:p>
            <w:pPr>
              <w:spacing w:after="0"/>
              <w:rPr>
                <w:sz w:val="20"/>
                <w:szCs w:val="20"/>
                <w:color w:val="auto"/>
              </w:rPr>
            </w:pPr>
            <w:r>
              <w:rPr>
                <w:rFonts w:ascii="Arial" w:cs="Arial" w:eastAsia="Arial" w:hAnsi="Arial"/>
                <w:sz w:val="20"/>
                <w:szCs w:val="20"/>
                <w:color w:val="auto"/>
              </w:rPr>
              <w:t>Commercial Real Estate</w:t>
            </w:r>
          </w:p>
        </w:tc>
        <w:tc>
          <w:tcPr>
            <w:tcW w:w="7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56</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141</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197</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87"/>
              </w:rPr>
              <w:t>1,352,822</w:t>
            </w:r>
          </w:p>
        </w:tc>
        <w:tc>
          <w:tcPr>
            <w:tcW w:w="2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w w:val="89"/>
              </w:rPr>
              <w:t>1,353,019</w:t>
            </w:r>
          </w:p>
        </w:tc>
      </w:tr>
      <w:tr>
        <w:trPr>
          <w:trHeight w:val="41"/>
        </w:trPr>
        <w:tc>
          <w:tcPr>
            <w:tcW w:w="2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Commercial and Industrial</w:t>
            </w:r>
          </w:p>
        </w:tc>
        <w:tc>
          <w:tcPr>
            <w:tcW w:w="7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314,096</w:t>
            </w: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314,096</w:t>
            </w:r>
          </w:p>
        </w:tc>
      </w:tr>
      <w:tr>
        <w:trPr>
          <w:trHeight w:val="274"/>
        </w:trPr>
        <w:tc>
          <w:tcPr>
            <w:tcW w:w="2820" w:type="dxa"/>
            <w:vAlign w:val="bottom"/>
          </w:tcPr>
          <w:p>
            <w:pPr>
              <w:spacing w:after="0"/>
              <w:rPr>
                <w:sz w:val="20"/>
                <w:szCs w:val="20"/>
                <w:color w:val="auto"/>
              </w:rPr>
            </w:pPr>
            <w:r>
              <w:rPr>
                <w:rFonts w:ascii="Arial" w:cs="Arial" w:eastAsia="Arial" w:hAnsi="Arial"/>
                <w:sz w:val="20"/>
                <w:szCs w:val="20"/>
                <w:color w:val="auto"/>
              </w:rPr>
              <w:t>Consumer</w:t>
            </w:r>
          </w:p>
        </w:tc>
        <w:tc>
          <w:tcPr>
            <w:tcW w:w="7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198</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35</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83</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316</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59,177</w:t>
            </w:r>
          </w:p>
        </w:tc>
        <w:tc>
          <w:tcPr>
            <w:tcW w:w="2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59,493</w:t>
            </w:r>
          </w:p>
        </w:tc>
      </w:tr>
      <w:tr>
        <w:trPr>
          <w:trHeight w:val="41"/>
        </w:trPr>
        <w:tc>
          <w:tcPr>
            <w:tcW w:w="2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304"/>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w:t>
            </w:r>
          </w:p>
        </w:tc>
        <w:tc>
          <w:tcPr>
            <w:tcW w:w="7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23,133</w:t>
            </w: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23,133</w:t>
            </w:r>
          </w:p>
        </w:tc>
      </w:tr>
      <w:tr>
        <w:trPr>
          <w:trHeight w:val="274"/>
        </w:trPr>
        <w:tc>
          <w:tcPr>
            <w:tcW w:w="2820" w:type="dxa"/>
            <w:vAlign w:val="bottom"/>
          </w:tcPr>
          <w:p>
            <w:pPr>
              <w:ind w:left="60"/>
              <w:spacing w:after="0"/>
              <w:rPr>
                <w:sz w:val="20"/>
                <w:szCs w:val="20"/>
                <w:color w:val="auto"/>
              </w:rPr>
            </w:pPr>
            <w:r>
              <w:rPr>
                <w:rFonts w:ascii="Arial" w:cs="Arial" w:eastAsia="Arial" w:hAnsi="Arial"/>
                <w:sz w:val="20"/>
                <w:szCs w:val="20"/>
                <w:color w:val="auto"/>
              </w:rPr>
              <w:t>Total</w:t>
            </w:r>
          </w:p>
        </w:tc>
        <w:tc>
          <w:tcPr>
            <w:tcW w:w="760" w:type="dxa"/>
            <w:vAlign w:val="bottom"/>
          </w:tcPr>
          <w:p>
            <w:pPr>
              <w:ind w:left="660"/>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4,306</w:t>
            </w:r>
          </w:p>
        </w:tc>
        <w:tc>
          <w:tcPr>
            <w:tcW w:w="200" w:type="dxa"/>
            <w:vAlign w:val="bottom"/>
          </w:tcPr>
          <w:p>
            <w:pPr>
              <w:ind w:left="100"/>
              <w:spacing w:after="0"/>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2,398</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1,170</w:t>
            </w:r>
          </w:p>
        </w:tc>
        <w:tc>
          <w:tcPr>
            <w:tcW w:w="220" w:type="dxa"/>
            <w:vAlign w:val="bottom"/>
          </w:tcPr>
          <w:p>
            <w:pPr>
              <w:ind w:left="100"/>
              <w:spacing w:after="0"/>
              <w:rPr>
                <w:sz w:val="20"/>
                <w:szCs w:val="20"/>
                <w:color w:val="auto"/>
              </w:rPr>
            </w:pPr>
            <w:r>
              <w:rPr>
                <w:rFonts w:ascii="Arial" w:cs="Arial" w:eastAsia="Arial" w:hAnsi="Arial"/>
                <w:sz w:val="20"/>
                <w:szCs w:val="20"/>
                <w:color w:val="auto"/>
                <w:w w:val="89"/>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7,874</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w w:val="87"/>
              </w:rPr>
              <w:t>2,704,085</w:t>
            </w:r>
          </w:p>
        </w:tc>
        <w:tc>
          <w:tcPr>
            <w:tcW w:w="1180" w:type="dxa"/>
            <w:vAlign w:val="bottom"/>
            <w:gridSpan w:val="2"/>
          </w:tcPr>
          <w:p>
            <w:pPr>
              <w:jc w:val="right"/>
              <w:ind w:right="20"/>
              <w:spacing w:after="0"/>
              <w:rPr>
                <w:sz w:val="20"/>
                <w:szCs w:val="20"/>
                <w:color w:val="auto"/>
              </w:rPr>
            </w:pPr>
            <w:r>
              <w:rPr>
                <w:rFonts w:ascii="Arial" w:cs="Arial" w:eastAsia="Arial" w:hAnsi="Arial"/>
                <w:sz w:val="20"/>
                <w:szCs w:val="20"/>
                <w:color w:val="auto"/>
                <w:w w:val="98"/>
              </w:rPr>
              <w:t>$ 2,711,959</w:t>
            </w:r>
          </w:p>
        </w:tc>
      </w:tr>
      <w:tr>
        <w:trPr>
          <w:trHeight w:val="989"/>
        </w:trPr>
        <w:tc>
          <w:tcPr>
            <w:tcW w:w="2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20"/>
                <w:szCs w:val="20"/>
                <w:color w:val="auto"/>
              </w:rPr>
              <w:t>(In Thousands)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4"/>
        </w:trPr>
        <w:tc>
          <w:tcPr>
            <w:tcW w:w="2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jc w:val="center"/>
              <w:ind w:right="160"/>
              <w:spacing w:after="0"/>
              <w:rPr>
                <w:sz w:val="20"/>
                <w:szCs w:val="20"/>
                <w:color w:val="auto"/>
              </w:rPr>
            </w:pPr>
            <w:r>
              <w:rPr>
                <w:rFonts w:ascii="Arial" w:cs="Arial" w:eastAsia="Arial" w:hAnsi="Arial"/>
                <w:sz w:val="20"/>
                <w:szCs w:val="20"/>
                <w:color w:val="auto"/>
                <w:w w:val="93"/>
              </w:rPr>
              <w:t>30-59</w:t>
            </w:r>
          </w:p>
        </w:tc>
        <w:tc>
          <w:tcPr>
            <w:tcW w:w="2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20"/>
                <w:szCs w:val="20"/>
                <w:color w:val="auto"/>
              </w:rPr>
              <w:t>60-89</w:t>
            </w:r>
          </w:p>
        </w:tc>
        <w:tc>
          <w:tcPr>
            <w:tcW w:w="940" w:type="dxa"/>
            <w:vAlign w:val="bottom"/>
            <w:gridSpan w:val="2"/>
          </w:tcPr>
          <w:p>
            <w:pPr>
              <w:jc w:val="center"/>
              <w:spacing w:after="0"/>
              <w:rPr>
                <w:sz w:val="20"/>
                <w:szCs w:val="20"/>
                <w:color w:val="auto"/>
              </w:rPr>
            </w:pPr>
            <w:r>
              <w:rPr>
                <w:rFonts w:ascii="Arial" w:cs="Arial" w:eastAsia="Arial" w:hAnsi="Arial"/>
                <w:sz w:val="20"/>
                <w:szCs w:val="20"/>
                <w:color w:val="auto"/>
                <w:w w:val="88"/>
              </w:rPr>
              <w:t>Greater</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center"/>
              <w:ind w:right="200"/>
              <w:spacing w:after="0"/>
              <w:rPr>
                <w:sz w:val="20"/>
                <w:szCs w:val="20"/>
                <w:color w:val="auto"/>
              </w:rPr>
            </w:pPr>
            <w:r>
              <w:rPr>
                <w:rFonts w:ascii="Arial" w:cs="Arial" w:eastAsia="Arial" w:hAnsi="Arial"/>
                <w:sz w:val="20"/>
                <w:szCs w:val="20"/>
                <w:color w:val="auto"/>
                <w:w w:val="98"/>
              </w:rPr>
              <w:t>Total</w:t>
            </w:r>
          </w:p>
        </w:tc>
      </w:tr>
      <w:tr>
        <w:trPr>
          <w:trHeight w:val="300"/>
        </w:trPr>
        <w:tc>
          <w:tcPr>
            <w:tcW w:w="2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jc w:val="center"/>
              <w:ind w:right="160"/>
              <w:spacing w:after="0"/>
              <w:rPr>
                <w:sz w:val="20"/>
                <w:szCs w:val="20"/>
                <w:color w:val="auto"/>
              </w:rPr>
            </w:pPr>
            <w:r>
              <w:rPr>
                <w:rFonts w:ascii="Arial" w:cs="Arial" w:eastAsia="Arial" w:hAnsi="Arial"/>
                <w:sz w:val="20"/>
                <w:szCs w:val="20"/>
                <w:color w:val="auto"/>
                <w:w w:val="87"/>
              </w:rPr>
              <w:t>Days</w:t>
            </w:r>
          </w:p>
        </w:tc>
        <w:tc>
          <w:tcPr>
            <w:tcW w:w="20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20"/>
                <w:szCs w:val="20"/>
                <w:color w:val="auto"/>
              </w:rPr>
              <w:t>Days</w:t>
            </w:r>
          </w:p>
        </w:tc>
        <w:tc>
          <w:tcPr>
            <w:tcW w:w="220" w:type="dxa"/>
            <w:vAlign w:val="bottom"/>
          </w:tcPr>
          <w:p>
            <w:pPr>
              <w:spacing w:after="0"/>
              <w:rPr>
                <w:sz w:val="24"/>
                <w:szCs w:val="24"/>
                <w:color w:val="auto"/>
              </w:rPr>
            </w:pPr>
          </w:p>
        </w:tc>
        <w:tc>
          <w:tcPr>
            <w:tcW w:w="720" w:type="dxa"/>
            <w:vAlign w:val="bottom"/>
          </w:tcPr>
          <w:p>
            <w:pPr>
              <w:jc w:val="center"/>
              <w:ind w:right="160"/>
              <w:spacing w:after="0"/>
              <w:rPr>
                <w:sz w:val="20"/>
                <w:szCs w:val="20"/>
                <w:color w:val="auto"/>
              </w:rPr>
            </w:pPr>
            <w:r>
              <w:rPr>
                <w:rFonts w:ascii="Arial" w:cs="Arial" w:eastAsia="Arial" w:hAnsi="Arial"/>
                <w:sz w:val="20"/>
                <w:szCs w:val="20"/>
                <w:color w:val="auto"/>
                <w:w w:val="92"/>
              </w:rPr>
              <w:t>Than</w:t>
            </w:r>
          </w:p>
        </w:tc>
        <w:tc>
          <w:tcPr>
            <w:tcW w:w="220" w:type="dxa"/>
            <w:vAlign w:val="bottom"/>
          </w:tcPr>
          <w:p>
            <w:pPr>
              <w:spacing w:after="0"/>
              <w:rPr>
                <w:sz w:val="24"/>
                <w:szCs w:val="24"/>
                <w:color w:val="auto"/>
              </w:rPr>
            </w:pPr>
          </w:p>
        </w:tc>
        <w:tc>
          <w:tcPr>
            <w:tcW w:w="720" w:type="dxa"/>
            <w:vAlign w:val="bottom"/>
          </w:tcPr>
          <w:p>
            <w:pPr>
              <w:jc w:val="right"/>
              <w:ind w:right="180"/>
              <w:spacing w:after="0"/>
              <w:rPr>
                <w:sz w:val="20"/>
                <w:szCs w:val="20"/>
                <w:color w:val="auto"/>
              </w:rPr>
            </w:pPr>
            <w:r>
              <w:rPr>
                <w:rFonts w:ascii="Arial" w:cs="Arial" w:eastAsia="Arial" w:hAnsi="Arial"/>
                <w:sz w:val="20"/>
                <w:szCs w:val="20"/>
                <w:color w:val="auto"/>
                <w:w w:val="94"/>
              </w:rPr>
              <w:t>Total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20"/>
                <w:szCs w:val="20"/>
                <w:color w:val="auto"/>
                <w:w w:val="92"/>
              </w:rPr>
              <w:t>Financing</w:t>
            </w:r>
          </w:p>
        </w:tc>
      </w:tr>
      <w:tr>
        <w:trPr>
          <w:trHeight w:val="310"/>
        </w:trPr>
        <w:tc>
          <w:tcPr>
            <w:tcW w:w="2820" w:type="dxa"/>
            <w:vAlign w:val="bottom"/>
          </w:tcPr>
          <w:p>
            <w:pPr>
              <w:spacing w:after="0"/>
              <w:rPr>
                <w:sz w:val="20"/>
                <w:szCs w:val="20"/>
                <w:color w:val="auto"/>
              </w:rPr>
            </w:pPr>
            <w:r>
              <w:rPr>
                <w:rFonts w:ascii="Arial" w:cs="Arial" w:eastAsia="Arial" w:hAnsi="Arial"/>
                <w:sz w:val="20"/>
                <w:szCs w:val="20"/>
                <w:color w:val="auto"/>
              </w:rPr>
              <w:t>December 31, 2024</w:t>
            </w:r>
          </w:p>
        </w:tc>
        <w:tc>
          <w:tcPr>
            <w:tcW w:w="1500" w:type="dxa"/>
            <w:vAlign w:val="bottom"/>
            <w:gridSpan w:val="2"/>
          </w:tcPr>
          <w:p>
            <w:pPr>
              <w:ind w:left="660"/>
              <w:spacing w:after="0"/>
              <w:rPr>
                <w:sz w:val="20"/>
                <w:szCs w:val="20"/>
                <w:color w:val="auto"/>
              </w:rPr>
            </w:pPr>
            <w:r>
              <w:rPr>
                <w:rFonts w:ascii="Arial" w:cs="Arial" w:eastAsia="Arial" w:hAnsi="Arial"/>
                <w:sz w:val="20"/>
                <w:szCs w:val="20"/>
                <w:color w:val="auto"/>
                <w:w w:val="99"/>
              </w:rPr>
              <w:t>Past Due</w:t>
            </w:r>
          </w:p>
        </w:tc>
        <w:tc>
          <w:tcPr>
            <w:tcW w:w="920" w:type="dxa"/>
            <w:vAlign w:val="bottom"/>
            <w:gridSpan w:val="2"/>
          </w:tcPr>
          <w:p>
            <w:pPr>
              <w:ind w:left="100"/>
              <w:spacing w:after="0"/>
              <w:rPr>
                <w:sz w:val="20"/>
                <w:szCs w:val="20"/>
                <w:color w:val="auto"/>
              </w:rPr>
            </w:pPr>
            <w:r>
              <w:rPr>
                <w:rFonts w:ascii="Arial" w:cs="Arial" w:eastAsia="Arial" w:hAnsi="Arial"/>
                <w:sz w:val="20"/>
                <w:szCs w:val="20"/>
                <w:color w:val="auto"/>
                <w:w w:val="97"/>
              </w:rPr>
              <w:t>Past Due</w:t>
            </w:r>
          </w:p>
        </w:tc>
        <w:tc>
          <w:tcPr>
            <w:tcW w:w="940" w:type="dxa"/>
            <w:vAlign w:val="bottom"/>
            <w:gridSpan w:val="2"/>
          </w:tcPr>
          <w:p>
            <w:pPr>
              <w:jc w:val="center"/>
              <w:spacing w:after="0"/>
              <w:rPr>
                <w:sz w:val="20"/>
                <w:szCs w:val="20"/>
                <w:color w:val="auto"/>
              </w:rPr>
            </w:pPr>
            <w:r>
              <w:rPr>
                <w:rFonts w:ascii="Arial" w:cs="Arial" w:eastAsia="Arial" w:hAnsi="Arial"/>
                <w:sz w:val="20"/>
                <w:szCs w:val="20"/>
                <w:color w:val="auto"/>
                <w:w w:val="89"/>
              </w:rPr>
              <w:t>90 Days</w:t>
            </w:r>
          </w:p>
        </w:tc>
        <w:tc>
          <w:tcPr>
            <w:tcW w:w="940" w:type="dxa"/>
            <w:vAlign w:val="bottom"/>
            <w:gridSpan w:val="2"/>
          </w:tcPr>
          <w:p>
            <w:pPr>
              <w:ind w:left="100"/>
              <w:spacing w:after="0"/>
              <w:rPr>
                <w:sz w:val="20"/>
                <w:szCs w:val="20"/>
                <w:color w:val="auto"/>
              </w:rPr>
            </w:pPr>
            <w:r>
              <w:rPr>
                <w:rFonts w:ascii="Arial" w:cs="Arial" w:eastAsia="Arial" w:hAnsi="Arial"/>
                <w:sz w:val="20"/>
                <w:szCs w:val="20"/>
                <w:color w:val="auto"/>
                <w:w w:val="99"/>
              </w:rPr>
              <w:t>Past Due</w:t>
            </w:r>
          </w:p>
        </w:tc>
        <w:tc>
          <w:tcPr>
            <w:tcW w:w="200" w:type="dxa"/>
            <w:vAlign w:val="bottom"/>
          </w:tcPr>
          <w:p>
            <w:pPr>
              <w:spacing w:after="0"/>
              <w:rPr>
                <w:sz w:val="24"/>
                <w:szCs w:val="24"/>
                <w:color w:val="auto"/>
              </w:rPr>
            </w:pPr>
          </w:p>
        </w:tc>
        <w:tc>
          <w:tcPr>
            <w:tcW w:w="900" w:type="dxa"/>
            <w:vAlign w:val="bottom"/>
          </w:tcPr>
          <w:p>
            <w:pPr>
              <w:jc w:val="right"/>
              <w:ind w:right="140"/>
              <w:spacing w:after="0"/>
              <w:rPr>
                <w:sz w:val="20"/>
                <w:szCs w:val="20"/>
                <w:color w:val="auto"/>
              </w:rPr>
            </w:pPr>
            <w:r>
              <w:rPr>
                <w:rFonts w:ascii="Arial" w:cs="Arial" w:eastAsia="Arial" w:hAnsi="Arial"/>
                <w:sz w:val="20"/>
                <w:szCs w:val="20"/>
                <w:color w:val="auto"/>
                <w:w w:val="95"/>
              </w:rPr>
              <w:t>Current</w:t>
            </w:r>
          </w:p>
        </w:tc>
        <w:tc>
          <w:tcPr>
            <w:tcW w:w="1180" w:type="dxa"/>
            <w:vAlign w:val="bottom"/>
            <w:gridSpan w:val="2"/>
          </w:tcPr>
          <w:p>
            <w:pPr>
              <w:jc w:val="center"/>
              <w:spacing w:after="0"/>
              <w:rPr>
                <w:sz w:val="20"/>
                <w:szCs w:val="20"/>
                <w:color w:val="auto"/>
              </w:rPr>
            </w:pPr>
            <w:r>
              <w:rPr>
                <w:rFonts w:ascii="Arial" w:cs="Arial" w:eastAsia="Arial" w:hAnsi="Arial"/>
                <w:sz w:val="20"/>
                <w:szCs w:val="20"/>
                <w:color w:val="auto"/>
                <w:w w:val="88"/>
              </w:rPr>
              <w:t>Receivables</w:t>
            </w:r>
          </w:p>
        </w:tc>
      </w:tr>
      <w:tr>
        <w:trPr>
          <w:trHeight w:val="41"/>
        </w:trPr>
        <w:tc>
          <w:tcPr>
            <w:tcW w:w="2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Consumer Real Estate</w:t>
            </w:r>
          </w:p>
        </w:tc>
        <w:tc>
          <w:tcPr>
            <w:tcW w:w="76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2,533</w:t>
            </w:r>
          </w:p>
        </w:tc>
        <w:tc>
          <w:tcPr>
            <w:tcW w:w="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547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559</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3,639</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516,753</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520,392</w:t>
            </w:r>
          </w:p>
        </w:tc>
      </w:tr>
      <w:tr>
        <w:trPr>
          <w:trHeight w:val="274"/>
        </w:trPr>
        <w:tc>
          <w:tcPr>
            <w:tcW w:w="2820" w:type="dxa"/>
            <w:vAlign w:val="bottom"/>
          </w:tcPr>
          <w:p>
            <w:pPr>
              <w:spacing w:after="0"/>
              <w:rPr>
                <w:sz w:val="20"/>
                <w:szCs w:val="20"/>
                <w:color w:val="auto"/>
              </w:rPr>
            </w:pPr>
            <w:r>
              <w:rPr>
                <w:rFonts w:ascii="Arial" w:cs="Arial" w:eastAsia="Arial" w:hAnsi="Arial"/>
                <w:sz w:val="20"/>
                <w:szCs w:val="20"/>
                <w:color w:val="auto"/>
              </w:rPr>
              <w:t>Agricultural Real Estate</w:t>
            </w:r>
          </w:p>
        </w:tc>
        <w:tc>
          <w:tcPr>
            <w:tcW w:w="7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651</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651</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215,486</w:t>
            </w:r>
          </w:p>
        </w:tc>
        <w:tc>
          <w:tcPr>
            <w:tcW w:w="2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216,137</w:t>
            </w:r>
          </w:p>
        </w:tc>
      </w:tr>
      <w:tr>
        <w:trPr>
          <w:trHeight w:val="41"/>
        </w:trPr>
        <w:tc>
          <w:tcPr>
            <w:tcW w:w="2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Agricultural</w:t>
            </w:r>
          </w:p>
        </w:tc>
        <w:tc>
          <w:tcPr>
            <w:tcW w:w="7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44</w:t>
            </w:r>
          </w:p>
        </w:tc>
        <w:tc>
          <w:tcPr>
            <w:tcW w:w="2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79</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123</w:t>
            </w:r>
          </w:p>
        </w:tc>
        <w:tc>
          <w:tcPr>
            <w:tcW w:w="2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152,258</w:t>
            </w: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152,381</w:t>
            </w:r>
          </w:p>
        </w:tc>
      </w:tr>
      <w:tr>
        <w:trPr>
          <w:trHeight w:val="274"/>
        </w:trPr>
        <w:tc>
          <w:tcPr>
            <w:tcW w:w="2820" w:type="dxa"/>
            <w:vAlign w:val="bottom"/>
          </w:tcPr>
          <w:p>
            <w:pPr>
              <w:spacing w:after="0"/>
              <w:rPr>
                <w:sz w:val="20"/>
                <w:szCs w:val="20"/>
                <w:color w:val="auto"/>
              </w:rPr>
            </w:pPr>
            <w:r>
              <w:rPr>
                <w:rFonts w:ascii="Arial" w:cs="Arial" w:eastAsia="Arial" w:hAnsi="Arial"/>
                <w:sz w:val="20"/>
                <w:szCs w:val="20"/>
                <w:color w:val="auto"/>
              </w:rPr>
              <w:t>Commercial Real Estate</w:t>
            </w:r>
          </w:p>
        </w:tc>
        <w:tc>
          <w:tcPr>
            <w:tcW w:w="7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54</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141</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360</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555</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87"/>
              </w:rPr>
              <w:t>1,307,906</w:t>
            </w:r>
          </w:p>
        </w:tc>
        <w:tc>
          <w:tcPr>
            <w:tcW w:w="2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w w:val="89"/>
              </w:rPr>
              <w:t>1,308,461</w:t>
            </w:r>
          </w:p>
        </w:tc>
      </w:tr>
      <w:tr>
        <w:trPr>
          <w:trHeight w:val="41"/>
        </w:trPr>
        <w:tc>
          <w:tcPr>
            <w:tcW w:w="2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4"/>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Commercial and Industrial</w:t>
            </w:r>
          </w:p>
        </w:tc>
        <w:tc>
          <w:tcPr>
            <w:tcW w:w="7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122</w:t>
            </w:r>
          </w:p>
        </w:tc>
        <w:tc>
          <w:tcPr>
            <w:tcW w:w="2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57</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184</w:t>
            </w:r>
          </w:p>
        </w:tc>
        <w:tc>
          <w:tcPr>
            <w:tcW w:w="2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274,635</w:t>
            </w: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274,819</w:t>
            </w:r>
          </w:p>
        </w:tc>
      </w:tr>
      <w:tr>
        <w:trPr>
          <w:trHeight w:val="274"/>
        </w:trPr>
        <w:tc>
          <w:tcPr>
            <w:tcW w:w="2820" w:type="dxa"/>
            <w:vAlign w:val="bottom"/>
          </w:tcPr>
          <w:p>
            <w:pPr>
              <w:spacing w:after="0"/>
              <w:rPr>
                <w:sz w:val="20"/>
                <w:szCs w:val="20"/>
                <w:color w:val="auto"/>
              </w:rPr>
            </w:pPr>
            <w:r>
              <w:rPr>
                <w:rFonts w:ascii="Arial" w:cs="Arial" w:eastAsia="Arial" w:hAnsi="Arial"/>
                <w:sz w:val="20"/>
                <w:szCs w:val="20"/>
                <w:color w:val="auto"/>
              </w:rPr>
              <w:t>Consumer</w:t>
            </w:r>
          </w:p>
        </w:tc>
        <w:tc>
          <w:tcPr>
            <w:tcW w:w="7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365</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62</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446</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63,181</w:t>
            </w:r>
          </w:p>
        </w:tc>
        <w:tc>
          <w:tcPr>
            <w:tcW w:w="2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63,627</w:t>
            </w:r>
          </w:p>
        </w:tc>
      </w:tr>
      <w:tr>
        <w:trPr>
          <w:trHeight w:val="41"/>
        </w:trPr>
        <w:tc>
          <w:tcPr>
            <w:tcW w:w="2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304"/>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w:t>
            </w:r>
          </w:p>
        </w:tc>
        <w:tc>
          <w:tcPr>
            <w:tcW w:w="7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24,978</w:t>
            </w: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24,978</w:t>
            </w:r>
          </w:p>
        </w:tc>
      </w:tr>
      <w:tr>
        <w:trPr>
          <w:trHeight w:val="274"/>
        </w:trPr>
        <w:tc>
          <w:tcPr>
            <w:tcW w:w="2820" w:type="dxa"/>
            <w:vAlign w:val="bottom"/>
          </w:tcPr>
          <w:p>
            <w:pPr>
              <w:ind w:left="60"/>
              <w:spacing w:after="0"/>
              <w:rPr>
                <w:sz w:val="20"/>
                <w:szCs w:val="20"/>
                <w:color w:val="auto"/>
              </w:rPr>
            </w:pPr>
            <w:r>
              <w:rPr>
                <w:rFonts w:ascii="Arial" w:cs="Arial" w:eastAsia="Arial" w:hAnsi="Arial"/>
                <w:sz w:val="20"/>
                <w:szCs w:val="20"/>
                <w:color w:val="auto"/>
              </w:rPr>
              <w:t>Total</w:t>
            </w:r>
          </w:p>
        </w:tc>
        <w:tc>
          <w:tcPr>
            <w:tcW w:w="760" w:type="dxa"/>
            <w:vAlign w:val="bottom"/>
          </w:tcPr>
          <w:p>
            <w:pPr>
              <w:ind w:left="660"/>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3,769</w:t>
            </w:r>
          </w:p>
        </w:tc>
        <w:tc>
          <w:tcPr>
            <w:tcW w:w="200" w:type="dxa"/>
            <w:vAlign w:val="bottom"/>
          </w:tcPr>
          <w:p>
            <w:pPr>
              <w:ind w:left="80"/>
              <w:spacing w:after="0"/>
              <w:rPr>
                <w:sz w:val="20"/>
                <w:szCs w:val="20"/>
                <w:color w:val="auto"/>
              </w:rPr>
            </w:pPr>
            <w:r>
              <w:rPr>
                <w:rFonts w:ascii="Arial" w:cs="Arial" w:eastAsia="Arial" w:hAnsi="Arial"/>
                <w:sz w:val="20"/>
                <w:szCs w:val="20"/>
                <w:color w:val="auto"/>
                <w:w w:val="89"/>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712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1,117</w:t>
            </w:r>
          </w:p>
        </w:tc>
        <w:tc>
          <w:tcPr>
            <w:tcW w:w="220" w:type="dxa"/>
            <w:vAlign w:val="bottom"/>
          </w:tcPr>
          <w:p>
            <w:pPr>
              <w:ind w:left="100"/>
              <w:spacing w:after="0"/>
              <w:rPr>
                <w:sz w:val="20"/>
                <w:szCs w:val="20"/>
                <w:color w:val="auto"/>
              </w:rPr>
            </w:pPr>
            <w:r>
              <w:rPr>
                <w:rFonts w:ascii="Arial" w:cs="Arial" w:eastAsia="Arial" w:hAnsi="Arial"/>
                <w:sz w:val="20"/>
                <w:szCs w:val="20"/>
                <w:color w:val="auto"/>
                <w:w w:val="89"/>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5,598</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w w:val="87"/>
              </w:rPr>
              <w:t>2,555,197</w:t>
            </w:r>
          </w:p>
        </w:tc>
        <w:tc>
          <w:tcPr>
            <w:tcW w:w="1180" w:type="dxa"/>
            <w:vAlign w:val="bottom"/>
            <w:gridSpan w:val="2"/>
          </w:tcPr>
          <w:p>
            <w:pPr>
              <w:jc w:val="right"/>
              <w:ind w:right="20"/>
              <w:spacing w:after="0"/>
              <w:rPr>
                <w:sz w:val="20"/>
                <w:szCs w:val="20"/>
                <w:color w:val="auto"/>
              </w:rPr>
            </w:pPr>
            <w:r>
              <w:rPr>
                <w:rFonts w:ascii="Arial" w:cs="Arial" w:eastAsia="Arial" w:hAnsi="Arial"/>
                <w:sz w:val="20"/>
                <w:szCs w:val="20"/>
                <w:color w:val="auto"/>
                <w:w w:val="98"/>
              </w:rPr>
              <w:t>$ 2,560,795</w:t>
            </w:r>
          </w:p>
        </w:tc>
      </w:tr>
      <w:tr>
        <w:trPr>
          <w:trHeight w:val="885"/>
        </w:trPr>
        <w:tc>
          <w:tcPr>
            <w:tcW w:w="2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340"/>
              <w:spacing w:after="0"/>
              <w:rPr>
                <w:sz w:val="20"/>
                <w:szCs w:val="20"/>
                <w:color w:val="auto"/>
              </w:rPr>
            </w:pPr>
            <w:r>
              <w:rPr>
                <w:rFonts w:ascii="Arial" w:cs="Arial" w:eastAsia="Arial" w:hAnsi="Arial"/>
                <w:sz w:val="20"/>
                <w:szCs w:val="20"/>
                <w:color w:val="auto"/>
              </w:rPr>
              <w:t>80</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891"/>
        </w:trPr>
        <w:tc>
          <w:tcPr>
            <w:tcW w:w="282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4">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5">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2213610</wp:posOffset>
            </wp:positionH>
            <wp:positionV relativeFrom="paragraph">
              <wp:posOffset>-6136005</wp:posOffset>
            </wp:positionV>
            <wp:extent cx="369316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6">
                      <a:extLst>
                        <a:ext uri="{28A0092B-C50C-407E-A947-70E740481C1C}"/>
                      </a:extLst>
                    </a:blip>
                    <a:srcRect/>
                    <a:stretch>
                      <a:fillRect/>
                    </a:stretch>
                  </pic:blipFill>
                  <pic:spPr bwMode="auto">
                    <a:xfrm>
                      <a:off x="0" y="0"/>
                      <a:ext cx="3693160" cy="6350"/>
                    </a:xfrm>
                    <a:prstGeom prst="rect">
                      <a:avLst/>
                    </a:prstGeom>
                    <a:noFill/>
                  </pic:spPr>
                </pic:pic>
              </a:graphicData>
            </a:graphic>
          </wp:anchor>
        </w:drawing>
        <w:drawing>
          <wp:anchor simplePos="0" relativeHeight="251657728" behindDoc="1" locked="0" layoutInCell="0" allowOverlap="1">
            <wp:simplePos x="0" y="0"/>
            <wp:positionH relativeFrom="column">
              <wp:posOffset>2213610</wp:posOffset>
            </wp:positionH>
            <wp:positionV relativeFrom="paragraph">
              <wp:posOffset>-5548630</wp:posOffset>
            </wp:positionV>
            <wp:extent cx="369316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7">
                      <a:extLst>
                        <a:ext uri="{28A0092B-C50C-407E-A947-70E740481C1C}"/>
                      </a:extLst>
                    </a:blip>
                    <a:srcRect/>
                    <a:stretch>
                      <a:fillRect/>
                    </a:stretch>
                  </pic:blipFill>
                  <pic:spPr bwMode="auto">
                    <a:xfrm>
                      <a:off x="0" y="0"/>
                      <a:ext cx="3693160" cy="6350"/>
                    </a:xfrm>
                    <a:prstGeom prst="rect">
                      <a:avLst/>
                    </a:prstGeom>
                    <a:noFill/>
                  </pic:spPr>
                </pic:pic>
              </a:graphicData>
            </a:graphic>
          </wp:anchor>
        </w:drawing>
        <w:drawing>
          <wp:anchor simplePos="0" relativeHeight="251657728" behindDoc="1" locked="0" layoutInCell="0" allowOverlap="1">
            <wp:simplePos x="0" y="0"/>
            <wp:positionH relativeFrom="column">
              <wp:posOffset>2213610</wp:posOffset>
            </wp:positionH>
            <wp:positionV relativeFrom="paragraph">
              <wp:posOffset>-4144645</wp:posOffset>
            </wp:positionV>
            <wp:extent cx="3750310"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98">
                      <a:extLst>
                        <a:ext uri="{28A0092B-C50C-407E-A947-70E740481C1C}"/>
                      </a:extLst>
                    </a:blip>
                    <a:srcRect/>
                    <a:stretch>
                      <a:fillRect/>
                    </a:stretch>
                  </pic:blipFill>
                  <pic:spPr bwMode="auto">
                    <a:xfrm>
                      <a:off x="0" y="0"/>
                      <a:ext cx="3750310" cy="6350"/>
                    </a:xfrm>
                    <a:prstGeom prst="rect">
                      <a:avLst/>
                    </a:prstGeom>
                    <a:noFill/>
                  </pic:spPr>
                </pic:pic>
              </a:graphicData>
            </a:graphic>
          </wp:anchor>
        </w:drawing>
        <w:drawing>
          <wp:anchor simplePos="0" relativeHeight="251657728" behindDoc="1" locked="0" layoutInCell="0" allowOverlap="1">
            <wp:simplePos x="0" y="0"/>
            <wp:positionH relativeFrom="column">
              <wp:posOffset>2213610</wp:posOffset>
            </wp:positionH>
            <wp:positionV relativeFrom="paragraph">
              <wp:posOffset>-3938905</wp:posOffset>
            </wp:positionV>
            <wp:extent cx="3693160" cy="285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99">
                      <a:extLst>
                        <a:ext uri="{28A0092B-C50C-407E-A947-70E740481C1C}"/>
                      </a:extLst>
                    </a:blip>
                    <a:srcRect/>
                    <a:stretch>
                      <a:fillRect/>
                    </a:stretch>
                  </pic:blipFill>
                  <pic:spPr bwMode="auto">
                    <a:xfrm>
                      <a:off x="0" y="0"/>
                      <a:ext cx="3693160" cy="28575"/>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-3310890</wp:posOffset>
            </wp:positionV>
            <wp:extent cx="3695065"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0">
                      <a:extLst>
                        <a:ext uri="{28A0092B-C50C-407E-A947-70E740481C1C}"/>
                      </a:extLst>
                    </a:blip>
                    <a:srcRect/>
                    <a:stretch>
                      <a:fillRect/>
                    </a:stretch>
                  </pic:blipFill>
                  <pic:spPr bwMode="auto">
                    <a:xfrm>
                      <a:off x="0" y="0"/>
                      <a:ext cx="3695065" cy="6350"/>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-2723515</wp:posOffset>
            </wp:positionV>
            <wp:extent cx="3695065"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1">
                      <a:extLst>
                        <a:ext uri="{28A0092B-C50C-407E-A947-70E740481C1C}"/>
                      </a:extLst>
                    </a:blip>
                    <a:srcRect/>
                    <a:stretch>
                      <a:fillRect/>
                    </a:stretch>
                  </pic:blipFill>
                  <pic:spPr bwMode="auto">
                    <a:xfrm>
                      <a:off x="0" y="0"/>
                      <a:ext cx="3695065" cy="6350"/>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-1319530</wp:posOffset>
            </wp:positionV>
            <wp:extent cx="3752215" cy="6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2">
                      <a:extLst>
                        <a:ext uri="{28A0092B-C50C-407E-A947-70E740481C1C}"/>
                      </a:extLst>
                    </a:blip>
                    <a:srcRect/>
                    <a:stretch>
                      <a:fillRect/>
                    </a:stretch>
                  </pic:blipFill>
                  <pic:spPr bwMode="auto">
                    <a:xfrm>
                      <a:off x="0" y="0"/>
                      <a:ext cx="3752215" cy="6350"/>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-1113790</wp:posOffset>
            </wp:positionV>
            <wp:extent cx="3695065" cy="285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3">
                      <a:extLst>
                        <a:ext uri="{28A0092B-C50C-407E-A947-70E740481C1C}"/>
                      </a:extLst>
                    </a:blip>
                    <a:srcRect/>
                    <a:stretch>
                      <a:fillRect/>
                    </a:stretch>
                  </pic:blipFill>
                  <pic:spPr bwMode="auto">
                    <a:xfrm>
                      <a:off x="0" y="0"/>
                      <a:ext cx="3695065"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17</w:t>
      </w:r>
    </w:p>
    <w:p>
      <w:pPr>
        <w:sectPr>
          <w:pgSz w:w="11900" w:h="16838" w:orient="portrait"/>
          <w:cols w:equalWidth="0" w:num="1">
            <w:col w:w="9400"/>
          </w:cols>
          <w:pgMar w:left="1260" w:top="1440" w:right="1246" w:bottom="0" w:gutter="0" w:footer="0" w:header="0"/>
          <w:type w:val="continuous"/>
        </w:sectPr>
      </w:pPr>
    </w:p>
    <w:bookmarkStart w:id="161" w:name="page162"/>
    <w:bookmarkEnd w:id="161"/>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 w:right="40"/>
        <w:spacing w:after="0" w:line="302" w:lineRule="auto"/>
        <w:rPr>
          <w:sz w:val="20"/>
          <w:szCs w:val="20"/>
          <w:color w:val="auto"/>
        </w:rPr>
      </w:pPr>
      <w:r>
        <w:rPr>
          <w:rFonts w:ascii="Arial" w:cs="Arial" w:eastAsia="Arial" w:hAnsi="Arial"/>
          <w:sz w:val="20"/>
          <w:szCs w:val="20"/>
          <w:color w:val="auto"/>
        </w:rPr>
        <w:t>The following tables present the amortized cost of nonaccrual loans by portfolio segment as of December 31, 2025 and December 31, 2024:</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center"/>
              <w:ind w:right="60"/>
              <w:spacing w:after="0"/>
              <w:rPr>
                <w:sz w:val="20"/>
                <w:szCs w:val="20"/>
                <w:color w:val="auto"/>
              </w:rPr>
            </w:pPr>
            <w:r>
              <w:rPr>
                <w:rFonts w:ascii="Arial" w:cs="Arial" w:eastAsia="Arial" w:hAnsi="Arial"/>
                <w:sz w:val="20"/>
                <w:szCs w:val="20"/>
                <w:color w:val="auto"/>
                <w:w w:val="89"/>
              </w:rPr>
              <w:t>(In Thousands)</w:t>
            </w: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4"/>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jc w:val="center"/>
              <w:ind w:right="60"/>
              <w:spacing w:after="0"/>
              <w:rPr>
                <w:sz w:val="20"/>
                <w:szCs w:val="20"/>
                <w:color w:val="auto"/>
              </w:rPr>
            </w:pPr>
            <w:r>
              <w:rPr>
                <w:rFonts w:ascii="Arial" w:cs="Arial" w:eastAsia="Arial" w:hAnsi="Arial"/>
                <w:sz w:val="20"/>
                <w:szCs w:val="20"/>
                <w:color w:val="auto"/>
                <w:w w:val="88"/>
              </w:rPr>
              <w:t>December 31, 2025</w:t>
            </w: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4"/>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jc w:val="center"/>
              <w:ind w:right="240"/>
              <w:spacing w:after="0"/>
              <w:rPr>
                <w:sz w:val="20"/>
                <w:szCs w:val="20"/>
                <w:color w:val="auto"/>
              </w:rPr>
            </w:pPr>
            <w:r>
              <w:rPr>
                <w:rFonts w:ascii="Arial" w:cs="Arial" w:eastAsia="Arial" w:hAnsi="Arial"/>
                <w:sz w:val="20"/>
                <w:szCs w:val="20"/>
                <w:color w:val="auto"/>
                <w:w w:val="90"/>
              </w:rPr>
              <w:t>Nonaccrual</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jc w:val="center"/>
              <w:ind w:right="240"/>
              <w:spacing w:after="0"/>
              <w:rPr>
                <w:sz w:val="20"/>
                <w:szCs w:val="20"/>
                <w:color w:val="auto"/>
              </w:rPr>
            </w:pPr>
            <w:r>
              <w:rPr>
                <w:rFonts w:ascii="Arial" w:cs="Arial" w:eastAsia="Arial" w:hAnsi="Arial"/>
                <w:sz w:val="20"/>
                <w:szCs w:val="20"/>
                <w:color w:val="auto"/>
                <w:w w:val="87"/>
              </w:rPr>
              <w:t>Loans Past</w:t>
            </w:r>
          </w:p>
        </w:tc>
      </w:tr>
      <w:tr>
        <w:trPr>
          <w:trHeight w:val="314"/>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jc w:val="center"/>
              <w:ind w:right="240"/>
              <w:spacing w:after="0"/>
              <w:rPr>
                <w:sz w:val="20"/>
                <w:szCs w:val="20"/>
                <w:color w:val="auto"/>
              </w:rPr>
            </w:pPr>
            <w:r>
              <w:rPr>
                <w:rFonts w:ascii="Arial" w:cs="Arial" w:eastAsia="Arial" w:hAnsi="Arial"/>
                <w:sz w:val="20"/>
                <w:szCs w:val="20"/>
                <w:color w:val="auto"/>
                <w:w w:val="95"/>
              </w:rPr>
              <w:t>With No</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jc w:val="center"/>
              <w:ind w:right="240"/>
              <w:spacing w:after="0"/>
              <w:rPr>
                <w:sz w:val="20"/>
                <w:szCs w:val="20"/>
                <w:color w:val="auto"/>
              </w:rPr>
            </w:pPr>
            <w:r>
              <w:rPr>
                <w:rFonts w:ascii="Arial" w:cs="Arial" w:eastAsia="Arial" w:hAnsi="Arial"/>
                <w:sz w:val="20"/>
                <w:szCs w:val="20"/>
                <w:color w:val="auto"/>
                <w:w w:val="93"/>
              </w:rPr>
              <w:t>Due Over</w:t>
            </w:r>
          </w:p>
        </w:tc>
      </w:tr>
      <w:tr>
        <w:trPr>
          <w:trHeight w:val="314"/>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jc w:val="center"/>
              <w:ind w:right="240"/>
              <w:spacing w:after="0"/>
              <w:rPr>
                <w:sz w:val="20"/>
                <w:szCs w:val="20"/>
                <w:color w:val="auto"/>
              </w:rPr>
            </w:pPr>
            <w:r>
              <w:rPr>
                <w:rFonts w:ascii="Arial" w:cs="Arial" w:eastAsia="Arial" w:hAnsi="Arial"/>
                <w:sz w:val="20"/>
                <w:szCs w:val="20"/>
                <w:color w:val="auto"/>
                <w:w w:val="96"/>
              </w:rPr>
              <w:t>Allowance</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jc w:val="center"/>
              <w:ind w:right="220"/>
              <w:spacing w:after="0"/>
              <w:rPr>
                <w:sz w:val="20"/>
                <w:szCs w:val="20"/>
                <w:color w:val="auto"/>
              </w:rPr>
            </w:pPr>
            <w:r>
              <w:rPr>
                <w:rFonts w:ascii="Arial" w:cs="Arial" w:eastAsia="Arial" w:hAnsi="Arial"/>
                <w:sz w:val="20"/>
                <w:szCs w:val="20"/>
                <w:color w:val="auto"/>
                <w:w w:val="89"/>
              </w:rPr>
              <w:t>89 Days</w:t>
            </w:r>
          </w:p>
        </w:tc>
      </w:tr>
      <w:tr>
        <w:trPr>
          <w:trHeight w:val="314"/>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jc w:val="center"/>
              <w:ind w:right="240"/>
              <w:spacing w:after="0"/>
              <w:rPr>
                <w:sz w:val="20"/>
                <w:szCs w:val="20"/>
                <w:color w:val="auto"/>
              </w:rPr>
            </w:pPr>
            <w:r>
              <w:rPr>
                <w:rFonts w:ascii="Arial" w:cs="Arial" w:eastAsia="Arial" w:hAnsi="Arial"/>
                <w:sz w:val="20"/>
                <w:szCs w:val="20"/>
                <w:color w:val="auto"/>
                <w:w w:val="92"/>
              </w:rPr>
              <w:t>for Credit Loss</w:t>
            </w:r>
          </w:p>
        </w:tc>
        <w:tc>
          <w:tcPr>
            <w:tcW w:w="280" w:type="dxa"/>
            <w:vAlign w:val="bottom"/>
          </w:tcPr>
          <w:p>
            <w:pPr>
              <w:spacing w:after="0"/>
              <w:rPr>
                <w:sz w:val="24"/>
                <w:szCs w:val="24"/>
                <w:color w:val="auto"/>
              </w:rPr>
            </w:pPr>
          </w:p>
        </w:tc>
        <w:tc>
          <w:tcPr>
            <w:tcW w:w="1840" w:type="dxa"/>
            <w:vAlign w:val="bottom"/>
          </w:tcPr>
          <w:p>
            <w:pPr>
              <w:jc w:val="right"/>
              <w:ind w:right="500"/>
              <w:spacing w:after="0"/>
              <w:rPr>
                <w:sz w:val="20"/>
                <w:szCs w:val="20"/>
                <w:color w:val="auto"/>
              </w:rPr>
            </w:pPr>
            <w:r>
              <w:rPr>
                <w:rFonts w:ascii="Arial" w:cs="Arial" w:eastAsia="Arial" w:hAnsi="Arial"/>
                <w:sz w:val="20"/>
                <w:szCs w:val="20"/>
                <w:color w:val="auto"/>
              </w:rPr>
              <w:t>Nonaccrual</w:t>
            </w:r>
          </w:p>
        </w:tc>
        <w:tc>
          <w:tcPr>
            <w:tcW w:w="380" w:type="dxa"/>
            <w:vAlign w:val="bottom"/>
          </w:tcPr>
          <w:p>
            <w:pPr>
              <w:spacing w:after="0"/>
              <w:rPr>
                <w:sz w:val="24"/>
                <w:szCs w:val="24"/>
                <w:color w:val="auto"/>
              </w:rPr>
            </w:pPr>
          </w:p>
        </w:tc>
        <w:tc>
          <w:tcPr>
            <w:tcW w:w="1740" w:type="dxa"/>
            <w:vAlign w:val="bottom"/>
          </w:tcPr>
          <w:p>
            <w:pPr>
              <w:jc w:val="center"/>
              <w:ind w:right="240"/>
              <w:spacing w:after="0"/>
              <w:rPr>
                <w:sz w:val="20"/>
                <w:szCs w:val="20"/>
                <w:color w:val="auto"/>
              </w:rPr>
            </w:pPr>
            <w:r>
              <w:rPr>
                <w:rFonts w:ascii="Arial" w:cs="Arial" w:eastAsia="Arial" w:hAnsi="Arial"/>
                <w:sz w:val="20"/>
                <w:szCs w:val="20"/>
                <w:color w:val="auto"/>
                <w:w w:val="96"/>
              </w:rPr>
              <w:t>Still Accruing</w:t>
            </w:r>
          </w:p>
        </w:tc>
      </w:tr>
      <w:tr>
        <w:trPr>
          <w:trHeight w:val="51"/>
        </w:trPr>
        <w:tc>
          <w:tcPr>
            <w:tcW w:w="2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94"/>
        </w:trPr>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Consumer Real Estate</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3,339</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4,050</w:t>
            </w:r>
          </w:p>
        </w:tc>
        <w:tc>
          <w:tcPr>
            <w:tcW w:w="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2640" w:type="dxa"/>
            <w:vAlign w:val="bottom"/>
          </w:tcPr>
          <w:p>
            <w:pPr>
              <w:spacing w:after="0"/>
              <w:rPr>
                <w:sz w:val="20"/>
                <w:szCs w:val="20"/>
                <w:color w:val="auto"/>
              </w:rPr>
            </w:pPr>
            <w:r>
              <w:rPr>
                <w:rFonts w:ascii="Arial" w:cs="Arial" w:eastAsia="Arial" w:hAnsi="Arial"/>
                <w:sz w:val="20"/>
                <w:szCs w:val="20"/>
                <w:color w:val="auto"/>
              </w:rPr>
              <w:t>Agricultural Real Estate</w:t>
            </w:r>
          </w:p>
        </w:tc>
        <w:tc>
          <w:tcPr>
            <w:tcW w:w="820" w:type="dxa"/>
            <w:vAlign w:val="bottom"/>
          </w:tcPr>
          <w:p>
            <w:pPr>
              <w:spacing w:after="0"/>
              <w:rPr>
                <w:sz w:val="23"/>
                <w:szCs w:val="23"/>
                <w:color w:val="auto"/>
              </w:rPr>
            </w:pPr>
          </w:p>
        </w:tc>
        <w:tc>
          <w:tcPr>
            <w:tcW w:w="1700" w:type="dxa"/>
            <w:vAlign w:val="bottom"/>
          </w:tcPr>
          <w:p>
            <w:pPr>
              <w:jc w:val="right"/>
              <w:ind w:right="60"/>
              <w:spacing w:after="0"/>
              <w:rPr>
                <w:sz w:val="20"/>
                <w:szCs w:val="20"/>
                <w:color w:val="auto"/>
              </w:rPr>
            </w:pPr>
            <w:r>
              <w:rPr>
                <w:rFonts w:ascii="Arial" w:cs="Arial" w:eastAsia="Arial" w:hAnsi="Arial"/>
                <w:sz w:val="20"/>
                <w:szCs w:val="20"/>
                <w:color w:val="auto"/>
              </w:rPr>
              <w:t>5,347</w:t>
            </w:r>
          </w:p>
        </w:tc>
        <w:tc>
          <w:tcPr>
            <w:tcW w:w="280" w:type="dxa"/>
            <w:vAlign w:val="bottom"/>
          </w:tcPr>
          <w:p>
            <w:pPr>
              <w:spacing w:after="0"/>
              <w:rPr>
                <w:sz w:val="23"/>
                <w:szCs w:val="23"/>
                <w:color w:val="auto"/>
              </w:rPr>
            </w:pPr>
          </w:p>
        </w:tc>
        <w:tc>
          <w:tcPr>
            <w:tcW w:w="1840" w:type="dxa"/>
            <w:vAlign w:val="bottom"/>
          </w:tcPr>
          <w:p>
            <w:pPr>
              <w:jc w:val="right"/>
              <w:ind w:right="40"/>
              <w:spacing w:after="0"/>
              <w:rPr>
                <w:sz w:val="20"/>
                <w:szCs w:val="20"/>
                <w:color w:val="auto"/>
              </w:rPr>
            </w:pPr>
            <w:r>
              <w:rPr>
                <w:rFonts w:ascii="Arial" w:cs="Arial" w:eastAsia="Arial" w:hAnsi="Arial"/>
                <w:sz w:val="20"/>
                <w:szCs w:val="20"/>
                <w:color w:val="auto"/>
              </w:rPr>
              <w:t>5,347</w:t>
            </w:r>
          </w:p>
        </w:tc>
        <w:tc>
          <w:tcPr>
            <w:tcW w:w="380" w:type="dxa"/>
            <w:vAlign w:val="bottom"/>
          </w:tcPr>
          <w:p>
            <w:pPr>
              <w:spacing w:after="0"/>
              <w:rPr>
                <w:sz w:val="23"/>
                <w:szCs w:val="23"/>
                <w:color w:val="auto"/>
              </w:rPr>
            </w:pPr>
          </w:p>
        </w:tc>
        <w:tc>
          <w:tcPr>
            <w:tcW w:w="174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2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94"/>
        </w:trPr>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Agricultural</w:t>
            </w:r>
          </w:p>
        </w:tc>
        <w:tc>
          <w:tcPr>
            <w:tcW w:w="82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1,441</w:t>
            </w:r>
          </w:p>
        </w:tc>
        <w:tc>
          <w:tcPr>
            <w:tcW w:w="280" w:type="dxa"/>
            <w:vAlign w:val="bottom"/>
            <w:tcBorders>
              <w:bottom w:val="single" w:sz="8" w:color="CFF0FC"/>
            </w:tcBorders>
            <w:shd w:val="clear" w:color="auto" w:fill="CFF0FC"/>
          </w:tcPr>
          <w:p>
            <w:pPr>
              <w:spacing w:after="0"/>
              <w:rPr>
                <w:sz w:val="24"/>
                <w:szCs w:val="24"/>
                <w:color w:val="auto"/>
              </w:rPr>
            </w:pPr>
          </w:p>
        </w:tc>
        <w:tc>
          <w:tcPr>
            <w:tcW w:w="1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1,441</w:t>
            </w:r>
          </w:p>
        </w:tc>
        <w:tc>
          <w:tcPr>
            <w:tcW w:w="38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2640" w:type="dxa"/>
            <w:vAlign w:val="bottom"/>
          </w:tcPr>
          <w:p>
            <w:pPr>
              <w:spacing w:after="0"/>
              <w:rPr>
                <w:sz w:val="20"/>
                <w:szCs w:val="20"/>
                <w:color w:val="auto"/>
              </w:rPr>
            </w:pPr>
            <w:r>
              <w:rPr>
                <w:rFonts w:ascii="Arial" w:cs="Arial" w:eastAsia="Arial" w:hAnsi="Arial"/>
                <w:sz w:val="20"/>
                <w:szCs w:val="20"/>
                <w:color w:val="auto"/>
              </w:rPr>
              <w:t>Commercial Real Estate</w:t>
            </w:r>
          </w:p>
        </w:tc>
        <w:tc>
          <w:tcPr>
            <w:tcW w:w="820" w:type="dxa"/>
            <w:vAlign w:val="bottom"/>
          </w:tcPr>
          <w:p>
            <w:pPr>
              <w:spacing w:after="0"/>
              <w:rPr>
                <w:sz w:val="23"/>
                <w:szCs w:val="23"/>
                <w:color w:val="auto"/>
              </w:rPr>
            </w:pPr>
          </w:p>
        </w:tc>
        <w:tc>
          <w:tcPr>
            <w:tcW w:w="1700" w:type="dxa"/>
            <w:vAlign w:val="bottom"/>
          </w:tcPr>
          <w:p>
            <w:pPr>
              <w:jc w:val="right"/>
              <w:ind w:right="60"/>
              <w:spacing w:after="0"/>
              <w:rPr>
                <w:sz w:val="20"/>
                <w:szCs w:val="20"/>
                <w:color w:val="auto"/>
              </w:rPr>
            </w:pPr>
            <w:r>
              <w:rPr>
                <w:rFonts w:ascii="Arial" w:cs="Arial" w:eastAsia="Arial" w:hAnsi="Arial"/>
                <w:sz w:val="20"/>
                <w:szCs w:val="20"/>
                <w:color w:val="auto"/>
              </w:rPr>
              <w:t>141</w:t>
            </w:r>
          </w:p>
        </w:tc>
        <w:tc>
          <w:tcPr>
            <w:tcW w:w="280" w:type="dxa"/>
            <w:vAlign w:val="bottom"/>
          </w:tcPr>
          <w:p>
            <w:pPr>
              <w:spacing w:after="0"/>
              <w:rPr>
                <w:sz w:val="23"/>
                <w:szCs w:val="23"/>
                <w:color w:val="auto"/>
              </w:rPr>
            </w:pPr>
          </w:p>
        </w:tc>
        <w:tc>
          <w:tcPr>
            <w:tcW w:w="1840" w:type="dxa"/>
            <w:vAlign w:val="bottom"/>
          </w:tcPr>
          <w:p>
            <w:pPr>
              <w:jc w:val="right"/>
              <w:ind w:right="40"/>
              <w:spacing w:after="0"/>
              <w:rPr>
                <w:sz w:val="20"/>
                <w:szCs w:val="20"/>
                <w:color w:val="auto"/>
              </w:rPr>
            </w:pPr>
            <w:r>
              <w:rPr>
                <w:rFonts w:ascii="Arial" w:cs="Arial" w:eastAsia="Arial" w:hAnsi="Arial"/>
                <w:sz w:val="20"/>
                <w:szCs w:val="20"/>
                <w:color w:val="auto"/>
              </w:rPr>
              <w:t>141</w:t>
            </w:r>
          </w:p>
        </w:tc>
        <w:tc>
          <w:tcPr>
            <w:tcW w:w="380" w:type="dxa"/>
            <w:vAlign w:val="bottom"/>
          </w:tcPr>
          <w:p>
            <w:pPr>
              <w:spacing w:after="0"/>
              <w:rPr>
                <w:sz w:val="23"/>
                <w:szCs w:val="23"/>
                <w:color w:val="auto"/>
              </w:rPr>
            </w:pPr>
          </w:p>
        </w:tc>
        <w:tc>
          <w:tcPr>
            <w:tcW w:w="174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2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94"/>
        </w:trPr>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Commercial &amp; Industrial</w:t>
            </w:r>
          </w:p>
        </w:tc>
        <w:tc>
          <w:tcPr>
            <w:tcW w:w="82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134</w:t>
            </w:r>
          </w:p>
        </w:tc>
        <w:tc>
          <w:tcPr>
            <w:tcW w:w="38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2640" w:type="dxa"/>
            <w:vAlign w:val="bottom"/>
          </w:tcPr>
          <w:p>
            <w:pPr>
              <w:spacing w:after="0"/>
              <w:rPr>
                <w:sz w:val="20"/>
                <w:szCs w:val="20"/>
                <w:color w:val="auto"/>
              </w:rPr>
            </w:pPr>
            <w:r>
              <w:rPr>
                <w:rFonts w:ascii="Arial" w:cs="Arial" w:eastAsia="Arial" w:hAnsi="Arial"/>
                <w:sz w:val="20"/>
                <w:szCs w:val="20"/>
                <w:color w:val="auto"/>
              </w:rPr>
              <w:t>Consumer</w:t>
            </w:r>
          </w:p>
        </w:tc>
        <w:tc>
          <w:tcPr>
            <w:tcW w:w="820" w:type="dxa"/>
            <w:vAlign w:val="bottom"/>
          </w:tcPr>
          <w:p>
            <w:pPr>
              <w:spacing w:after="0"/>
              <w:rPr>
                <w:sz w:val="23"/>
                <w:szCs w:val="23"/>
                <w:color w:val="auto"/>
              </w:rPr>
            </w:pPr>
          </w:p>
        </w:tc>
        <w:tc>
          <w:tcPr>
            <w:tcW w:w="1700" w:type="dxa"/>
            <w:vAlign w:val="bottom"/>
          </w:tcPr>
          <w:p>
            <w:pPr>
              <w:jc w:val="right"/>
              <w:ind w:right="60"/>
              <w:spacing w:after="0"/>
              <w:rPr>
                <w:sz w:val="20"/>
                <w:szCs w:val="20"/>
                <w:color w:val="auto"/>
              </w:rPr>
            </w:pPr>
            <w:r>
              <w:rPr>
                <w:rFonts w:ascii="Arial" w:cs="Arial" w:eastAsia="Arial" w:hAnsi="Arial"/>
                <w:sz w:val="20"/>
                <w:szCs w:val="20"/>
                <w:color w:val="auto"/>
              </w:rPr>
              <w:t>143</w:t>
            </w:r>
          </w:p>
        </w:tc>
        <w:tc>
          <w:tcPr>
            <w:tcW w:w="280" w:type="dxa"/>
            <w:vAlign w:val="bottom"/>
          </w:tcPr>
          <w:p>
            <w:pPr>
              <w:spacing w:after="0"/>
              <w:rPr>
                <w:sz w:val="23"/>
                <w:szCs w:val="23"/>
                <w:color w:val="auto"/>
              </w:rPr>
            </w:pPr>
          </w:p>
        </w:tc>
        <w:tc>
          <w:tcPr>
            <w:tcW w:w="1840" w:type="dxa"/>
            <w:vAlign w:val="bottom"/>
          </w:tcPr>
          <w:p>
            <w:pPr>
              <w:jc w:val="right"/>
              <w:ind w:right="40"/>
              <w:spacing w:after="0"/>
              <w:rPr>
                <w:sz w:val="20"/>
                <w:szCs w:val="20"/>
                <w:color w:val="auto"/>
              </w:rPr>
            </w:pPr>
            <w:r>
              <w:rPr>
                <w:rFonts w:ascii="Arial" w:cs="Arial" w:eastAsia="Arial" w:hAnsi="Arial"/>
                <w:sz w:val="20"/>
                <w:szCs w:val="20"/>
                <w:color w:val="auto"/>
              </w:rPr>
              <w:t>143</w:t>
            </w:r>
          </w:p>
        </w:tc>
        <w:tc>
          <w:tcPr>
            <w:tcW w:w="380" w:type="dxa"/>
            <w:vAlign w:val="bottom"/>
          </w:tcPr>
          <w:p>
            <w:pPr>
              <w:spacing w:after="0"/>
              <w:rPr>
                <w:sz w:val="23"/>
                <w:szCs w:val="23"/>
                <w:color w:val="auto"/>
              </w:rPr>
            </w:pPr>
          </w:p>
        </w:tc>
        <w:tc>
          <w:tcPr>
            <w:tcW w:w="174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2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349"/>
        </w:trPr>
        <w:tc>
          <w:tcPr>
            <w:tcW w:w="2640" w:type="dxa"/>
            <w:vAlign w:val="bottom"/>
            <w:tcBorders>
              <w:bottom w:val="single" w:sz="8" w:color="CFF0FC"/>
            </w:tcBorders>
            <w:shd w:val="clear" w:color="auto" w:fill="CFF0FC"/>
          </w:tcPr>
          <w:p>
            <w:pPr>
              <w:ind w:left="1320"/>
              <w:spacing w:after="0"/>
              <w:rPr>
                <w:sz w:val="20"/>
                <w:szCs w:val="20"/>
                <w:color w:val="auto"/>
              </w:rPr>
            </w:pPr>
            <w:r>
              <w:rPr>
                <w:rFonts w:ascii="Arial" w:cs="Arial" w:eastAsia="Arial" w:hAnsi="Arial"/>
                <w:sz w:val="20"/>
                <w:szCs w:val="20"/>
                <w:color w:val="auto"/>
              </w:rPr>
              <w:t>Total</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10,411</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11,256</w:t>
            </w:r>
          </w:p>
        </w:tc>
        <w:tc>
          <w:tcPr>
            <w:tcW w:w="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904"/>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jc w:val="center"/>
              <w:ind w:right="60"/>
              <w:spacing w:after="0"/>
              <w:rPr>
                <w:sz w:val="20"/>
                <w:szCs w:val="20"/>
                <w:color w:val="auto"/>
              </w:rPr>
            </w:pPr>
            <w:r>
              <w:rPr>
                <w:rFonts w:ascii="Arial" w:cs="Arial" w:eastAsia="Arial" w:hAnsi="Arial"/>
                <w:sz w:val="20"/>
                <w:szCs w:val="20"/>
                <w:color w:val="auto"/>
                <w:w w:val="89"/>
              </w:rPr>
              <w:t>(In Thousands)</w:t>
            </w: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4"/>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jc w:val="center"/>
              <w:ind w:right="60"/>
              <w:spacing w:after="0"/>
              <w:rPr>
                <w:sz w:val="20"/>
                <w:szCs w:val="20"/>
                <w:color w:val="auto"/>
              </w:rPr>
            </w:pPr>
            <w:r>
              <w:rPr>
                <w:rFonts w:ascii="Arial" w:cs="Arial" w:eastAsia="Arial" w:hAnsi="Arial"/>
                <w:sz w:val="20"/>
                <w:szCs w:val="20"/>
                <w:color w:val="auto"/>
                <w:w w:val="88"/>
              </w:rPr>
              <w:t>December 31, 2024</w:t>
            </w: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4"/>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jc w:val="center"/>
              <w:ind w:right="240"/>
              <w:spacing w:after="0"/>
              <w:rPr>
                <w:sz w:val="20"/>
                <w:szCs w:val="20"/>
                <w:color w:val="auto"/>
              </w:rPr>
            </w:pPr>
            <w:r>
              <w:rPr>
                <w:rFonts w:ascii="Arial" w:cs="Arial" w:eastAsia="Arial" w:hAnsi="Arial"/>
                <w:sz w:val="20"/>
                <w:szCs w:val="20"/>
                <w:color w:val="auto"/>
                <w:w w:val="90"/>
              </w:rPr>
              <w:t>Nonaccrual</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jc w:val="center"/>
              <w:ind w:right="240"/>
              <w:spacing w:after="0"/>
              <w:rPr>
                <w:sz w:val="20"/>
                <w:szCs w:val="20"/>
                <w:color w:val="auto"/>
              </w:rPr>
            </w:pPr>
            <w:r>
              <w:rPr>
                <w:rFonts w:ascii="Arial" w:cs="Arial" w:eastAsia="Arial" w:hAnsi="Arial"/>
                <w:sz w:val="20"/>
                <w:szCs w:val="20"/>
                <w:color w:val="auto"/>
                <w:w w:val="87"/>
              </w:rPr>
              <w:t>Loans Past</w:t>
            </w:r>
          </w:p>
        </w:tc>
      </w:tr>
      <w:tr>
        <w:trPr>
          <w:trHeight w:val="314"/>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jc w:val="center"/>
              <w:ind w:right="260"/>
              <w:spacing w:after="0"/>
              <w:rPr>
                <w:sz w:val="20"/>
                <w:szCs w:val="20"/>
                <w:color w:val="auto"/>
              </w:rPr>
            </w:pPr>
            <w:r>
              <w:rPr>
                <w:rFonts w:ascii="Arial" w:cs="Arial" w:eastAsia="Arial" w:hAnsi="Arial"/>
                <w:sz w:val="20"/>
                <w:szCs w:val="20"/>
                <w:color w:val="auto"/>
                <w:w w:val="98"/>
              </w:rPr>
              <w:t>With No</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jc w:val="center"/>
              <w:ind w:right="220"/>
              <w:spacing w:after="0"/>
              <w:rPr>
                <w:sz w:val="20"/>
                <w:szCs w:val="20"/>
                <w:color w:val="auto"/>
              </w:rPr>
            </w:pPr>
            <w:r>
              <w:rPr>
                <w:rFonts w:ascii="Arial" w:cs="Arial" w:eastAsia="Arial" w:hAnsi="Arial"/>
                <w:sz w:val="20"/>
                <w:szCs w:val="20"/>
                <w:color w:val="auto"/>
                <w:w w:val="91"/>
              </w:rPr>
              <w:t>Due Over</w:t>
            </w:r>
          </w:p>
        </w:tc>
      </w:tr>
      <w:tr>
        <w:trPr>
          <w:trHeight w:val="314"/>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jc w:val="center"/>
              <w:ind w:right="260"/>
              <w:spacing w:after="0"/>
              <w:rPr>
                <w:sz w:val="20"/>
                <w:szCs w:val="20"/>
                <w:color w:val="auto"/>
              </w:rPr>
            </w:pPr>
            <w:r>
              <w:rPr>
                <w:rFonts w:ascii="Arial" w:cs="Arial" w:eastAsia="Arial" w:hAnsi="Arial"/>
                <w:sz w:val="20"/>
                <w:szCs w:val="20"/>
                <w:color w:val="auto"/>
                <w:w w:val="94"/>
              </w:rPr>
              <w:t>Allowance</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jc w:val="center"/>
              <w:ind w:right="220"/>
              <w:spacing w:after="0"/>
              <w:rPr>
                <w:sz w:val="20"/>
                <w:szCs w:val="20"/>
                <w:color w:val="auto"/>
              </w:rPr>
            </w:pPr>
            <w:r>
              <w:rPr>
                <w:rFonts w:ascii="Arial" w:cs="Arial" w:eastAsia="Arial" w:hAnsi="Arial"/>
                <w:sz w:val="20"/>
                <w:szCs w:val="20"/>
                <w:color w:val="auto"/>
                <w:w w:val="89"/>
              </w:rPr>
              <w:t>89 Days</w:t>
            </w:r>
          </w:p>
        </w:tc>
      </w:tr>
      <w:tr>
        <w:trPr>
          <w:trHeight w:val="314"/>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jc w:val="center"/>
              <w:ind w:right="240"/>
              <w:spacing w:after="0"/>
              <w:rPr>
                <w:sz w:val="20"/>
                <w:szCs w:val="20"/>
                <w:color w:val="auto"/>
              </w:rPr>
            </w:pPr>
            <w:r>
              <w:rPr>
                <w:rFonts w:ascii="Arial" w:cs="Arial" w:eastAsia="Arial" w:hAnsi="Arial"/>
                <w:sz w:val="20"/>
                <w:szCs w:val="20"/>
                <w:color w:val="auto"/>
                <w:w w:val="92"/>
              </w:rPr>
              <w:t>for Credit Loss</w:t>
            </w:r>
          </w:p>
        </w:tc>
        <w:tc>
          <w:tcPr>
            <w:tcW w:w="280" w:type="dxa"/>
            <w:vAlign w:val="bottom"/>
          </w:tcPr>
          <w:p>
            <w:pPr>
              <w:spacing w:after="0"/>
              <w:rPr>
                <w:sz w:val="24"/>
                <w:szCs w:val="24"/>
                <w:color w:val="auto"/>
              </w:rPr>
            </w:pPr>
          </w:p>
        </w:tc>
        <w:tc>
          <w:tcPr>
            <w:tcW w:w="1840" w:type="dxa"/>
            <w:vAlign w:val="bottom"/>
          </w:tcPr>
          <w:p>
            <w:pPr>
              <w:jc w:val="right"/>
              <w:ind w:right="500"/>
              <w:spacing w:after="0"/>
              <w:rPr>
                <w:sz w:val="20"/>
                <w:szCs w:val="20"/>
                <w:color w:val="auto"/>
              </w:rPr>
            </w:pPr>
            <w:r>
              <w:rPr>
                <w:rFonts w:ascii="Arial" w:cs="Arial" w:eastAsia="Arial" w:hAnsi="Arial"/>
                <w:sz w:val="20"/>
                <w:szCs w:val="20"/>
                <w:color w:val="auto"/>
              </w:rPr>
              <w:t>Nonaccrual</w:t>
            </w:r>
          </w:p>
        </w:tc>
        <w:tc>
          <w:tcPr>
            <w:tcW w:w="380" w:type="dxa"/>
            <w:vAlign w:val="bottom"/>
          </w:tcPr>
          <w:p>
            <w:pPr>
              <w:spacing w:after="0"/>
              <w:rPr>
                <w:sz w:val="24"/>
                <w:szCs w:val="24"/>
                <w:color w:val="auto"/>
              </w:rPr>
            </w:pPr>
          </w:p>
        </w:tc>
        <w:tc>
          <w:tcPr>
            <w:tcW w:w="1740" w:type="dxa"/>
            <w:vAlign w:val="bottom"/>
          </w:tcPr>
          <w:p>
            <w:pPr>
              <w:jc w:val="center"/>
              <w:ind w:right="240"/>
              <w:spacing w:after="0"/>
              <w:rPr>
                <w:sz w:val="20"/>
                <w:szCs w:val="20"/>
                <w:color w:val="auto"/>
              </w:rPr>
            </w:pPr>
            <w:r>
              <w:rPr>
                <w:rFonts w:ascii="Arial" w:cs="Arial" w:eastAsia="Arial" w:hAnsi="Arial"/>
                <w:sz w:val="20"/>
                <w:szCs w:val="20"/>
                <w:color w:val="auto"/>
                <w:w w:val="96"/>
              </w:rPr>
              <w:t>Still Accruing</w:t>
            </w:r>
          </w:p>
        </w:tc>
      </w:tr>
      <w:tr>
        <w:trPr>
          <w:trHeight w:val="51"/>
        </w:trPr>
        <w:tc>
          <w:tcPr>
            <w:tcW w:w="2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94"/>
        </w:trPr>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Consumer Real Estate</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1,637</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2,369</w:t>
            </w:r>
          </w:p>
        </w:tc>
        <w:tc>
          <w:tcPr>
            <w:tcW w:w="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2640" w:type="dxa"/>
            <w:vAlign w:val="bottom"/>
          </w:tcPr>
          <w:p>
            <w:pPr>
              <w:spacing w:after="0"/>
              <w:rPr>
                <w:sz w:val="20"/>
                <w:szCs w:val="20"/>
                <w:color w:val="auto"/>
              </w:rPr>
            </w:pPr>
            <w:r>
              <w:rPr>
                <w:rFonts w:ascii="Arial" w:cs="Arial" w:eastAsia="Arial" w:hAnsi="Arial"/>
                <w:sz w:val="20"/>
                <w:szCs w:val="20"/>
                <w:color w:val="auto"/>
              </w:rPr>
              <w:t>Agricultural Real Estate</w:t>
            </w:r>
          </w:p>
        </w:tc>
        <w:tc>
          <w:tcPr>
            <w:tcW w:w="820" w:type="dxa"/>
            <w:vAlign w:val="bottom"/>
          </w:tcPr>
          <w:p>
            <w:pPr>
              <w:spacing w:after="0"/>
              <w:rPr>
                <w:sz w:val="23"/>
                <w:szCs w:val="23"/>
                <w:color w:val="auto"/>
              </w:rPr>
            </w:pPr>
          </w:p>
        </w:tc>
        <w:tc>
          <w:tcPr>
            <w:tcW w:w="1700" w:type="dxa"/>
            <w:vAlign w:val="bottom"/>
          </w:tcPr>
          <w:p>
            <w:pPr>
              <w:jc w:val="right"/>
              <w:ind w:right="60"/>
              <w:spacing w:after="0"/>
              <w:rPr>
                <w:sz w:val="20"/>
                <w:szCs w:val="20"/>
                <w:color w:val="auto"/>
              </w:rPr>
            </w:pPr>
            <w:r>
              <w:rPr>
                <w:rFonts w:ascii="Arial" w:cs="Arial" w:eastAsia="Arial" w:hAnsi="Arial"/>
                <w:sz w:val="20"/>
                <w:szCs w:val="20"/>
                <w:color w:val="auto"/>
              </w:rPr>
              <w:t>130</w:t>
            </w:r>
          </w:p>
        </w:tc>
        <w:tc>
          <w:tcPr>
            <w:tcW w:w="280" w:type="dxa"/>
            <w:vAlign w:val="bottom"/>
          </w:tcPr>
          <w:p>
            <w:pPr>
              <w:spacing w:after="0"/>
              <w:rPr>
                <w:sz w:val="23"/>
                <w:szCs w:val="23"/>
                <w:color w:val="auto"/>
              </w:rPr>
            </w:pPr>
          </w:p>
        </w:tc>
        <w:tc>
          <w:tcPr>
            <w:tcW w:w="1840" w:type="dxa"/>
            <w:vAlign w:val="bottom"/>
          </w:tcPr>
          <w:p>
            <w:pPr>
              <w:jc w:val="right"/>
              <w:ind w:right="40"/>
              <w:spacing w:after="0"/>
              <w:rPr>
                <w:sz w:val="20"/>
                <w:szCs w:val="20"/>
                <w:color w:val="auto"/>
              </w:rPr>
            </w:pPr>
            <w:r>
              <w:rPr>
                <w:rFonts w:ascii="Arial" w:cs="Arial" w:eastAsia="Arial" w:hAnsi="Arial"/>
                <w:sz w:val="20"/>
                <w:szCs w:val="20"/>
                <w:color w:val="auto"/>
              </w:rPr>
              <w:t>130</w:t>
            </w:r>
          </w:p>
        </w:tc>
        <w:tc>
          <w:tcPr>
            <w:tcW w:w="380" w:type="dxa"/>
            <w:vAlign w:val="bottom"/>
          </w:tcPr>
          <w:p>
            <w:pPr>
              <w:spacing w:after="0"/>
              <w:rPr>
                <w:sz w:val="23"/>
                <w:szCs w:val="23"/>
                <w:color w:val="auto"/>
              </w:rPr>
            </w:pPr>
          </w:p>
        </w:tc>
        <w:tc>
          <w:tcPr>
            <w:tcW w:w="174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2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94"/>
        </w:trPr>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Agricultural</w:t>
            </w:r>
          </w:p>
        </w:tc>
        <w:tc>
          <w:tcPr>
            <w:tcW w:w="82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90</w:t>
            </w:r>
          </w:p>
        </w:tc>
        <w:tc>
          <w:tcPr>
            <w:tcW w:w="280" w:type="dxa"/>
            <w:vAlign w:val="bottom"/>
            <w:tcBorders>
              <w:bottom w:val="single" w:sz="8" w:color="CFF0FC"/>
            </w:tcBorders>
            <w:shd w:val="clear" w:color="auto" w:fill="CFF0FC"/>
          </w:tcPr>
          <w:p>
            <w:pPr>
              <w:spacing w:after="0"/>
              <w:rPr>
                <w:sz w:val="24"/>
                <w:szCs w:val="24"/>
                <w:color w:val="auto"/>
              </w:rPr>
            </w:pPr>
          </w:p>
        </w:tc>
        <w:tc>
          <w:tcPr>
            <w:tcW w:w="1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90</w:t>
            </w:r>
          </w:p>
        </w:tc>
        <w:tc>
          <w:tcPr>
            <w:tcW w:w="38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2640" w:type="dxa"/>
            <w:vAlign w:val="bottom"/>
          </w:tcPr>
          <w:p>
            <w:pPr>
              <w:spacing w:after="0"/>
              <w:rPr>
                <w:sz w:val="20"/>
                <w:szCs w:val="20"/>
                <w:color w:val="auto"/>
              </w:rPr>
            </w:pPr>
            <w:r>
              <w:rPr>
                <w:rFonts w:ascii="Arial" w:cs="Arial" w:eastAsia="Arial" w:hAnsi="Arial"/>
                <w:sz w:val="20"/>
                <w:szCs w:val="20"/>
                <w:color w:val="auto"/>
              </w:rPr>
              <w:t>Commercial Real Estate</w:t>
            </w:r>
          </w:p>
        </w:tc>
        <w:tc>
          <w:tcPr>
            <w:tcW w:w="820" w:type="dxa"/>
            <w:vAlign w:val="bottom"/>
          </w:tcPr>
          <w:p>
            <w:pPr>
              <w:spacing w:after="0"/>
              <w:rPr>
                <w:sz w:val="23"/>
                <w:szCs w:val="23"/>
                <w:color w:val="auto"/>
              </w:rPr>
            </w:pPr>
          </w:p>
        </w:tc>
        <w:tc>
          <w:tcPr>
            <w:tcW w:w="1700" w:type="dxa"/>
            <w:vAlign w:val="bottom"/>
          </w:tcPr>
          <w:p>
            <w:pPr>
              <w:jc w:val="right"/>
              <w:ind w:right="60"/>
              <w:spacing w:after="0"/>
              <w:rPr>
                <w:sz w:val="20"/>
                <w:szCs w:val="20"/>
                <w:color w:val="auto"/>
              </w:rPr>
            </w:pPr>
            <w:r>
              <w:rPr>
                <w:rFonts w:ascii="Arial" w:cs="Arial" w:eastAsia="Arial" w:hAnsi="Arial"/>
                <w:sz w:val="20"/>
                <w:szCs w:val="20"/>
                <w:color w:val="auto"/>
              </w:rPr>
              <w:t>360</w:t>
            </w:r>
          </w:p>
        </w:tc>
        <w:tc>
          <w:tcPr>
            <w:tcW w:w="280" w:type="dxa"/>
            <w:vAlign w:val="bottom"/>
          </w:tcPr>
          <w:p>
            <w:pPr>
              <w:spacing w:after="0"/>
              <w:rPr>
                <w:sz w:val="23"/>
                <w:szCs w:val="23"/>
                <w:color w:val="auto"/>
              </w:rPr>
            </w:pPr>
          </w:p>
        </w:tc>
        <w:tc>
          <w:tcPr>
            <w:tcW w:w="1840" w:type="dxa"/>
            <w:vAlign w:val="bottom"/>
          </w:tcPr>
          <w:p>
            <w:pPr>
              <w:jc w:val="right"/>
              <w:ind w:right="40"/>
              <w:spacing w:after="0"/>
              <w:rPr>
                <w:sz w:val="20"/>
                <w:szCs w:val="20"/>
                <w:color w:val="auto"/>
              </w:rPr>
            </w:pPr>
            <w:r>
              <w:rPr>
                <w:rFonts w:ascii="Arial" w:cs="Arial" w:eastAsia="Arial" w:hAnsi="Arial"/>
                <w:sz w:val="20"/>
                <w:szCs w:val="20"/>
                <w:color w:val="auto"/>
              </w:rPr>
              <w:t>360</w:t>
            </w:r>
          </w:p>
        </w:tc>
        <w:tc>
          <w:tcPr>
            <w:tcW w:w="380" w:type="dxa"/>
            <w:vAlign w:val="bottom"/>
          </w:tcPr>
          <w:p>
            <w:pPr>
              <w:spacing w:after="0"/>
              <w:rPr>
                <w:sz w:val="23"/>
                <w:szCs w:val="23"/>
                <w:color w:val="auto"/>
              </w:rPr>
            </w:pPr>
          </w:p>
        </w:tc>
        <w:tc>
          <w:tcPr>
            <w:tcW w:w="174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2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94"/>
        </w:trPr>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Commercial &amp; Industrial</w:t>
            </w:r>
          </w:p>
        </w:tc>
        <w:tc>
          <w:tcPr>
            <w:tcW w:w="82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57</w:t>
            </w:r>
          </w:p>
        </w:tc>
        <w:tc>
          <w:tcPr>
            <w:tcW w:w="280" w:type="dxa"/>
            <w:vAlign w:val="bottom"/>
            <w:tcBorders>
              <w:bottom w:val="single" w:sz="8" w:color="CFF0FC"/>
            </w:tcBorders>
            <w:shd w:val="clear" w:color="auto" w:fill="CFF0FC"/>
          </w:tcPr>
          <w:p>
            <w:pPr>
              <w:spacing w:after="0"/>
              <w:rPr>
                <w:sz w:val="24"/>
                <w:szCs w:val="24"/>
                <w:color w:val="auto"/>
              </w:rPr>
            </w:pPr>
          </w:p>
        </w:tc>
        <w:tc>
          <w:tcPr>
            <w:tcW w:w="18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57</w:t>
            </w:r>
          </w:p>
        </w:tc>
        <w:tc>
          <w:tcPr>
            <w:tcW w:w="38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2640" w:type="dxa"/>
            <w:vAlign w:val="bottom"/>
          </w:tcPr>
          <w:p>
            <w:pPr>
              <w:spacing w:after="0"/>
              <w:rPr>
                <w:sz w:val="20"/>
                <w:szCs w:val="20"/>
                <w:color w:val="auto"/>
              </w:rPr>
            </w:pPr>
            <w:r>
              <w:rPr>
                <w:rFonts w:ascii="Arial" w:cs="Arial" w:eastAsia="Arial" w:hAnsi="Arial"/>
                <w:sz w:val="20"/>
                <w:szCs w:val="20"/>
                <w:color w:val="auto"/>
              </w:rPr>
              <w:t>Consumer</w:t>
            </w:r>
          </w:p>
        </w:tc>
        <w:tc>
          <w:tcPr>
            <w:tcW w:w="820" w:type="dxa"/>
            <w:vAlign w:val="bottom"/>
          </w:tcPr>
          <w:p>
            <w:pPr>
              <w:spacing w:after="0"/>
              <w:rPr>
                <w:sz w:val="23"/>
                <w:szCs w:val="23"/>
                <w:color w:val="auto"/>
              </w:rPr>
            </w:pPr>
          </w:p>
        </w:tc>
        <w:tc>
          <w:tcPr>
            <w:tcW w:w="1700" w:type="dxa"/>
            <w:vAlign w:val="bottom"/>
          </w:tcPr>
          <w:p>
            <w:pPr>
              <w:jc w:val="right"/>
              <w:ind w:right="60"/>
              <w:spacing w:after="0"/>
              <w:rPr>
                <w:sz w:val="20"/>
                <w:szCs w:val="20"/>
                <w:color w:val="auto"/>
              </w:rPr>
            </w:pPr>
            <w:r>
              <w:rPr>
                <w:rFonts w:ascii="Arial" w:cs="Arial" w:eastAsia="Arial" w:hAnsi="Arial"/>
                <w:sz w:val="20"/>
                <w:szCs w:val="20"/>
                <w:color w:val="auto"/>
              </w:rPr>
              <w:t>118</w:t>
            </w:r>
          </w:p>
        </w:tc>
        <w:tc>
          <w:tcPr>
            <w:tcW w:w="280" w:type="dxa"/>
            <w:vAlign w:val="bottom"/>
          </w:tcPr>
          <w:p>
            <w:pPr>
              <w:spacing w:after="0"/>
              <w:rPr>
                <w:sz w:val="23"/>
                <w:szCs w:val="23"/>
                <w:color w:val="auto"/>
              </w:rPr>
            </w:pPr>
          </w:p>
        </w:tc>
        <w:tc>
          <w:tcPr>
            <w:tcW w:w="1840" w:type="dxa"/>
            <w:vAlign w:val="bottom"/>
          </w:tcPr>
          <w:p>
            <w:pPr>
              <w:jc w:val="right"/>
              <w:ind w:right="40"/>
              <w:spacing w:after="0"/>
              <w:rPr>
                <w:sz w:val="20"/>
                <w:szCs w:val="20"/>
                <w:color w:val="auto"/>
              </w:rPr>
            </w:pPr>
            <w:r>
              <w:rPr>
                <w:rFonts w:ascii="Arial" w:cs="Arial" w:eastAsia="Arial" w:hAnsi="Arial"/>
                <w:sz w:val="20"/>
                <w:szCs w:val="20"/>
                <w:color w:val="auto"/>
              </w:rPr>
              <w:t>118</w:t>
            </w:r>
          </w:p>
        </w:tc>
        <w:tc>
          <w:tcPr>
            <w:tcW w:w="380" w:type="dxa"/>
            <w:vAlign w:val="bottom"/>
          </w:tcPr>
          <w:p>
            <w:pPr>
              <w:spacing w:after="0"/>
              <w:rPr>
                <w:sz w:val="23"/>
                <w:szCs w:val="23"/>
                <w:color w:val="auto"/>
              </w:rPr>
            </w:pPr>
          </w:p>
        </w:tc>
        <w:tc>
          <w:tcPr>
            <w:tcW w:w="174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2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329"/>
        </w:trPr>
        <w:tc>
          <w:tcPr>
            <w:tcW w:w="2640" w:type="dxa"/>
            <w:vAlign w:val="bottom"/>
            <w:shd w:val="clear" w:color="auto" w:fill="CFF0FC"/>
          </w:tcPr>
          <w:p>
            <w:pPr>
              <w:ind w:left="1320"/>
              <w:spacing w:after="0"/>
              <w:rPr>
                <w:sz w:val="20"/>
                <w:szCs w:val="20"/>
                <w:color w:val="auto"/>
              </w:rPr>
            </w:pPr>
            <w:r>
              <w:rPr>
                <w:rFonts w:ascii="Arial" w:cs="Arial" w:eastAsia="Arial" w:hAnsi="Arial"/>
                <w:sz w:val="20"/>
                <w:szCs w:val="20"/>
                <w:color w:val="auto"/>
              </w:rPr>
              <w:t>Total</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0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2,392</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3,124</w:t>
            </w:r>
          </w:p>
        </w:tc>
        <w:tc>
          <w:tcPr>
            <w:tcW w:w="3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7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264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170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184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17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2080895</wp:posOffset>
            </wp:positionH>
            <wp:positionV relativeFrom="paragraph">
              <wp:posOffset>-5498465</wp:posOffset>
            </wp:positionV>
            <wp:extent cx="3823335"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4">
                      <a:extLst>
                        <a:ext uri="{28A0092B-C50C-407E-A947-70E740481C1C}"/>
                      </a:extLst>
                    </a:blip>
                    <a:srcRect/>
                    <a:stretch>
                      <a:fillRect/>
                    </a:stretch>
                  </pic:blipFill>
                  <pic:spPr bwMode="auto">
                    <a:xfrm>
                      <a:off x="0" y="0"/>
                      <a:ext cx="382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-5292725</wp:posOffset>
            </wp:positionV>
            <wp:extent cx="3823335"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5">
                      <a:extLst>
                        <a:ext uri="{28A0092B-C50C-407E-A947-70E740481C1C}"/>
                      </a:extLst>
                    </a:blip>
                    <a:srcRect/>
                    <a:stretch>
                      <a:fillRect/>
                    </a:stretch>
                  </pic:blipFill>
                  <pic:spPr bwMode="auto">
                    <a:xfrm>
                      <a:off x="0" y="0"/>
                      <a:ext cx="382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-4487545</wp:posOffset>
            </wp:positionV>
            <wp:extent cx="3823335"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6">
                      <a:extLst>
                        <a:ext uri="{28A0092B-C50C-407E-A947-70E740481C1C}"/>
                      </a:extLst>
                    </a:blip>
                    <a:srcRect/>
                    <a:stretch>
                      <a:fillRect/>
                    </a:stretch>
                  </pic:blipFill>
                  <pic:spPr bwMode="auto">
                    <a:xfrm>
                      <a:off x="0" y="0"/>
                      <a:ext cx="382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-3283585</wp:posOffset>
            </wp:positionV>
            <wp:extent cx="3882390" cy="2343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7">
                      <a:extLst>
                        <a:ext uri="{28A0092B-C50C-407E-A947-70E740481C1C}"/>
                      </a:extLst>
                    </a:blip>
                    <a:srcRect/>
                    <a:stretch>
                      <a:fillRect/>
                    </a:stretch>
                  </pic:blipFill>
                  <pic:spPr bwMode="auto">
                    <a:xfrm>
                      <a:off x="0" y="0"/>
                      <a:ext cx="3882390" cy="23431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-2449195</wp:posOffset>
            </wp:positionV>
            <wp:extent cx="3825875" cy="6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08">
                      <a:extLst>
                        <a:ext uri="{28A0092B-C50C-407E-A947-70E740481C1C}"/>
                      </a:extLst>
                    </a:blip>
                    <a:srcRect/>
                    <a:stretch>
                      <a:fillRect/>
                    </a:stretch>
                  </pic:blipFill>
                  <pic:spPr bwMode="auto">
                    <a:xfrm>
                      <a:off x="0" y="0"/>
                      <a:ext cx="3825875" cy="635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-2242820</wp:posOffset>
            </wp:positionV>
            <wp:extent cx="3825875"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09">
                      <a:extLst>
                        <a:ext uri="{28A0092B-C50C-407E-A947-70E740481C1C}"/>
                      </a:extLst>
                    </a:blip>
                    <a:srcRect/>
                    <a:stretch>
                      <a:fillRect/>
                    </a:stretch>
                  </pic:blipFill>
                  <pic:spPr bwMode="auto">
                    <a:xfrm>
                      <a:off x="0" y="0"/>
                      <a:ext cx="3825875" cy="635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-1438275</wp:posOffset>
            </wp:positionV>
            <wp:extent cx="3825875" cy="63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0">
                      <a:extLst>
                        <a:ext uri="{28A0092B-C50C-407E-A947-70E740481C1C}"/>
                      </a:extLst>
                    </a:blip>
                    <a:srcRect/>
                    <a:stretch>
                      <a:fillRect/>
                    </a:stretch>
                  </pic:blipFill>
                  <pic:spPr bwMode="auto">
                    <a:xfrm>
                      <a:off x="0" y="0"/>
                      <a:ext cx="3825875" cy="635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-233680</wp:posOffset>
            </wp:positionV>
            <wp:extent cx="3884930" cy="2343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1">
                      <a:extLst>
                        <a:ext uri="{28A0092B-C50C-407E-A947-70E740481C1C}"/>
                      </a:extLst>
                    </a:blip>
                    <a:srcRect/>
                    <a:stretch>
                      <a:fillRect/>
                    </a:stretch>
                  </pic:blipFill>
                  <pic:spPr bwMode="auto">
                    <a:xfrm>
                      <a:off x="0" y="0"/>
                      <a:ext cx="3884930" cy="234315"/>
                    </a:xfrm>
                    <a:prstGeom prst="rect">
                      <a:avLst/>
                    </a:prstGeom>
                    <a:noFill/>
                  </pic:spPr>
                </pic:pic>
              </a:graphicData>
            </a:graphic>
          </wp:anchor>
        </w:drawing>
      </w:r>
    </w:p>
    <w:p>
      <w:pPr>
        <w:spacing w:after="0" w:line="319" w:lineRule="exact"/>
        <w:rPr>
          <w:sz w:val="20"/>
          <w:szCs w:val="20"/>
          <w:color w:val="auto"/>
        </w:rPr>
      </w:pPr>
    </w:p>
    <w:p>
      <w:pPr>
        <w:ind w:left="620" w:right="80"/>
        <w:spacing w:after="0" w:line="302" w:lineRule="auto"/>
        <w:rPr>
          <w:sz w:val="20"/>
          <w:szCs w:val="20"/>
          <w:color w:val="auto"/>
        </w:rPr>
      </w:pPr>
      <w:r>
        <w:rPr>
          <w:rFonts w:ascii="Arial" w:cs="Arial" w:eastAsia="Arial" w:hAnsi="Arial"/>
          <w:sz w:val="20"/>
          <w:szCs w:val="20"/>
          <w:color w:val="auto"/>
        </w:rPr>
        <w:t>Interest income on nonaccrual loans, recognized on a cash basis, was $146 thousand and $93 thousand for the years ended December 31, 2025 and 2024, respectively.</w:t>
      </w:r>
    </w:p>
    <w:p>
      <w:pPr>
        <w:spacing w:after="0" w:line="261" w:lineRule="exact"/>
        <w:rPr>
          <w:sz w:val="20"/>
          <w:szCs w:val="20"/>
          <w:color w:val="auto"/>
        </w:rPr>
      </w:pPr>
    </w:p>
    <w:p>
      <w:pPr>
        <w:ind w:left="620" w:right="20"/>
        <w:spacing w:after="0" w:line="302" w:lineRule="auto"/>
        <w:rPr>
          <w:sz w:val="20"/>
          <w:szCs w:val="20"/>
          <w:color w:val="auto"/>
        </w:rPr>
      </w:pPr>
      <w:r>
        <w:rPr>
          <w:rFonts w:ascii="Arial" w:cs="Arial" w:eastAsia="Arial" w:hAnsi="Arial"/>
          <w:sz w:val="20"/>
          <w:szCs w:val="20"/>
          <w:color w:val="auto"/>
        </w:rPr>
        <w:t>The Bank uses a nine tier risk rating system to grade its loans. The grade of a loan may change during the life of the loan.</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17</w:t>
      </w:r>
    </w:p>
    <w:p>
      <w:pPr>
        <w:sectPr>
          <w:pgSz w:w="11900" w:h="16838" w:orient="portrait"/>
          <w:cols w:equalWidth="0" w:num="1">
            <w:col w:w="9400"/>
          </w:cols>
          <w:pgMar w:left="1260" w:top="1440" w:right="1246" w:bottom="0" w:gutter="0" w:footer="0" w:header="0"/>
          <w:type w:val="continuous"/>
        </w:sectPr>
      </w:pPr>
    </w:p>
    <w:bookmarkStart w:id="162" w:name="page163"/>
    <w:bookmarkEnd w:id="162"/>
    <w:p>
      <w:pPr>
        <w:ind w:left="440"/>
        <w:spacing w:after="0"/>
        <w:rPr>
          <w:sz w:val="20"/>
          <w:szCs w:val="20"/>
          <w:color w:val="auto"/>
        </w:rPr>
      </w:pPr>
      <w:r>
        <w:rPr>
          <w:rFonts w:ascii="Arial" w:cs="Arial" w:eastAsia="Arial" w:hAnsi="Arial"/>
          <w:sz w:val="20"/>
          <w:szCs w:val="20"/>
          <w:color w:val="auto"/>
        </w:rPr>
        <w:t>The risk ratings are described as follows.</w:t>
      </w:r>
    </w:p>
    <w:p>
      <w:pPr>
        <w:spacing w:after="0" w:line="236" w:lineRule="exact"/>
        <w:rPr>
          <w:sz w:val="20"/>
          <w:szCs w:val="20"/>
          <w:color w:val="auto"/>
        </w:rPr>
      </w:pPr>
    </w:p>
    <w:p>
      <w:pPr>
        <w:ind w:left="1180" w:hanging="426"/>
        <w:spacing w:after="0"/>
        <w:tabs>
          <w:tab w:leader="none" w:pos="11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Zero (0) Unclassified. Any loan which has not been assigned a classification.</w:t>
      </w:r>
    </w:p>
    <w:p>
      <w:pPr>
        <w:spacing w:after="0" w:line="259" w:lineRule="exact"/>
        <w:rPr>
          <w:rFonts w:ascii="Arial" w:cs="Arial" w:eastAsia="Arial" w:hAnsi="Arial"/>
          <w:sz w:val="20"/>
          <w:szCs w:val="20"/>
          <w:color w:val="auto"/>
        </w:rPr>
      </w:pPr>
    </w:p>
    <w:p>
      <w:pPr>
        <w:jc w:val="both"/>
        <w:ind w:left="1180" w:right="60" w:hanging="426"/>
        <w:spacing w:after="0" w:line="395" w:lineRule="auto"/>
        <w:tabs>
          <w:tab w:leader="none" w:pos="11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123" w:lineRule="exact"/>
        <w:rPr>
          <w:rFonts w:ascii="Arial" w:cs="Arial" w:eastAsia="Arial" w:hAnsi="Arial"/>
          <w:sz w:val="19"/>
          <w:szCs w:val="19"/>
          <w:color w:val="auto"/>
        </w:rPr>
      </w:pPr>
    </w:p>
    <w:p>
      <w:pPr>
        <w:ind w:left="1180" w:hanging="426"/>
        <w:spacing w:after="0" w:line="370" w:lineRule="auto"/>
        <w:tabs>
          <w:tab w:leader="none" w:pos="11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Two (2) Good. Desirable loans of somewhat less stature than rate 1, but with strong financial statements. Loan supported by financial statements containing strong balance sheets and a history of profitability.</w:t>
      </w:r>
    </w:p>
    <w:p>
      <w:pPr>
        <w:spacing w:after="0" w:line="20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13 / 17</w:t>
      </w:r>
    </w:p>
    <w:p>
      <w:pPr>
        <w:sectPr>
          <w:pgSz w:w="11900" w:h="16838" w:orient="portrait"/>
          <w:cols w:equalWidth="0" w:num="1">
            <w:col w:w="9220"/>
          </w:cols>
          <w:pgMar w:left="1440" w:top="1163" w:right="1246" w:bottom="0" w:gutter="0" w:footer="0" w:header="0"/>
          <w:type w:val="continuous"/>
        </w:sectPr>
      </w:pPr>
    </w:p>
    <w:bookmarkStart w:id="163" w:name="page164"/>
    <w:bookmarkEnd w:id="163"/>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360" w:right="60"/>
        <w:spacing w:after="0" w:line="425" w:lineRule="auto"/>
        <w:rPr>
          <w:sz w:val="20"/>
          <w:szCs w:val="20"/>
          <w:color w:val="auto"/>
        </w:rPr>
      </w:pPr>
      <w:r>
        <w:rPr>
          <w:rFonts w:ascii="Arial" w:cs="Arial" w:eastAsia="Arial" w:hAnsi="Arial"/>
          <w:sz w:val="18"/>
          <w:szCs w:val="18"/>
          <w:color w:val="auto"/>
        </w:rPr>
        <w:t>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100" w:lineRule="exact"/>
        <w:rPr>
          <w:sz w:val="20"/>
          <w:szCs w:val="20"/>
          <w:color w:val="auto"/>
        </w:rPr>
      </w:pPr>
    </w:p>
    <w:p>
      <w:pPr>
        <w:jc w:val="both"/>
        <w:ind w:left="1360" w:right="60" w:hanging="426"/>
        <w:spacing w:after="0" w:line="373" w:lineRule="auto"/>
        <w:tabs>
          <w:tab w:leader="none" w:pos="1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87" w:lineRule="exact"/>
        <w:rPr>
          <w:rFonts w:ascii="Arial" w:cs="Arial" w:eastAsia="Arial" w:hAnsi="Arial"/>
          <w:sz w:val="20"/>
          <w:szCs w:val="20"/>
          <w:color w:val="auto"/>
        </w:rPr>
      </w:pPr>
    </w:p>
    <w:p>
      <w:pPr>
        <w:ind w:left="1360" w:right="40"/>
        <w:spacing w:after="0" w:line="302" w:lineRule="auto"/>
        <w:rPr>
          <w:rFonts w:ascii="Arial" w:cs="Arial" w:eastAsia="Arial" w:hAnsi="Arial"/>
          <w:sz w:val="20"/>
          <w:szCs w:val="20"/>
          <w:color w:val="auto"/>
        </w:rPr>
      </w:pPr>
      <w:r>
        <w:rPr>
          <w:rFonts w:ascii="Arial" w:cs="Arial" w:eastAsia="Arial" w:hAnsi="Arial"/>
          <w:sz w:val="20"/>
          <w:szCs w:val="20"/>
          <w:color w:val="auto"/>
        </w:rPr>
        <w:t>Loans may be rated 3 when there is no recent information on which to base a current risk evaluation and the following conditions apply:</w:t>
      </w:r>
    </w:p>
    <w:p>
      <w:pPr>
        <w:spacing w:after="0" w:line="141" w:lineRule="exact"/>
        <w:rPr>
          <w:rFonts w:ascii="Arial" w:cs="Arial" w:eastAsia="Arial" w:hAnsi="Arial"/>
          <w:sz w:val="20"/>
          <w:szCs w:val="20"/>
          <w:color w:val="auto"/>
        </w:rPr>
      </w:pPr>
    </w:p>
    <w:p>
      <w:pPr>
        <w:ind w:left="1360" w:right="60"/>
        <w:spacing w:after="0" w:line="302" w:lineRule="auto"/>
        <w:rPr>
          <w:rFonts w:ascii="Arial" w:cs="Arial" w:eastAsia="Arial" w:hAnsi="Arial"/>
          <w:sz w:val="20"/>
          <w:szCs w:val="20"/>
          <w:color w:val="auto"/>
        </w:rPr>
      </w:pPr>
      <w:r>
        <w:rPr>
          <w:rFonts w:ascii="Arial" w:cs="Arial" w:eastAsia="Arial" w:hAnsi="Arial"/>
          <w:sz w:val="20"/>
          <w:szCs w:val="20"/>
          <w:color w:val="auto"/>
        </w:rPr>
        <w:t>At inception, the loan was properly underwritten and did not possess an unwarranted level of credit risk;</w:t>
      </w:r>
    </w:p>
    <w:p>
      <w:pPr>
        <w:spacing w:after="0" w:line="186" w:lineRule="exact"/>
        <w:rPr>
          <w:rFonts w:ascii="Arial" w:cs="Arial" w:eastAsia="Arial" w:hAnsi="Arial"/>
          <w:sz w:val="20"/>
          <w:szCs w:val="20"/>
          <w:color w:val="auto"/>
        </w:rPr>
      </w:pPr>
    </w:p>
    <w:p>
      <w:pPr>
        <w:ind w:left="1780" w:right="100" w:hanging="420"/>
        <w:spacing w:after="0" w:line="365" w:lineRule="auto"/>
        <w:tabs>
          <w:tab w:leader="none" w:pos="17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At inception, the loan was secured with collateral possessing a loan-to-value adequate to protect The Bank from loss;</w:t>
      </w:r>
    </w:p>
    <w:p>
      <w:pPr>
        <w:spacing w:after="0" w:line="140" w:lineRule="exact"/>
        <w:rPr>
          <w:rFonts w:ascii="Arial" w:cs="Arial" w:eastAsia="Arial" w:hAnsi="Arial"/>
          <w:sz w:val="20"/>
          <w:szCs w:val="20"/>
          <w:color w:val="auto"/>
        </w:rPr>
      </w:pPr>
    </w:p>
    <w:p>
      <w:pPr>
        <w:ind w:left="1780" w:right="60" w:hanging="420"/>
        <w:spacing w:after="0" w:line="365" w:lineRule="auto"/>
        <w:tabs>
          <w:tab w:leader="none" w:pos="17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loan exhibited two or more years of satisfactory repayment with a reasonable reduction of the principal balance;</w:t>
      </w:r>
    </w:p>
    <w:p>
      <w:pPr>
        <w:spacing w:after="0" w:line="140" w:lineRule="exact"/>
        <w:rPr>
          <w:rFonts w:ascii="Arial" w:cs="Arial" w:eastAsia="Arial" w:hAnsi="Arial"/>
          <w:sz w:val="20"/>
          <w:szCs w:val="20"/>
          <w:color w:val="auto"/>
        </w:rPr>
      </w:pPr>
    </w:p>
    <w:p>
      <w:pPr>
        <w:jc w:val="both"/>
        <w:ind w:left="1780" w:right="60" w:hanging="420"/>
        <w:spacing w:after="0" w:line="373" w:lineRule="auto"/>
        <w:tabs>
          <w:tab w:leader="none" w:pos="17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132" w:lineRule="exact"/>
        <w:rPr>
          <w:rFonts w:ascii="Arial" w:cs="Arial" w:eastAsia="Arial" w:hAnsi="Arial"/>
          <w:sz w:val="20"/>
          <w:szCs w:val="20"/>
          <w:color w:val="auto"/>
        </w:rPr>
      </w:pPr>
    </w:p>
    <w:p>
      <w:pPr>
        <w:jc w:val="both"/>
        <w:ind w:left="1360" w:right="40" w:hanging="426"/>
        <w:spacing w:after="0" w:line="421" w:lineRule="auto"/>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17</w:t>
      </w:r>
    </w:p>
    <w:p>
      <w:pPr>
        <w:sectPr>
          <w:pgSz w:w="11900" w:h="16838" w:orient="portrait"/>
          <w:cols w:equalWidth="0" w:num="1">
            <w:col w:w="9400"/>
          </w:cols>
          <w:pgMar w:left="1260" w:top="1440" w:right="1246" w:bottom="0" w:gutter="0" w:footer="0" w:header="0"/>
          <w:type w:val="continuous"/>
        </w:sectPr>
      </w:pPr>
    </w:p>
    <w:bookmarkStart w:id="164" w:name="page165"/>
    <w:bookmarkEnd w:id="164"/>
    <w:p>
      <w:pPr>
        <w:jc w:val="both"/>
        <w:ind w:left="1180" w:right="40" w:hanging="426"/>
        <w:spacing w:after="0" w:line="420"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106" w:lineRule="exact"/>
        <w:rPr>
          <w:rFonts w:ascii="Arial" w:cs="Arial" w:eastAsia="Arial" w:hAnsi="Arial"/>
          <w:sz w:val="18"/>
          <w:szCs w:val="18"/>
          <w:color w:val="auto"/>
        </w:rPr>
      </w:pPr>
    </w:p>
    <w:p>
      <w:pPr>
        <w:ind w:left="1180" w:right="80" w:hanging="426"/>
        <w:spacing w:after="0" w:line="365" w:lineRule="auto"/>
        <w:tabs>
          <w:tab w:leader="none" w:pos="11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Six (6) Substandard. One or more of the following characteristics may be exhibited in loans classified substandard:</w:t>
      </w:r>
    </w:p>
    <w:p>
      <w:pPr>
        <w:spacing w:after="0" w:line="140" w:lineRule="exact"/>
        <w:rPr>
          <w:rFonts w:ascii="Arial" w:cs="Arial" w:eastAsia="Arial" w:hAnsi="Arial"/>
          <w:sz w:val="20"/>
          <w:szCs w:val="20"/>
          <w:color w:val="auto"/>
        </w:rPr>
      </w:pPr>
    </w:p>
    <w:p>
      <w:pPr>
        <w:jc w:val="both"/>
        <w:ind w:left="1600" w:hanging="420"/>
        <w:spacing w:after="0" w:line="370" w:lineRule="auto"/>
        <w:tabs>
          <w:tab w:leader="none" w:pos="16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136" w:lineRule="exact"/>
        <w:rPr>
          <w:rFonts w:ascii="Arial" w:cs="Arial" w:eastAsia="Arial" w:hAnsi="Arial"/>
          <w:sz w:val="20"/>
          <w:szCs w:val="20"/>
          <w:color w:val="auto"/>
        </w:rPr>
      </w:pPr>
    </w:p>
    <w:p>
      <w:pPr>
        <w:ind w:left="1600" w:right="100" w:hanging="420"/>
        <w:spacing w:after="0" w:line="365" w:lineRule="auto"/>
        <w:tabs>
          <w:tab w:leader="none" w:pos="16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Loans are inadequately protected by the current net worth and paying capacity of the borrower.</w:t>
      </w:r>
    </w:p>
    <w:p>
      <w:pPr>
        <w:spacing w:after="0" w:line="140" w:lineRule="exact"/>
        <w:rPr>
          <w:rFonts w:ascii="Arial" w:cs="Arial" w:eastAsia="Arial" w:hAnsi="Arial"/>
          <w:sz w:val="20"/>
          <w:szCs w:val="20"/>
          <w:color w:val="auto"/>
        </w:rPr>
      </w:pPr>
    </w:p>
    <w:p>
      <w:pPr>
        <w:ind w:left="1600" w:right="40" w:hanging="420"/>
        <w:spacing w:after="0" w:line="365" w:lineRule="auto"/>
        <w:tabs>
          <w:tab w:leader="none" w:pos="16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primary source of repayment is weakened, and The Bank is forced to rely on a secondary source of repayment such as collateral liquidation or guarantees.</w:t>
      </w:r>
    </w:p>
    <w:p>
      <w:pPr>
        <w:spacing w:after="0" w:line="140" w:lineRule="exact"/>
        <w:rPr>
          <w:rFonts w:ascii="Arial" w:cs="Arial" w:eastAsia="Arial" w:hAnsi="Arial"/>
          <w:sz w:val="20"/>
          <w:szCs w:val="20"/>
          <w:color w:val="auto"/>
        </w:rPr>
      </w:pPr>
    </w:p>
    <w:p>
      <w:pPr>
        <w:ind w:left="1600" w:right="60" w:hanging="420"/>
        <w:spacing w:after="0" w:line="365" w:lineRule="auto"/>
        <w:tabs>
          <w:tab w:leader="none" w:pos="16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Loans are characterized by the distinct possibility that The Bank will sustain some loss if deficiencies are not corrected.</w:t>
      </w:r>
    </w:p>
    <w:p>
      <w:pPr>
        <w:spacing w:after="0" w:line="130" w:lineRule="exact"/>
        <w:rPr>
          <w:rFonts w:ascii="Arial" w:cs="Arial" w:eastAsia="Arial" w:hAnsi="Arial"/>
          <w:sz w:val="20"/>
          <w:szCs w:val="20"/>
          <w:color w:val="auto"/>
        </w:rPr>
      </w:pPr>
    </w:p>
    <w:p>
      <w:pPr>
        <w:ind w:left="1600" w:hanging="420"/>
        <w:spacing w:after="0"/>
        <w:tabs>
          <w:tab w:leader="none" w:pos="16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Unusual courses of action are needed to maintain a high probability of repayment.</w:t>
      </w:r>
    </w:p>
    <w:p>
      <w:pPr>
        <w:spacing w:after="0" w:line="259" w:lineRule="exact"/>
        <w:rPr>
          <w:rFonts w:ascii="Arial" w:cs="Arial" w:eastAsia="Arial" w:hAnsi="Arial"/>
          <w:sz w:val="20"/>
          <w:szCs w:val="20"/>
          <w:color w:val="auto"/>
        </w:rPr>
      </w:pPr>
    </w:p>
    <w:p>
      <w:pPr>
        <w:ind w:left="1600" w:right="40" w:hanging="420"/>
        <w:spacing w:after="0" w:line="365" w:lineRule="auto"/>
        <w:tabs>
          <w:tab w:leader="none" w:pos="16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borrower is not generating enough cash flow to repay loan principal; however, continues to make interest payments.</w:t>
      </w:r>
    </w:p>
    <w:p>
      <w:pPr>
        <w:spacing w:after="0" w:line="140" w:lineRule="exact"/>
        <w:rPr>
          <w:rFonts w:ascii="Arial" w:cs="Arial" w:eastAsia="Arial" w:hAnsi="Arial"/>
          <w:sz w:val="20"/>
          <w:szCs w:val="20"/>
          <w:color w:val="auto"/>
        </w:rPr>
      </w:pPr>
    </w:p>
    <w:p>
      <w:pPr>
        <w:ind w:left="1600" w:right="20" w:hanging="420"/>
        <w:spacing w:after="0" w:line="365" w:lineRule="auto"/>
        <w:tabs>
          <w:tab w:leader="none" w:pos="16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lender is forced into a subordinate position or unsecured collateral position due to flaws in documentation.</w:t>
      </w: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338"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15 / 17</w:t>
      </w:r>
    </w:p>
    <w:p>
      <w:pPr>
        <w:sectPr>
          <w:pgSz w:w="11900" w:h="16838" w:orient="portrait"/>
          <w:cols w:equalWidth="0" w:num="1">
            <w:col w:w="9200"/>
          </w:cols>
          <w:pgMar w:left="1440" w:top="1338" w:right="1266" w:bottom="0" w:gutter="0" w:footer="0" w:header="0"/>
          <w:type w:val="continuous"/>
        </w:sectPr>
      </w:pPr>
    </w:p>
    <w:bookmarkStart w:id="165" w:name="page166"/>
    <w:bookmarkEnd w:id="165"/>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780" w:right="100" w:hanging="420"/>
        <w:spacing w:after="0" w:line="302" w:lineRule="auto"/>
        <w:tabs>
          <w:tab w:leader="none" w:pos="1780" w:val="left"/>
        </w:tabs>
        <w:numPr>
          <w:ilvl w:val="1"/>
          <w:numId w:val="25"/>
        </w:numPr>
        <w:rPr>
          <w:rFonts w:ascii="Arial" w:cs="Arial" w:eastAsia="Arial" w:hAnsi="Arial"/>
          <w:sz w:val="20"/>
          <w:szCs w:val="20"/>
          <w:color w:val="auto"/>
        </w:rPr>
      </w:pPr>
      <w:r>
        <w:rPr>
          <w:rFonts w:ascii="Arial" w:cs="Arial" w:eastAsia="Arial" w:hAnsi="Arial"/>
          <w:sz w:val="20"/>
          <w:szCs w:val="20"/>
          <w:color w:val="auto"/>
        </w:rPr>
        <w:t>Loans have been restructured so that payment schedules, terms and collateral represent concessions to the borrower when compared to the normal loan terms.</w:t>
      </w:r>
    </w:p>
    <w:p>
      <w:pPr>
        <w:spacing w:after="0" w:line="141" w:lineRule="exact"/>
        <w:rPr>
          <w:rFonts w:ascii="Arial" w:cs="Arial" w:eastAsia="Arial" w:hAnsi="Arial"/>
          <w:sz w:val="20"/>
          <w:szCs w:val="20"/>
          <w:color w:val="auto"/>
        </w:rPr>
      </w:pPr>
    </w:p>
    <w:p>
      <w:pPr>
        <w:ind w:left="1780" w:right="120" w:hanging="420"/>
        <w:spacing w:after="0" w:line="302" w:lineRule="auto"/>
        <w:tabs>
          <w:tab w:leader="none" w:pos="1780"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lender is seriously contemplating foreclosure or legal action due to the apparent deterioration in the loan</w:t>
      </w:r>
    </w:p>
    <w:p>
      <w:pPr>
        <w:spacing w:after="0" w:line="141" w:lineRule="exact"/>
        <w:rPr>
          <w:rFonts w:ascii="Arial" w:cs="Arial" w:eastAsia="Arial" w:hAnsi="Arial"/>
          <w:sz w:val="20"/>
          <w:szCs w:val="20"/>
          <w:color w:val="auto"/>
        </w:rPr>
      </w:pPr>
    </w:p>
    <w:p>
      <w:pPr>
        <w:ind w:left="1780" w:right="120" w:hanging="420"/>
        <w:spacing w:after="0" w:line="302" w:lineRule="auto"/>
        <w:tabs>
          <w:tab w:leader="none" w:pos="1780"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There is significant deterioration in the market conditions and the borrower is highly vulnerable to these conditions.</w:t>
      </w:r>
    </w:p>
    <w:p>
      <w:pPr>
        <w:spacing w:after="0" w:line="141" w:lineRule="exact"/>
        <w:rPr>
          <w:rFonts w:ascii="Arial" w:cs="Arial" w:eastAsia="Arial" w:hAnsi="Arial"/>
          <w:sz w:val="20"/>
          <w:szCs w:val="20"/>
          <w:color w:val="auto"/>
        </w:rPr>
      </w:pPr>
    </w:p>
    <w:p>
      <w:pPr>
        <w:ind w:left="1360" w:right="100" w:hanging="426"/>
        <w:spacing w:after="0" w:line="302" w:lineRule="auto"/>
        <w:tabs>
          <w:tab w:leader="none" w:pos="13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Seven (7) Doubtful. One or more of the following characteristics may be exhibited in loans classified Doubtful:</w:t>
      </w:r>
    </w:p>
    <w:p>
      <w:pPr>
        <w:spacing w:after="0" w:line="141" w:lineRule="exact"/>
        <w:rPr>
          <w:rFonts w:ascii="Arial" w:cs="Arial" w:eastAsia="Arial" w:hAnsi="Arial"/>
          <w:sz w:val="20"/>
          <w:szCs w:val="20"/>
          <w:color w:val="auto"/>
        </w:rPr>
      </w:pPr>
    </w:p>
    <w:p>
      <w:pPr>
        <w:jc w:val="both"/>
        <w:ind w:left="1780" w:right="80" w:hanging="420"/>
        <w:spacing w:after="0" w:line="307" w:lineRule="auto"/>
        <w:tabs>
          <w:tab w:leader="none" w:pos="17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Loans have all of the weaknesses of those classified as Substandard. Additionally, however, these weaknesses make collection or liquidation in full based on existing conditions improbable.</w:t>
      </w:r>
    </w:p>
    <w:p>
      <w:pPr>
        <w:spacing w:after="0" w:line="137" w:lineRule="exact"/>
        <w:rPr>
          <w:rFonts w:ascii="Arial" w:cs="Arial" w:eastAsia="Arial" w:hAnsi="Arial"/>
          <w:sz w:val="20"/>
          <w:szCs w:val="20"/>
          <w:color w:val="auto"/>
        </w:rPr>
      </w:pPr>
    </w:p>
    <w:p>
      <w:pPr>
        <w:ind w:left="1780" w:right="60" w:hanging="420"/>
        <w:spacing w:after="0" w:line="302" w:lineRule="auto"/>
        <w:tabs>
          <w:tab w:leader="none" w:pos="17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The primary source of repayment is gone, and there is considerable doubt as to the quality of the secondary source of repayment.</w:t>
      </w:r>
    </w:p>
    <w:p>
      <w:pPr>
        <w:spacing w:after="0" w:line="141" w:lineRule="exact"/>
        <w:rPr>
          <w:rFonts w:ascii="Arial" w:cs="Arial" w:eastAsia="Arial" w:hAnsi="Arial"/>
          <w:sz w:val="20"/>
          <w:szCs w:val="20"/>
          <w:color w:val="auto"/>
        </w:rPr>
      </w:pPr>
    </w:p>
    <w:p>
      <w:pPr>
        <w:jc w:val="both"/>
        <w:ind w:left="1780" w:right="60" w:hanging="420"/>
        <w:spacing w:after="0" w:line="307" w:lineRule="auto"/>
        <w:tabs>
          <w:tab w:leader="none" w:pos="17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137" w:lineRule="exact"/>
        <w:rPr>
          <w:rFonts w:ascii="Arial" w:cs="Arial" w:eastAsia="Arial" w:hAnsi="Arial"/>
          <w:sz w:val="20"/>
          <w:szCs w:val="20"/>
          <w:color w:val="auto"/>
        </w:rPr>
      </w:pPr>
    </w:p>
    <w:p>
      <w:pPr>
        <w:jc w:val="both"/>
        <w:ind w:left="1360" w:right="60" w:hanging="426"/>
        <w:spacing w:after="0" w:line="352" w:lineRule="auto"/>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17</w:t>
      </w:r>
    </w:p>
    <w:p>
      <w:pPr>
        <w:sectPr>
          <w:pgSz w:w="11900" w:h="16838" w:orient="portrait"/>
          <w:cols w:equalWidth="0" w:num="1">
            <w:col w:w="9400"/>
          </w:cols>
          <w:pgMar w:left="1260" w:top="1440" w:right="1246" w:bottom="0" w:gutter="0" w:footer="0" w:header="0"/>
          <w:type w:val="continuous"/>
        </w:sectPr>
      </w:pPr>
    </w:p>
    <w:bookmarkStart w:id="166" w:name="page167"/>
    <w:bookmarkEnd w:id="166"/>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 w:right="80"/>
        <w:spacing w:after="0" w:line="331" w:lineRule="auto"/>
        <w:rPr>
          <w:sz w:val="20"/>
          <w:szCs w:val="20"/>
          <w:color w:val="auto"/>
        </w:rPr>
      </w:pPr>
      <w:r>
        <w:rPr>
          <w:rFonts w:ascii="Arial" w:cs="Arial" w:eastAsia="Arial" w:hAnsi="Arial"/>
          <w:sz w:val="19"/>
          <w:szCs w:val="19"/>
          <w:color w:val="auto"/>
        </w:rPr>
        <w:t>The following tables present the risk category of loans at amortized cost by portfolio segment and year of origination, based on the most recent analysis performed as of December 31, 2025 and 2024:</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9"/>
                <w:szCs w:val="19"/>
                <w:color w:val="auto"/>
              </w:rPr>
              <w:t>(In Thousands)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tcPr>
          <w:p>
            <w:pPr>
              <w:jc w:val="right"/>
              <w:ind w:right="585"/>
              <w:spacing w:after="0"/>
              <w:rPr>
                <w:sz w:val="20"/>
                <w:szCs w:val="20"/>
                <w:color w:val="auto"/>
              </w:rPr>
            </w:pPr>
            <w:r>
              <w:rPr>
                <w:rFonts w:ascii="Arial" w:cs="Arial" w:eastAsia="Arial" w:hAnsi="Arial"/>
                <w:sz w:val="19"/>
                <w:szCs w:val="19"/>
                <w:color w:val="auto"/>
                <w:w w:val="98"/>
              </w:rPr>
              <w:t>December 31, 2025</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0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gridSpan w:val="11"/>
          </w:tcPr>
          <w:p>
            <w:pPr>
              <w:jc w:val="right"/>
              <w:ind w:right="225"/>
              <w:spacing w:after="0"/>
              <w:rPr>
                <w:sz w:val="20"/>
                <w:szCs w:val="20"/>
                <w:color w:val="auto"/>
              </w:rPr>
            </w:pPr>
            <w:r>
              <w:rPr>
                <w:rFonts w:ascii="Arial" w:cs="Arial" w:eastAsia="Arial" w:hAnsi="Arial"/>
                <w:sz w:val="19"/>
                <w:szCs w:val="19"/>
                <w:color w:val="auto"/>
                <w:w w:val="94"/>
              </w:rPr>
              <w:t>Term Loans Amortized Cost Basis by Origination Year</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0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Arial" w:cs="Arial" w:eastAsia="Arial" w:hAnsi="Arial"/>
                <w:sz w:val="19"/>
                <w:szCs w:val="19"/>
                <w:color w:val="auto"/>
              </w:rPr>
              <w:t>Revolving</w:t>
            </w:r>
          </w:p>
        </w:tc>
        <w:tc>
          <w:tcPr>
            <w:tcW w:w="940" w:type="dxa"/>
            <w:vAlign w:val="bottom"/>
            <w:gridSpan w:val="2"/>
          </w:tcPr>
          <w:p>
            <w:pPr>
              <w:ind w:left="60"/>
              <w:spacing w:after="0"/>
              <w:rPr>
                <w:sz w:val="20"/>
                <w:szCs w:val="20"/>
                <w:color w:val="auto"/>
              </w:rPr>
            </w:pPr>
            <w:r>
              <w:rPr>
                <w:rFonts w:ascii="Arial" w:cs="Arial" w:eastAsia="Arial" w:hAnsi="Arial"/>
                <w:sz w:val="19"/>
                <w:szCs w:val="19"/>
                <w:color w:val="auto"/>
              </w:rPr>
              <w:t>Revolving</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65"/>
              <w:spacing w:after="0"/>
              <w:rPr>
                <w:sz w:val="20"/>
                <w:szCs w:val="20"/>
                <w:color w:val="auto"/>
              </w:rPr>
            </w:pPr>
            <w:r>
              <w:rPr>
                <w:rFonts w:ascii="Arial" w:cs="Arial" w:eastAsia="Arial" w:hAnsi="Arial"/>
                <w:sz w:val="19"/>
                <w:szCs w:val="19"/>
                <w:color w:val="auto"/>
                <w:w w:val="92"/>
              </w:rPr>
              <w:t>Loans</w:t>
            </w:r>
          </w:p>
        </w:tc>
        <w:tc>
          <w:tcPr>
            <w:tcW w:w="200" w:type="dxa"/>
            <w:vAlign w:val="bottom"/>
          </w:tcPr>
          <w:p>
            <w:pPr>
              <w:spacing w:after="0"/>
              <w:rPr>
                <w:sz w:val="24"/>
                <w:szCs w:val="24"/>
                <w:color w:val="auto"/>
              </w:rPr>
            </w:pPr>
          </w:p>
        </w:tc>
        <w:tc>
          <w:tcPr>
            <w:tcW w:w="740" w:type="dxa"/>
            <w:vAlign w:val="bottom"/>
          </w:tcPr>
          <w:p>
            <w:pPr>
              <w:jc w:val="right"/>
              <w:ind w:right="145"/>
              <w:spacing w:after="0"/>
              <w:rPr>
                <w:sz w:val="20"/>
                <w:szCs w:val="20"/>
                <w:color w:val="auto"/>
              </w:rPr>
            </w:pPr>
            <w:r>
              <w:rPr>
                <w:rFonts w:ascii="Arial" w:cs="Arial" w:eastAsia="Arial" w:hAnsi="Arial"/>
                <w:sz w:val="19"/>
                <w:szCs w:val="19"/>
                <w:color w:val="auto"/>
                <w:w w:val="92"/>
              </w:rPr>
              <w:t>Loans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145"/>
              <w:spacing w:after="0"/>
              <w:rPr>
                <w:sz w:val="20"/>
                <w:szCs w:val="20"/>
                <w:color w:val="auto"/>
              </w:rPr>
            </w:pPr>
            <w:r>
              <w:rPr>
                <w:rFonts w:ascii="Arial" w:cs="Arial" w:eastAsia="Arial" w:hAnsi="Arial"/>
                <w:sz w:val="19"/>
                <w:szCs w:val="19"/>
                <w:color w:val="auto"/>
                <w:w w:val="99"/>
              </w:rPr>
              <w:t>Term</w:t>
            </w:r>
          </w:p>
        </w:tc>
        <w:tc>
          <w:tcPr>
            <w:tcW w:w="960" w:type="dxa"/>
            <w:vAlign w:val="bottom"/>
            <w:gridSpan w:val="2"/>
          </w:tcPr>
          <w:p>
            <w:pPr>
              <w:ind w:left="80"/>
              <w:spacing w:after="0"/>
              <w:rPr>
                <w:sz w:val="20"/>
                <w:szCs w:val="20"/>
                <w:color w:val="auto"/>
              </w:rPr>
            </w:pPr>
            <w:r>
              <w:rPr>
                <w:rFonts w:ascii="Arial" w:cs="Arial" w:eastAsia="Arial" w:hAnsi="Arial"/>
                <w:sz w:val="19"/>
                <w:szCs w:val="19"/>
                <w:color w:val="auto"/>
              </w:rPr>
              <w:t>Amortized</w:t>
            </w:r>
          </w:p>
        </w:tc>
        <w:tc>
          <w:tcPr>
            <w:tcW w:w="940" w:type="dxa"/>
            <w:vAlign w:val="bottom"/>
            <w:gridSpan w:val="2"/>
          </w:tcPr>
          <w:p>
            <w:pPr>
              <w:ind w:left="60"/>
              <w:spacing w:after="0"/>
              <w:rPr>
                <w:sz w:val="20"/>
                <w:szCs w:val="20"/>
                <w:color w:val="auto"/>
              </w:rPr>
            </w:pPr>
            <w:r>
              <w:rPr>
                <w:rFonts w:ascii="Arial" w:cs="Arial" w:eastAsia="Arial" w:hAnsi="Arial"/>
                <w:sz w:val="19"/>
                <w:szCs w:val="19"/>
                <w:color w:val="auto"/>
                <w:w w:val="98"/>
              </w:rPr>
              <w:t>Converted</w:t>
            </w:r>
          </w:p>
        </w:tc>
        <w:tc>
          <w:tcPr>
            <w:tcW w:w="160" w:type="dxa"/>
            <w:vAlign w:val="bottom"/>
          </w:tcPr>
          <w:p>
            <w:pPr>
              <w:spacing w:after="0"/>
              <w:rPr>
                <w:sz w:val="24"/>
                <w:szCs w:val="24"/>
                <w:color w:val="auto"/>
              </w:rPr>
            </w:pPr>
          </w:p>
        </w:tc>
        <w:tc>
          <w:tcPr>
            <w:tcW w:w="720" w:type="dxa"/>
            <w:vAlign w:val="bottom"/>
          </w:tcPr>
          <w:p>
            <w:pPr>
              <w:jc w:val="right"/>
              <w:ind w:right="125"/>
              <w:spacing w:after="0"/>
              <w:rPr>
                <w:sz w:val="20"/>
                <w:szCs w:val="20"/>
                <w:color w:val="auto"/>
              </w:rPr>
            </w:pPr>
            <w:r>
              <w:rPr>
                <w:rFonts w:ascii="Arial" w:cs="Arial" w:eastAsia="Arial" w:hAnsi="Arial"/>
                <w:sz w:val="19"/>
                <w:szCs w:val="19"/>
                <w:color w:val="auto"/>
                <w:w w:val="90"/>
              </w:rPr>
              <w:t>Grand</w:t>
            </w:r>
          </w:p>
        </w:tc>
      </w:tr>
      <w:tr>
        <w:trPr>
          <w:trHeight w:val="29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05"/>
              <w:spacing w:after="0"/>
              <w:rPr>
                <w:sz w:val="20"/>
                <w:szCs w:val="20"/>
                <w:color w:val="auto"/>
              </w:rPr>
            </w:pPr>
            <w:r>
              <w:rPr>
                <w:rFonts w:ascii="Arial" w:cs="Arial" w:eastAsia="Arial" w:hAnsi="Arial"/>
                <w:sz w:val="19"/>
                <w:szCs w:val="19"/>
                <w:color w:val="auto"/>
                <w:w w:val="89"/>
              </w:rPr>
              <w:t>2025</w:t>
            </w:r>
          </w:p>
        </w:tc>
        <w:tc>
          <w:tcPr>
            <w:tcW w:w="180" w:type="dxa"/>
            <w:vAlign w:val="bottom"/>
          </w:tcPr>
          <w:p>
            <w:pPr>
              <w:spacing w:after="0"/>
              <w:rPr>
                <w:sz w:val="24"/>
                <w:szCs w:val="24"/>
                <w:color w:val="auto"/>
              </w:rPr>
            </w:pPr>
          </w:p>
        </w:tc>
        <w:tc>
          <w:tcPr>
            <w:tcW w:w="600" w:type="dxa"/>
            <w:vAlign w:val="bottom"/>
          </w:tcPr>
          <w:p>
            <w:pPr>
              <w:jc w:val="right"/>
              <w:ind w:right="105"/>
              <w:spacing w:after="0"/>
              <w:rPr>
                <w:sz w:val="20"/>
                <w:szCs w:val="20"/>
                <w:color w:val="auto"/>
              </w:rPr>
            </w:pPr>
            <w:r>
              <w:rPr>
                <w:rFonts w:ascii="Arial" w:cs="Arial" w:eastAsia="Arial" w:hAnsi="Arial"/>
                <w:sz w:val="19"/>
                <w:szCs w:val="19"/>
                <w:color w:val="auto"/>
                <w:w w:val="89"/>
              </w:rPr>
              <w:t>2024</w:t>
            </w:r>
          </w:p>
        </w:tc>
        <w:tc>
          <w:tcPr>
            <w:tcW w:w="180" w:type="dxa"/>
            <w:vAlign w:val="bottom"/>
          </w:tcPr>
          <w:p>
            <w:pPr>
              <w:spacing w:after="0"/>
              <w:rPr>
                <w:sz w:val="24"/>
                <w:szCs w:val="24"/>
                <w:color w:val="auto"/>
              </w:rPr>
            </w:pPr>
          </w:p>
        </w:tc>
        <w:tc>
          <w:tcPr>
            <w:tcW w:w="600" w:type="dxa"/>
            <w:vAlign w:val="bottom"/>
          </w:tcPr>
          <w:p>
            <w:pPr>
              <w:jc w:val="right"/>
              <w:ind w:right="105"/>
              <w:spacing w:after="0"/>
              <w:rPr>
                <w:sz w:val="20"/>
                <w:szCs w:val="20"/>
                <w:color w:val="auto"/>
              </w:rPr>
            </w:pPr>
            <w:r>
              <w:rPr>
                <w:rFonts w:ascii="Arial" w:cs="Arial" w:eastAsia="Arial" w:hAnsi="Arial"/>
                <w:sz w:val="19"/>
                <w:szCs w:val="19"/>
                <w:color w:val="auto"/>
                <w:w w:val="89"/>
              </w:rPr>
              <w:t>2023</w:t>
            </w:r>
          </w:p>
        </w:tc>
        <w:tc>
          <w:tcPr>
            <w:tcW w:w="180" w:type="dxa"/>
            <w:vAlign w:val="bottom"/>
          </w:tcPr>
          <w:p>
            <w:pPr>
              <w:spacing w:after="0"/>
              <w:rPr>
                <w:sz w:val="24"/>
                <w:szCs w:val="24"/>
                <w:color w:val="auto"/>
              </w:rPr>
            </w:pPr>
          </w:p>
        </w:tc>
        <w:tc>
          <w:tcPr>
            <w:tcW w:w="600" w:type="dxa"/>
            <w:vAlign w:val="bottom"/>
          </w:tcPr>
          <w:p>
            <w:pPr>
              <w:jc w:val="right"/>
              <w:ind w:right="105"/>
              <w:spacing w:after="0"/>
              <w:rPr>
                <w:sz w:val="20"/>
                <w:szCs w:val="20"/>
                <w:color w:val="auto"/>
              </w:rPr>
            </w:pPr>
            <w:r>
              <w:rPr>
                <w:rFonts w:ascii="Arial" w:cs="Arial" w:eastAsia="Arial" w:hAnsi="Arial"/>
                <w:sz w:val="19"/>
                <w:szCs w:val="19"/>
                <w:color w:val="auto"/>
                <w:w w:val="89"/>
              </w:rPr>
              <w:t>2022</w:t>
            </w:r>
          </w:p>
        </w:tc>
        <w:tc>
          <w:tcPr>
            <w:tcW w:w="180" w:type="dxa"/>
            <w:vAlign w:val="bottom"/>
          </w:tcPr>
          <w:p>
            <w:pPr>
              <w:spacing w:after="0"/>
              <w:rPr>
                <w:sz w:val="24"/>
                <w:szCs w:val="24"/>
                <w:color w:val="auto"/>
              </w:rPr>
            </w:pPr>
          </w:p>
        </w:tc>
        <w:tc>
          <w:tcPr>
            <w:tcW w:w="600" w:type="dxa"/>
            <w:vAlign w:val="bottom"/>
          </w:tcPr>
          <w:p>
            <w:pPr>
              <w:jc w:val="right"/>
              <w:ind w:right="105"/>
              <w:spacing w:after="0"/>
              <w:rPr>
                <w:sz w:val="20"/>
                <w:szCs w:val="20"/>
                <w:color w:val="auto"/>
              </w:rPr>
            </w:pPr>
            <w:r>
              <w:rPr>
                <w:rFonts w:ascii="Arial" w:cs="Arial" w:eastAsia="Arial" w:hAnsi="Arial"/>
                <w:sz w:val="19"/>
                <w:szCs w:val="19"/>
                <w:color w:val="auto"/>
                <w:w w:val="89"/>
              </w:rPr>
              <w:t>2021</w:t>
            </w:r>
          </w:p>
        </w:tc>
        <w:tc>
          <w:tcPr>
            <w:tcW w:w="160" w:type="dxa"/>
            <w:vAlign w:val="bottom"/>
          </w:tcPr>
          <w:p>
            <w:pPr>
              <w:spacing w:after="0"/>
              <w:rPr>
                <w:sz w:val="24"/>
                <w:szCs w:val="24"/>
                <w:color w:val="auto"/>
              </w:rPr>
            </w:pP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Prior</w:t>
            </w:r>
          </w:p>
        </w:tc>
        <w:tc>
          <w:tcPr>
            <w:tcW w:w="120" w:type="dxa"/>
            <w:vAlign w:val="bottom"/>
          </w:tcPr>
          <w:p>
            <w:pPr>
              <w:spacing w:after="0"/>
              <w:rPr>
                <w:sz w:val="24"/>
                <w:szCs w:val="24"/>
                <w:color w:val="auto"/>
              </w:rPr>
            </w:pPr>
          </w:p>
        </w:tc>
        <w:tc>
          <w:tcPr>
            <w:tcW w:w="700" w:type="dxa"/>
            <w:vAlign w:val="bottom"/>
          </w:tcPr>
          <w:p>
            <w:pPr>
              <w:jc w:val="right"/>
              <w:ind w:right="145"/>
              <w:spacing w:after="0"/>
              <w:rPr>
                <w:sz w:val="20"/>
                <w:szCs w:val="20"/>
                <w:color w:val="auto"/>
              </w:rPr>
            </w:pPr>
            <w:r>
              <w:rPr>
                <w:rFonts w:ascii="Arial" w:cs="Arial" w:eastAsia="Arial" w:hAnsi="Arial"/>
                <w:sz w:val="19"/>
                <w:szCs w:val="19"/>
                <w:color w:val="auto"/>
              </w:rPr>
              <w:t>Total</w:t>
            </w:r>
          </w:p>
        </w:tc>
        <w:tc>
          <w:tcPr>
            <w:tcW w:w="960" w:type="dxa"/>
            <w:vAlign w:val="bottom"/>
            <w:gridSpan w:val="2"/>
          </w:tcPr>
          <w:p>
            <w:pPr>
              <w:ind w:left="80"/>
              <w:spacing w:after="0"/>
              <w:rPr>
                <w:sz w:val="20"/>
                <w:szCs w:val="20"/>
                <w:color w:val="auto"/>
              </w:rPr>
            </w:pPr>
            <w:r>
              <w:rPr>
                <w:rFonts w:ascii="Arial" w:cs="Arial" w:eastAsia="Arial" w:hAnsi="Arial"/>
                <w:sz w:val="19"/>
                <w:szCs w:val="19"/>
                <w:color w:val="auto"/>
                <w:w w:val="94"/>
              </w:rPr>
              <w:t>Cost Basis</w:t>
            </w:r>
          </w:p>
        </w:tc>
        <w:tc>
          <w:tcPr>
            <w:tcW w:w="940" w:type="dxa"/>
            <w:vAlign w:val="bottom"/>
            <w:gridSpan w:val="2"/>
          </w:tcPr>
          <w:p>
            <w:pPr>
              <w:jc w:val="right"/>
              <w:ind w:right="85"/>
              <w:spacing w:after="0"/>
              <w:rPr>
                <w:sz w:val="20"/>
                <w:szCs w:val="20"/>
                <w:color w:val="auto"/>
              </w:rPr>
            </w:pPr>
            <w:r>
              <w:rPr>
                <w:rFonts w:ascii="Arial" w:cs="Arial" w:eastAsia="Arial" w:hAnsi="Arial"/>
                <w:sz w:val="19"/>
                <w:szCs w:val="19"/>
                <w:color w:val="auto"/>
              </w:rPr>
              <w:t>to Term</w:t>
            </w:r>
          </w:p>
        </w:tc>
        <w:tc>
          <w:tcPr>
            <w:tcW w:w="160" w:type="dxa"/>
            <w:vAlign w:val="bottom"/>
          </w:tcPr>
          <w:p>
            <w:pPr>
              <w:spacing w:after="0"/>
              <w:rPr>
                <w:sz w:val="24"/>
                <w:szCs w:val="24"/>
                <w:color w:val="auto"/>
              </w:rPr>
            </w:pPr>
          </w:p>
        </w:tc>
        <w:tc>
          <w:tcPr>
            <w:tcW w:w="720" w:type="dxa"/>
            <w:vAlign w:val="bottom"/>
          </w:tcPr>
          <w:p>
            <w:pPr>
              <w:jc w:val="right"/>
              <w:ind w:right="145"/>
              <w:spacing w:after="0"/>
              <w:rPr>
                <w:sz w:val="20"/>
                <w:szCs w:val="20"/>
                <w:color w:val="auto"/>
              </w:rPr>
            </w:pPr>
            <w:r>
              <w:rPr>
                <w:rFonts w:ascii="Arial" w:cs="Arial" w:eastAsia="Arial" w:hAnsi="Arial"/>
                <w:sz w:val="19"/>
                <w:szCs w:val="19"/>
                <w:color w:val="auto"/>
              </w:rPr>
              <w:t>Total</w:t>
            </w:r>
          </w:p>
        </w:tc>
      </w:tr>
      <w:tr>
        <w:trPr>
          <w:trHeight w:val="348"/>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1"/>
        </w:trPr>
        <w:tc>
          <w:tcPr>
            <w:tcW w:w="1020" w:type="dxa"/>
            <w:vAlign w:val="bottom"/>
            <w:shd w:val="clear" w:color="auto" w:fill="CFF0FC"/>
          </w:tcPr>
          <w:p>
            <w:pPr>
              <w:spacing w:after="0"/>
              <w:rPr>
                <w:sz w:val="20"/>
                <w:szCs w:val="20"/>
                <w:color w:val="auto"/>
              </w:rPr>
            </w:pPr>
            <w:r>
              <w:rPr>
                <w:rFonts w:ascii="Arial" w:cs="Arial" w:eastAsia="Arial" w:hAnsi="Arial"/>
                <w:sz w:val="19"/>
                <w:szCs w:val="19"/>
                <w:color w:val="auto"/>
              </w:rPr>
              <w:t>Consumer</w:t>
            </w:r>
          </w:p>
        </w:tc>
        <w:tc>
          <w:tcPr>
            <w:tcW w:w="1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r>
      <w:tr>
        <w:trPr>
          <w:trHeight w:val="303"/>
        </w:trPr>
        <w:tc>
          <w:tcPr>
            <w:tcW w:w="1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Real Estate</w:t>
            </w:r>
          </w:p>
        </w:tc>
        <w:tc>
          <w:tcPr>
            <w:tcW w:w="1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r>
      <w:tr>
        <w:trPr>
          <w:trHeight w:val="261"/>
        </w:trPr>
        <w:tc>
          <w:tcPr>
            <w:tcW w:w="1020" w:type="dxa"/>
            <w:vAlign w:val="bottom"/>
          </w:tcPr>
          <w:p>
            <w:pPr>
              <w:spacing w:after="0"/>
              <w:rPr>
                <w:sz w:val="20"/>
                <w:szCs w:val="20"/>
                <w:color w:val="auto"/>
              </w:rPr>
            </w:pPr>
            <w:r>
              <w:rPr>
                <w:rFonts w:ascii="Arial" w:cs="Arial" w:eastAsia="Arial" w:hAnsi="Arial"/>
                <w:sz w:val="19"/>
                <w:szCs w:val="19"/>
                <w:color w:val="auto"/>
              </w:rPr>
              <w:t>Risk Rating</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38"/>
        </w:trPr>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94"/>
        </w:trPr>
        <w:tc>
          <w:tcPr>
            <w:tcW w:w="1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Pass (1-4)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52,684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28,385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52,324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71,008</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82,628</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w w:val="90"/>
              </w:rPr>
              <w:t>150,780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437,809</w:t>
            </w:r>
          </w:p>
        </w:tc>
        <w:tc>
          <w:tcPr>
            <w:tcW w:w="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9"/>
                <w:szCs w:val="19"/>
                <w:color w:val="auto"/>
                <w:w w:val="94"/>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83,296</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462</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0"/>
              </w:rPr>
              <w:t>521,567</w:t>
            </w:r>
          </w:p>
        </w:tc>
      </w:tr>
      <w:tr>
        <w:trPr>
          <w:trHeight w:val="261"/>
        </w:trPr>
        <w:tc>
          <w:tcPr>
            <w:tcW w:w="1020" w:type="dxa"/>
            <w:vAlign w:val="bottom"/>
          </w:tcPr>
          <w:p>
            <w:pPr>
              <w:ind w:left="20"/>
              <w:spacing w:after="0"/>
              <w:rPr>
                <w:sz w:val="20"/>
                <w:szCs w:val="20"/>
                <w:color w:val="auto"/>
              </w:rPr>
            </w:pPr>
            <w:r>
              <w:rPr>
                <w:rFonts w:ascii="Arial" w:cs="Arial" w:eastAsia="Arial" w:hAnsi="Arial"/>
                <w:sz w:val="19"/>
                <w:szCs w:val="19"/>
                <w:color w:val="auto"/>
              </w:rPr>
              <w:t>Special</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5"/>
        </w:trPr>
        <w:tc>
          <w:tcPr>
            <w:tcW w:w="1020" w:type="dxa"/>
            <w:vAlign w:val="bottom"/>
          </w:tcPr>
          <w:p>
            <w:pPr>
              <w:ind w:left="20"/>
              <w:spacing w:after="0"/>
              <w:rPr>
                <w:sz w:val="20"/>
                <w:szCs w:val="20"/>
                <w:color w:val="auto"/>
              </w:rPr>
            </w:pPr>
            <w:r>
              <w:rPr>
                <w:rFonts w:ascii="Arial" w:cs="Arial" w:eastAsia="Arial" w:hAnsi="Arial"/>
                <w:sz w:val="19"/>
                <w:szCs w:val="19"/>
                <w:color w:val="auto"/>
              </w:rPr>
              <w:t>Mention (5)</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131</w:t>
            </w:r>
          </w:p>
        </w:tc>
        <w:tc>
          <w:tcPr>
            <w:tcW w:w="16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Arial" w:cs="Arial" w:eastAsia="Arial" w:hAnsi="Arial"/>
                <w:sz w:val="19"/>
                <w:szCs w:val="19"/>
                <w:color w:val="auto"/>
              </w:rPr>
              <w:t>47</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178</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19</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197</w:t>
            </w:r>
          </w:p>
        </w:tc>
      </w:tr>
      <w:tr>
        <w:trPr>
          <w:trHeight w:val="38"/>
        </w:trPr>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1"/>
        </w:trPr>
        <w:tc>
          <w:tcPr>
            <w:tcW w:w="1020" w:type="dxa"/>
            <w:vAlign w:val="bottom"/>
            <w:shd w:val="clear" w:color="auto" w:fill="CFF0FC"/>
          </w:tcPr>
          <w:p>
            <w:pPr>
              <w:ind w:left="20"/>
              <w:spacing w:after="0"/>
              <w:rPr>
                <w:sz w:val="20"/>
                <w:szCs w:val="20"/>
                <w:color w:val="auto"/>
              </w:rPr>
            </w:pPr>
            <w:r>
              <w:rPr>
                <w:rFonts w:ascii="Arial" w:cs="Arial" w:eastAsia="Arial" w:hAnsi="Arial"/>
                <w:sz w:val="19"/>
                <w:szCs w:val="19"/>
                <w:color w:val="auto"/>
                <w:w w:val="90"/>
              </w:rPr>
              <w:t>Substandard</w:t>
            </w:r>
          </w:p>
        </w:tc>
        <w:tc>
          <w:tcPr>
            <w:tcW w:w="1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r>
      <w:tr>
        <w:trPr>
          <w:trHeight w:val="303"/>
        </w:trPr>
        <w:tc>
          <w:tcPr>
            <w:tcW w:w="1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(6)</w:t>
            </w:r>
          </w:p>
        </w:tc>
        <w:tc>
          <w:tcPr>
            <w:tcW w:w="1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259</w:t>
            </w: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746</w:t>
            </w: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578</w:t>
            </w: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492</w:t>
            </w: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1,318</w:t>
            </w:r>
          </w:p>
        </w:tc>
        <w:tc>
          <w:tcPr>
            <w:tcW w:w="1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1,694</w:t>
            </w:r>
          </w:p>
        </w:tc>
        <w:tc>
          <w:tcPr>
            <w:tcW w:w="1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5,087</w:t>
            </w: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23</w:t>
            </w: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169</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5,279</w:t>
            </w:r>
          </w:p>
        </w:tc>
      </w:tr>
      <w:tr>
        <w:trPr>
          <w:trHeight w:val="271"/>
        </w:trPr>
        <w:tc>
          <w:tcPr>
            <w:tcW w:w="1020" w:type="dxa"/>
            <w:vAlign w:val="bottom"/>
          </w:tcPr>
          <w:p>
            <w:pPr>
              <w:ind w:left="20"/>
              <w:spacing w:after="0"/>
              <w:rPr>
                <w:sz w:val="20"/>
                <w:szCs w:val="20"/>
                <w:color w:val="auto"/>
              </w:rPr>
            </w:pPr>
            <w:r>
              <w:rPr>
                <w:rFonts w:ascii="Arial" w:cs="Arial" w:eastAsia="Arial" w:hAnsi="Arial"/>
                <w:sz w:val="19"/>
                <w:szCs w:val="19"/>
                <w:color w:val="auto"/>
                <w:w w:val="98"/>
              </w:rPr>
              <w:t>Doubtful (7)</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76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8"/>
        </w:trPr>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1"/>
        </w:trPr>
        <w:tc>
          <w:tcPr>
            <w:tcW w:w="1020" w:type="dxa"/>
            <w:vAlign w:val="bottom"/>
            <w:shd w:val="clear" w:color="auto" w:fill="CFF0FC"/>
          </w:tcPr>
          <w:p>
            <w:pPr>
              <w:ind w:left="20"/>
              <w:spacing w:after="0"/>
              <w:rPr>
                <w:sz w:val="20"/>
                <w:szCs w:val="20"/>
                <w:color w:val="auto"/>
              </w:rPr>
            </w:pPr>
            <w:r>
              <w:rPr>
                <w:rFonts w:ascii="Arial" w:cs="Arial" w:eastAsia="Arial" w:hAnsi="Arial"/>
                <w:sz w:val="19"/>
                <w:szCs w:val="19"/>
                <w:color w:val="auto"/>
              </w:rPr>
              <w:t>Total</w:t>
            </w:r>
          </w:p>
        </w:tc>
        <w:tc>
          <w:tcPr>
            <w:tcW w:w="1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r>
      <w:tr>
        <w:trPr>
          <w:trHeight w:val="285"/>
        </w:trPr>
        <w:tc>
          <w:tcPr>
            <w:tcW w:w="1020" w:type="dxa"/>
            <w:vAlign w:val="bottom"/>
            <w:shd w:val="clear" w:color="auto" w:fill="CFF0FC"/>
          </w:tcPr>
          <w:p>
            <w:pPr>
              <w:ind w:left="20"/>
              <w:spacing w:after="0"/>
              <w:rPr>
                <w:sz w:val="20"/>
                <w:szCs w:val="20"/>
                <w:color w:val="auto"/>
              </w:rPr>
            </w:pPr>
            <w:r>
              <w:rPr>
                <w:rFonts w:ascii="Arial" w:cs="Arial" w:eastAsia="Arial" w:hAnsi="Arial"/>
                <w:sz w:val="19"/>
                <w:szCs w:val="19"/>
                <w:color w:val="auto"/>
              </w:rPr>
              <w:t>Consumer</w:t>
            </w:r>
          </w:p>
        </w:tc>
        <w:tc>
          <w:tcPr>
            <w:tcW w:w="1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r>
      <w:tr>
        <w:trPr>
          <w:trHeight w:val="303"/>
        </w:trPr>
        <w:tc>
          <w:tcPr>
            <w:tcW w:w="1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w w:val="99"/>
              </w:rPr>
              <w:t>Real Estate</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52,943</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29,131</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52,902</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71,500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84,077</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w w:val="90"/>
              </w:rPr>
              <w:t>152,521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443,074</w:t>
            </w:r>
          </w:p>
        </w:tc>
        <w:tc>
          <w:tcPr>
            <w:tcW w:w="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9"/>
                <w:szCs w:val="19"/>
                <w:color w:val="auto"/>
                <w:w w:val="94"/>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83,338</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631</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0"/>
              </w:rPr>
              <w:t>527,043</w:t>
            </w:r>
          </w:p>
        </w:tc>
      </w:tr>
      <w:tr>
        <w:trPr>
          <w:trHeight w:val="261"/>
        </w:trPr>
        <w:tc>
          <w:tcPr>
            <w:tcW w:w="1020" w:type="dxa"/>
            <w:vAlign w:val="bottom"/>
          </w:tcPr>
          <w:p>
            <w:pPr>
              <w:ind w:left="20"/>
              <w:spacing w:after="0"/>
              <w:rPr>
                <w:sz w:val="20"/>
                <w:szCs w:val="20"/>
                <w:color w:val="auto"/>
              </w:rPr>
            </w:pPr>
            <w:r>
              <w:rPr>
                <w:rFonts w:ascii="Arial" w:cs="Arial" w:eastAsia="Arial" w:hAnsi="Arial"/>
                <w:sz w:val="19"/>
                <w:szCs w:val="19"/>
                <w:color w:val="auto"/>
              </w:rPr>
              <w:t>Gross</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5"/>
        </w:trPr>
        <w:tc>
          <w:tcPr>
            <w:tcW w:w="1020" w:type="dxa"/>
            <w:vAlign w:val="bottom"/>
          </w:tcPr>
          <w:p>
            <w:pPr>
              <w:ind w:left="20"/>
              <w:spacing w:after="0"/>
              <w:rPr>
                <w:sz w:val="20"/>
                <w:szCs w:val="20"/>
                <w:color w:val="auto"/>
              </w:rPr>
            </w:pPr>
            <w:r>
              <w:rPr>
                <w:rFonts w:ascii="Arial" w:cs="Arial" w:eastAsia="Arial" w:hAnsi="Arial"/>
                <w:sz w:val="19"/>
                <w:szCs w:val="19"/>
                <w:color w:val="auto"/>
              </w:rPr>
              <w:t>charge-offs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5"/>
        </w:trPr>
        <w:tc>
          <w:tcPr>
            <w:tcW w:w="1020" w:type="dxa"/>
            <w:vAlign w:val="bottom"/>
          </w:tcPr>
          <w:p>
            <w:pPr>
              <w:ind w:left="20"/>
              <w:spacing w:after="0"/>
              <w:rPr>
                <w:sz w:val="20"/>
                <w:szCs w:val="20"/>
                <w:color w:val="auto"/>
              </w:rPr>
            </w:pPr>
            <w:r>
              <w:rPr>
                <w:rFonts w:ascii="Arial" w:cs="Arial" w:eastAsia="Arial" w:hAnsi="Arial"/>
                <w:sz w:val="19"/>
                <w:szCs w:val="19"/>
                <w:color w:val="auto"/>
              </w:rPr>
              <w:t>YTD</w:t>
            </w:r>
          </w:p>
        </w:tc>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20</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12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20</w:t>
            </w:r>
          </w:p>
        </w:tc>
        <w:tc>
          <w:tcPr>
            <w:tcW w:w="200" w:type="dxa"/>
            <w:vAlign w:val="bottom"/>
          </w:tcPr>
          <w:p>
            <w:pPr>
              <w:ind w:left="80"/>
              <w:spacing w:after="0"/>
              <w:rPr>
                <w:sz w:val="20"/>
                <w:szCs w:val="20"/>
                <w:color w:val="auto"/>
              </w:rPr>
            </w:pPr>
            <w:r>
              <w:rPr>
                <w:rFonts w:ascii="Arial" w:cs="Arial" w:eastAsia="Arial" w:hAnsi="Arial"/>
                <w:sz w:val="19"/>
                <w:szCs w:val="19"/>
                <w:color w:val="auto"/>
                <w:w w:val="94"/>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ind w:left="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-4135120</wp:posOffset>
            </wp:positionV>
            <wp:extent cx="5251450"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5">
                      <a:extLst>
                        <a:ext uri="{28A0092B-C50C-407E-A947-70E740481C1C}"/>
                      </a:extLst>
                    </a:blip>
                    <a:srcRect/>
                    <a:stretch>
                      <a:fillRect/>
                    </a:stretch>
                  </pic:blipFill>
                  <pic:spPr bwMode="auto">
                    <a:xfrm>
                      <a:off x="0" y="0"/>
                      <a:ext cx="5251450" cy="635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-3938270</wp:posOffset>
            </wp:positionV>
            <wp:extent cx="5251450"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6">
                      <a:extLst>
                        <a:ext uri="{28A0092B-C50C-407E-A947-70E740481C1C}"/>
                      </a:extLst>
                    </a:blip>
                    <a:srcRect/>
                    <a:stretch>
                      <a:fillRect/>
                    </a:stretch>
                  </pic:blipFill>
                  <pic:spPr bwMode="auto">
                    <a:xfrm>
                      <a:off x="0" y="0"/>
                      <a:ext cx="5251450" cy="635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-3742055</wp:posOffset>
            </wp:positionV>
            <wp:extent cx="2939415"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7">
                      <a:extLst>
                        <a:ext uri="{28A0092B-C50C-407E-A947-70E740481C1C}"/>
                      </a:extLst>
                    </a:blip>
                    <a:srcRect/>
                    <a:stretch>
                      <a:fillRect/>
                    </a:stretch>
                  </pic:blipFill>
                  <pic:spPr bwMode="auto">
                    <a:xfrm>
                      <a:off x="0" y="0"/>
                      <a:ext cx="2939415" cy="635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-2974975</wp:posOffset>
            </wp:positionV>
            <wp:extent cx="5251450"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18">
                      <a:extLst>
                        <a:ext uri="{28A0092B-C50C-407E-A947-70E740481C1C}"/>
                      </a:extLst>
                    </a:blip>
                    <a:srcRect/>
                    <a:stretch>
                      <a:fillRect/>
                    </a:stretch>
                  </pic:blipFill>
                  <pic:spPr bwMode="auto">
                    <a:xfrm>
                      <a:off x="0" y="0"/>
                      <a:ext cx="5251450" cy="635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-1085215</wp:posOffset>
            </wp:positionV>
            <wp:extent cx="5251450"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19">
                      <a:extLst>
                        <a:ext uri="{28A0092B-C50C-407E-A947-70E740481C1C}"/>
                      </a:extLst>
                    </a:blip>
                    <a:srcRect/>
                    <a:stretch>
                      <a:fillRect/>
                    </a:stretch>
                  </pic:blipFill>
                  <pic:spPr bwMode="auto">
                    <a:xfrm>
                      <a:off x="0" y="0"/>
                      <a:ext cx="5251450" cy="635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-555625</wp:posOffset>
            </wp:positionV>
            <wp:extent cx="5292090" cy="285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0">
                      <a:extLst>
                        <a:ext uri="{28A0092B-C50C-407E-A947-70E740481C1C}"/>
                      </a:extLst>
                    </a:blip>
                    <a:srcRect/>
                    <a:stretch>
                      <a:fillRect/>
                    </a:stretch>
                  </pic:blipFill>
                  <pic:spPr bwMode="auto">
                    <a:xfrm>
                      <a:off x="0" y="0"/>
                      <a:ext cx="5292090" cy="2857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17780</wp:posOffset>
            </wp:positionV>
            <wp:extent cx="5251450"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1">
                      <a:extLst>
                        <a:ext uri="{28A0092B-C50C-407E-A947-70E740481C1C}"/>
                      </a:extLst>
                    </a:blip>
                    <a:srcRect/>
                    <a:stretch>
                      <a:fillRect/>
                    </a:stretch>
                  </pic:blipFill>
                  <pic:spPr bwMode="auto">
                    <a:xfrm>
                      <a:off x="0" y="0"/>
                      <a:ext cx="525145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17</w:t>
      </w:r>
    </w:p>
    <w:p>
      <w:pPr>
        <w:sectPr>
          <w:pgSz w:w="11900" w:h="16838" w:orient="portrait"/>
          <w:cols w:equalWidth="0" w:num="1">
            <w:col w:w="9400"/>
          </w:cols>
          <w:pgMar w:left="1260" w:top="1440" w:right="1246" w:bottom="0" w:gutter="0" w:footer="0" w:header="0"/>
          <w:type w:val="continuous"/>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Agricultural Real Estate</w:t>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Arial" w:cs="Arial" w:eastAsia="Arial" w:hAnsi="Arial"/>
          <w:sz w:val="17"/>
          <w:szCs w:val="17"/>
          <w:color w:val="auto"/>
        </w:rPr>
        <w:t>Risk Rating</w:t>
      </w:r>
    </w:p>
    <w:p>
      <w:pPr>
        <w:sectPr>
          <w:pgSz w:w="11900" w:h="16838" w:orient="portrait"/>
          <w:cols w:equalWidth="0" w:num="1">
            <w:col w:w="9206"/>
          </w:cols>
          <w:pgMar w:left="126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 / 17</w:t>
      </w:r>
    </w:p>
    <w:p>
      <w:pPr>
        <w:sectPr>
          <w:pgSz w:w="11900" w:h="16838" w:orient="portrait"/>
          <w:cols w:equalWidth="0" w:num="1">
            <w:col w:w="9206"/>
          </w:cols>
          <w:pgMar w:left="1260" w:top="1440" w:right="1440" w:bottom="0" w:gutter="0" w:footer="0" w:header="0"/>
          <w:type w:val="continuous"/>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0"/>
        <w:spacing w:after="0"/>
        <w:rPr>
          <w:sz w:val="20"/>
          <w:szCs w:val="20"/>
          <w:color w:val="auto"/>
        </w:rPr>
      </w:pPr>
      <w:r>
        <w:rPr>
          <w:rFonts w:ascii="Arial" w:cs="Arial" w:eastAsia="Arial" w:hAnsi="Arial"/>
          <w:sz w:val="19"/>
          <w:szCs w:val="19"/>
          <w:color w:val="auto"/>
        </w:rPr>
        <w:t>Pass (1-4)</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28,079</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20,758</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23,792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30,919</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20,242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84,889</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208,679</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17</w:t>
      </w:r>
    </w:p>
    <w:p>
      <w:pPr>
        <w:sectPr>
          <w:pgSz w:w="11900" w:h="16838" w:orient="portrait"/>
          <w:cols w:equalWidth="0" w:num="1">
            <w:col w:w="9400"/>
          </w:cols>
          <w:pgMar w:left="1260" w:top="1440" w:right="1246" w:bottom="0" w:gutter="0" w:footer="0" w:header="0"/>
          <w:type w:val="continuous"/>
        </w:sectPr>
      </w:pPr>
    </w:p>
    <w:bookmarkStart w:id="169" w:name="page170"/>
    <w:bookmarkEnd w:id="169"/>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208,767</w:t>
      </w:r>
    </w:p>
    <w:p>
      <w:pPr>
        <w:spacing w:after="0" w:line="356" w:lineRule="exact"/>
        <w:rPr>
          <w:sz w:val="20"/>
          <w:szCs w:val="20"/>
          <w:color w:val="auto"/>
        </w:rPr>
      </w:pPr>
    </w:p>
    <w:p>
      <w:pPr>
        <w:ind w:left="160"/>
        <w:spacing w:after="0"/>
        <w:rPr>
          <w:sz w:val="20"/>
          <w:szCs w:val="20"/>
          <w:color w:val="auto"/>
        </w:rPr>
      </w:pPr>
      <w:r>
        <w:rPr>
          <w:rFonts w:ascii="Arial" w:cs="Arial" w:eastAsia="Arial" w:hAnsi="Arial"/>
          <w:sz w:val="19"/>
          <w:szCs w:val="19"/>
          <w:color w:val="auto"/>
        </w:rPr>
        <w:t>Special Mention (5)</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314</w:t>
      </w:r>
    </w:p>
    <w:p>
      <w:pPr>
        <w:spacing w:after="0" w:line="356" w:lineRule="exact"/>
        <w:rPr>
          <w:sz w:val="20"/>
          <w:szCs w:val="20"/>
          <w:color w:val="auto"/>
        </w:rPr>
      </w:pPr>
    </w:p>
    <w:p>
      <w:pPr>
        <w:ind w:left="160"/>
        <w:spacing w:after="0"/>
        <w:rPr>
          <w:sz w:val="20"/>
          <w:szCs w:val="20"/>
          <w:color w:val="auto"/>
        </w:rPr>
      </w:pPr>
      <w:r>
        <w:rPr>
          <w:rFonts w:ascii="Arial" w:cs="Arial" w:eastAsia="Arial" w:hAnsi="Arial"/>
          <w:sz w:val="19"/>
          <w:szCs w:val="19"/>
          <w:color w:val="auto"/>
        </w:rPr>
        <w:t>Substandard (6)</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4,890</w:t>
      </w:r>
    </w:p>
    <w:p>
      <w:pPr>
        <w:sectPr>
          <w:pgSz w:w="11900" w:h="16838" w:orient="portrait"/>
          <w:cols w:equalWidth="0" w:num="1">
            <w:col w:w="9400"/>
          </w:cols>
          <w:pgMar w:left="1260" w:top="116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17</w:t>
      </w:r>
    </w:p>
    <w:p>
      <w:pPr>
        <w:sectPr>
          <w:pgSz w:w="11900" w:h="16838" w:orient="portrait"/>
          <w:cols w:equalWidth="0" w:num="1">
            <w:col w:w="9400"/>
          </w:cols>
          <w:pgMar w:left="1260" w:top="1161" w:right="1246" w:bottom="0" w:gutter="0" w:footer="0" w:header="0"/>
          <w:type w:val="continuous"/>
        </w:sectPr>
      </w:pPr>
    </w:p>
    <w:bookmarkStart w:id="170" w:name="page171"/>
    <w:bookmarkEnd w:id="170"/>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7,749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7,749</w:t>
      </w: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color w:val="auto"/>
        </w:rPr>
        <w:t>Doubtful (7)</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ectPr>
          <w:pgSz w:w="11900" w:h="16838" w:orient="portrait"/>
          <w:cols w:equalWidth="0" w:num="1">
            <w:col w:w="9240"/>
          </w:cols>
          <w:pgMar w:left="142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4 / 17</w:t>
      </w:r>
    </w:p>
    <w:p>
      <w:pPr>
        <w:sectPr>
          <w:pgSz w:w="11900" w:h="16838" w:orient="portrait"/>
          <w:cols w:equalWidth="0" w:num="1">
            <w:col w:w="9240"/>
          </w:cols>
          <w:pgMar w:left="1420" w:top="1440" w:right="1246" w:bottom="0" w:gutter="0" w:footer="0" w:header="0"/>
          <w:type w:val="continuous"/>
        </w:sectPr>
      </w:pPr>
    </w:p>
    <w:bookmarkStart w:id="171" w:name="page172"/>
    <w:bookmarkEnd w:id="171"/>
    <w:p>
      <w:pPr>
        <w:spacing w:after="0" w:line="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352" w:lineRule="exact"/>
        <w:rPr>
          <w:sz w:val="20"/>
          <w:szCs w:val="20"/>
          <w:color w:val="auto"/>
        </w:rPr>
      </w:pPr>
    </w:p>
    <w:p>
      <w:pPr>
        <w:ind w:left="260"/>
        <w:spacing w:after="0"/>
        <w:rPr>
          <w:sz w:val="20"/>
          <w:szCs w:val="20"/>
          <w:color w:val="auto"/>
        </w:rPr>
      </w:pPr>
      <w:r>
        <w:rPr>
          <w:rFonts w:ascii="Arial" w:cs="Arial" w:eastAsia="Arial" w:hAnsi="Arial"/>
          <w:sz w:val="19"/>
          <w:szCs w:val="19"/>
          <w:color w:val="auto"/>
        </w:rPr>
        <w:t>Total Agricultural Real Estate</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28,079</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25,648</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24,655</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31,796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21,307</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85,257</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216,742</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17</w:t>
      </w:r>
    </w:p>
    <w:p>
      <w:pPr>
        <w:sectPr>
          <w:pgSz w:w="11900" w:h="16838" w:orient="portrait"/>
          <w:cols w:equalWidth="0" w:num="1">
            <w:col w:w="9400"/>
          </w:cols>
          <w:pgMar w:left="1260" w:top="1440" w:right="1246" w:bottom="0" w:gutter="0" w:footer="0" w:header="0"/>
          <w:type w:val="continuous"/>
        </w:sectPr>
      </w:pPr>
    </w:p>
    <w:bookmarkStart w:id="172" w:name="page173"/>
    <w:bookmarkEnd w:id="172"/>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216,830</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9"/>
          <w:szCs w:val="19"/>
          <w:color w:val="auto"/>
        </w:rPr>
        <w:t>Gross charge-offs YTD</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17</w:t>
      </w:r>
    </w:p>
    <w:p>
      <w:pPr>
        <w:sectPr>
          <w:pgSz w:w="11900" w:h="16838" w:orient="portrait"/>
          <w:cols w:equalWidth="0" w:num="1">
            <w:col w:w="9400"/>
          </w:cols>
          <w:pgMar w:left="1260" w:top="1440" w:right="1246" w:bottom="0" w:gutter="0" w:footer="0" w:header="0"/>
          <w:type w:val="continuous"/>
        </w:sectPr>
      </w:pPr>
    </w:p>
    <w:bookmarkStart w:id="173" w:name="page174"/>
    <w:bookmarkEnd w:id="173"/>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Agricultural</w:t>
      </w:r>
    </w:p>
    <w:p>
      <w:pPr>
        <w:sectPr>
          <w:pgSz w:w="11900" w:h="16838" w:orient="portrait"/>
          <w:cols w:equalWidth="0" w:num="1">
            <w:col w:w="9400"/>
          </w:cols>
          <w:pgMar w:left="1260" w:top="116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17</w:t>
      </w:r>
    </w:p>
    <w:p>
      <w:pPr>
        <w:sectPr>
          <w:pgSz w:w="11900" w:h="16838" w:orient="portrait"/>
          <w:cols w:equalWidth="0" w:num="1">
            <w:col w:w="9400"/>
          </w:cols>
          <w:pgMar w:left="1260" w:top="1161" w:right="1246" w:bottom="0" w:gutter="0" w:footer="0" w:header="0"/>
          <w:type w:val="continuous"/>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0"/>
        <w:spacing w:after="0"/>
        <w:rPr>
          <w:sz w:val="20"/>
          <w:szCs w:val="20"/>
          <w:color w:val="auto"/>
        </w:rPr>
      </w:pPr>
      <w:r>
        <w:rPr>
          <w:rFonts w:ascii="Arial" w:cs="Arial" w:eastAsia="Arial" w:hAnsi="Arial"/>
          <w:sz w:val="19"/>
          <w:szCs w:val="19"/>
          <w:color w:val="auto"/>
        </w:rPr>
        <w:t>Risk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19"/>
          <w:szCs w:val="19"/>
          <w:color w:val="auto"/>
        </w:rPr>
        <w:t>Pass (1-4)</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40,636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7,157</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17</w:t>
      </w:r>
    </w:p>
    <w:p>
      <w:pPr>
        <w:sectPr>
          <w:pgSz w:w="11900" w:h="16838" w:orient="portrait"/>
          <w:cols w:equalWidth="0" w:num="1">
            <w:col w:w="9400"/>
          </w:cols>
          <w:pgMar w:left="1260" w:top="1440" w:right="1246" w:bottom="0" w:gutter="0" w:footer="0" w:header="0"/>
          <w:type w:val="continuous"/>
        </w:sectPr>
      </w:pPr>
    </w:p>
    <w:bookmarkStart w:id="175" w:name="page176"/>
    <w:bookmarkEnd w:id="175"/>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6,692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8,617</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3,157</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4,373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70,632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126,147</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419</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197,198</w:t>
      </w:r>
    </w:p>
    <w:p>
      <w:pPr>
        <w:spacing w:after="0" w:line="356" w:lineRule="exact"/>
        <w:rPr>
          <w:sz w:val="20"/>
          <w:szCs w:val="20"/>
          <w:color w:val="auto"/>
        </w:rPr>
      </w:pPr>
    </w:p>
    <w:p>
      <w:pPr>
        <w:ind w:left="160"/>
        <w:spacing w:after="0"/>
        <w:rPr>
          <w:sz w:val="20"/>
          <w:szCs w:val="20"/>
          <w:color w:val="auto"/>
        </w:rPr>
      </w:pPr>
      <w:r>
        <w:rPr>
          <w:rFonts w:ascii="Arial" w:cs="Arial" w:eastAsia="Arial" w:hAnsi="Arial"/>
          <w:sz w:val="19"/>
          <w:szCs w:val="19"/>
          <w:color w:val="auto"/>
        </w:rPr>
        <w:t>Special Mention (5)</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9400"/>
          </w:cols>
          <w:pgMar w:left="1260" w:top="116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17</w:t>
      </w:r>
    </w:p>
    <w:p>
      <w:pPr>
        <w:sectPr>
          <w:pgSz w:w="11900" w:h="16838" w:orient="portrait"/>
          <w:cols w:equalWidth="0" w:num="1">
            <w:col w:w="9400"/>
          </w:cols>
          <w:pgMar w:left="1260" w:top="1161" w:right="1246" w:bottom="0" w:gutter="0" w:footer="0" w:header="0"/>
          <w:type w:val="continuous"/>
        </w:sectPr>
      </w:pPr>
    </w:p>
    <w:bookmarkStart w:id="176" w:name="page177"/>
    <w:bookmarkEnd w:id="176"/>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4,808</w:t>
      </w: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color w:val="auto"/>
        </w:rPr>
        <w:t>Substandard (6)</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2,293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2,456</w:t>
      </w:r>
    </w:p>
    <w:p>
      <w:pPr>
        <w:sectPr>
          <w:pgSz w:w="11900" w:h="16838" w:orient="portrait"/>
          <w:cols w:equalWidth="0" w:num="1">
            <w:col w:w="9240"/>
          </w:cols>
          <w:pgMar w:left="142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 / 17</w:t>
      </w:r>
    </w:p>
    <w:p>
      <w:pPr>
        <w:sectPr>
          <w:pgSz w:w="11900" w:h="16838" w:orient="portrait"/>
          <w:cols w:equalWidth="0" w:num="1">
            <w:col w:w="9240"/>
          </w:cols>
          <w:pgMar w:left="1420" w:top="1440" w:right="1246" w:bottom="0" w:gutter="0" w:footer="0" w:header="0"/>
          <w:type w:val="continuous"/>
        </w:sectPr>
      </w:pPr>
    </w:p>
    <w:bookmarkStart w:id="177" w:name="page178"/>
    <w:bookmarkEnd w:id="177"/>
    <w:p>
      <w:pPr>
        <w:spacing w:after="0" w:line="1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13,883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16,339</w:t>
      </w: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color w:val="auto"/>
        </w:rPr>
        <w:t>Doubtful (7)</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ectPr>
          <w:pgSz w:w="11900" w:h="16838" w:orient="portrait"/>
          <w:cols w:equalWidth="0" w:num="1">
            <w:col w:w="9240"/>
          </w:cols>
          <w:pgMar w:left="142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11 / 17</w:t>
      </w:r>
    </w:p>
    <w:p>
      <w:pPr>
        <w:sectPr>
          <w:pgSz w:w="11900" w:h="16838" w:orient="portrait"/>
          <w:cols w:equalWidth="0" w:num="1">
            <w:col w:w="9240"/>
          </w:cols>
          <w:pgMar w:left="1420" w:top="1440" w:right="1246" w:bottom="0" w:gutter="0" w:footer="0" w:header="0"/>
          <w:type w:val="continuous"/>
        </w:sectPr>
      </w:pPr>
    </w:p>
    <w:bookmarkStart w:id="178" w:name="page179"/>
    <w:bookmarkEnd w:id="178"/>
    <w:p>
      <w:pPr>
        <w:ind w:left="260"/>
        <w:spacing w:after="0"/>
        <w:rPr>
          <w:sz w:val="20"/>
          <w:szCs w:val="20"/>
          <w:color w:val="auto"/>
        </w:rPr>
      </w:pPr>
      <w:r>
        <w:rPr>
          <w:rFonts w:ascii="Arial" w:cs="Arial" w:eastAsia="Arial" w:hAnsi="Arial"/>
          <w:sz w:val="19"/>
          <w:szCs w:val="19"/>
          <w:color w:val="auto"/>
        </w:rPr>
        <w:t>Total Agricultural</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42,982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7,208</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6,782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8,966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3,168</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4,373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73,479</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144,447</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419</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218,345</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9"/>
          <w:szCs w:val="19"/>
          <w:color w:val="auto"/>
        </w:rPr>
        <w:t>Gross charge-offs YTD</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9400"/>
          </w:cols>
          <w:pgMar w:left="1260" w:top="116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17</w:t>
      </w:r>
    </w:p>
    <w:p>
      <w:pPr>
        <w:sectPr>
          <w:pgSz w:w="11900" w:h="16838" w:orient="portrait"/>
          <w:cols w:equalWidth="0" w:num="1">
            <w:col w:w="9400"/>
          </w:cols>
          <w:pgMar w:left="1260" w:top="1161" w:right="1246" w:bottom="0" w:gutter="0" w:footer="0" w:header="0"/>
          <w:type w:val="continuous"/>
        </w:sectPr>
      </w:pPr>
    </w:p>
    <w:bookmarkStart w:id="179" w:name="page180"/>
    <w:bookmarkEnd w:id="179"/>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17</w:t>
      </w:r>
    </w:p>
    <w:p>
      <w:pPr>
        <w:sectPr>
          <w:pgSz w:w="11900" w:h="16838" w:orient="portrait"/>
          <w:cols w:equalWidth="0" w:num="1">
            <w:col w:w="9400"/>
          </w:cols>
          <w:pgMar w:left="1260" w:top="1161" w:right="1246" w:bottom="0" w:gutter="0" w:footer="0" w:header="0"/>
          <w:type w:val="continuous"/>
        </w:sectPr>
      </w:pPr>
    </w:p>
    <w:bookmarkStart w:id="180" w:name="page181"/>
    <w:bookmarkEnd w:id="180"/>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ind w:right="64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ind w:right="640"/>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9"/>
                <w:szCs w:val="19"/>
                <w:color w:val="auto"/>
              </w:rPr>
              <w:t>(In Thousands)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09"/>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4"/>
          </w:tcPr>
          <w:p>
            <w:pPr>
              <w:jc w:val="right"/>
              <w:spacing w:after="0"/>
              <w:rPr>
                <w:sz w:val="20"/>
                <w:szCs w:val="20"/>
                <w:color w:val="auto"/>
              </w:rPr>
            </w:pPr>
            <w:r>
              <w:rPr>
                <w:rFonts w:ascii="Arial" w:cs="Arial" w:eastAsia="Arial" w:hAnsi="Arial"/>
                <w:sz w:val="19"/>
                <w:szCs w:val="19"/>
                <w:color w:val="auto"/>
                <w:w w:val="98"/>
              </w:rPr>
              <w:t>December 31, 2025</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9"/>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gridSpan w:val="11"/>
          </w:tcPr>
          <w:p>
            <w:pPr>
              <w:jc w:val="right"/>
              <w:ind w:right="385"/>
              <w:spacing w:after="0"/>
              <w:rPr>
                <w:sz w:val="20"/>
                <w:szCs w:val="20"/>
                <w:color w:val="auto"/>
              </w:rPr>
            </w:pPr>
            <w:r>
              <w:rPr>
                <w:rFonts w:ascii="Arial" w:cs="Arial" w:eastAsia="Arial" w:hAnsi="Arial"/>
                <w:sz w:val="19"/>
                <w:szCs w:val="19"/>
                <w:color w:val="auto"/>
                <w:w w:val="99"/>
              </w:rPr>
              <w:t>Term Loans Amortized Cost Basis by Origination Year</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9"/>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9"/>
                <w:szCs w:val="19"/>
                <w:color w:val="auto"/>
              </w:rPr>
              <w:t>Revolving</w:t>
            </w:r>
          </w:p>
        </w:tc>
        <w:tc>
          <w:tcPr>
            <w:tcW w:w="940" w:type="dxa"/>
            <w:vAlign w:val="bottom"/>
            <w:gridSpan w:val="2"/>
          </w:tcPr>
          <w:p>
            <w:pPr>
              <w:ind w:left="80"/>
              <w:spacing w:after="0"/>
              <w:rPr>
                <w:sz w:val="20"/>
                <w:szCs w:val="20"/>
                <w:color w:val="auto"/>
              </w:rPr>
            </w:pPr>
            <w:r>
              <w:rPr>
                <w:rFonts w:ascii="Arial" w:cs="Arial" w:eastAsia="Arial" w:hAnsi="Arial"/>
                <w:sz w:val="19"/>
                <w:szCs w:val="19"/>
                <w:color w:val="auto"/>
              </w:rPr>
              <w:t>Revolving</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9"/>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145"/>
              <w:spacing w:after="0"/>
              <w:rPr>
                <w:sz w:val="20"/>
                <w:szCs w:val="20"/>
                <w:color w:val="auto"/>
              </w:rPr>
            </w:pPr>
            <w:r>
              <w:rPr>
                <w:rFonts w:ascii="Arial" w:cs="Arial" w:eastAsia="Arial" w:hAnsi="Arial"/>
                <w:sz w:val="19"/>
                <w:szCs w:val="19"/>
                <w:color w:val="auto"/>
                <w:w w:val="92"/>
              </w:rPr>
              <w:t>Loans</w:t>
            </w:r>
          </w:p>
        </w:tc>
        <w:tc>
          <w:tcPr>
            <w:tcW w:w="200" w:type="dxa"/>
            <w:vAlign w:val="bottom"/>
          </w:tcPr>
          <w:p>
            <w:pPr>
              <w:spacing w:after="0"/>
              <w:rPr>
                <w:sz w:val="24"/>
                <w:szCs w:val="24"/>
                <w:color w:val="auto"/>
              </w:rPr>
            </w:pPr>
          </w:p>
        </w:tc>
        <w:tc>
          <w:tcPr>
            <w:tcW w:w="740" w:type="dxa"/>
            <w:vAlign w:val="bottom"/>
          </w:tcPr>
          <w:p>
            <w:pPr>
              <w:jc w:val="right"/>
              <w:ind w:right="145"/>
              <w:spacing w:after="0"/>
              <w:rPr>
                <w:sz w:val="20"/>
                <w:szCs w:val="20"/>
                <w:color w:val="auto"/>
              </w:rPr>
            </w:pPr>
            <w:r>
              <w:rPr>
                <w:rFonts w:ascii="Arial" w:cs="Arial" w:eastAsia="Arial" w:hAnsi="Arial"/>
                <w:sz w:val="19"/>
                <w:szCs w:val="19"/>
                <w:color w:val="auto"/>
                <w:w w:val="92"/>
              </w:rPr>
              <w:t>Loans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9"/>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05"/>
              <w:spacing w:after="0"/>
              <w:rPr>
                <w:sz w:val="20"/>
                <w:szCs w:val="20"/>
                <w:color w:val="auto"/>
              </w:rPr>
            </w:pPr>
            <w:r>
              <w:rPr>
                <w:rFonts w:ascii="Arial" w:cs="Arial" w:eastAsia="Arial" w:hAnsi="Arial"/>
                <w:sz w:val="19"/>
                <w:szCs w:val="19"/>
                <w:color w:val="auto"/>
              </w:rPr>
              <w:t>Term</w:t>
            </w:r>
          </w:p>
        </w:tc>
        <w:tc>
          <w:tcPr>
            <w:tcW w:w="940" w:type="dxa"/>
            <w:vAlign w:val="bottom"/>
            <w:gridSpan w:val="2"/>
          </w:tcPr>
          <w:p>
            <w:pPr>
              <w:ind w:left="60"/>
              <w:spacing w:after="0"/>
              <w:rPr>
                <w:sz w:val="20"/>
                <w:szCs w:val="20"/>
                <w:color w:val="auto"/>
              </w:rPr>
            </w:pPr>
            <w:r>
              <w:rPr>
                <w:rFonts w:ascii="Arial" w:cs="Arial" w:eastAsia="Arial" w:hAnsi="Arial"/>
                <w:sz w:val="19"/>
                <w:szCs w:val="19"/>
                <w:color w:val="auto"/>
              </w:rPr>
              <w:t>Amortized</w:t>
            </w:r>
          </w:p>
        </w:tc>
        <w:tc>
          <w:tcPr>
            <w:tcW w:w="940" w:type="dxa"/>
            <w:vAlign w:val="bottom"/>
            <w:gridSpan w:val="2"/>
          </w:tcPr>
          <w:p>
            <w:pPr>
              <w:ind w:left="80"/>
              <w:spacing w:after="0"/>
              <w:rPr>
                <w:sz w:val="20"/>
                <w:szCs w:val="20"/>
                <w:color w:val="auto"/>
              </w:rPr>
            </w:pPr>
            <w:r>
              <w:rPr>
                <w:rFonts w:ascii="Arial" w:cs="Arial" w:eastAsia="Arial" w:hAnsi="Arial"/>
                <w:sz w:val="19"/>
                <w:szCs w:val="19"/>
                <w:color w:val="auto"/>
                <w:w w:val="95"/>
              </w:rPr>
              <w:t>Converted</w:t>
            </w:r>
          </w:p>
        </w:tc>
        <w:tc>
          <w:tcPr>
            <w:tcW w:w="160" w:type="dxa"/>
            <w:vAlign w:val="bottom"/>
          </w:tcPr>
          <w:p>
            <w:pPr>
              <w:spacing w:after="0"/>
              <w:rPr>
                <w:sz w:val="24"/>
                <w:szCs w:val="24"/>
                <w:color w:val="auto"/>
              </w:rPr>
            </w:pPr>
          </w:p>
        </w:tc>
        <w:tc>
          <w:tcPr>
            <w:tcW w:w="840" w:type="dxa"/>
            <w:vAlign w:val="bottom"/>
          </w:tcPr>
          <w:p>
            <w:pPr>
              <w:jc w:val="right"/>
              <w:ind w:right="165"/>
              <w:spacing w:after="0"/>
              <w:rPr>
                <w:sz w:val="20"/>
                <w:szCs w:val="20"/>
                <w:color w:val="auto"/>
              </w:rPr>
            </w:pPr>
            <w:r>
              <w:rPr>
                <w:rFonts w:ascii="Arial" w:cs="Arial" w:eastAsia="Arial" w:hAnsi="Arial"/>
                <w:sz w:val="19"/>
                <w:szCs w:val="19"/>
                <w:color w:val="auto"/>
              </w:rPr>
              <w:t>Grand</w:t>
            </w:r>
          </w:p>
        </w:tc>
      </w:tr>
      <w:tr>
        <w:trPr>
          <w:trHeight w:val="299"/>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145"/>
              <w:spacing w:after="0"/>
              <w:rPr>
                <w:sz w:val="20"/>
                <w:szCs w:val="20"/>
                <w:color w:val="auto"/>
              </w:rPr>
            </w:pPr>
            <w:r>
              <w:rPr>
                <w:rFonts w:ascii="Arial" w:cs="Arial" w:eastAsia="Arial" w:hAnsi="Arial"/>
                <w:sz w:val="19"/>
                <w:szCs w:val="19"/>
                <w:color w:val="auto"/>
              </w:rPr>
              <w:t>2025</w:t>
            </w:r>
          </w:p>
        </w:tc>
        <w:tc>
          <w:tcPr>
            <w:tcW w:w="180" w:type="dxa"/>
            <w:vAlign w:val="bottom"/>
          </w:tcPr>
          <w:p>
            <w:pPr>
              <w:spacing w:after="0"/>
              <w:rPr>
                <w:sz w:val="24"/>
                <w:szCs w:val="24"/>
                <w:color w:val="auto"/>
              </w:rPr>
            </w:pPr>
          </w:p>
        </w:tc>
        <w:tc>
          <w:tcPr>
            <w:tcW w:w="680" w:type="dxa"/>
            <w:vAlign w:val="bottom"/>
          </w:tcPr>
          <w:p>
            <w:pPr>
              <w:jc w:val="right"/>
              <w:ind w:right="145"/>
              <w:spacing w:after="0"/>
              <w:rPr>
                <w:sz w:val="20"/>
                <w:szCs w:val="20"/>
                <w:color w:val="auto"/>
              </w:rPr>
            </w:pPr>
            <w:r>
              <w:rPr>
                <w:rFonts w:ascii="Arial" w:cs="Arial" w:eastAsia="Arial" w:hAnsi="Arial"/>
                <w:sz w:val="19"/>
                <w:szCs w:val="19"/>
                <w:color w:val="auto"/>
                <w:w w:val="99"/>
              </w:rPr>
              <w:t>2024</w:t>
            </w:r>
          </w:p>
        </w:tc>
        <w:tc>
          <w:tcPr>
            <w:tcW w:w="180" w:type="dxa"/>
            <w:vAlign w:val="bottom"/>
          </w:tcPr>
          <w:p>
            <w:pPr>
              <w:spacing w:after="0"/>
              <w:rPr>
                <w:sz w:val="24"/>
                <w:szCs w:val="24"/>
                <w:color w:val="auto"/>
              </w:rPr>
            </w:pPr>
          </w:p>
        </w:tc>
        <w:tc>
          <w:tcPr>
            <w:tcW w:w="680" w:type="dxa"/>
            <w:vAlign w:val="bottom"/>
          </w:tcPr>
          <w:p>
            <w:pPr>
              <w:jc w:val="right"/>
              <w:ind w:right="145"/>
              <w:spacing w:after="0"/>
              <w:rPr>
                <w:sz w:val="20"/>
                <w:szCs w:val="20"/>
                <w:color w:val="auto"/>
              </w:rPr>
            </w:pPr>
            <w:r>
              <w:rPr>
                <w:rFonts w:ascii="Arial" w:cs="Arial" w:eastAsia="Arial" w:hAnsi="Arial"/>
                <w:sz w:val="19"/>
                <w:szCs w:val="19"/>
                <w:color w:val="auto"/>
                <w:w w:val="99"/>
              </w:rPr>
              <w:t>2023</w:t>
            </w:r>
          </w:p>
        </w:tc>
        <w:tc>
          <w:tcPr>
            <w:tcW w:w="180" w:type="dxa"/>
            <w:vAlign w:val="bottom"/>
          </w:tcPr>
          <w:p>
            <w:pPr>
              <w:spacing w:after="0"/>
              <w:rPr>
                <w:sz w:val="24"/>
                <w:szCs w:val="24"/>
                <w:color w:val="auto"/>
              </w:rPr>
            </w:pPr>
          </w:p>
        </w:tc>
        <w:tc>
          <w:tcPr>
            <w:tcW w:w="700" w:type="dxa"/>
            <w:vAlign w:val="bottom"/>
          </w:tcPr>
          <w:p>
            <w:pPr>
              <w:jc w:val="right"/>
              <w:ind w:right="145"/>
              <w:spacing w:after="0"/>
              <w:rPr>
                <w:sz w:val="20"/>
                <w:szCs w:val="20"/>
                <w:color w:val="auto"/>
              </w:rPr>
            </w:pPr>
            <w:r>
              <w:rPr>
                <w:rFonts w:ascii="Arial" w:cs="Arial" w:eastAsia="Arial" w:hAnsi="Arial"/>
                <w:sz w:val="19"/>
                <w:szCs w:val="19"/>
                <w:color w:val="auto"/>
              </w:rPr>
              <w:t>2022</w:t>
            </w:r>
          </w:p>
        </w:tc>
        <w:tc>
          <w:tcPr>
            <w:tcW w:w="160" w:type="dxa"/>
            <w:vAlign w:val="bottom"/>
          </w:tcPr>
          <w:p>
            <w:pPr>
              <w:spacing w:after="0"/>
              <w:rPr>
                <w:sz w:val="24"/>
                <w:szCs w:val="24"/>
                <w:color w:val="auto"/>
              </w:rPr>
            </w:pPr>
          </w:p>
        </w:tc>
        <w:tc>
          <w:tcPr>
            <w:tcW w:w="700" w:type="dxa"/>
            <w:vAlign w:val="bottom"/>
          </w:tcPr>
          <w:p>
            <w:pPr>
              <w:jc w:val="right"/>
              <w:ind w:right="145"/>
              <w:spacing w:after="0"/>
              <w:rPr>
                <w:sz w:val="20"/>
                <w:szCs w:val="20"/>
                <w:color w:val="auto"/>
              </w:rPr>
            </w:pPr>
            <w:r>
              <w:rPr>
                <w:rFonts w:ascii="Arial" w:cs="Arial" w:eastAsia="Arial" w:hAnsi="Arial"/>
                <w:sz w:val="19"/>
                <w:szCs w:val="19"/>
                <w:color w:val="auto"/>
              </w:rPr>
              <w:t>2021</w:t>
            </w:r>
          </w:p>
        </w:tc>
        <w:tc>
          <w:tcPr>
            <w:tcW w:w="180" w:type="dxa"/>
            <w:vAlign w:val="bottom"/>
          </w:tcPr>
          <w:p>
            <w:pPr>
              <w:spacing w:after="0"/>
              <w:rPr>
                <w:sz w:val="24"/>
                <w:szCs w:val="24"/>
                <w:color w:val="auto"/>
              </w:rPr>
            </w:pPr>
          </w:p>
        </w:tc>
        <w:tc>
          <w:tcPr>
            <w:tcW w:w="680" w:type="dxa"/>
            <w:vAlign w:val="bottom"/>
          </w:tcPr>
          <w:p>
            <w:pPr>
              <w:jc w:val="right"/>
              <w:ind w:right="145"/>
              <w:spacing w:after="0"/>
              <w:rPr>
                <w:sz w:val="20"/>
                <w:szCs w:val="20"/>
                <w:color w:val="auto"/>
              </w:rPr>
            </w:pPr>
            <w:r>
              <w:rPr>
                <w:rFonts w:ascii="Arial" w:cs="Arial" w:eastAsia="Arial" w:hAnsi="Arial"/>
                <w:sz w:val="19"/>
                <w:szCs w:val="19"/>
                <w:color w:val="auto"/>
              </w:rPr>
              <w:t>Prior</w:t>
            </w:r>
          </w:p>
        </w:tc>
        <w:tc>
          <w:tcPr>
            <w:tcW w:w="180" w:type="dxa"/>
            <w:vAlign w:val="bottom"/>
          </w:tcPr>
          <w:p>
            <w:pPr>
              <w:spacing w:after="0"/>
              <w:rPr>
                <w:sz w:val="24"/>
                <w:szCs w:val="24"/>
                <w:color w:val="auto"/>
              </w:rPr>
            </w:pPr>
          </w:p>
        </w:tc>
        <w:tc>
          <w:tcPr>
            <w:tcW w:w="840" w:type="dxa"/>
            <w:vAlign w:val="bottom"/>
          </w:tcPr>
          <w:p>
            <w:pPr>
              <w:jc w:val="right"/>
              <w:ind w:right="225"/>
              <w:spacing w:after="0"/>
              <w:rPr>
                <w:sz w:val="20"/>
                <w:szCs w:val="20"/>
                <w:color w:val="auto"/>
              </w:rPr>
            </w:pPr>
            <w:r>
              <w:rPr>
                <w:rFonts w:ascii="Arial" w:cs="Arial" w:eastAsia="Arial" w:hAnsi="Arial"/>
                <w:sz w:val="19"/>
                <w:szCs w:val="19"/>
                <w:color w:val="auto"/>
              </w:rPr>
              <w:t>Total</w:t>
            </w:r>
          </w:p>
        </w:tc>
        <w:tc>
          <w:tcPr>
            <w:tcW w:w="940" w:type="dxa"/>
            <w:vAlign w:val="bottom"/>
            <w:gridSpan w:val="2"/>
          </w:tcPr>
          <w:p>
            <w:pPr>
              <w:ind w:left="60"/>
              <w:spacing w:after="0"/>
              <w:rPr>
                <w:sz w:val="20"/>
                <w:szCs w:val="20"/>
                <w:color w:val="auto"/>
              </w:rPr>
            </w:pPr>
            <w:r>
              <w:rPr>
                <w:rFonts w:ascii="Arial" w:cs="Arial" w:eastAsia="Arial" w:hAnsi="Arial"/>
                <w:sz w:val="19"/>
                <w:szCs w:val="19"/>
                <w:color w:val="auto"/>
                <w:w w:val="94"/>
              </w:rPr>
              <w:t>Cost Basis</w:t>
            </w:r>
          </w:p>
        </w:tc>
        <w:tc>
          <w:tcPr>
            <w:tcW w:w="940" w:type="dxa"/>
            <w:vAlign w:val="bottom"/>
            <w:gridSpan w:val="2"/>
          </w:tcPr>
          <w:p>
            <w:pPr>
              <w:jc w:val="right"/>
              <w:ind w:right="65"/>
              <w:spacing w:after="0"/>
              <w:rPr>
                <w:sz w:val="20"/>
                <w:szCs w:val="20"/>
                <w:color w:val="auto"/>
              </w:rPr>
            </w:pPr>
            <w:r>
              <w:rPr>
                <w:rFonts w:ascii="Arial" w:cs="Arial" w:eastAsia="Arial" w:hAnsi="Arial"/>
                <w:sz w:val="19"/>
                <w:szCs w:val="19"/>
                <w:color w:val="auto"/>
              </w:rPr>
              <w:t>to Term</w:t>
            </w:r>
          </w:p>
        </w:tc>
        <w:tc>
          <w:tcPr>
            <w:tcW w:w="160" w:type="dxa"/>
            <w:vAlign w:val="bottom"/>
          </w:tcPr>
          <w:p>
            <w:pPr>
              <w:spacing w:after="0"/>
              <w:rPr>
                <w:sz w:val="24"/>
                <w:szCs w:val="24"/>
                <w:color w:val="auto"/>
              </w:rPr>
            </w:pPr>
          </w:p>
        </w:tc>
        <w:tc>
          <w:tcPr>
            <w:tcW w:w="840" w:type="dxa"/>
            <w:vAlign w:val="bottom"/>
          </w:tcPr>
          <w:p>
            <w:pPr>
              <w:jc w:val="right"/>
              <w:ind w:right="205"/>
              <w:spacing w:after="0"/>
              <w:rPr>
                <w:sz w:val="20"/>
                <w:szCs w:val="20"/>
                <w:color w:val="auto"/>
              </w:rPr>
            </w:pPr>
            <w:r>
              <w:rPr>
                <w:rFonts w:ascii="Arial" w:cs="Arial" w:eastAsia="Arial" w:hAnsi="Arial"/>
                <w:sz w:val="19"/>
                <w:szCs w:val="19"/>
                <w:color w:val="auto"/>
              </w:rPr>
              <w:t>Total</w:t>
            </w:r>
          </w:p>
        </w:tc>
      </w:tr>
      <w:tr>
        <w:trPr>
          <w:trHeight w:val="34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1"/>
        </w:trPr>
        <w:tc>
          <w:tcPr>
            <w:tcW w:w="1000" w:type="dxa"/>
            <w:vAlign w:val="bottom"/>
            <w:shd w:val="clear" w:color="auto" w:fill="CFF0FC"/>
          </w:tcPr>
          <w:p>
            <w:pPr>
              <w:spacing w:after="0"/>
              <w:rPr>
                <w:sz w:val="20"/>
                <w:szCs w:val="20"/>
                <w:color w:val="auto"/>
              </w:rPr>
            </w:pPr>
            <w:r>
              <w:rPr>
                <w:rFonts w:ascii="Arial" w:cs="Arial" w:eastAsia="Arial" w:hAnsi="Arial"/>
                <w:sz w:val="19"/>
                <w:szCs w:val="19"/>
                <w:color w:val="auto"/>
                <w:w w:val="96"/>
              </w:rPr>
              <w:t>Commercial</w:t>
            </w: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303"/>
        </w:trPr>
        <w:tc>
          <w:tcPr>
            <w:tcW w:w="1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w w:val="99"/>
              </w:rPr>
              <w:t>Real Estate</w:t>
            </w:r>
          </w:p>
        </w:tc>
        <w:tc>
          <w:tcPr>
            <w:tcW w:w="1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r>
      <w:tr>
        <w:trPr>
          <w:trHeight w:val="261"/>
        </w:trPr>
        <w:tc>
          <w:tcPr>
            <w:tcW w:w="1000" w:type="dxa"/>
            <w:vAlign w:val="bottom"/>
          </w:tcPr>
          <w:p>
            <w:pPr>
              <w:spacing w:after="0"/>
              <w:rPr>
                <w:sz w:val="20"/>
                <w:szCs w:val="20"/>
                <w:color w:val="auto"/>
              </w:rPr>
            </w:pPr>
            <w:r>
              <w:rPr>
                <w:rFonts w:ascii="Arial" w:cs="Arial" w:eastAsia="Arial" w:hAnsi="Arial"/>
                <w:sz w:val="19"/>
                <w:szCs w:val="19"/>
                <w:color w:val="auto"/>
              </w:rPr>
              <w:t>Risk Rating</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38"/>
        </w:trPr>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Pass (1-4)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244,689</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132,260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157,885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362,675</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0"/>
              </w:rPr>
              <w:t>175,569</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160,103</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1,233,181</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5,369</w:t>
            </w:r>
          </w:p>
        </w:tc>
        <w:tc>
          <w:tcPr>
            <w:tcW w:w="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9"/>
                <w:szCs w:val="19"/>
                <w:color w:val="auto"/>
                <w:w w:val="94"/>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9"/>
              </w:rPr>
              <w:t>1,238,550</w:t>
            </w:r>
          </w:p>
        </w:tc>
      </w:tr>
      <w:tr>
        <w:trPr>
          <w:trHeight w:val="261"/>
        </w:trPr>
        <w:tc>
          <w:tcPr>
            <w:tcW w:w="1000" w:type="dxa"/>
            <w:vAlign w:val="bottom"/>
          </w:tcPr>
          <w:p>
            <w:pPr>
              <w:ind w:left="20"/>
              <w:spacing w:after="0"/>
              <w:rPr>
                <w:sz w:val="20"/>
                <w:szCs w:val="20"/>
                <w:color w:val="auto"/>
              </w:rPr>
            </w:pPr>
            <w:r>
              <w:rPr>
                <w:rFonts w:ascii="Arial" w:cs="Arial" w:eastAsia="Arial" w:hAnsi="Arial"/>
                <w:sz w:val="19"/>
                <w:szCs w:val="19"/>
                <w:color w:val="auto"/>
              </w:rPr>
              <w:t>Special</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w w:val="99"/>
              </w:rPr>
              <w:t>Mention (5)</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4,355</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1,211</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23,915</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12,380</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12,381</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2,088</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56,330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56,330</w:t>
            </w:r>
          </w:p>
        </w:tc>
      </w:tr>
      <w:tr>
        <w:trPr>
          <w:trHeight w:val="38"/>
        </w:trPr>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1"/>
        </w:trPr>
        <w:tc>
          <w:tcPr>
            <w:tcW w:w="1000" w:type="dxa"/>
            <w:vAlign w:val="bottom"/>
            <w:shd w:val="clear" w:color="auto" w:fill="CFF0FC"/>
          </w:tcPr>
          <w:p>
            <w:pPr>
              <w:ind w:left="20"/>
              <w:spacing w:after="0"/>
              <w:rPr>
                <w:sz w:val="20"/>
                <w:szCs w:val="20"/>
                <w:color w:val="auto"/>
              </w:rPr>
            </w:pPr>
            <w:r>
              <w:rPr>
                <w:rFonts w:ascii="Arial" w:cs="Arial" w:eastAsia="Arial" w:hAnsi="Arial"/>
                <w:sz w:val="19"/>
                <w:szCs w:val="19"/>
                <w:color w:val="auto"/>
                <w:w w:val="89"/>
              </w:rPr>
              <w:t>Substandard</w:t>
            </w: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303"/>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(6)</w:t>
            </w:r>
          </w:p>
        </w:tc>
        <w:tc>
          <w:tcPr>
            <w:tcW w:w="1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1,814</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55</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34,868</w:t>
            </w:r>
          </w:p>
        </w:tc>
        <w:tc>
          <w:tcPr>
            <w:tcW w:w="1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13,274</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1,357</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6,771</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58,139</w:t>
            </w: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58,139</w:t>
            </w:r>
          </w:p>
        </w:tc>
      </w:tr>
      <w:tr>
        <w:trPr>
          <w:trHeight w:val="271"/>
        </w:trPr>
        <w:tc>
          <w:tcPr>
            <w:tcW w:w="1000" w:type="dxa"/>
            <w:vAlign w:val="bottom"/>
          </w:tcPr>
          <w:p>
            <w:pPr>
              <w:ind w:left="20"/>
              <w:spacing w:after="0"/>
              <w:rPr>
                <w:sz w:val="20"/>
                <w:szCs w:val="20"/>
                <w:color w:val="auto"/>
              </w:rPr>
            </w:pPr>
            <w:r>
              <w:rPr>
                <w:rFonts w:ascii="Arial" w:cs="Arial" w:eastAsia="Arial" w:hAnsi="Arial"/>
                <w:sz w:val="19"/>
                <w:szCs w:val="19"/>
                <w:color w:val="auto"/>
                <w:w w:val="96"/>
              </w:rPr>
              <w:t>Doubtful (7)</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8"/>
        </w:trPr>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1"/>
        </w:trPr>
        <w:tc>
          <w:tcPr>
            <w:tcW w:w="1000" w:type="dxa"/>
            <w:vAlign w:val="bottom"/>
            <w:shd w:val="clear" w:color="auto" w:fill="CFF0FC"/>
          </w:tcPr>
          <w:p>
            <w:pPr>
              <w:ind w:left="20"/>
              <w:spacing w:after="0"/>
              <w:rPr>
                <w:sz w:val="20"/>
                <w:szCs w:val="20"/>
                <w:color w:val="auto"/>
              </w:rPr>
            </w:pPr>
            <w:r>
              <w:rPr>
                <w:rFonts w:ascii="Arial" w:cs="Arial" w:eastAsia="Arial" w:hAnsi="Arial"/>
                <w:sz w:val="19"/>
                <w:szCs w:val="19"/>
                <w:color w:val="auto"/>
              </w:rPr>
              <w:t>Total</w:t>
            </w: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285"/>
        </w:trPr>
        <w:tc>
          <w:tcPr>
            <w:tcW w:w="1000" w:type="dxa"/>
            <w:vAlign w:val="bottom"/>
            <w:shd w:val="clear" w:color="auto" w:fill="CFF0FC"/>
          </w:tcPr>
          <w:p>
            <w:pPr>
              <w:ind w:left="20"/>
              <w:spacing w:after="0"/>
              <w:rPr>
                <w:sz w:val="20"/>
                <w:szCs w:val="20"/>
                <w:color w:val="auto"/>
              </w:rPr>
            </w:pPr>
            <w:r>
              <w:rPr>
                <w:rFonts w:ascii="Arial" w:cs="Arial" w:eastAsia="Arial" w:hAnsi="Arial"/>
                <w:sz w:val="19"/>
                <w:szCs w:val="19"/>
                <w:color w:val="auto"/>
                <w:w w:val="94"/>
              </w:rPr>
              <w:t>Commercial</w:t>
            </w:r>
          </w:p>
        </w:tc>
        <w:tc>
          <w:tcPr>
            <w:tcW w:w="12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303"/>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w w:val="97"/>
              </w:rPr>
              <w:t>Real Estate</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250,858</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133,526</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216,668</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388,329</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0"/>
              </w:rPr>
              <w:t>189,307</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168,962</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1,347,650</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5,369</w:t>
            </w:r>
          </w:p>
        </w:tc>
        <w:tc>
          <w:tcPr>
            <w:tcW w:w="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9"/>
                <w:szCs w:val="19"/>
                <w:color w:val="auto"/>
                <w:w w:val="94"/>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9"/>
              </w:rPr>
              <w:t>1,353,019</w:t>
            </w:r>
          </w:p>
        </w:tc>
      </w:tr>
      <w:tr>
        <w:trPr>
          <w:trHeight w:val="261"/>
        </w:trPr>
        <w:tc>
          <w:tcPr>
            <w:tcW w:w="1000" w:type="dxa"/>
            <w:vAlign w:val="bottom"/>
          </w:tcPr>
          <w:p>
            <w:pPr>
              <w:ind w:left="20"/>
              <w:spacing w:after="0"/>
              <w:rPr>
                <w:sz w:val="20"/>
                <w:szCs w:val="20"/>
                <w:color w:val="auto"/>
              </w:rPr>
            </w:pPr>
            <w:r>
              <w:rPr>
                <w:rFonts w:ascii="Arial" w:cs="Arial" w:eastAsia="Arial" w:hAnsi="Arial"/>
                <w:sz w:val="19"/>
                <w:szCs w:val="19"/>
                <w:color w:val="auto"/>
              </w:rPr>
              <w:t>Gross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rPr>
              <w:t>charge-offs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rPr>
              <w:t>YTD</w:t>
            </w:r>
          </w:p>
        </w:tc>
        <w:tc>
          <w:tcPr>
            <w:tcW w:w="12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ind w:left="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ind w:left="80"/>
              <w:spacing w:after="0"/>
              <w:rPr>
                <w:sz w:val="20"/>
                <w:szCs w:val="20"/>
                <w:color w:val="auto"/>
              </w:rPr>
            </w:pPr>
            <w:r>
              <w:rPr>
                <w:rFonts w:ascii="Arial" w:cs="Arial" w:eastAsia="Arial" w:hAnsi="Arial"/>
                <w:sz w:val="19"/>
                <w:szCs w:val="19"/>
                <w:color w:val="auto"/>
                <w:w w:val="94"/>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3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1"/>
        </w:trPr>
        <w:tc>
          <w:tcPr>
            <w:tcW w:w="1000" w:type="dxa"/>
            <w:vAlign w:val="bottom"/>
            <w:shd w:val="clear" w:color="auto" w:fill="CFF0FC"/>
          </w:tcPr>
          <w:p>
            <w:pPr>
              <w:spacing w:after="0"/>
              <w:rPr>
                <w:sz w:val="20"/>
                <w:szCs w:val="20"/>
                <w:color w:val="auto"/>
              </w:rPr>
            </w:pPr>
            <w:r>
              <w:rPr>
                <w:rFonts w:ascii="Arial" w:cs="Arial" w:eastAsia="Arial" w:hAnsi="Arial"/>
                <w:sz w:val="19"/>
                <w:szCs w:val="19"/>
                <w:color w:val="auto"/>
                <w:w w:val="96"/>
              </w:rPr>
              <w:t>Commercial</w:t>
            </w: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303"/>
        </w:trPr>
        <w:tc>
          <w:tcPr>
            <w:tcW w:w="1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&amp; Industrial</w:t>
            </w:r>
          </w:p>
        </w:tc>
        <w:tc>
          <w:tcPr>
            <w:tcW w:w="1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r>
      <w:tr>
        <w:trPr>
          <w:trHeight w:val="261"/>
        </w:trPr>
        <w:tc>
          <w:tcPr>
            <w:tcW w:w="1000" w:type="dxa"/>
            <w:vAlign w:val="bottom"/>
          </w:tcPr>
          <w:p>
            <w:pPr>
              <w:spacing w:after="0"/>
              <w:rPr>
                <w:sz w:val="20"/>
                <w:szCs w:val="20"/>
                <w:color w:val="auto"/>
              </w:rPr>
            </w:pPr>
            <w:r>
              <w:rPr>
                <w:rFonts w:ascii="Arial" w:cs="Arial" w:eastAsia="Arial" w:hAnsi="Arial"/>
                <w:sz w:val="19"/>
                <w:szCs w:val="19"/>
                <w:color w:val="auto"/>
              </w:rPr>
              <w:t>Risk Rating</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38"/>
        </w:trPr>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Pass (1-4)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58,239</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20,557</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38,008</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28,674</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10,454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6,310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162,242</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6"/>
              </w:rPr>
              <w:t>135,200</w:t>
            </w:r>
          </w:p>
        </w:tc>
        <w:tc>
          <w:tcPr>
            <w:tcW w:w="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9"/>
                <w:szCs w:val="19"/>
                <w:color w:val="auto"/>
                <w:w w:val="94"/>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45</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297,487</w:t>
            </w:r>
          </w:p>
        </w:tc>
      </w:tr>
      <w:tr>
        <w:trPr>
          <w:trHeight w:val="261"/>
        </w:trPr>
        <w:tc>
          <w:tcPr>
            <w:tcW w:w="1000" w:type="dxa"/>
            <w:vAlign w:val="bottom"/>
          </w:tcPr>
          <w:p>
            <w:pPr>
              <w:ind w:left="20"/>
              <w:spacing w:after="0"/>
              <w:rPr>
                <w:sz w:val="20"/>
                <w:szCs w:val="20"/>
                <w:color w:val="auto"/>
              </w:rPr>
            </w:pPr>
            <w:r>
              <w:rPr>
                <w:rFonts w:ascii="Arial" w:cs="Arial" w:eastAsia="Arial" w:hAnsi="Arial"/>
                <w:sz w:val="19"/>
                <w:szCs w:val="19"/>
                <w:color w:val="auto"/>
              </w:rPr>
              <w:t>Special</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w w:val="99"/>
              </w:rPr>
              <w:t>Mention (5)</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545</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42</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2,418</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63</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165</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3,233</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1,049</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4,282</w:t>
            </w:r>
          </w:p>
        </w:tc>
      </w:tr>
      <w:tr>
        <w:trPr>
          <w:trHeight w:val="38"/>
        </w:trPr>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1"/>
        </w:trPr>
        <w:tc>
          <w:tcPr>
            <w:tcW w:w="1000" w:type="dxa"/>
            <w:vAlign w:val="bottom"/>
            <w:shd w:val="clear" w:color="auto" w:fill="CFF0FC"/>
          </w:tcPr>
          <w:p>
            <w:pPr>
              <w:ind w:left="20"/>
              <w:spacing w:after="0"/>
              <w:rPr>
                <w:sz w:val="20"/>
                <w:szCs w:val="20"/>
                <w:color w:val="auto"/>
              </w:rPr>
            </w:pPr>
            <w:r>
              <w:rPr>
                <w:rFonts w:ascii="Arial" w:cs="Arial" w:eastAsia="Arial" w:hAnsi="Arial"/>
                <w:sz w:val="19"/>
                <w:szCs w:val="19"/>
                <w:color w:val="auto"/>
                <w:w w:val="89"/>
              </w:rPr>
              <w:t>Substandard</w:t>
            </w: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303"/>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(6)</w:t>
            </w:r>
          </w:p>
        </w:tc>
        <w:tc>
          <w:tcPr>
            <w:tcW w:w="1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33</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259</w:t>
            </w:r>
          </w:p>
        </w:tc>
        <w:tc>
          <w:tcPr>
            <w:tcW w:w="1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21</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135</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448</w:t>
            </w: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11,745</w:t>
            </w: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12,193</w:t>
            </w:r>
          </w:p>
        </w:tc>
      </w:tr>
      <w:tr>
        <w:trPr>
          <w:trHeight w:val="286"/>
        </w:trPr>
        <w:tc>
          <w:tcPr>
            <w:tcW w:w="1000" w:type="dxa"/>
            <w:vAlign w:val="bottom"/>
          </w:tcPr>
          <w:p>
            <w:pPr>
              <w:ind w:left="20"/>
              <w:spacing w:after="0"/>
              <w:rPr>
                <w:sz w:val="20"/>
                <w:szCs w:val="20"/>
                <w:color w:val="auto"/>
              </w:rPr>
            </w:pPr>
            <w:r>
              <w:rPr>
                <w:rFonts w:ascii="Arial" w:cs="Arial" w:eastAsia="Arial" w:hAnsi="Arial"/>
                <w:sz w:val="19"/>
                <w:szCs w:val="19"/>
                <w:color w:val="auto"/>
                <w:w w:val="96"/>
              </w:rPr>
              <w:t>Doubtful (7)</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134</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134</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134</w:t>
            </w:r>
          </w:p>
        </w:tc>
      </w:tr>
      <w:tr>
        <w:trPr>
          <w:trHeight w:val="38"/>
        </w:trPr>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1"/>
        </w:trPr>
        <w:tc>
          <w:tcPr>
            <w:tcW w:w="1000" w:type="dxa"/>
            <w:vAlign w:val="bottom"/>
            <w:shd w:val="clear" w:color="auto" w:fill="CFF0FC"/>
          </w:tcPr>
          <w:p>
            <w:pPr>
              <w:ind w:left="20"/>
              <w:spacing w:after="0"/>
              <w:rPr>
                <w:sz w:val="20"/>
                <w:szCs w:val="20"/>
                <w:color w:val="auto"/>
              </w:rPr>
            </w:pPr>
            <w:r>
              <w:rPr>
                <w:rFonts w:ascii="Arial" w:cs="Arial" w:eastAsia="Arial" w:hAnsi="Arial"/>
                <w:sz w:val="19"/>
                <w:szCs w:val="19"/>
                <w:color w:val="auto"/>
              </w:rPr>
              <w:t>Total</w:t>
            </w: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285"/>
        </w:trPr>
        <w:tc>
          <w:tcPr>
            <w:tcW w:w="1000" w:type="dxa"/>
            <w:vAlign w:val="bottom"/>
            <w:shd w:val="clear" w:color="auto" w:fill="CFF0FC"/>
          </w:tcPr>
          <w:p>
            <w:pPr>
              <w:ind w:left="20"/>
              <w:spacing w:after="0"/>
              <w:rPr>
                <w:sz w:val="20"/>
                <w:szCs w:val="20"/>
                <w:color w:val="auto"/>
              </w:rPr>
            </w:pPr>
            <w:r>
              <w:rPr>
                <w:rFonts w:ascii="Arial" w:cs="Arial" w:eastAsia="Arial" w:hAnsi="Arial"/>
                <w:sz w:val="19"/>
                <w:szCs w:val="19"/>
                <w:color w:val="auto"/>
                <w:w w:val="94"/>
              </w:rPr>
              <w:t>Commercial</w:t>
            </w:r>
          </w:p>
        </w:tc>
        <w:tc>
          <w:tcPr>
            <w:tcW w:w="12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323"/>
        </w:trPr>
        <w:tc>
          <w:tcPr>
            <w:tcW w:w="1120" w:type="dxa"/>
            <w:vAlign w:val="bottom"/>
            <w:gridSpan w:val="2"/>
            <w:shd w:val="clear" w:color="auto" w:fill="CFF0FC"/>
          </w:tcPr>
          <w:p>
            <w:pPr>
              <w:ind w:left="20"/>
              <w:spacing w:after="0" w:line="323" w:lineRule="exact"/>
              <w:rPr>
                <w:sz w:val="20"/>
                <w:szCs w:val="20"/>
                <w:color w:val="auto"/>
              </w:rPr>
            </w:pPr>
            <w:r>
              <w:rPr>
                <w:rFonts w:ascii="Arial" w:cs="Arial" w:eastAsia="Arial" w:hAnsi="Arial"/>
                <w:sz w:val="19"/>
                <w:szCs w:val="19"/>
                <w:color w:val="auto"/>
                <w:w w:val="94"/>
              </w:rPr>
              <w:t xml:space="preserve">&amp; Industrial </w:t>
            </w:r>
            <w:r>
              <w:rPr>
                <w:rFonts w:ascii="Arial" w:cs="Arial" w:eastAsia="Arial" w:hAnsi="Arial"/>
                <w:sz w:val="37"/>
                <w:szCs w:val="37"/>
                <w:color w:val="auto"/>
                <w:w w:val="94"/>
                <w:vertAlign w:val="superscript"/>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58,784</w:t>
            </w:r>
          </w:p>
        </w:tc>
        <w:tc>
          <w:tcPr>
            <w:tcW w:w="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20,766</w:t>
            </w:r>
          </w:p>
        </w:tc>
        <w:tc>
          <w:tcPr>
            <w:tcW w:w="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40,685</w:t>
            </w:r>
          </w:p>
        </w:tc>
        <w:tc>
          <w:tcPr>
            <w:tcW w:w="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28,758</w:t>
            </w:r>
          </w:p>
        </w:tc>
        <w:tc>
          <w:tcPr>
            <w:tcW w:w="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10,754</w:t>
            </w:r>
          </w:p>
        </w:tc>
        <w:tc>
          <w:tcPr>
            <w:tcW w:w="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6,310</w:t>
            </w:r>
          </w:p>
        </w:tc>
        <w:tc>
          <w:tcPr>
            <w:tcW w:w="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166,057</w:t>
            </w:r>
          </w:p>
        </w:tc>
        <w:tc>
          <w:tcPr>
            <w:tcW w:w="200" w:type="dxa"/>
            <w:vAlign w:val="bottom"/>
            <w:shd w:val="clear" w:color="auto" w:fill="CFF0FC"/>
          </w:tcPr>
          <w:p>
            <w:pPr>
              <w:ind w:left="60"/>
              <w:spacing w:after="0"/>
              <w:rPr>
                <w:sz w:val="20"/>
                <w:szCs w:val="20"/>
                <w:color w:val="auto"/>
              </w:rPr>
            </w:pPr>
            <w:r>
              <w:rPr>
                <w:rFonts w:ascii="Arial" w:cs="Arial" w:eastAsia="Arial" w:hAnsi="Arial"/>
                <w:sz w:val="19"/>
                <w:szCs w:val="19"/>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6"/>
              </w:rPr>
              <w:t>147,994</w:t>
            </w:r>
          </w:p>
        </w:tc>
        <w:tc>
          <w:tcPr>
            <w:tcW w:w="200" w:type="dxa"/>
            <w:vAlign w:val="bottom"/>
            <w:shd w:val="clear" w:color="auto" w:fill="CFF0FC"/>
          </w:tcPr>
          <w:p>
            <w:pPr>
              <w:ind w:left="80"/>
              <w:spacing w:after="0"/>
              <w:rPr>
                <w:sz w:val="20"/>
                <w:szCs w:val="20"/>
                <w:color w:val="auto"/>
              </w:rPr>
            </w:pPr>
            <w:r>
              <w:rPr>
                <w:rFonts w:ascii="Arial" w:cs="Arial" w:eastAsia="Arial" w:hAnsi="Arial"/>
                <w:sz w:val="19"/>
                <w:szCs w:val="19"/>
                <w:color w:val="auto"/>
                <w:w w:val="94"/>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45</w:t>
            </w:r>
          </w:p>
        </w:tc>
        <w:tc>
          <w:tcPr>
            <w:tcW w:w="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314,096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-6610350</wp:posOffset>
            </wp:positionV>
            <wp:extent cx="5690870" cy="6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3">
                      <a:extLst>
                        <a:ext uri="{28A0092B-C50C-407E-A947-70E740481C1C}"/>
                      </a:extLst>
                    </a:blip>
                    <a:srcRect/>
                    <a:stretch>
                      <a:fillRect/>
                    </a:stretch>
                  </pic:blipFill>
                  <pic:spPr bwMode="auto">
                    <a:xfrm>
                      <a:off x="0" y="0"/>
                      <a:ext cx="569087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-6414135</wp:posOffset>
            </wp:positionV>
            <wp:extent cx="5690870" cy="63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4">
                      <a:extLst>
                        <a:ext uri="{28A0092B-C50C-407E-A947-70E740481C1C}"/>
                      </a:extLst>
                    </a:blip>
                    <a:srcRect/>
                    <a:stretch>
                      <a:fillRect/>
                    </a:stretch>
                  </pic:blipFill>
                  <pic:spPr bwMode="auto">
                    <a:xfrm>
                      <a:off x="0" y="0"/>
                      <a:ext cx="569087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-6217285</wp:posOffset>
            </wp:positionV>
            <wp:extent cx="3216910"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5">
                      <a:extLst>
                        <a:ext uri="{28A0092B-C50C-407E-A947-70E740481C1C}"/>
                      </a:extLst>
                    </a:blip>
                    <a:srcRect/>
                    <a:stretch>
                      <a:fillRect/>
                    </a:stretch>
                  </pic:blipFill>
                  <pic:spPr bwMode="auto">
                    <a:xfrm>
                      <a:off x="0" y="0"/>
                      <a:ext cx="321691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-5450840</wp:posOffset>
            </wp:positionV>
            <wp:extent cx="5690870"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6">
                      <a:extLst>
                        <a:ext uri="{28A0092B-C50C-407E-A947-70E740481C1C}"/>
                      </a:extLst>
                    </a:blip>
                    <a:srcRect/>
                    <a:stretch>
                      <a:fillRect/>
                    </a:stretch>
                  </pic:blipFill>
                  <pic:spPr bwMode="auto">
                    <a:xfrm>
                      <a:off x="0" y="0"/>
                      <a:ext cx="569087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-3561080</wp:posOffset>
            </wp:positionV>
            <wp:extent cx="5690870" cy="63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7">
                      <a:extLst>
                        <a:ext uri="{28A0092B-C50C-407E-A947-70E740481C1C}"/>
                      </a:extLst>
                    </a:blip>
                    <a:srcRect/>
                    <a:stretch>
                      <a:fillRect/>
                    </a:stretch>
                  </pic:blipFill>
                  <pic:spPr bwMode="auto">
                    <a:xfrm>
                      <a:off x="0" y="0"/>
                      <a:ext cx="569087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-3031490</wp:posOffset>
            </wp:positionV>
            <wp:extent cx="5730240" cy="285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28">
                      <a:extLst>
                        <a:ext uri="{28A0092B-C50C-407E-A947-70E740481C1C}"/>
                      </a:extLst>
                    </a:blip>
                    <a:srcRect/>
                    <a:stretch>
                      <a:fillRect/>
                    </a:stretch>
                  </pic:blipFill>
                  <pic:spPr bwMode="auto">
                    <a:xfrm>
                      <a:off x="0" y="0"/>
                      <a:ext cx="5730240" cy="2857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-2456815</wp:posOffset>
            </wp:positionV>
            <wp:extent cx="5690870"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29">
                      <a:extLst>
                        <a:ext uri="{28A0092B-C50C-407E-A947-70E740481C1C}"/>
                      </a:extLst>
                    </a:blip>
                    <a:srcRect/>
                    <a:stretch>
                      <a:fillRect/>
                    </a:stretch>
                  </pic:blipFill>
                  <pic:spPr bwMode="auto">
                    <a:xfrm>
                      <a:off x="0" y="0"/>
                      <a:ext cx="569087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-557530</wp:posOffset>
            </wp:positionV>
            <wp:extent cx="5690870"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0">
                      <a:extLst>
                        <a:ext uri="{28A0092B-C50C-407E-A947-70E740481C1C}"/>
                      </a:extLst>
                    </a:blip>
                    <a:srcRect/>
                    <a:stretch>
                      <a:fillRect/>
                    </a:stretch>
                  </pic:blipFill>
                  <pic:spPr bwMode="auto">
                    <a:xfrm>
                      <a:off x="0" y="0"/>
                      <a:ext cx="569087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-27940</wp:posOffset>
            </wp:positionV>
            <wp:extent cx="5730240" cy="285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1">
                      <a:extLst>
                        <a:ext uri="{28A0092B-C50C-407E-A947-70E740481C1C}"/>
                      </a:extLst>
                    </a:blip>
                    <a:srcRect/>
                    <a:stretch>
                      <a:fillRect/>
                    </a:stretch>
                  </pic:blipFill>
                  <pic:spPr bwMode="auto">
                    <a:xfrm>
                      <a:off x="0" y="0"/>
                      <a:ext cx="5730240" cy="28575"/>
                    </a:xfrm>
                    <a:prstGeom prst="rect">
                      <a:avLst/>
                    </a:prstGeom>
                    <a:noFill/>
                  </pic:spPr>
                </pic:pic>
              </a:graphicData>
            </a:graphic>
          </wp:anchor>
        </w:drawing>
      </w:r>
    </w:p>
    <w:p>
      <w:pPr>
        <w:sectPr>
          <w:pgSz w:w="11900" w:h="16838" w:orient="portrait"/>
          <w:cols w:equalWidth="0" w:num="1">
            <w:col w:w="10040"/>
          </w:cols>
          <w:pgMar w:left="1260" w:top="1440" w:right="6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14 / 17</w:t>
      </w:r>
    </w:p>
    <w:p>
      <w:pPr>
        <w:sectPr>
          <w:pgSz w:w="11900" w:h="16838" w:orient="portrait"/>
          <w:cols w:equalWidth="0" w:num="1">
            <w:col w:w="10040"/>
          </w:cols>
          <w:pgMar w:left="1260" w:top="1440" w:right="606" w:bottom="0" w:gutter="0" w:footer="0" w:header="0"/>
          <w:type w:val="continuous"/>
        </w:sectPr>
      </w:pPr>
    </w:p>
    <w:bookmarkStart w:id="181" w:name="page182"/>
    <w:bookmarkEnd w:id="181"/>
    <w:tbl>
      <w:tblPr>
        <w:tblLayout w:type="fixed"/>
        <w:tblInd w:w="0" w:type="dxa"/>
        <w:tblCellMar>
          <w:top w:w="0" w:type="dxa"/>
          <w:left w:w="0" w:type="dxa"/>
          <w:bottom w:w="0" w:type="dxa"/>
          <w:right w:w="0" w:type="dxa"/>
        </w:tblCellMar>
      </w:tblPr>
      <w:tr>
        <w:trPr>
          <w:trHeight w:val="218"/>
        </w:trPr>
        <w:tc>
          <w:tcPr>
            <w:tcW w:w="1000" w:type="dxa"/>
            <w:vAlign w:val="bottom"/>
          </w:tcPr>
          <w:p>
            <w:pPr>
              <w:ind w:left="20"/>
              <w:spacing w:after="0"/>
              <w:rPr>
                <w:sz w:val="20"/>
                <w:szCs w:val="20"/>
                <w:color w:val="auto"/>
              </w:rPr>
            </w:pPr>
            <w:r>
              <w:rPr>
                <w:rFonts w:ascii="Arial" w:cs="Arial" w:eastAsia="Arial" w:hAnsi="Arial"/>
                <w:sz w:val="19"/>
                <w:szCs w:val="19"/>
                <w:color w:val="auto"/>
              </w:rPr>
              <w:t>Gross</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rPr>
              <w:t>charge-offs</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rPr>
              <w:t>YTD</w:t>
            </w:r>
          </w:p>
        </w:tc>
        <w:tc>
          <w:tcPr>
            <w:tcW w:w="300" w:type="dxa"/>
            <w:vAlign w:val="bottom"/>
          </w:tcPr>
          <w:p>
            <w:pPr>
              <w:jc w:val="right"/>
              <w:ind w:right="85"/>
              <w:spacing w:after="0"/>
              <w:rPr>
                <w:sz w:val="20"/>
                <w:szCs w:val="20"/>
                <w:color w:val="auto"/>
              </w:rPr>
            </w:pPr>
            <w:r>
              <w:rPr>
                <w:rFonts w:ascii="Arial" w:cs="Arial" w:eastAsia="Arial" w:hAnsi="Arial"/>
                <w:sz w:val="19"/>
                <w:szCs w:val="19"/>
                <w:color w:val="auto"/>
                <w:w w:val="94"/>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38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480" w:type="dxa"/>
            <w:vAlign w:val="bottom"/>
          </w:tcPr>
          <w:p>
            <w:pPr>
              <w:jc w:val="right"/>
              <w:spacing w:after="0"/>
              <w:rPr>
                <w:sz w:val="20"/>
                <w:szCs w:val="20"/>
                <w:color w:val="auto"/>
              </w:rPr>
            </w:pPr>
            <w:r>
              <w:rPr>
                <w:rFonts w:ascii="Arial" w:cs="Arial" w:eastAsia="Arial" w:hAnsi="Arial"/>
                <w:sz w:val="19"/>
                <w:szCs w:val="19"/>
                <w:color w:val="auto"/>
              </w:rPr>
              <w:t>27</w:t>
            </w:r>
          </w:p>
        </w:tc>
        <w:tc>
          <w:tcPr>
            <w:tcW w:w="340" w:type="dxa"/>
            <w:vAlign w:val="bottom"/>
          </w:tcPr>
          <w:p>
            <w:pPr>
              <w:jc w:val="right"/>
              <w:ind w:right="85"/>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147</w:t>
            </w:r>
          </w:p>
        </w:tc>
        <w:tc>
          <w:tcPr>
            <w:tcW w:w="40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480" w:type="dxa"/>
            <w:vAlign w:val="bottom"/>
          </w:tcPr>
          <w:p>
            <w:pPr>
              <w:jc w:val="right"/>
              <w:spacing w:after="0"/>
              <w:rPr>
                <w:sz w:val="20"/>
                <w:szCs w:val="20"/>
                <w:color w:val="auto"/>
              </w:rPr>
            </w:pPr>
            <w:r>
              <w:rPr>
                <w:rFonts w:ascii="Arial" w:cs="Arial" w:eastAsia="Arial" w:hAnsi="Arial"/>
                <w:sz w:val="19"/>
                <w:szCs w:val="19"/>
                <w:color w:val="auto"/>
              </w:rPr>
              <w:t>26</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50</w:t>
            </w:r>
          </w:p>
        </w:tc>
        <w:tc>
          <w:tcPr>
            <w:tcW w:w="30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250</w:t>
            </w:r>
          </w:p>
        </w:tc>
        <w:tc>
          <w:tcPr>
            <w:tcW w:w="48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250</w:t>
            </w:r>
          </w:p>
        </w:tc>
      </w:tr>
      <w:tr>
        <w:trPr>
          <w:trHeight w:val="338"/>
        </w:trPr>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9"/>
        </w:trPr>
        <w:tc>
          <w:tcPr>
            <w:tcW w:w="1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Other</w:t>
            </w:r>
          </w:p>
        </w:tc>
        <w:tc>
          <w:tcPr>
            <w:tcW w:w="3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r>
      <w:tr>
        <w:trPr>
          <w:trHeight w:val="261"/>
        </w:trPr>
        <w:tc>
          <w:tcPr>
            <w:tcW w:w="1000" w:type="dxa"/>
            <w:vAlign w:val="bottom"/>
          </w:tcPr>
          <w:p>
            <w:pPr>
              <w:spacing w:after="0"/>
              <w:rPr>
                <w:sz w:val="20"/>
                <w:szCs w:val="20"/>
                <w:color w:val="auto"/>
              </w:rPr>
            </w:pPr>
            <w:r>
              <w:rPr>
                <w:rFonts w:ascii="Arial" w:cs="Arial" w:eastAsia="Arial" w:hAnsi="Arial"/>
                <w:sz w:val="19"/>
                <w:szCs w:val="19"/>
                <w:color w:val="auto"/>
              </w:rPr>
              <w:t>Risk Rating</w:t>
            </w: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38"/>
        </w:trPr>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94"/>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Pass (1-4)</w:t>
            </w:r>
          </w:p>
        </w:tc>
        <w:tc>
          <w:tcPr>
            <w:tcW w:w="30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9"/>
                <w:szCs w:val="19"/>
                <w:color w:val="auto"/>
                <w:w w:val="94"/>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600</w:t>
            </w:r>
          </w:p>
        </w:tc>
        <w:tc>
          <w:tcPr>
            <w:tcW w:w="380" w:type="dxa"/>
            <w:vAlign w:val="bottom"/>
            <w:tcBorders>
              <w:bottom w:val="single" w:sz="8" w:color="CFF0FC"/>
            </w:tcBorders>
            <w:shd w:val="clear" w:color="auto" w:fill="CFF0FC"/>
          </w:tcPr>
          <w:p>
            <w:pPr>
              <w:jc w:val="right"/>
              <w:ind w:right="125"/>
              <w:spacing w:after="0"/>
              <w:rPr>
                <w:sz w:val="20"/>
                <w:szCs w:val="20"/>
                <w:color w:val="auto"/>
              </w:rPr>
            </w:pPr>
            <w:r>
              <w:rPr>
                <w:rFonts w:ascii="Arial" w:cs="Arial" w:eastAsia="Arial" w:hAnsi="Arial"/>
                <w:sz w:val="19"/>
                <w:szCs w:val="19"/>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34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9"/>
                <w:szCs w:val="19"/>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00" w:type="dxa"/>
            <w:vAlign w:val="bottom"/>
            <w:tcBorders>
              <w:bottom w:val="single" w:sz="8" w:color="CFF0FC"/>
            </w:tcBorders>
            <w:shd w:val="clear" w:color="auto" w:fill="CFF0FC"/>
          </w:tcPr>
          <w:p>
            <w:pPr>
              <w:jc w:val="right"/>
              <w:ind w:right="125"/>
              <w:spacing w:after="0"/>
              <w:rPr>
                <w:sz w:val="20"/>
                <w:szCs w:val="20"/>
                <w:color w:val="auto"/>
              </w:rPr>
            </w:pPr>
            <w:r>
              <w:rPr>
                <w:rFonts w:ascii="Arial" w:cs="Arial" w:eastAsia="Arial" w:hAnsi="Arial"/>
                <w:sz w:val="19"/>
                <w:szCs w:val="19"/>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6"/>
              </w:rPr>
              <w:t>14,870</w:t>
            </w:r>
          </w:p>
        </w:tc>
        <w:tc>
          <w:tcPr>
            <w:tcW w:w="2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3,997</w:t>
            </w:r>
          </w:p>
        </w:tc>
        <w:tc>
          <w:tcPr>
            <w:tcW w:w="30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19,467</w:t>
            </w:r>
          </w:p>
        </w:tc>
        <w:tc>
          <w:tcPr>
            <w:tcW w:w="480" w:type="dxa"/>
            <w:vAlign w:val="bottom"/>
            <w:tcBorders>
              <w:bottom w:val="single" w:sz="8" w:color="CFF0FC"/>
            </w:tcBorders>
            <w:shd w:val="clear" w:color="auto" w:fill="CFF0FC"/>
          </w:tcPr>
          <w:p>
            <w:pPr>
              <w:jc w:val="right"/>
              <w:ind w:right="225"/>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80" w:type="dxa"/>
            <w:vAlign w:val="bottom"/>
            <w:tcBorders>
              <w:bottom w:val="single" w:sz="8" w:color="CFF0FC"/>
            </w:tcBorders>
            <w:shd w:val="clear" w:color="auto" w:fill="CFF0FC"/>
          </w:tcPr>
          <w:p>
            <w:pPr>
              <w:jc w:val="right"/>
              <w:ind w:right="225"/>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19,467</w:t>
            </w:r>
          </w:p>
        </w:tc>
      </w:tr>
      <w:tr>
        <w:trPr>
          <w:trHeight w:val="261"/>
        </w:trPr>
        <w:tc>
          <w:tcPr>
            <w:tcW w:w="1000" w:type="dxa"/>
            <w:vAlign w:val="bottom"/>
          </w:tcPr>
          <w:p>
            <w:pPr>
              <w:ind w:left="20"/>
              <w:spacing w:after="0"/>
              <w:rPr>
                <w:sz w:val="20"/>
                <w:szCs w:val="20"/>
                <w:color w:val="auto"/>
              </w:rPr>
            </w:pPr>
            <w:r>
              <w:rPr>
                <w:rFonts w:ascii="Arial" w:cs="Arial" w:eastAsia="Arial" w:hAnsi="Arial"/>
                <w:sz w:val="19"/>
                <w:szCs w:val="19"/>
                <w:color w:val="auto"/>
              </w:rPr>
              <w:t>Special</w:t>
            </w: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w w:val="99"/>
              </w:rPr>
              <w:t>Mention (5)</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w:t>
            </w:r>
          </w:p>
        </w:tc>
        <w:tc>
          <w:tcPr>
            <w:tcW w:w="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4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3,666</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3,666</w:t>
            </w:r>
          </w:p>
        </w:tc>
        <w:tc>
          <w:tcPr>
            <w:tcW w:w="4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3,666</w:t>
            </w:r>
          </w:p>
        </w:tc>
      </w:tr>
      <w:tr>
        <w:trPr>
          <w:trHeight w:val="38"/>
        </w:trPr>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1"/>
        </w:trPr>
        <w:tc>
          <w:tcPr>
            <w:tcW w:w="1000" w:type="dxa"/>
            <w:vAlign w:val="bottom"/>
            <w:shd w:val="clear" w:color="auto" w:fill="CFF0FC"/>
          </w:tcPr>
          <w:p>
            <w:pPr>
              <w:ind w:left="20"/>
              <w:spacing w:after="0"/>
              <w:rPr>
                <w:sz w:val="20"/>
                <w:szCs w:val="20"/>
                <w:color w:val="auto"/>
              </w:rPr>
            </w:pPr>
            <w:r>
              <w:rPr>
                <w:rFonts w:ascii="Arial" w:cs="Arial" w:eastAsia="Arial" w:hAnsi="Arial"/>
                <w:sz w:val="19"/>
                <w:szCs w:val="19"/>
                <w:color w:val="auto"/>
                <w:w w:val="89"/>
              </w:rPr>
              <w:t>Substandard</w:t>
            </w:r>
          </w:p>
        </w:tc>
        <w:tc>
          <w:tcPr>
            <w:tcW w:w="30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r>
      <w:tr>
        <w:trPr>
          <w:trHeight w:val="303"/>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(6)</w:t>
            </w:r>
          </w:p>
        </w:tc>
        <w:tc>
          <w:tcPr>
            <w:tcW w:w="3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3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r>
      <w:tr>
        <w:trPr>
          <w:trHeight w:val="271"/>
        </w:trPr>
        <w:tc>
          <w:tcPr>
            <w:tcW w:w="1000" w:type="dxa"/>
            <w:vAlign w:val="bottom"/>
          </w:tcPr>
          <w:p>
            <w:pPr>
              <w:ind w:left="20"/>
              <w:spacing w:after="0"/>
              <w:rPr>
                <w:sz w:val="20"/>
                <w:szCs w:val="20"/>
                <w:color w:val="auto"/>
              </w:rPr>
            </w:pPr>
            <w:r>
              <w:rPr>
                <w:rFonts w:ascii="Arial" w:cs="Arial" w:eastAsia="Arial" w:hAnsi="Arial"/>
                <w:sz w:val="19"/>
                <w:szCs w:val="19"/>
                <w:color w:val="auto"/>
                <w:w w:val="96"/>
              </w:rPr>
              <w:t>Doubtful (7)</w:t>
            </w:r>
          </w:p>
        </w:tc>
        <w:tc>
          <w:tcPr>
            <w:tcW w:w="3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w:t>
            </w:r>
          </w:p>
        </w:tc>
        <w:tc>
          <w:tcPr>
            <w:tcW w:w="3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4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8"/>
        </w:trPr>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339"/>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Total Other</w:t>
            </w:r>
          </w:p>
        </w:tc>
        <w:tc>
          <w:tcPr>
            <w:tcW w:w="30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9"/>
                <w:szCs w:val="19"/>
                <w:color w:val="auto"/>
                <w:w w:val="94"/>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600</w:t>
            </w:r>
          </w:p>
        </w:tc>
        <w:tc>
          <w:tcPr>
            <w:tcW w:w="380" w:type="dxa"/>
            <w:vAlign w:val="bottom"/>
            <w:tcBorders>
              <w:bottom w:val="single" w:sz="8" w:color="CFF0FC"/>
            </w:tcBorders>
            <w:shd w:val="clear" w:color="auto" w:fill="CFF0FC"/>
          </w:tcPr>
          <w:p>
            <w:pPr>
              <w:jc w:val="right"/>
              <w:ind w:right="125"/>
              <w:spacing w:after="0"/>
              <w:rPr>
                <w:sz w:val="20"/>
                <w:szCs w:val="20"/>
                <w:color w:val="auto"/>
              </w:rPr>
            </w:pPr>
            <w:r>
              <w:rPr>
                <w:rFonts w:ascii="Arial" w:cs="Arial" w:eastAsia="Arial" w:hAnsi="Arial"/>
                <w:sz w:val="19"/>
                <w:szCs w:val="19"/>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34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9"/>
                <w:szCs w:val="19"/>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00" w:type="dxa"/>
            <w:vAlign w:val="bottom"/>
            <w:tcBorders>
              <w:bottom w:val="single" w:sz="8" w:color="CFF0FC"/>
            </w:tcBorders>
            <w:shd w:val="clear" w:color="auto" w:fill="CFF0FC"/>
          </w:tcPr>
          <w:p>
            <w:pPr>
              <w:jc w:val="right"/>
              <w:ind w:right="125"/>
              <w:spacing w:after="0"/>
              <w:rPr>
                <w:sz w:val="20"/>
                <w:szCs w:val="20"/>
                <w:color w:val="auto"/>
              </w:rPr>
            </w:pPr>
            <w:r>
              <w:rPr>
                <w:rFonts w:ascii="Arial" w:cs="Arial" w:eastAsia="Arial" w:hAnsi="Arial"/>
                <w:sz w:val="19"/>
                <w:szCs w:val="19"/>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6"/>
              </w:rPr>
              <w:t>14,870</w:t>
            </w:r>
          </w:p>
        </w:tc>
        <w:tc>
          <w:tcPr>
            <w:tcW w:w="2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7,663</w:t>
            </w:r>
          </w:p>
        </w:tc>
        <w:tc>
          <w:tcPr>
            <w:tcW w:w="30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23,133</w:t>
            </w:r>
          </w:p>
        </w:tc>
        <w:tc>
          <w:tcPr>
            <w:tcW w:w="480" w:type="dxa"/>
            <w:vAlign w:val="bottom"/>
            <w:tcBorders>
              <w:bottom w:val="single" w:sz="8" w:color="CFF0FC"/>
            </w:tcBorders>
            <w:shd w:val="clear" w:color="auto" w:fill="CFF0FC"/>
          </w:tcPr>
          <w:p>
            <w:pPr>
              <w:jc w:val="right"/>
              <w:ind w:right="225"/>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80" w:type="dxa"/>
            <w:vAlign w:val="bottom"/>
            <w:tcBorders>
              <w:bottom w:val="single" w:sz="8" w:color="CFF0FC"/>
            </w:tcBorders>
            <w:shd w:val="clear" w:color="auto" w:fill="CFF0FC"/>
          </w:tcPr>
          <w:p>
            <w:pPr>
              <w:jc w:val="right"/>
              <w:ind w:right="225"/>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23,133</w:t>
            </w:r>
          </w:p>
        </w:tc>
      </w:tr>
      <w:tr>
        <w:trPr>
          <w:trHeight w:val="261"/>
        </w:trPr>
        <w:tc>
          <w:tcPr>
            <w:tcW w:w="1000" w:type="dxa"/>
            <w:vAlign w:val="bottom"/>
          </w:tcPr>
          <w:p>
            <w:pPr>
              <w:ind w:left="20"/>
              <w:spacing w:after="0"/>
              <w:rPr>
                <w:sz w:val="20"/>
                <w:szCs w:val="20"/>
                <w:color w:val="auto"/>
              </w:rPr>
            </w:pPr>
            <w:r>
              <w:rPr>
                <w:rFonts w:ascii="Arial" w:cs="Arial" w:eastAsia="Arial" w:hAnsi="Arial"/>
                <w:sz w:val="19"/>
                <w:szCs w:val="19"/>
                <w:color w:val="auto"/>
              </w:rPr>
              <w:t>Gross</w:t>
            </w: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rPr>
              <w:t>charge-offs</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rPr>
              <w:t>YTD</w:t>
            </w:r>
          </w:p>
        </w:tc>
        <w:tc>
          <w:tcPr>
            <w:tcW w:w="300" w:type="dxa"/>
            <w:vAlign w:val="bottom"/>
          </w:tcPr>
          <w:p>
            <w:pPr>
              <w:jc w:val="right"/>
              <w:ind w:right="85"/>
              <w:spacing w:after="0"/>
              <w:rPr>
                <w:sz w:val="20"/>
                <w:szCs w:val="20"/>
                <w:color w:val="auto"/>
              </w:rPr>
            </w:pPr>
            <w:r>
              <w:rPr>
                <w:rFonts w:ascii="Arial" w:cs="Arial" w:eastAsia="Arial" w:hAnsi="Arial"/>
                <w:sz w:val="19"/>
                <w:szCs w:val="19"/>
                <w:color w:val="auto"/>
                <w:w w:val="94"/>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38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480" w:type="dxa"/>
            <w:vAlign w:val="bottom"/>
          </w:tcPr>
          <w:p>
            <w:pPr>
              <w:jc w:val="right"/>
              <w:spacing w:after="0"/>
              <w:rPr>
                <w:sz w:val="20"/>
                <w:szCs w:val="20"/>
                <w:color w:val="auto"/>
              </w:rPr>
            </w:pPr>
            <w:r>
              <w:rPr>
                <w:rFonts w:ascii="Arial" w:cs="Arial" w:eastAsia="Arial" w:hAnsi="Arial"/>
                <w:sz w:val="19"/>
                <w:szCs w:val="19"/>
                <w:color w:val="auto"/>
              </w:rPr>
              <w:t>-</w:t>
            </w:r>
          </w:p>
        </w:tc>
        <w:tc>
          <w:tcPr>
            <w:tcW w:w="340" w:type="dxa"/>
            <w:vAlign w:val="bottom"/>
          </w:tcPr>
          <w:p>
            <w:pPr>
              <w:jc w:val="right"/>
              <w:ind w:right="85"/>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40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48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-2470150</wp:posOffset>
            </wp:positionV>
            <wp:extent cx="5690870"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2">
                      <a:extLst>
                        <a:ext uri="{28A0092B-C50C-407E-A947-70E740481C1C}"/>
                      </a:extLst>
                    </a:blip>
                    <a:srcRect/>
                    <a:stretch>
                      <a:fillRect/>
                    </a:stretch>
                  </pic:blipFill>
                  <pic:spPr bwMode="auto">
                    <a:xfrm>
                      <a:off x="0" y="0"/>
                      <a:ext cx="569087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-761365</wp:posOffset>
            </wp:positionV>
            <wp:extent cx="5690870"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3">
                      <a:extLst>
                        <a:ext uri="{28A0092B-C50C-407E-A947-70E740481C1C}"/>
                      </a:extLst>
                    </a:blip>
                    <a:srcRect/>
                    <a:stretch>
                      <a:fillRect/>
                    </a:stretch>
                  </pic:blipFill>
                  <pic:spPr bwMode="auto">
                    <a:xfrm>
                      <a:off x="0" y="0"/>
                      <a:ext cx="569087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-555625</wp:posOffset>
            </wp:positionV>
            <wp:extent cx="5730240" cy="285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4">
                      <a:extLst>
                        <a:ext uri="{28A0092B-C50C-407E-A947-70E740481C1C}"/>
                      </a:extLst>
                    </a:blip>
                    <a:srcRect/>
                    <a:stretch>
                      <a:fillRect/>
                    </a:stretch>
                  </pic:blipFill>
                  <pic:spPr bwMode="auto">
                    <a:xfrm>
                      <a:off x="0" y="0"/>
                      <a:ext cx="5730240" cy="2857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17780</wp:posOffset>
            </wp:positionV>
            <wp:extent cx="5690870"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5">
                      <a:extLst>
                        <a:ext uri="{28A0092B-C50C-407E-A947-70E740481C1C}"/>
                      </a:extLst>
                    </a:blip>
                    <a:srcRect/>
                    <a:stretch>
                      <a:fillRect/>
                    </a:stretch>
                  </pic:blipFill>
                  <pic:spPr bwMode="auto">
                    <a:xfrm>
                      <a:off x="0" y="0"/>
                      <a:ext cx="5690870" cy="635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10040"/>
          </w:cols>
          <w:pgMar w:left="1260" w:top="1176" w:right="6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15 / 17</w:t>
      </w:r>
    </w:p>
    <w:p>
      <w:pPr>
        <w:sectPr>
          <w:pgSz w:w="11900" w:h="16838" w:orient="portrait"/>
          <w:cols w:equalWidth="0" w:num="1">
            <w:col w:w="10040"/>
          </w:cols>
          <w:pgMar w:left="1260" w:top="1176" w:right="606" w:bottom="0" w:gutter="0" w:footer="0" w:header="0"/>
          <w:type w:val="continuous"/>
        </w:sectPr>
      </w:pPr>
    </w:p>
    <w:bookmarkStart w:id="182" w:name="page183"/>
    <w:bookmarkEnd w:id="182"/>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9"/>
                <w:szCs w:val="19"/>
                <w:color w:val="auto"/>
              </w:rPr>
              <w:t>(In Thousands)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tcPr>
          <w:p>
            <w:pPr>
              <w:jc w:val="right"/>
              <w:ind w:right="585"/>
              <w:spacing w:after="0"/>
              <w:rPr>
                <w:sz w:val="20"/>
                <w:szCs w:val="20"/>
                <w:color w:val="auto"/>
              </w:rPr>
            </w:pPr>
            <w:r>
              <w:rPr>
                <w:rFonts w:ascii="Arial" w:cs="Arial" w:eastAsia="Arial" w:hAnsi="Arial"/>
                <w:sz w:val="19"/>
                <w:szCs w:val="19"/>
                <w:color w:val="auto"/>
                <w:w w:val="98"/>
              </w:rPr>
              <w:t>December 31, 2024</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0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gridSpan w:val="11"/>
          </w:tcPr>
          <w:p>
            <w:pPr>
              <w:jc w:val="right"/>
              <w:ind w:right="225"/>
              <w:spacing w:after="0"/>
              <w:rPr>
                <w:sz w:val="20"/>
                <w:szCs w:val="20"/>
                <w:color w:val="auto"/>
              </w:rPr>
            </w:pPr>
            <w:r>
              <w:rPr>
                <w:rFonts w:ascii="Arial" w:cs="Arial" w:eastAsia="Arial" w:hAnsi="Arial"/>
                <w:sz w:val="19"/>
                <w:szCs w:val="19"/>
                <w:color w:val="auto"/>
                <w:w w:val="94"/>
              </w:rPr>
              <w:t>Term Loans Amortized Cost Basis by Origination Year</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0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Arial" w:cs="Arial" w:eastAsia="Arial" w:hAnsi="Arial"/>
                <w:sz w:val="19"/>
                <w:szCs w:val="19"/>
                <w:color w:val="auto"/>
              </w:rPr>
              <w:t>Revolving</w:t>
            </w:r>
          </w:p>
        </w:tc>
        <w:tc>
          <w:tcPr>
            <w:tcW w:w="940" w:type="dxa"/>
            <w:vAlign w:val="bottom"/>
            <w:gridSpan w:val="2"/>
          </w:tcPr>
          <w:p>
            <w:pPr>
              <w:ind w:left="60"/>
              <w:spacing w:after="0"/>
              <w:rPr>
                <w:sz w:val="20"/>
                <w:szCs w:val="20"/>
                <w:color w:val="auto"/>
              </w:rPr>
            </w:pPr>
            <w:r>
              <w:rPr>
                <w:rFonts w:ascii="Arial" w:cs="Arial" w:eastAsia="Arial" w:hAnsi="Arial"/>
                <w:sz w:val="19"/>
                <w:szCs w:val="19"/>
                <w:color w:val="auto"/>
              </w:rPr>
              <w:t>Revolving</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65"/>
              <w:spacing w:after="0"/>
              <w:rPr>
                <w:sz w:val="20"/>
                <w:szCs w:val="20"/>
                <w:color w:val="auto"/>
              </w:rPr>
            </w:pPr>
            <w:r>
              <w:rPr>
                <w:rFonts w:ascii="Arial" w:cs="Arial" w:eastAsia="Arial" w:hAnsi="Arial"/>
                <w:sz w:val="19"/>
                <w:szCs w:val="19"/>
                <w:color w:val="auto"/>
                <w:w w:val="92"/>
              </w:rPr>
              <w:t>Loans</w:t>
            </w:r>
          </w:p>
        </w:tc>
        <w:tc>
          <w:tcPr>
            <w:tcW w:w="200" w:type="dxa"/>
            <w:vAlign w:val="bottom"/>
          </w:tcPr>
          <w:p>
            <w:pPr>
              <w:spacing w:after="0"/>
              <w:rPr>
                <w:sz w:val="24"/>
                <w:szCs w:val="24"/>
                <w:color w:val="auto"/>
              </w:rPr>
            </w:pPr>
          </w:p>
        </w:tc>
        <w:tc>
          <w:tcPr>
            <w:tcW w:w="740" w:type="dxa"/>
            <w:vAlign w:val="bottom"/>
          </w:tcPr>
          <w:p>
            <w:pPr>
              <w:jc w:val="right"/>
              <w:ind w:right="145"/>
              <w:spacing w:after="0"/>
              <w:rPr>
                <w:sz w:val="20"/>
                <w:szCs w:val="20"/>
                <w:color w:val="auto"/>
              </w:rPr>
            </w:pPr>
            <w:r>
              <w:rPr>
                <w:rFonts w:ascii="Arial" w:cs="Arial" w:eastAsia="Arial" w:hAnsi="Arial"/>
                <w:sz w:val="19"/>
                <w:szCs w:val="19"/>
                <w:color w:val="auto"/>
                <w:w w:val="92"/>
              </w:rPr>
              <w:t>Loans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145"/>
              <w:spacing w:after="0"/>
              <w:rPr>
                <w:sz w:val="20"/>
                <w:szCs w:val="20"/>
                <w:color w:val="auto"/>
              </w:rPr>
            </w:pPr>
            <w:r>
              <w:rPr>
                <w:rFonts w:ascii="Arial" w:cs="Arial" w:eastAsia="Arial" w:hAnsi="Arial"/>
                <w:sz w:val="19"/>
                <w:szCs w:val="19"/>
                <w:color w:val="auto"/>
                <w:w w:val="99"/>
              </w:rPr>
              <w:t>Term</w:t>
            </w:r>
          </w:p>
        </w:tc>
        <w:tc>
          <w:tcPr>
            <w:tcW w:w="960" w:type="dxa"/>
            <w:vAlign w:val="bottom"/>
            <w:gridSpan w:val="2"/>
          </w:tcPr>
          <w:p>
            <w:pPr>
              <w:ind w:left="80"/>
              <w:spacing w:after="0"/>
              <w:rPr>
                <w:sz w:val="20"/>
                <w:szCs w:val="20"/>
                <w:color w:val="auto"/>
              </w:rPr>
            </w:pPr>
            <w:r>
              <w:rPr>
                <w:rFonts w:ascii="Arial" w:cs="Arial" w:eastAsia="Arial" w:hAnsi="Arial"/>
                <w:sz w:val="19"/>
                <w:szCs w:val="19"/>
                <w:color w:val="auto"/>
              </w:rPr>
              <w:t>Amortized</w:t>
            </w:r>
          </w:p>
        </w:tc>
        <w:tc>
          <w:tcPr>
            <w:tcW w:w="940" w:type="dxa"/>
            <w:vAlign w:val="bottom"/>
            <w:gridSpan w:val="2"/>
          </w:tcPr>
          <w:p>
            <w:pPr>
              <w:ind w:left="60"/>
              <w:spacing w:after="0"/>
              <w:rPr>
                <w:sz w:val="20"/>
                <w:szCs w:val="20"/>
                <w:color w:val="auto"/>
              </w:rPr>
            </w:pPr>
            <w:r>
              <w:rPr>
                <w:rFonts w:ascii="Arial" w:cs="Arial" w:eastAsia="Arial" w:hAnsi="Arial"/>
                <w:sz w:val="19"/>
                <w:szCs w:val="19"/>
                <w:color w:val="auto"/>
                <w:w w:val="98"/>
              </w:rPr>
              <w:t>Converted</w:t>
            </w:r>
          </w:p>
        </w:tc>
        <w:tc>
          <w:tcPr>
            <w:tcW w:w="160" w:type="dxa"/>
            <w:vAlign w:val="bottom"/>
          </w:tcPr>
          <w:p>
            <w:pPr>
              <w:spacing w:after="0"/>
              <w:rPr>
                <w:sz w:val="24"/>
                <w:szCs w:val="24"/>
                <w:color w:val="auto"/>
              </w:rPr>
            </w:pPr>
          </w:p>
        </w:tc>
        <w:tc>
          <w:tcPr>
            <w:tcW w:w="720" w:type="dxa"/>
            <w:vAlign w:val="bottom"/>
          </w:tcPr>
          <w:p>
            <w:pPr>
              <w:jc w:val="right"/>
              <w:ind w:right="125"/>
              <w:spacing w:after="0"/>
              <w:rPr>
                <w:sz w:val="20"/>
                <w:szCs w:val="20"/>
                <w:color w:val="auto"/>
              </w:rPr>
            </w:pPr>
            <w:r>
              <w:rPr>
                <w:rFonts w:ascii="Arial" w:cs="Arial" w:eastAsia="Arial" w:hAnsi="Arial"/>
                <w:sz w:val="19"/>
                <w:szCs w:val="19"/>
                <w:color w:val="auto"/>
                <w:w w:val="90"/>
              </w:rPr>
              <w:t>Grand</w:t>
            </w:r>
          </w:p>
        </w:tc>
      </w:tr>
      <w:tr>
        <w:trPr>
          <w:trHeight w:val="29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05"/>
              <w:spacing w:after="0"/>
              <w:rPr>
                <w:sz w:val="20"/>
                <w:szCs w:val="20"/>
                <w:color w:val="auto"/>
              </w:rPr>
            </w:pPr>
            <w:r>
              <w:rPr>
                <w:rFonts w:ascii="Arial" w:cs="Arial" w:eastAsia="Arial" w:hAnsi="Arial"/>
                <w:sz w:val="19"/>
                <w:szCs w:val="19"/>
                <w:color w:val="auto"/>
                <w:w w:val="89"/>
              </w:rPr>
              <w:t>2024</w:t>
            </w:r>
          </w:p>
        </w:tc>
        <w:tc>
          <w:tcPr>
            <w:tcW w:w="180" w:type="dxa"/>
            <w:vAlign w:val="bottom"/>
          </w:tcPr>
          <w:p>
            <w:pPr>
              <w:spacing w:after="0"/>
              <w:rPr>
                <w:sz w:val="24"/>
                <w:szCs w:val="24"/>
                <w:color w:val="auto"/>
              </w:rPr>
            </w:pPr>
          </w:p>
        </w:tc>
        <w:tc>
          <w:tcPr>
            <w:tcW w:w="600" w:type="dxa"/>
            <w:vAlign w:val="bottom"/>
          </w:tcPr>
          <w:p>
            <w:pPr>
              <w:jc w:val="right"/>
              <w:ind w:right="105"/>
              <w:spacing w:after="0"/>
              <w:rPr>
                <w:sz w:val="20"/>
                <w:szCs w:val="20"/>
                <w:color w:val="auto"/>
              </w:rPr>
            </w:pPr>
            <w:r>
              <w:rPr>
                <w:rFonts w:ascii="Arial" w:cs="Arial" w:eastAsia="Arial" w:hAnsi="Arial"/>
                <w:sz w:val="19"/>
                <w:szCs w:val="19"/>
                <w:color w:val="auto"/>
                <w:w w:val="89"/>
              </w:rPr>
              <w:t>2023</w:t>
            </w:r>
          </w:p>
        </w:tc>
        <w:tc>
          <w:tcPr>
            <w:tcW w:w="180" w:type="dxa"/>
            <w:vAlign w:val="bottom"/>
          </w:tcPr>
          <w:p>
            <w:pPr>
              <w:spacing w:after="0"/>
              <w:rPr>
                <w:sz w:val="24"/>
                <w:szCs w:val="24"/>
                <w:color w:val="auto"/>
              </w:rPr>
            </w:pPr>
          </w:p>
        </w:tc>
        <w:tc>
          <w:tcPr>
            <w:tcW w:w="600" w:type="dxa"/>
            <w:vAlign w:val="bottom"/>
          </w:tcPr>
          <w:p>
            <w:pPr>
              <w:jc w:val="right"/>
              <w:ind w:right="105"/>
              <w:spacing w:after="0"/>
              <w:rPr>
                <w:sz w:val="20"/>
                <w:szCs w:val="20"/>
                <w:color w:val="auto"/>
              </w:rPr>
            </w:pPr>
            <w:r>
              <w:rPr>
                <w:rFonts w:ascii="Arial" w:cs="Arial" w:eastAsia="Arial" w:hAnsi="Arial"/>
                <w:sz w:val="19"/>
                <w:szCs w:val="19"/>
                <w:color w:val="auto"/>
                <w:w w:val="89"/>
              </w:rPr>
              <w:t>2022</w:t>
            </w:r>
          </w:p>
        </w:tc>
        <w:tc>
          <w:tcPr>
            <w:tcW w:w="180" w:type="dxa"/>
            <w:vAlign w:val="bottom"/>
          </w:tcPr>
          <w:p>
            <w:pPr>
              <w:spacing w:after="0"/>
              <w:rPr>
                <w:sz w:val="24"/>
                <w:szCs w:val="24"/>
                <w:color w:val="auto"/>
              </w:rPr>
            </w:pPr>
          </w:p>
        </w:tc>
        <w:tc>
          <w:tcPr>
            <w:tcW w:w="600" w:type="dxa"/>
            <w:vAlign w:val="bottom"/>
          </w:tcPr>
          <w:p>
            <w:pPr>
              <w:jc w:val="right"/>
              <w:ind w:right="105"/>
              <w:spacing w:after="0"/>
              <w:rPr>
                <w:sz w:val="20"/>
                <w:szCs w:val="20"/>
                <w:color w:val="auto"/>
              </w:rPr>
            </w:pPr>
            <w:r>
              <w:rPr>
                <w:rFonts w:ascii="Arial" w:cs="Arial" w:eastAsia="Arial" w:hAnsi="Arial"/>
                <w:sz w:val="19"/>
                <w:szCs w:val="19"/>
                <w:color w:val="auto"/>
                <w:w w:val="89"/>
              </w:rPr>
              <w:t>2021</w:t>
            </w:r>
          </w:p>
        </w:tc>
        <w:tc>
          <w:tcPr>
            <w:tcW w:w="180" w:type="dxa"/>
            <w:vAlign w:val="bottom"/>
          </w:tcPr>
          <w:p>
            <w:pPr>
              <w:spacing w:after="0"/>
              <w:rPr>
                <w:sz w:val="24"/>
                <w:szCs w:val="24"/>
                <w:color w:val="auto"/>
              </w:rPr>
            </w:pPr>
          </w:p>
        </w:tc>
        <w:tc>
          <w:tcPr>
            <w:tcW w:w="600" w:type="dxa"/>
            <w:vAlign w:val="bottom"/>
          </w:tcPr>
          <w:p>
            <w:pPr>
              <w:jc w:val="right"/>
              <w:ind w:right="105"/>
              <w:spacing w:after="0"/>
              <w:rPr>
                <w:sz w:val="20"/>
                <w:szCs w:val="20"/>
                <w:color w:val="auto"/>
              </w:rPr>
            </w:pPr>
            <w:r>
              <w:rPr>
                <w:rFonts w:ascii="Arial" w:cs="Arial" w:eastAsia="Arial" w:hAnsi="Arial"/>
                <w:sz w:val="19"/>
                <w:szCs w:val="19"/>
                <w:color w:val="auto"/>
                <w:w w:val="89"/>
              </w:rPr>
              <w:t>2020</w:t>
            </w:r>
          </w:p>
        </w:tc>
        <w:tc>
          <w:tcPr>
            <w:tcW w:w="160" w:type="dxa"/>
            <w:vAlign w:val="bottom"/>
          </w:tcPr>
          <w:p>
            <w:pPr>
              <w:spacing w:after="0"/>
              <w:rPr>
                <w:sz w:val="24"/>
                <w:szCs w:val="24"/>
                <w:color w:val="auto"/>
              </w:rPr>
            </w:pP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Prior</w:t>
            </w:r>
          </w:p>
        </w:tc>
        <w:tc>
          <w:tcPr>
            <w:tcW w:w="120" w:type="dxa"/>
            <w:vAlign w:val="bottom"/>
          </w:tcPr>
          <w:p>
            <w:pPr>
              <w:spacing w:after="0"/>
              <w:rPr>
                <w:sz w:val="24"/>
                <w:szCs w:val="24"/>
                <w:color w:val="auto"/>
              </w:rPr>
            </w:pPr>
          </w:p>
        </w:tc>
        <w:tc>
          <w:tcPr>
            <w:tcW w:w="700" w:type="dxa"/>
            <w:vAlign w:val="bottom"/>
          </w:tcPr>
          <w:p>
            <w:pPr>
              <w:jc w:val="right"/>
              <w:ind w:right="145"/>
              <w:spacing w:after="0"/>
              <w:rPr>
                <w:sz w:val="20"/>
                <w:szCs w:val="20"/>
                <w:color w:val="auto"/>
              </w:rPr>
            </w:pPr>
            <w:r>
              <w:rPr>
                <w:rFonts w:ascii="Arial" w:cs="Arial" w:eastAsia="Arial" w:hAnsi="Arial"/>
                <w:sz w:val="19"/>
                <w:szCs w:val="19"/>
                <w:color w:val="auto"/>
              </w:rPr>
              <w:t>Total</w:t>
            </w:r>
          </w:p>
        </w:tc>
        <w:tc>
          <w:tcPr>
            <w:tcW w:w="960" w:type="dxa"/>
            <w:vAlign w:val="bottom"/>
            <w:gridSpan w:val="2"/>
          </w:tcPr>
          <w:p>
            <w:pPr>
              <w:ind w:left="80"/>
              <w:spacing w:after="0"/>
              <w:rPr>
                <w:sz w:val="20"/>
                <w:szCs w:val="20"/>
                <w:color w:val="auto"/>
              </w:rPr>
            </w:pPr>
            <w:r>
              <w:rPr>
                <w:rFonts w:ascii="Arial" w:cs="Arial" w:eastAsia="Arial" w:hAnsi="Arial"/>
                <w:sz w:val="19"/>
                <w:szCs w:val="19"/>
                <w:color w:val="auto"/>
                <w:w w:val="94"/>
              </w:rPr>
              <w:t>Cost Basis</w:t>
            </w:r>
          </w:p>
        </w:tc>
        <w:tc>
          <w:tcPr>
            <w:tcW w:w="940" w:type="dxa"/>
            <w:vAlign w:val="bottom"/>
            <w:gridSpan w:val="2"/>
          </w:tcPr>
          <w:p>
            <w:pPr>
              <w:jc w:val="right"/>
              <w:ind w:right="85"/>
              <w:spacing w:after="0"/>
              <w:rPr>
                <w:sz w:val="20"/>
                <w:szCs w:val="20"/>
                <w:color w:val="auto"/>
              </w:rPr>
            </w:pPr>
            <w:r>
              <w:rPr>
                <w:rFonts w:ascii="Arial" w:cs="Arial" w:eastAsia="Arial" w:hAnsi="Arial"/>
                <w:sz w:val="19"/>
                <w:szCs w:val="19"/>
                <w:color w:val="auto"/>
              </w:rPr>
              <w:t>to Term</w:t>
            </w:r>
          </w:p>
        </w:tc>
        <w:tc>
          <w:tcPr>
            <w:tcW w:w="160" w:type="dxa"/>
            <w:vAlign w:val="bottom"/>
          </w:tcPr>
          <w:p>
            <w:pPr>
              <w:spacing w:after="0"/>
              <w:rPr>
                <w:sz w:val="24"/>
                <w:szCs w:val="24"/>
                <w:color w:val="auto"/>
              </w:rPr>
            </w:pPr>
          </w:p>
        </w:tc>
        <w:tc>
          <w:tcPr>
            <w:tcW w:w="720" w:type="dxa"/>
            <w:vAlign w:val="bottom"/>
          </w:tcPr>
          <w:p>
            <w:pPr>
              <w:jc w:val="right"/>
              <w:ind w:right="145"/>
              <w:spacing w:after="0"/>
              <w:rPr>
                <w:sz w:val="20"/>
                <w:szCs w:val="20"/>
                <w:color w:val="auto"/>
              </w:rPr>
            </w:pPr>
            <w:r>
              <w:rPr>
                <w:rFonts w:ascii="Arial" w:cs="Arial" w:eastAsia="Arial" w:hAnsi="Arial"/>
                <w:sz w:val="19"/>
                <w:szCs w:val="19"/>
                <w:color w:val="auto"/>
              </w:rPr>
              <w:t>Total</w:t>
            </w:r>
          </w:p>
        </w:tc>
      </w:tr>
      <w:tr>
        <w:trPr>
          <w:trHeight w:val="348"/>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1"/>
        </w:trPr>
        <w:tc>
          <w:tcPr>
            <w:tcW w:w="1020" w:type="dxa"/>
            <w:vAlign w:val="bottom"/>
            <w:shd w:val="clear" w:color="auto" w:fill="CFF0FC"/>
          </w:tcPr>
          <w:p>
            <w:pPr>
              <w:spacing w:after="0"/>
              <w:rPr>
                <w:sz w:val="20"/>
                <w:szCs w:val="20"/>
                <w:color w:val="auto"/>
              </w:rPr>
            </w:pPr>
            <w:r>
              <w:rPr>
                <w:rFonts w:ascii="Arial" w:cs="Arial" w:eastAsia="Arial" w:hAnsi="Arial"/>
                <w:sz w:val="19"/>
                <w:szCs w:val="19"/>
                <w:color w:val="auto"/>
              </w:rPr>
              <w:t>Consumer</w:t>
            </w:r>
          </w:p>
        </w:tc>
        <w:tc>
          <w:tcPr>
            <w:tcW w:w="1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r>
      <w:tr>
        <w:trPr>
          <w:trHeight w:val="303"/>
        </w:trPr>
        <w:tc>
          <w:tcPr>
            <w:tcW w:w="1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Real Estate</w:t>
            </w:r>
          </w:p>
        </w:tc>
        <w:tc>
          <w:tcPr>
            <w:tcW w:w="1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r>
      <w:tr>
        <w:trPr>
          <w:trHeight w:val="261"/>
        </w:trPr>
        <w:tc>
          <w:tcPr>
            <w:tcW w:w="1020" w:type="dxa"/>
            <w:vAlign w:val="bottom"/>
          </w:tcPr>
          <w:p>
            <w:pPr>
              <w:spacing w:after="0"/>
              <w:rPr>
                <w:sz w:val="20"/>
                <w:szCs w:val="20"/>
                <w:color w:val="auto"/>
              </w:rPr>
            </w:pPr>
            <w:r>
              <w:rPr>
                <w:rFonts w:ascii="Arial" w:cs="Arial" w:eastAsia="Arial" w:hAnsi="Arial"/>
                <w:sz w:val="19"/>
                <w:szCs w:val="19"/>
                <w:color w:val="auto"/>
              </w:rPr>
              <w:t>Risk Rating</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38"/>
        </w:trPr>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94"/>
        </w:trPr>
        <w:tc>
          <w:tcPr>
            <w:tcW w:w="1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Pass (1-4)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40,257</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64,316</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79,503</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89,800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74,996</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w w:val="90"/>
              </w:rPr>
              <w:t>106,007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454,879</w:t>
            </w:r>
          </w:p>
        </w:tc>
        <w:tc>
          <w:tcPr>
            <w:tcW w:w="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9"/>
                <w:szCs w:val="19"/>
                <w:color w:val="auto"/>
                <w:w w:val="94"/>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61,097</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237</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0"/>
              </w:rPr>
              <w:t>516,213</w:t>
            </w:r>
          </w:p>
        </w:tc>
      </w:tr>
      <w:tr>
        <w:trPr>
          <w:trHeight w:val="261"/>
        </w:trPr>
        <w:tc>
          <w:tcPr>
            <w:tcW w:w="1020" w:type="dxa"/>
            <w:vAlign w:val="bottom"/>
          </w:tcPr>
          <w:p>
            <w:pPr>
              <w:ind w:left="20"/>
              <w:spacing w:after="0"/>
              <w:rPr>
                <w:sz w:val="20"/>
                <w:szCs w:val="20"/>
                <w:color w:val="auto"/>
              </w:rPr>
            </w:pPr>
            <w:r>
              <w:rPr>
                <w:rFonts w:ascii="Arial" w:cs="Arial" w:eastAsia="Arial" w:hAnsi="Arial"/>
                <w:sz w:val="19"/>
                <w:szCs w:val="19"/>
                <w:color w:val="auto"/>
              </w:rPr>
              <w:t>Special</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5"/>
        </w:trPr>
        <w:tc>
          <w:tcPr>
            <w:tcW w:w="1020" w:type="dxa"/>
            <w:vAlign w:val="bottom"/>
          </w:tcPr>
          <w:p>
            <w:pPr>
              <w:ind w:left="20"/>
              <w:spacing w:after="0"/>
              <w:rPr>
                <w:sz w:val="20"/>
                <w:szCs w:val="20"/>
                <w:color w:val="auto"/>
              </w:rPr>
            </w:pPr>
            <w:r>
              <w:rPr>
                <w:rFonts w:ascii="Arial" w:cs="Arial" w:eastAsia="Arial" w:hAnsi="Arial"/>
                <w:sz w:val="19"/>
                <w:szCs w:val="19"/>
                <w:color w:val="auto"/>
              </w:rPr>
              <w:t>Mention (5)</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37</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551</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Arial" w:cs="Arial" w:eastAsia="Arial" w:hAnsi="Arial"/>
                <w:sz w:val="19"/>
                <w:szCs w:val="19"/>
                <w:color w:val="auto"/>
              </w:rPr>
              <w:t>119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707</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19</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726</w:t>
            </w:r>
          </w:p>
        </w:tc>
      </w:tr>
      <w:tr>
        <w:trPr>
          <w:trHeight w:val="38"/>
        </w:trPr>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1"/>
        </w:trPr>
        <w:tc>
          <w:tcPr>
            <w:tcW w:w="1020" w:type="dxa"/>
            <w:vAlign w:val="bottom"/>
            <w:shd w:val="clear" w:color="auto" w:fill="CFF0FC"/>
          </w:tcPr>
          <w:p>
            <w:pPr>
              <w:ind w:left="20"/>
              <w:spacing w:after="0"/>
              <w:rPr>
                <w:sz w:val="20"/>
                <w:szCs w:val="20"/>
                <w:color w:val="auto"/>
              </w:rPr>
            </w:pPr>
            <w:r>
              <w:rPr>
                <w:rFonts w:ascii="Arial" w:cs="Arial" w:eastAsia="Arial" w:hAnsi="Arial"/>
                <w:sz w:val="19"/>
                <w:szCs w:val="19"/>
                <w:color w:val="auto"/>
                <w:w w:val="90"/>
              </w:rPr>
              <w:t>Substandard</w:t>
            </w:r>
          </w:p>
        </w:tc>
        <w:tc>
          <w:tcPr>
            <w:tcW w:w="1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r>
      <w:tr>
        <w:trPr>
          <w:trHeight w:val="303"/>
        </w:trPr>
        <w:tc>
          <w:tcPr>
            <w:tcW w:w="1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(6)</w:t>
            </w:r>
          </w:p>
        </w:tc>
        <w:tc>
          <w:tcPr>
            <w:tcW w:w="1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143</w:t>
            </w: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239</w:t>
            </w: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529</w:t>
            </w: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786</w:t>
            </w: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465</w:t>
            </w:r>
          </w:p>
        </w:tc>
        <w:tc>
          <w:tcPr>
            <w:tcW w:w="1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1,040</w:t>
            </w:r>
          </w:p>
        </w:tc>
        <w:tc>
          <w:tcPr>
            <w:tcW w:w="1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3,202</w:t>
            </w: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236</w:t>
            </w: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15</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3,453</w:t>
            </w:r>
          </w:p>
        </w:tc>
      </w:tr>
      <w:tr>
        <w:trPr>
          <w:trHeight w:val="271"/>
        </w:trPr>
        <w:tc>
          <w:tcPr>
            <w:tcW w:w="1020" w:type="dxa"/>
            <w:vAlign w:val="bottom"/>
          </w:tcPr>
          <w:p>
            <w:pPr>
              <w:ind w:left="20"/>
              <w:spacing w:after="0"/>
              <w:rPr>
                <w:sz w:val="20"/>
                <w:szCs w:val="20"/>
                <w:color w:val="auto"/>
              </w:rPr>
            </w:pPr>
            <w:r>
              <w:rPr>
                <w:rFonts w:ascii="Arial" w:cs="Arial" w:eastAsia="Arial" w:hAnsi="Arial"/>
                <w:sz w:val="19"/>
                <w:szCs w:val="19"/>
                <w:color w:val="auto"/>
                <w:w w:val="98"/>
              </w:rPr>
              <w:t>Doubtful (7)</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76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8"/>
        </w:trPr>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1"/>
        </w:trPr>
        <w:tc>
          <w:tcPr>
            <w:tcW w:w="1020" w:type="dxa"/>
            <w:vAlign w:val="bottom"/>
            <w:shd w:val="clear" w:color="auto" w:fill="CFF0FC"/>
          </w:tcPr>
          <w:p>
            <w:pPr>
              <w:ind w:left="20"/>
              <w:spacing w:after="0"/>
              <w:rPr>
                <w:sz w:val="20"/>
                <w:szCs w:val="20"/>
                <w:color w:val="auto"/>
              </w:rPr>
            </w:pPr>
            <w:r>
              <w:rPr>
                <w:rFonts w:ascii="Arial" w:cs="Arial" w:eastAsia="Arial" w:hAnsi="Arial"/>
                <w:sz w:val="19"/>
                <w:szCs w:val="19"/>
                <w:color w:val="auto"/>
              </w:rPr>
              <w:t>Total</w:t>
            </w:r>
          </w:p>
        </w:tc>
        <w:tc>
          <w:tcPr>
            <w:tcW w:w="1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r>
      <w:tr>
        <w:trPr>
          <w:trHeight w:val="285"/>
        </w:trPr>
        <w:tc>
          <w:tcPr>
            <w:tcW w:w="1020" w:type="dxa"/>
            <w:vAlign w:val="bottom"/>
            <w:shd w:val="clear" w:color="auto" w:fill="CFF0FC"/>
          </w:tcPr>
          <w:p>
            <w:pPr>
              <w:ind w:left="20"/>
              <w:spacing w:after="0"/>
              <w:rPr>
                <w:sz w:val="20"/>
                <w:szCs w:val="20"/>
                <w:color w:val="auto"/>
              </w:rPr>
            </w:pPr>
            <w:r>
              <w:rPr>
                <w:rFonts w:ascii="Arial" w:cs="Arial" w:eastAsia="Arial" w:hAnsi="Arial"/>
                <w:sz w:val="19"/>
                <w:szCs w:val="19"/>
                <w:color w:val="auto"/>
              </w:rPr>
              <w:t>Consumer</w:t>
            </w:r>
          </w:p>
        </w:tc>
        <w:tc>
          <w:tcPr>
            <w:tcW w:w="1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r>
      <w:tr>
        <w:trPr>
          <w:trHeight w:val="303"/>
        </w:trPr>
        <w:tc>
          <w:tcPr>
            <w:tcW w:w="1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w w:val="99"/>
              </w:rPr>
              <w:t>Real Estate</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40,400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64,555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80,069</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91,137</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75,461</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w w:val="90"/>
              </w:rPr>
              <w:t>107,166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458,788</w:t>
            </w:r>
          </w:p>
        </w:tc>
        <w:tc>
          <w:tcPr>
            <w:tcW w:w="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9"/>
                <w:szCs w:val="19"/>
                <w:color w:val="auto"/>
                <w:w w:val="94"/>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61,352</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252</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0"/>
              </w:rPr>
              <w:t>520,392</w:t>
            </w:r>
          </w:p>
        </w:tc>
      </w:tr>
      <w:tr>
        <w:trPr>
          <w:trHeight w:val="261"/>
        </w:trPr>
        <w:tc>
          <w:tcPr>
            <w:tcW w:w="1020" w:type="dxa"/>
            <w:vAlign w:val="bottom"/>
          </w:tcPr>
          <w:p>
            <w:pPr>
              <w:ind w:left="20"/>
              <w:spacing w:after="0"/>
              <w:rPr>
                <w:sz w:val="20"/>
                <w:szCs w:val="20"/>
                <w:color w:val="auto"/>
              </w:rPr>
            </w:pPr>
            <w:r>
              <w:rPr>
                <w:rFonts w:ascii="Arial" w:cs="Arial" w:eastAsia="Arial" w:hAnsi="Arial"/>
                <w:sz w:val="19"/>
                <w:szCs w:val="19"/>
                <w:color w:val="auto"/>
              </w:rPr>
              <w:t>Gross</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5"/>
        </w:trPr>
        <w:tc>
          <w:tcPr>
            <w:tcW w:w="1020" w:type="dxa"/>
            <w:vAlign w:val="bottom"/>
          </w:tcPr>
          <w:p>
            <w:pPr>
              <w:ind w:left="20"/>
              <w:spacing w:after="0"/>
              <w:rPr>
                <w:sz w:val="20"/>
                <w:szCs w:val="20"/>
                <w:color w:val="auto"/>
              </w:rPr>
            </w:pPr>
            <w:r>
              <w:rPr>
                <w:rFonts w:ascii="Arial" w:cs="Arial" w:eastAsia="Arial" w:hAnsi="Arial"/>
                <w:sz w:val="19"/>
                <w:szCs w:val="19"/>
                <w:color w:val="auto"/>
              </w:rPr>
              <w:t>charge-offs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5"/>
        </w:trPr>
        <w:tc>
          <w:tcPr>
            <w:tcW w:w="1020" w:type="dxa"/>
            <w:vAlign w:val="bottom"/>
          </w:tcPr>
          <w:p>
            <w:pPr>
              <w:ind w:left="20"/>
              <w:spacing w:after="0"/>
              <w:rPr>
                <w:sz w:val="20"/>
                <w:szCs w:val="20"/>
                <w:color w:val="auto"/>
              </w:rPr>
            </w:pPr>
            <w:r>
              <w:rPr>
                <w:rFonts w:ascii="Arial" w:cs="Arial" w:eastAsia="Arial" w:hAnsi="Arial"/>
                <w:sz w:val="19"/>
                <w:szCs w:val="19"/>
                <w:color w:val="auto"/>
              </w:rPr>
              <w:t>YTD</w:t>
            </w:r>
          </w:p>
        </w:tc>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25"/>
              <w:spacing w:after="0"/>
              <w:rPr>
                <w:sz w:val="20"/>
                <w:szCs w:val="20"/>
                <w:color w:val="auto"/>
              </w:rPr>
            </w:pPr>
            <w:r>
              <w:rPr>
                <w:rFonts w:ascii="Arial" w:cs="Arial" w:eastAsia="Arial" w:hAnsi="Arial"/>
                <w:sz w:val="19"/>
                <w:szCs w:val="19"/>
                <w:color w:val="auto"/>
              </w:rPr>
              <w:t>13</w:t>
            </w:r>
          </w:p>
        </w:tc>
        <w:tc>
          <w:tcPr>
            <w:tcW w:w="12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13</w:t>
            </w:r>
          </w:p>
        </w:tc>
        <w:tc>
          <w:tcPr>
            <w:tcW w:w="200" w:type="dxa"/>
            <w:vAlign w:val="bottom"/>
          </w:tcPr>
          <w:p>
            <w:pPr>
              <w:ind w:left="80"/>
              <w:spacing w:after="0"/>
              <w:rPr>
                <w:sz w:val="20"/>
                <w:szCs w:val="20"/>
                <w:color w:val="auto"/>
              </w:rPr>
            </w:pPr>
            <w:r>
              <w:rPr>
                <w:rFonts w:ascii="Arial" w:cs="Arial" w:eastAsia="Arial" w:hAnsi="Arial"/>
                <w:sz w:val="19"/>
                <w:szCs w:val="19"/>
                <w:color w:val="auto"/>
                <w:w w:val="94"/>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ind w:left="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338"/>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1"/>
        </w:trPr>
        <w:tc>
          <w:tcPr>
            <w:tcW w:w="1020" w:type="dxa"/>
            <w:vAlign w:val="bottom"/>
            <w:shd w:val="clear" w:color="auto" w:fill="CFF0FC"/>
          </w:tcPr>
          <w:p>
            <w:pPr>
              <w:spacing w:after="0"/>
              <w:rPr>
                <w:sz w:val="20"/>
                <w:szCs w:val="20"/>
                <w:color w:val="auto"/>
              </w:rPr>
            </w:pPr>
            <w:r>
              <w:rPr>
                <w:rFonts w:ascii="Arial" w:cs="Arial" w:eastAsia="Arial" w:hAnsi="Arial"/>
                <w:sz w:val="19"/>
                <w:szCs w:val="19"/>
                <w:color w:val="auto"/>
              </w:rPr>
              <w:t>Agricultural</w:t>
            </w:r>
          </w:p>
        </w:tc>
        <w:tc>
          <w:tcPr>
            <w:tcW w:w="1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r>
      <w:tr>
        <w:trPr>
          <w:trHeight w:val="303"/>
        </w:trPr>
        <w:tc>
          <w:tcPr>
            <w:tcW w:w="1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Real Estate</w:t>
            </w:r>
          </w:p>
        </w:tc>
        <w:tc>
          <w:tcPr>
            <w:tcW w:w="1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r>
      <w:tr>
        <w:trPr>
          <w:trHeight w:val="261"/>
        </w:trPr>
        <w:tc>
          <w:tcPr>
            <w:tcW w:w="1020" w:type="dxa"/>
            <w:vAlign w:val="bottom"/>
          </w:tcPr>
          <w:p>
            <w:pPr>
              <w:spacing w:after="0"/>
              <w:rPr>
                <w:sz w:val="20"/>
                <w:szCs w:val="20"/>
                <w:color w:val="auto"/>
              </w:rPr>
            </w:pPr>
            <w:r>
              <w:rPr>
                <w:rFonts w:ascii="Arial" w:cs="Arial" w:eastAsia="Arial" w:hAnsi="Arial"/>
                <w:sz w:val="19"/>
                <w:szCs w:val="19"/>
                <w:color w:val="auto"/>
              </w:rPr>
              <w:t>Risk Rating</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38"/>
        </w:trPr>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94"/>
        </w:trPr>
        <w:tc>
          <w:tcPr>
            <w:tcW w:w="1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Pass (1-4)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23,817</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28,088</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34,469</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22,983</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23,639</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76,964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209,960</w:t>
            </w:r>
          </w:p>
        </w:tc>
        <w:tc>
          <w:tcPr>
            <w:tcW w:w="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9"/>
                <w:szCs w:val="19"/>
                <w:color w:val="auto"/>
                <w:w w:val="94"/>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92</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0"/>
              </w:rPr>
              <w:t>210,052</w:t>
            </w:r>
          </w:p>
        </w:tc>
      </w:tr>
      <w:tr>
        <w:trPr>
          <w:trHeight w:val="261"/>
        </w:trPr>
        <w:tc>
          <w:tcPr>
            <w:tcW w:w="1020" w:type="dxa"/>
            <w:vAlign w:val="bottom"/>
          </w:tcPr>
          <w:p>
            <w:pPr>
              <w:ind w:left="20"/>
              <w:spacing w:after="0"/>
              <w:rPr>
                <w:sz w:val="20"/>
                <w:szCs w:val="20"/>
                <w:color w:val="auto"/>
              </w:rPr>
            </w:pPr>
            <w:r>
              <w:rPr>
                <w:rFonts w:ascii="Arial" w:cs="Arial" w:eastAsia="Arial" w:hAnsi="Arial"/>
                <w:sz w:val="19"/>
                <w:szCs w:val="19"/>
                <w:color w:val="auto"/>
              </w:rPr>
              <w:t>Special</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5"/>
        </w:trPr>
        <w:tc>
          <w:tcPr>
            <w:tcW w:w="1020" w:type="dxa"/>
            <w:vAlign w:val="bottom"/>
          </w:tcPr>
          <w:p>
            <w:pPr>
              <w:ind w:left="20"/>
              <w:spacing w:after="0"/>
              <w:rPr>
                <w:sz w:val="20"/>
                <w:szCs w:val="20"/>
                <w:color w:val="auto"/>
              </w:rPr>
            </w:pPr>
            <w:r>
              <w:rPr>
                <w:rFonts w:ascii="Arial" w:cs="Arial" w:eastAsia="Arial" w:hAnsi="Arial"/>
                <w:sz w:val="19"/>
                <w:szCs w:val="19"/>
                <w:color w:val="auto"/>
              </w:rPr>
              <w:t>Mention (5)</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Arial" w:cs="Arial" w:eastAsia="Arial" w:hAnsi="Arial"/>
                <w:sz w:val="19"/>
                <w:szCs w:val="19"/>
                <w:color w:val="auto"/>
              </w:rPr>
              <w:t>13</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13</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38"/>
        </w:trPr>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1"/>
        </w:trPr>
        <w:tc>
          <w:tcPr>
            <w:tcW w:w="1020" w:type="dxa"/>
            <w:vAlign w:val="bottom"/>
            <w:shd w:val="clear" w:color="auto" w:fill="CFF0FC"/>
          </w:tcPr>
          <w:p>
            <w:pPr>
              <w:ind w:left="20"/>
              <w:spacing w:after="0"/>
              <w:rPr>
                <w:sz w:val="20"/>
                <w:szCs w:val="20"/>
                <w:color w:val="auto"/>
              </w:rPr>
            </w:pPr>
            <w:r>
              <w:rPr>
                <w:rFonts w:ascii="Arial" w:cs="Arial" w:eastAsia="Arial" w:hAnsi="Arial"/>
                <w:sz w:val="19"/>
                <w:szCs w:val="19"/>
                <w:color w:val="auto"/>
                <w:w w:val="90"/>
              </w:rPr>
              <w:t>Substandard</w:t>
            </w:r>
          </w:p>
        </w:tc>
        <w:tc>
          <w:tcPr>
            <w:tcW w:w="1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r>
      <w:tr>
        <w:trPr>
          <w:trHeight w:val="303"/>
        </w:trPr>
        <w:tc>
          <w:tcPr>
            <w:tcW w:w="1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(6)</w:t>
            </w:r>
          </w:p>
        </w:tc>
        <w:tc>
          <w:tcPr>
            <w:tcW w:w="1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5,696</w:t>
            </w: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371</w:t>
            </w: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5</w:t>
            </w:r>
          </w:p>
        </w:tc>
        <w:tc>
          <w:tcPr>
            <w:tcW w:w="1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6,072</w:t>
            </w: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6,072</w:t>
            </w:r>
          </w:p>
        </w:tc>
      </w:tr>
      <w:tr>
        <w:trPr>
          <w:trHeight w:val="271"/>
        </w:trPr>
        <w:tc>
          <w:tcPr>
            <w:tcW w:w="1020" w:type="dxa"/>
            <w:vAlign w:val="bottom"/>
          </w:tcPr>
          <w:p>
            <w:pPr>
              <w:ind w:left="20"/>
              <w:spacing w:after="0"/>
              <w:rPr>
                <w:sz w:val="20"/>
                <w:szCs w:val="20"/>
                <w:color w:val="auto"/>
              </w:rPr>
            </w:pPr>
            <w:r>
              <w:rPr>
                <w:rFonts w:ascii="Arial" w:cs="Arial" w:eastAsia="Arial" w:hAnsi="Arial"/>
                <w:sz w:val="19"/>
                <w:szCs w:val="19"/>
                <w:color w:val="auto"/>
                <w:w w:val="98"/>
              </w:rPr>
              <w:t>Doubtful (7)</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76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8"/>
        </w:trPr>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1"/>
        </w:trPr>
        <w:tc>
          <w:tcPr>
            <w:tcW w:w="1020" w:type="dxa"/>
            <w:vAlign w:val="bottom"/>
            <w:shd w:val="clear" w:color="auto" w:fill="CFF0FC"/>
          </w:tcPr>
          <w:p>
            <w:pPr>
              <w:ind w:left="20"/>
              <w:spacing w:after="0"/>
              <w:rPr>
                <w:sz w:val="20"/>
                <w:szCs w:val="20"/>
                <w:color w:val="auto"/>
              </w:rPr>
            </w:pPr>
            <w:r>
              <w:rPr>
                <w:rFonts w:ascii="Arial" w:cs="Arial" w:eastAsia="Arial" w:hAnsi="Arial"/>
                <w:sz w:val="19"/>
                <w:szCs w:val="19"/>
                <w:color w:val="auto"/>
              </w:rPr>
              <w:t>Total</w:t>
            </w:r>
          </w:p>
        </w:tc>
        <w:tc>
          <w:tcPr>
            <w:tcW w:w="14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r>
      <w:tr>
        <w:trPr>
          <w:trHeight w:val="285"/>
        </w:trPr>
        <w:tc>
          <w:tcPr>
            <w:tcW w:w="1020" w:type="dxa"/>
            <w:vAlign w:val="bottom"/>
            <w:shd w:val="clear" w:color="auto" w:fill="CFF0FC"/>
          </w:tcPr>
          <w:p>
            <w:pPr>
              <w:ind w:left="20"/>
              <w:spacing w:after="0"/>
              <w:rPr>
                <w:sz w:val="20"/>
                <w:szCs w:val="20"/>
                <w:color w:val="auto"/>
              </w:rPr>
            </w:pPr>
            <w:r>
              <w:rPr>
                <w:rFonts w:ascii="Arial" w:cs="Arial" w:eastAsia="Arial" w:hAnsi="Arial"/>
                <w:sz w:val="19"/>
                <w:szCs w:val="19"/>
                <w:color w:val="auto"/>
              </w:rPr>
              <w:t>Agricultural</w:t>
            </w:r>
          </w:p>
        </w:tc>
        <w:tc>
          <w:tcPr>
            <w:tcW w:w="1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r>
      <w:tr>
        <w:trPr>
          <w:trHeight w:val="303"/>
        </w:trPr>
        <w:tc>
          <w:tcPr>
            <w:tcW w:w="1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w w:val="99"/>
              </w:rPr>
              <w:t>Real Estate</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29,513</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28,088</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34,840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22,983</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5"/>
              </w:rPr>
              <w:t>23,639</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76,982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216,045</w:t>
            </w:r>
          </w:p>
        </w:tc>
        <w:tc>
          <w:tcPr>
            <w:tcW w:w="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9"/>
                <w:szCs w:val="19"/>
                <w:color w:val="auto"/>
                <w:w w:val="94"/>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92</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0"/>
              </w:rPr>
              <w:t>216,137</w:t>
            </w:r>
          </w:p>
        </w:tc>
      </w:tr>
      <w:tr>
        <w:trPr>
          <w:trHeight w:val="261"/>
        </w:trPr>
        <w:tc>
          <w:tcPr>
            <w:tcW w:w="1020" w:type="dxa"/>
            <w:vAlign w:val="bottom"/>
          </w:tcPr>
          <w:p>
            <w:pPr>
              <w:ind w:left="20"/>
              <w:spacing w:after="0"/>
              <w:rPr>
                <w:sz w:val="20"/>
                <w:szCs w:val="20"/>
                <w:color w:val="auto"/>
              </w:rPr>
            </w:pPr>
            <w:r>
              <w:rPr>
                <w:rFonts w:ascii="Arial" w:cs="Arial" w:eastAsia="Arial" w:hAnsi="Arial"/>
                <w:sz w:val="19"/>
                <w:szCs w:val="19"/>
                <w:color w:val="auto"/>
              </w:rPr>
              <w:t>Gross</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5"/>
        </w:trPr>
        <w:tc>
          <w:tcPr>
            <w:tcW w:w="1020" w:type="dxa"/>
            <w:vAlign w:val="bottom"/>
          </w:tcPr>
          <w:p>
            <w:pPr>
              <w:ind w:left="20"/>
              <w:spacing w:after="0"/>
              <w:rPr>
                <w:sz w:val="20"/>
                <w:szCs w:val="20"/>
                <w:color w:val="auto"/>
              </w:rPr>
            </w:pPr>
            <w:r>
              <w:rPr>
                <w:rFonts w:ascii="Arial" w:cs="Arial" w:eastAsia="Arial" w:hAnsi="Arial"/>
                <w:sz w:val="19"/>
                <w:szCs w:val="19"/>
                <w:color w:val="auto"/>
              </w:rPr>
              <w:t>charge-offs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5"/>
        </w:trPr>
        <w:tc>
          <w:tcPr>
            <w:tcW w:w="1020" w:type="dxa"/>
            <w:vAlign w:val="bottom"/>
          </w:tcPr>
          <w:p>
            <w:pPr>
              <w:ind w:left="20"/>
              <w:spacing w:after="0"/>
              <w:rPr>
                <w:sz w:val="20"/>
                <w:szCs w:val="20"/>
                <w:color w:val="auto"/>
              </w:rPr>
            </w:pPr>
            <w:r>
              <w:rPr>
                <w:rFonts w:ascii="Arial" w:cs="Arial" w:eastAsia="Arial" w:hAnsi="Arial"/>
                <w:sz w:val="19"/>
                <w:szCs w:val="19"/>
                <w:color w:val="auto"/>
              </w:rPr>
              <w:t>YTD</w:t>
            </w:r>
          </w:p>
        </w:tc>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12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ind w:left="80"/>
              <w:spacing w:after="0"/>
              <w:rPr>
                <w:sz w:val="20"/>
                <w:szCs w:val="20"/>
                <w:color w:val="auto"/>
              </w:rPr>
            </w:pPr>
            <w:r>
              <w:rPr>
                <w:rFonts w:ascii="Arial" w:cs="Arial" w:eastAsia="Arial" w:hAnsi="Arial"/>
                <w:sz w:val="19"/>
                <w:szCs w:val="19"/>
                <w:color w:val="auto"/>
                <w:w w:val="94"/>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ind w:left="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-7128510</wp:posOffset>
            </wp:positionV>
            <wp:extent cx="5251450"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7">
                      <a:extLst>
                        <a:ext uri="{28A0092B-C50C-407E-A947-70E740481C1C}"/>
                      </a:extLst>
                    </a:blip>
                    <a:srcRect/>
                    <a:stretch>
                      <a:fillRect/>
                    </a:stretch>
                  </pic:blipFill>
                  <pic:spPr bwMode="auto">
                    <a:xfrm>
                      <a:off x="0" y="0"/>
                      <a:ext cx="5251450" cy="635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-6932295</wp:posOffset>
            </wp:positionV>
            <wp:extent cx="5251450"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38">
                      <a:extLst>
                        <a:ext uri="{28A0092B-C50C-407E-A947-70E740481C1C}"/>
                      </a:extLst>
                    </a:blip>
                    <a:srcRect/>
                    <a:stretch>
                      <a:fillRect/>
                    </a:stretch>
                  </pic:blipFill>
                  <pic:spPr bwMode="auto">
                    <a:xfrm>
                      <a:off x="0" y="0"/>
                      <a:ext cx="5251450" cy="635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-6735445</wp:posOffset>
            </wp:positionV>
            <wp:extent cx="2939415"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39">
                      <a:extLst>
                        <a:ext uri="{28A0092B-C50C-407E-A947-70E740481C1C}"/>
                      </a:extLst>
                    </a:blip>
                    <a:srcRect/>
                    <a:stretch>
                      <a:fillRect/>
                    </a:stretch>
                  </pic:blipFill>
                  <pic:spPr bwMode="auto">
                    <a:xfrm>
                      <a:off x="0" y="0"/>
                      <a:ext cx="2939415" cy="635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-5969000</wp:posOffset>
            </wp:positionV>
            <wp:extent cx="5251450" cy="63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0">
                      <a:extLst>
                        <a:ext uri="{28A0092B-C50C-407E-A947-70E740481C1C}"/>
                      </a:extLst>
                    </a:blip>
                    <a:srcRect/>
                    <a:stretch>
                      <a:fillRect/>
                    </a:stretch>
                  </pic:blipFill>
                  <pic:spPr bwMode="auto">
                    <a:xfrm>
                      <a:off x="0" y="0"/>
                      <a:ext cx="5251450" cy="635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-4079240</wp:posOffset>
            </wp:positionV>
            <wp:extent cx="5251450" cy="63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1">
                      <a:extLst>
                        <a:ext uri="{28A0092B-C50C-407E-A947-70E740481C1C}"/>
                      </a:extLst>
                    </a:blip>
                    <a:srcRect/>
                    <a:stretch>
                      <a:fillRect/>
                    </a:stretch>
                  </pic:blipFill>
                  <pic:spPr bwMode="auto">
                    <a:xfrm>
                      <a:off x="0" y="0"/>
                      <a:ext cx="5251450" cy="635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-3549650</wp:posOffset>
            </wp:positionV>
            <wp:extent cx="5292090" cy="285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2">
                      <a:extLst>
                        <a:ext uri="{28A0092B-C50C-407E-A947-70E740481C1C}"/>
                      </a:extLst>
                    </a:blip>
                    <a:srcRect/>
                    <a:stretch>
                      <a:fillRect/>
                    </a:stretch>
                  </pic:blipFill>
                  <pic:spPr bwMode="auto">
                    <a:xfrm>
                      <a:off x="0" y="0"/>
                      <a:ext cx="5292090" cy="2857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-2974975</wp:posOffset>
            </wp:positionV>
            <wp:extent cx="5251450"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3">
                      <a:extLst>
                        <a:ext uri="{28A0092B-C50C-407E-A947-70E740481C1C}"/>
                      </a:extLst>
                    </a:blip>
                    <a:srcRect/>
                    <a:stretch>
                      <a:fillRect/>
                    </a:stretch>
                  </pic:blipFill>
                  <pic:spPr bwMode="auto">
                    <a:xfrm>
                      <a:off x="0" y="0"/>
                      <a:ext cx="5251450" cy="635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-1085215</wp:posOffset>
            </wp:positionV>
            <wp:extent cx="5251450"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4">
                      <a:extLst>
                        <a:ext uri="{28A0092B-C50C-407E-A947-70E740481C1C}"/>
                      </a:extLst>
                    </a:blip>
                    <a:srcRect/>
                    <a:stretch>
                      <a:fillRect/>
                    </a:stretch>
                  </pic:blipFill>
                  <pic:spPr bwMode="auto">
                    <a:xfrm>
                      <a:off x="0" y="0"/>
                      <a:ext cx="5251450" cy="635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-555625</wp:posOffset>
            </wp:positionV>
            <wp:extent cx="5292090" cy="285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5">
                      <a:extLst>
                        <a:ext uri="{28A0092B-C50C-407E-A947-70E740481C1C}"/>
                      </a:extLst>
                    </a:blip>
                    <a:srcRect/>
                    <a:stretch>
                      <a:fillRect/>
                    </a:stretch>
                  </pic:blipFill>
                  <pic:spPr bwMode="auto">
                    <a:xfrm>
                      <a:off x="0" y="0"/>
                      <a:ext cx="5292090" cy="2857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17780</wp:posOffset>
            </wp:positionV>
            <wp:extent cx="5251450" cy="6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6">
                      <a:extLst>
                        <a:ext uri="{28A0092B-C50C-407E-A947-70E740481C1C}"/>
                      </a:extLst>
                    </a:blip>
                    <a:srcRect/>
                    <a:stretch>
                      <a:fillRect/>
                    </a:stretch>
                  </pic:blipFill>
                  <pic:spPr bwMode="auto">
                    <a:xfrm>
                      <a:off x="0" y="0"/>
                      <a:ext cx="525145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17</w:t>
      </w:r>
    </w:p>
    <w:p>
      <w:pPr>
        <w:sectPr>
          <w:pgSz w:w="11900" w:h="16838" w:orient="portrait"/>
          <w:cols w:equalWidth="0" w:num="1">
            <w:col w:w="9400"/>
          </w:cols>
          <w:pgMar w:left="1260" w:top="1440" w:right="1246" w:bottom="0" w:gutter="0" w:footer="0" w:header="0"/>
          <w:type w:val="continuous"/>
        </w:sectPr>
      </w:pPr>
    </w:p>
    <w:bookmarkStart w:id="183" w:name="page184"/>
    <w:bookmarkEnd w:id="183"/>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909955</wp:posOffset>
            </wp:positionV>
            <wp:extent cx="5967730" cy="1898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7">
                      <a:extLst>
                        <a:ext uri="{28A0092B-C50C-407E-A947-70E740481C1C}"/>
                      </a:extLst>
                    </a:blip>
                    <a:srcRect/>
                    <a:stretch>
                      <a:fillRect/>
                    </a:stretch>
                  </pic:blipFill>
                  <pic:spPr bwMode="auto">
                    <a:xfrm>
                      <a:off x="0" y="0"/>
                      <a:ext cx="5967730" cy="18986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Agricultural</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Risk Rating</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Pass (1-4)</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6"/>
              </w:rPr>
              <w:t>$14,915</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8"/>
              </w:rPr>
              <w:t>$10,500</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8"/>
              </w:rPr>
              <w:t>$14,381</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$ 5,616</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$ 3,204</w:t>
            </w:r>
          </w:p>
        </w:tc>
        <w:tc>
          <w:tcPr>
            <w:tcW w:w="2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3,911</w:t>
            </w:r>
          </w:p>
        </w:tc>
        <w:tc>
          <w:tcPr>
            <w:tcW w:w="96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9"/>
                <w:szCs w:val="19"/>
                <w:color w:val="auto"/>
              </w:rPr>
              <w:t>$ 52,527</w:t>
            </w:r>
          </w:p>
        </w:tc>
        <w:tc>
          <w:tcPr>
            <w:tcW w:w="18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98,283</w:t>
            </w:r>
          </w:p>
        </w:tc>
        <w:tc>
          <w:tcPr>
            <w:tcW w:w="480" w:type="dxa"/>
            <w:vAlign w:val="bottom"/>
            <w:tcBorders>
              <w:bottom w:val="single" w:sz="8" w:color="CFF0FC"/>
            </w:tcBorders>
            <w:shd w:val="clear" w:color="auto" w:fill="CFF0FC"/>
          </w:tcPr>
          <w:p>
            <w:pPr>
              <w:jc w:val="right"/>
              <w:ind w:right="225"/>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8"/>
              </w:rPr>
              <w:t>$150,810</w:t>
            </w:r>
          </w:p>
        </w:tc>
      </w:tr>
      <w:tr>
        <w:trPr>
          <w:trHeight w:val="261"/>
        </w:trPr>
        <w:tc>
          <w:tcPr>
            <w:tcW w:w="1000" w:type="dxa"/>
            <w:vAlign w:val="bottom"/>
          </w:tcPr>
          <w:p>
            <w:pPr>
              <w:ind w:left="20"/>
              <w:spacing w:after="0"/>
              <w:rPr>
                <w:sz w:val="20"/>
                <w:szCs w:val="20"/>
                <w:color w:val="auto"/>
              </w:rPr>
            </w:pPr>
            <w:r>
              <w:rPr>
                <w:rFonts w:ascii="Arial" w:cs="Arial" w:eastAsia="Arial" w:hAnsi="Arial"/>
                <w:sz w:val="19"/>
                <w:szCs w:val="19"/>
                <w:color w:val="auto"/>
              </w:rPr>
              <w:t>Special</w:t>
            </w: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w w:val="99"/>
              </w:rPr>
              <w:t>Mention (5)</w:t>
            </w: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13</w:t>
            </w: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8</w:t>
            </w: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65"/>
              <w:spacing w:after="0"/>
              <w:rPr>
                <w:sz w:val="20"/>
                <w:szCs w:val="20"/>
                <w:color w:val="auto"/>
              </w:rPr>
            </w:pPr>
            <w:r>
              <w:rPr>
                <w:rFonts w:ascii="Arial" w:cs="Arial" w:eastAsia="Arial" w:hAnsi="Arial"/>
                <w:sz w:val="19"/>
                <w:szCs w:val="19"/>
                <w:color w:val="auto"/>
              </w:rPr>
              <w:t>21</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30</w:t>
            </w:r>
          </w:p>
        </w:tc>
        <w:tc>
          <w:tcPr>
            <w:tcW w:w="4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38"/>
        </w:trPr>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1"/>
        </w:trPr>
        <w:tc>
          <w:tcPr>
            <w:tcW w:w="1000" w:type="dxa"/>
            <w:vAlign w:val="bottom"/>
            <w:shd w:val="clear" w:color="auto" w:fill="CFF0FC"/>
          </w:tcPr>
          <w:p>
            <w:pPr>
              <w:ind w:left="20"/>
              <w:spacing w:after="0"/>
              <w:rPr>
                <w:sz w:val="20"/>
                <w:szCs w:val="20"/>
                <w:color w:val="auto"/>
              </w:rPr>
            </w:pPr>
            <w:r>
              <w:rPr>
                <w:rFonts w:ascii="Arial" w:cs="Arial" w:eastAsia="Arial" w:hAnsi="Arial"/>
                <w:sz w:val="19"/>
                <w:szCs w:val="19"/>
                <w:color w:val="auto"/>
                <w:w w:val="89"/>
              </w:rPr>
              <w:t>Substandard</w:t>
            </w:r>
          </w:p>
        </w:tc>
        <w:tc>
          <w:tcPr>
            <w:tcW w:w="76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5"/>
        </w:trPr>
        <w:tc>
          <w:tcPr>
            <w:tcW w:w="1000" w:type="dxa"/>
            <w:vAlign w:val="bottom"/>
            <w:shd w:val="clear" w:color="auto" w:fill="CFF0FC"/>
          </w:tcPr>
          <w:p>
            <w:pPr>
              <w:ind w:left="20"/>
              <w:spacing w:after="0"/>
              <w:rPr>
                <w:sz w:val="20"/>
                <w:szCs w:val="20"/>
                <w:color w:val="auto"/>
              </w:rPr>
            </w:pPr>
            <w:r>
              <w:rPr>
                <w:rFonts w:ascii="Arial" w:cs="Arial" w:eastAsia="Arial" w:hAnsi="Arial"/>
                <w:sz w:val="19"/>
                <w:szCs w:val="19"/>
                <w:color w:val="auto"/>
              </w:rPr>
              <w:t>(6)</w:t>
            </w:r>
          </w:p>
        </w:tc>
        <w:tc>
          <w:tcPr>
            <w:tcW w:w="7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21</w:t>
            </w:r>
          </w:p>
        </w:tc>
        <w:tc>
          <w:tcPr>
            <w:tcW w:w="7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w:t>
            </w:r>
          </w:p>
        </w:tc>
        <w:tc>
          <w:tcPr>
            <w:tcW w:w="260" w:type="dxa"/>
            <w:vAlign w:val="bottom"/>
            <w:shd w:val="clear" w:color="auto" w:fill="CFF0FC"/>
          </w:tcPr>
          <w:p>
            <w:pPr>
              <w:spacing w:after="0"/>
              <w:rPr>
                <w:sz w:val="24"/>
                <w:szCs w:val="2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CFF0FC"/>
          </w:tcPr>
          <w:p>
            <w:pPr>
              <w:jc w:val="right"/>
              <w:ind w:right="65"/>
              <w:spacing w:after="0"/>
              <w:rPr>
                <w:sz w:val="20"/>
                <w:szCs w:val="20"/>
                <w:color w:val="auto"/>
              </w:rPr>
            </w:pPr>
            <w:r>
              <w:rPr>
                <w:rFonts w:ascii="Arial" w:cs="Arial" w:eastAsia="Arial" w:hAnsi="Arial"/>
                <w:sz w:val="19"/>
                <w:szCs w:val="19"/>
                <w:color w:val="auto"/>
              </w:rPr>
              <w:t>50</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8"/>
        </w:trPr>
        <w:tc>
          <w:tcPr>
            <w:tcW w:w="100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17</w:t>
      </w:r>
    </w:p>
    <w:p>
      <w:pPr>
        <w:sectPr>
          <w:pgSz w:w="11900" w:h="16838" w:orient="portrait"/>
          <w:cols w:equalWidth="0" w:num="1">
            <w:col w:w="9400"/>
          </w:cols>
          <w:pgMar w:left="1260" w:top="1440" w:right="1246" w:bottom="0" w:gutter="0" w:footer="0" w:header="0"/>
          <w:type w:val="continuous"/>
        </w:sectPr>
      </w:pPr>
    </w:p>
    <w:bookmarkStart w:id="184" w:name="page185"/>
    <w:bookmarkEnd w:id="184"/>
    <w:p>
      <w:pPr>
        <w:spacing w:after="0" w:line="13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1,470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1,520</w:t>
      </w: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color w:val="auto"/>
        </w:rPr>
        <w:t>Doubtful (7)</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ectPr>
          <w:pgSz w:w="11900" w:h="16838" w:orient="portrait"/>
          <w:cols w:equalWidth="0" w:num="1">
            <w:col w:w="9240"/>
          </w:cols>
          <w:pgMar w:left="142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 / 12</w:t>
      </w:r>
    </w:p>
    <w:p>
      <w:pPr>
        <w:sectPr>
          <w:pgSz w:w="11900" w:h="16838" w:orient="portrait"/>
          <w:cols w:equalWidth="0" w:num="1">
            <w:col w:w="9240"/>
          </w:cols>
          <w:pgMar w:left="1420" w:top="1440" w:right="1246" w:bottom="0" w:gutter="0" w:footer="0" w:header="0"/>
          <w:type w:val="continuous"/>
        </w:sectPr>
      </w:pPr>
    </w:p>
    <w:bookmarkStart w:id="185" w:name="page186"/>
    <w:bookmarkEnd w:id="185"/>
    <w:p>
      <w:pPr>
        <w:spacing w:after="0" w:line="7" w:lineRule="exact"/>
        <w:rPr>
          <w:sz w:val="20"/>
          <w:szCs w:val="20"/>
          <w:color w:val="auto"/>
        </w:rPr>
      </w:pPr>
    </w:p>
    <w:p>
      <w:pPr>
        <w:ind w:left="260"/>
        <w:spacing w:after="0"/>
        <w:rPr>
          <w:sz w:val="20"/>
          <w:szCs w:val="20"/>
          <w:color w:val="auto"/>
        </w:rPr>
      </w:pPr>
      <w:r>
        <w:rPr>
          <w:rFonts w:ascii="Arial" w:cs="Arial" w:eastAsia="Arial" w:hAnsi="Arial"/>
          <w:sz w:val="19"/>
          <w:szCs w:val="19"/>
          <w:color w:val="auto"/>
        </w:rPr>
        <w:t>Total Agricultural</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14,915</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10,534</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14,381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5,624</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3,233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3,911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52,598</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99,783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152,381</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9"/>
          <w:szCs w:val="19"/>
          <w:color w:val="auto"/>
        </w:rPr>
        <w:t>Gross charge-offs YTD</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12</w:t>
      </w:r>
    </w:p>
    <w:p>
      <w:pPr>
        <w:sectPr>
          <w:pgSz w:w="11900" w:h="16838" w:orient="portrait"/>
          <w:cols w:equalWidth="0" w:num="1">
            <w:col w:w="9400"/>
          </w:cols>
          <w:pgMar w:left="1260" w:top="1440" w:right="1246" w:bottom="0" w:gutter="0" w:footer="0" w:header="0"/>
          <w:type w:val="continuous"/>
        </w:sectPr>
      </w:pPr>
    </w:p>
    <w:bookmarkStart w:id="186" w:name="page187"/>
    <w:bookmarkEnd w:id="186"/>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4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12</w:t>
      </w:r>
    </w:p>
    <w:p>
      <w:pPr>
        <w:sectPr>
          <w:pgSz w:w="11900" w:h="16838" w:orient="portrait"/>
          <w:cols w:equalWidth="0" w:num="1">
            <w:col w:w="9400"/>
          </w:cols>
          <w:pgMar w:left="1260" w:top="1161" w:right="1246" w:bottom="0" w:gutter="0" w:footer="0" w:header="0"/>
          <w:type w:val="continuous"/>
        </w:sectPr>
      </w:pPr>
    </w:p>
    <w:bookmarkStart w:id="187" w:name="page188"/>
    <w:bookmarkEnd w:id="187"/>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ind w:right="64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ind w:right="640"/>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9"/>
                <w:szCs w:val="19"/>
                <w:color w:val="auto"/>
              </w:rPr>
              <w:t>(In Thousands)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09"/>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4"/>
          </w:tcPr>
          <w:p>
            <w:pPr>
              <w:jc w:val="right"/>
              <w:spacing w:after="0"/>
              <w:rPr>
                <w:sz w:val="20"/>
                <w:szCs w:val="20"/>
                <w:color w:val="auto"/>
              </w:rPr>
            </w:pPr>
            <w:r>
              <w:rPr>
                <w:rFonts w:ascii="Arial" w:cs="Arial" w:eastAsia="Arial" w:hAnsi="Arial"/>
                <w:sz w:val="19"/>
                <w:szCs w:val="19"/>
                <w:color w:val="auto"/>
                <w:w w:val="98"/>
              </w:rPr>
              <w:t>December 31, 2024</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9"/>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gridSpan w:val="11"/>
          </w:tcPr>
          <w:p>
            <w:pPr>
              <w:jc w:val="right"/>
              <w:ind w:right="385"/>
              <w:spacing w:after="0"/>
              <w:rPr>
                <w:sz w:val="20"/>
                <w:szCs w:val="20"/>
                <w:color w:val="auto"/>
              </w:rPr>
            </w:pPr>
            <w:r>
              <w:rPr>
                <w:rFonts w:ascii="Arial" w:cs="Arial" w:eastAsia="Arial" w:hAnsi="Arial"/>
                <w:sz w:val="19"/>
                <w:szCs w:val="19"/>
                <w:color w:val="auto"/>
                <w:w w:val="99"/>
              </w:rPr>
              <w:t>Term Loans Amortized Cost Basis by Origination Year</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9"/>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9"/>
                <w:szCs w:val="19"/>
                <w:color w:val="auto"/>
              </w:rPr>
              <w:t>Revolving</w:t>
            </w:r>
          </w:p>
        </w:tc>
        <w:tc>
          <w:tcPr>
            <w:tcW w:w="940" w:type="dxa"/>
            <w:vAlign w:val="bottom"/>
            <w:gridSpan w:val="2"/>
          </w:tcPr>
          <w:p>
            <w:pPr>
              <w:ind w:left="80"/>
              <w:spacing w:after="0"/>
              <w:rPr>
                <w:sz w:val="20"/>
                <w:szCs w:val="20"/>
                <w:color w:val="auto"/>
              </w:rPr>
            </w:pPr>
            <w:r>
              <w:rPr>
                <w:rFonts w:ascii="Arial" w:cs="Arial" w:eastAsia="Arial" w:hAnsi="Arial"/>
                <w:sz w:val="19"/>
                <w:szCs w:val="19"/>
                <w:color w:val="auto"/>
              </w:rPr>
              <w:t>Revolving</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9"/>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145"/>
              <w:spacing w:after="0"/>
              <w:rPr>
                <w:sz w:val="20"/>
                <w:szCs w:val="20"/>
                <w:color w:val="auto"/>
              </w:rPr>
            </w:pPr>
            <w:r>
              <w:rPr>
                <w:rFonts w:ascii="Arial" w:cs="Arial" w:eastAsia="Arial" w:hAnsi="Arial"/>
                <w:sz w:val="19"/>
                <w:szCs w:val="19"/>
                <w:color w:val="auto"/>
                <w:w w:val="92"/>
              </w:rPr>
              <w:t>Loans</w:t>
            </w:r>
          </w:p>
        </w:tc>
        <w:tc>
          <w:tcPr>
            <w:tcW w:w="200" w:type="dxa"/>
            <w:vAlign w:val="bottom"/>
          </w:tcPr>
          <w:p>
            <w:pPr>
              <w:spacing w:after="0"/>
              <w:rPr>
                <w:sz w:val="24"/>
                <w:szCs w:val="24"/>
                <w:color w:val="auto"/>
              </w:rPr>
            </w:pPr>
          </w:p>
        </w:tc>
        <w:tc>
          <w:tcPr>
            <w:tcW w:w="740" w:type="dxa"/>
            <w:vAlign w:val="bottom"/>
          </w:tcPr>
          <w:p>
            <w:pPr>
              <w:jc w:val="right"/>
              <w:ind w:right="145"/>
              <w:spacing w:after="0"/>
              <w:rPr>
                <w:sz w:val="20"/>
                <w:szCs w:val="20"/>
                <w:color w:val="auto"/>
              </w:rPr>
            </w:pPr>
            <w:r>
              <w:rPr>
                <w:rFonts w:ascii="Arial" w:cs="Arial" w:eastAsia="Arial" w:hAnsi="Arial"/>
                <w:sz w:val="19"/>
                <w:szCs w:val="19"/>
                <w:color w:val="auto"/>
                <w:w w:val="92"/>
              </w:rPr>
              <w:t>Loans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9"/>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05"/>
              <w:spacing w:after="0"/>
              <w:rPr>
                <w:sz w:val="20"/>
                <w:szCs w:val="20"/>
                <w:color w:val="auto"/>
              </w:rPr>
            </w:pPr>
            <w:r>
              <w:rPr>
                <w:rFonts w:ascii="Arial" w:cs="Arial" w:eastAsia="Arial" w:hAnsi="Arial"/>
                <w:sz w:val="19"/>
                <w:szCs w:val="19"/>
                <w:color w:val="auto"/>
              </w:rPr>
              <w:t>Term</w:t>
            </w:r>
          </w:p>
        </w:tc>
        <w:tc>
          <w:tcPr>
            <w:tcW w:w="940" w:type="dxa"/>
            <w:vAlign w:val="bottom"/>
            <w:gridSpan w:val="2"/>
          </w:tcPr>
          <w:p>
            <w:pPr>
              <w:ind w:left="60"/>
              <w:spacing w:after="0"/>
              <w:rPr>
                <w:sz w:val="20"/>
                <w:szCs w:val="20"/>
                <w:color w:val="auto"/>
              </w:rPr>
            </w:pPr>
            <w:r>
              <w:rPr>
                <w:rFonts w:ascii="Arial" w:cs="Arial" w:eastAsia="Arial" w:hAnsi="Arial"/>
                <w:sz w:val="19"/>
                <w:szCs w:val="19"/>
                <w:color w:val="auto"/>
              </w:rPr>
              <w:t>Amortized</w:t>
            </w:r>
          </w:p>
        </w:tc>
        <w:tc>
          <w:tcPr>
            <w:tcW w:w="940" w:type="dxa"/>
            <w:vAlign w:val="bottom"/>
            <w:gridSpan w:val="2"/>
          </w:tcPr>
          <w:p>
            <w:pPr>
              <w:ind w:left="80"/>
              <w:spacing w:after="0"/>
              <w:rPr>
                <w:sz w:val="20"/>
                <w:szCs w:val="20"/>
                <w:color w:val="auto"/>
              </w:rPr>
            </w:pPr>
            <w:r>
              <w:rPr>
                <w:rFonts w:ascii="Arial" w:cs="Arial" w:eastAsia="Arial" w:hAnsi="Arial"/>
                <w:sz w:val="19"/>
                <w:szCs w:val="19"/>
                <w:color w:val="auto"/>
                <w:w w:val="95"/>
              </w:rPr>
              <w:t>Converted</w:t>
            </w:r>
          </w:p>
        </w:tc>
        <w:tc>
          <w:tcPr>
            <w:tcW w:w="160" w:type="dxa"/>
            <w:vAlign w:val="bottom"/>
          </w:tcPr>
          <w:p>
            <w:pPr>
              <w:spacing w:after="0"/>
              <w:rPr>
                <w:sz w:val="24"/>
                <w:szCs w:val="24"/>
                <w:color w:val="auto"/>
              </w:rPr>
            </w:pPr>
          </w:p>
        </w:tc>
        <w:tc>
          <w:tcPr>
            <w:tcW w:w="840" w:type="dxa"/>
            <w:vAlign w:val="bottom"/>
          </w:tcPr>
          <w:p>
            <w:pPr>
              <w:jc w:val="right"/>
              <w:ind w:right="165"/>
              <w:spacing w:after="0"/>
              <w:rPr>
                <w:sz w:val="20"/>
                <w:szCs w:val="20"/>
                <w:color w:val="auto"/>
              </w:rPr>
            </w:pPr>
            <w:r>
              <w:rPr>
                <w:rFonts w:ascii="Arial" w:cs="Arial" w:eastAsia="Arial" w:hAnsi="Arial"/>
                <w:sz w:val="19"/>
                <w:szCs w:val="19"/>
                <w:color w:val="auto"/>
              </w:rPr>
              <w:t>Grand</w:t>
            </w:r>
          </w:p>
        </w:tc>
      </w:tr>
      <w:tr>
        <w:trPr>
          <w:trHeight w:val="299"/>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145"/>
              <w:spacing w:after="0"/>
              <w:rPr>
                <w:sz w:val="20"/>
                <w:szCs w:val="20"/>
                <w:color w:val="auto"/>
              </w:rPr>
            </w:pPr>
            <w:r>
              <w:rPr>
                <w:rFonts w:ascii="Arial" w:cs="Arial" w:eastAsia="Arial" w:hAnsi="Arial"/>
                <w:sz w:val="19"/>
                <w:szCs w:val="19"/>
                <w:color w:val="auto"/>
              </w:rPr>
              <w:t>2024</w:t>
            </w:r>
          </w:p>
        </w:tc>
        <w:tc>
          <w:tcPr>
            <w:tcW w:w="180" w:type="dxa"/>
            <w:vAlign w:val="bottom"/>
          </w:tcPr>
          <w:p>
            <w:pPr>
              <w:spacing w:after="0"/>
              <w:rPr>
                <w:sz w:val="24"/>
                <w:szCs w:val="24"/>
                <w:color w:val="auto"/>
              </w:rPr>
            </w:pPr>
          </w:p>
        </w:tc>
        <w:tc>
          <w:tcPr>
            <w:tcW w:w="680" w:type="dxa"/>
            <w:vAlign w:val="bottom"/>
          </w:tcPr>
          <w:p>
            <w:pPr>
              <w:jc w:val="right"/>
              <w:ind w:right="145"/>
              <w:spacing w:after="0"/>
              <w:rPr>
                <w:sz w:val="20"/>
                <w:szCs w:val="20"/>
                <w:color w:val="auto"/>
              </w:rPr>
            </w:pPr>
            <w:r>
              <w:rPr>
                <w:rFonts w:ascii="Arial" w:cs="Arial" w:eastAsia="Arial" w:hAnsi="Arial"/>
                <w:sz w:val="19"/>
                <w:szCs w:val="19"/>
                <w:color w:val="auto"/>
                <w:w w:val="99"/>
              </w:rPr>
              <w:t>2023</w:t>
            </w:r>
          </w:p>
        </w:tc>
        <w:tc>
          <w:tcPr>
            <w:tcW w:w="180" w:type="dxa"/>
            <w:vAlign w:val="bottom"/>
          </w:tcPr>
          <w:p>
            <w:pPr>
              <w:spacing w:after="0"/>
              <w:rPr>
                <w:sz w:val="24"/>
                <w:szCs w:val="24"/>
                <w:color w:val="auto"/>
              </w:rPr>
            </w:pPr>
          </w:p>
        </w:tc>
        <w:tc>
          <w:tcPr>
            <w:tcW w:w="680" w:type="dxa"/>
            <w:vAlign w:val="bottom"/>
          </w:tcPr>
          <w:p>
            <w:pPr>
              <w:jc w:val="right"/>
              <w:ind w:right="145"/>
              <w:spacing w:after="0"/>
              <w:rPr>
                <w:sz w:val="20"/>
                <w:szCs w:val="20"/>
                <w:color w:val="auto"/>
              </w:rPr>
            </w:pPr>
            <w:r>
              <w:rPr>
                <w:rFonts w:ascii="Arial" w:cs="Arial" w:eastAsia="Arial" w:hAnsi="Arial"/>
                <w:sz w:val="19"/>
                <w:szCs w:val="19"/>
                <w:color w:val="auto"/>
                <w:w w:val="99"/>
              </w:rPr>
              <w:t>2022</w:t>
            </w:r>
          </w:p>
        </w:tc>
        <w:tc>
          <w:tcPr>
            <w:tcW w:w="180" w:type="dxa"/>
            <w:vAlign w:val="bottom"/>
          </w:tcPr>
          <w:p>
            <w:pPr>
              <w:spacing w:after="0"/>
              <w:rPr>
                <w:sz w:val="24"/>
                <w:szCs w:val="24"/>
                <w:color w:val="auto"/>
              </w:rPr>
            </w:pPr>
          </w:p>
        </w:tc>
        <w:tc>
          <w:tcPr>
            <w:tcW w:w="700" w:type="dxa"/>
            <w:vAlign w:val="bottom"/>
          </w:tcPr>
          <w:p>
            <w:pPr>
              <w:jc w:val="right"/>
              <w:ind w:right="145"/>
              <w:spacing w:after="0"/>
              <w:rPr>
                <w:sz w:val="20"/>
                <w:szCs w:val="20"/>
                <w:color w:val="auto"/>
              </w:rPr>
            </w:pPr>
            <w:r>
              <w:rPr>
                <w:rFonts w:ascii="Arial" w:cs="Arial" w:eastAsia="Arial" w:hAnsi="Arial"/>
                <w:sz w:val="19"/>
                <w:szCs w:val="19"/>
                <w:color w:val="auto"/>
              </w:rPr>
              <w:t>2021</w:t>
            </w:r>
          </w:p>
        </w:tc>
        <w:tc>
          <w:tcPr>
            <w:tcW w:w="160" w:type="dxa"/>
            <w:vAlign w:val="bottom"/>
          </w:tcPr>
          <w:p>
            <w:pPr>
              <w:spacing w:after="0"/>
              <w:rPr>
                <w:sz w:val="24"/>
                <w:szCs w:val="24"/>
                <w:color w:val="auto"/>
              </w:rPr>
            </w:pPr>
          </w:p>
        </w:tc>
        <w:tc>
          <w:tcPr>
            <w:tcW w:w="700" w:type="dxa"/>
            <w:vAlign w:val="bottom"/>
          </w:tcPr>
          <w:p>
            <w:pPr>
              <w:jc w:val="right"/>
              <w:ind w:right="145"/>
              <w:spacing w:after="0"/>
              <w:rPr>
                <w:sz w:val="20"/>
                <w:szCs w:val="20"/>
                <w:color w:val="auto"/>
              </w:rPr>
            </w:pPr>
            <w:r>
              <w:rPr>
                <w:rFonts w:ascii="Arial" w:cs="Arial" w:eastAsia="Arial" w:hAnsi="Arial"/>
                <w:sz w:val="19"/>
                <w:szCs w:val="19"/>
                <w:color w:val="auto"/>
              </w:rPr>
              <w:t>2020</w:t>
            </w:r>
          </w:p>
        </w:tc>
        <w:tc>
          <w:tcPr>
            <w:tcW w:w="180" w:type="dxa"/>
            <w:vAlign w:val="bottom"/>
          </w:tcPr>
          <w:p>
            <w:pPr>
              <w:spacing w:after="0"/>
              <w:rPr>
                <w:sz w:val="24"/>
                <w:szCs w:val="24"/>
                <w:color w:val="auto"/>
              </w:rPr>
            </w:pPr>
          </w:p>
        </w:tc>
        <w:tc>
          <w:tcPr>
            <w:tcW w:w="680" w:type="dxa"/>
            <w:vAlign w:val="bottom"/>
          </w:tcPr>
          <w:p>
            <w:pPr>
              <w:jc w:val="right"/>
              <w:ind w:right="145"/>
              <w:spacing w:after="0"/>
              <w:rPr>
                <w:sz w:val="20"/>
                <w:szCs w:val="20"/>
                <w:color w:val="auto"/>
              </w:rPr>
            </w:pPr>
            <w:r>
              <w:rPr>
                <w:rFonts w:ascii="Arial" w:cs="Arial" w:eastAsia="Arial" w:hAnsi="Arial"/>
                <w:sz w:val="19"/>
                <w:szCs w:val="19"/>
                <w:color w:val="auto"/>
              </w:rPr>
              <w:t>Prior</w:t>
            </w:r>
          </w:p>
        </w:tc>
        <w:tc>
          <w:tcPr>
            <w:tcW w:w="180" w:type="dxa"/>
            <w:vAlign w:val="bottom"/>
          </w:tcPr>
          <w:p>
            <w:pPr>
              <w:spacing w:after="0"/>
              <w:rPr>
                <w:sz w:val="24"/>
                <w:szCs w:val="24"/>
                <w:color w:val="auto"/>
              </w:rPr>
            </w:pPr>
          </w:p>
        </w:tc>
        <w:tc>
          <w:tcPr>
            <w:tcW w:w="840" w:type="dxa"/>
            <w:vAlign w:val="bottom"/>
          </w:tcPr>
          <w:p>
            <w:pPr>
              <w:jc w:val="right"/>
              <w:ind w:right="225"/>
              <w:spacing w:after="0"/>
              <w:rPr>
                <w:sz w:val="20"/>
                <w:szCs w:val="20"/>
                <w:color w:val="auto"/>
              </w:rPr>
            </w:pPr>
            <w:r>
              <w:rPr>
                <w:rFonts w:ascii="Arial" w:cs="Arial" w:eastAsia="Arial" w:hAnsi="Arial"/>
                <w:sz w:val="19"/>
                <w:szCs w:val="19"/>
                <w:color w:val="auto"/>
              </w:rPr>
              <w:t>Total</w:t>
            </w:r>
          </w:p>
        </w:tc>
        <w:tc>
          <w:tcPr>
            <w:tcW w:w="940" w:type="dxa"/>
            <w:vAlign w:val="bottom"/>
            <w:gridSpan w:val="2"/>
          </w:tcPr>
          <w:p>
            <w:pPr>
              <w:ind w:left="60"/>
              <w:spacing w:after="0"/>
              <w:rPr>
                <w:sz w:val="20"/>
                <w:szCs w:val="20"/>
                <w:color w:val="auto"/>
              </w:rPr>
            </w:pPr>
            <w:r>
              <w:rPr>
                <w:rFonts w:ascii="Arial" w:cs="Arial" w:eastAsia="Arial" w:hAnsi="Arial"/>
                <w:sz w:val="19"/>
                <w:szCs w:val="19"/>
                <w:color w:val="auto"/>
                <w:w w:val="94"/>
              </w:rPr>
              <w:t>Cost Basis</w:t>
            </w:r>
          </w:p>
        </w:tc>
        <w:tc>
          <w:tcPr>
            <w:tcW w:w="940" w:type="dxa"/>
            <w:vAlign w:val="bottom"/>
            <w:gridSpan w:val="2"/>
          </w:tcPr>
          <w:p>
            <w:pPr>
              <w:jc w:val="right"/>
              <w:ind w:right="65"/>
              <w:spacing w:after="0"/>
              <w:rPr>
                <w:sz w:val="20"/>
                <w:szCs w:val="20"/>
                <w:color w:val="auto"/>
              </w:rPr>
            </w:pPr>
            <w:r>
              <w:rPr>
                <w:rFonts w:ascii="Arial" w:cs="Arial" w:eastAsia="Arial" w:hAnsi="Arial"/>
                <w:sz w:val="19"/>
                <w:szCs w:val="19"/>
                <w:color w:val="auto"/>
              </w:rPr>
              <w:t>to Term</w:t>
            </w:r>
          </w:p>
        </w:tc>
        <w:tc>
          <w:tcPr>
            <w:tcW w:w="160" w:type="dxa"/>
            <w:vAlign w:val="bottom"/>
          </w:tcPr>
          <w:p>
            <w:pPr>
              <w:spacing w:after="0"/>
              <w:rPr>
                <w:sz w:val="24"/>
                <w:szCs w:val="24"/>
                <w:color w:val="auto"/>
              </w:rPr>
            </w:pPr>
          </w:p>
        </w:tc>
        <w:tc>
          <w:tcPr>
            <w:tcW w:w="840" w:type="dxa"/>
            <w:vAlign w:val="bottom"/>
          </w:tcPr>
          <w:p>
            <w:pPr>
              <w:jc w:val="right"/>
              <w:ind w:right="205"/>
              <w:spacing w:after="0"/>
              <w:rPr>
                <w:sz w:val="20"/>
                <w:szCs w:val="20"/>
                <w:color w:val="auto"/>
              </w:rPr>
            </w:pPr>
            <w:r>
              <w:rPr>
                <w:rFonts w:ascii="Arial" w:cs="Arial" w:eastAsia="Arial" w:hAnsi="Arial"/>
                <w:sz w:val="19"/>
                <w:szCs w:val="19"/>
                <w:color w:val="auto"/>
              </w:rPr>
              <w:t>Total</w:t>
            </w:r>
          </w:p>
        </w:tc>
      </w:tr>
      <w:tr>
        <w:trPr>
          <w:trHeight w:val="34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1"/>
        </w:trPr>
        <w:tc>
          <w:tcPr>
            <w:tcW w:w="1000" w:type="dxa"/>
            <w:vAlign w:val="bottom"/>
            <w:shd w:val="clear" w:color="auto" w:fill="CFF0FC"/>
          </w:tcPr>
          <w:p>
            <w:pPr>
              <w:spacing w:after="0"/>
              <w:rPr>
                <w:sz w:val="20"/>
                <w:szCs w:val="20"/>
                <w:color w:val="auto"/>
              </w:rPr>
            </w:pPr>
            <w:r>
              <w:rPr>
                <w:rFonts w:ascii="Arial" w:cs="Arial" w:eastAsia="Arial" w:hAnsi="Arial"/>
                <w:sz w:val="19"/>
                <w:szCs w:val="19"/>
                <w:color w:val="auto"/>
                <w:w w:val="96"/>
              </w:rPr>
              <w:t>Commercial</w:t>
            </w: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303"/>
        </w:trPr>
        <w:tc>
          <w:tcPr>
            <w:tcW w:w="1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w w:val="99"/>
              </w:rPr>
              <w:t>Real Estate</w:t>
            </w:r>
          </w:p>
        </w:tc>
        <w:tc>
          <w:tcPr>
            <w:tcW w:w="1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r>
      <w:tr>
        <w:trPr>
          <w:trHeight w:val="261"/>
        </w:trPr>
        <w:tc>
          <w:tcPr>
            <w:tcW w:w="1000" w:type="dxa"/>
            <w:vAlign w:val="bottom"/>
          </w:tcPr>
          <w:p>
            <w:pPr>
              <w:spacing w:after="0"/>
              <w:rPr>
                <w:sz w:val="20"/>
                <w:szCs w:val="20"/>
                <w:color w:val="auto"/>
              </w:rPr>
            </w:pPr>
            <w:r>
              <w:rPr>
                <w:rFonts w:ascii="Arial" w:cs="Arial" w:eastAsia="Arial" w:hAnsi="Arial"/>
                <w:sz w:val="19"/>
                <w:szCs w:val="19"/>
                <w:color w:val="auto"/>
              </w:rPr>
              <w:t>Risk Rating</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38"/>
        </w:trPr>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Pass (1-4)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128,608</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200,192</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413,106</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218,309</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0"/>
              </w:rPr>
              <w:t>110,435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188,239</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1,258,889</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9"/>
                <w:szCs w:val="19"/>
                <w:color w:val="auto"/>
                <w:w w:val="94"/>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9"/>
              </w:rPr>
              <w:t>1,258,889</w:t>
            </w:r>
          </w:p>
        </w:tc>
      </w:tr>
      <w:tr>
        <w:trPr>
          <w:trHeight w:val="261"/>
        </w:trPr>
        <w:tc>
          <w:tcPr>
            <w:tcW w:w="1000" w:type="dxa"/>
            <w:vAlign w:val="bottom"/>
          </w:tcPr>
          <w:p>
            <w:pPr>
              <w:ind w:left="20"/>
              <w:spacing w:after="0"/>
              <w:rPr>
                <w:sz w:val="20"/>
                <w:szCs w:val="20"/>
                <w:color w:val="auto"/>
              </w:rPr>
            </w:pPr>
            <w:r>
              <w:rPr>
                <w:rFonts w:ascii="Arial" w:cs="Arial" w:eastAsia="Arial" w:hAnsi="Arial"/>
                <w:sz w:val="19"/>
                <w:szCs w:val="19"/>
                <w:color w:val="auto"/>
              </w:rPr>
              <w:t>Special</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w w:val="99"/>
              </w:rPr>
              <w:t>Mention (5)</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12,590</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1,352</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753</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14,695</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14,695</w:t>
            </w:r>
          </w:p>
        </w:tc>
      </w:tr>
      <w:tr>
        <w:trPr>
          <w:trHeight w:val="38"/>
        </w:trPr>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1"/>
        </w:trPr>
        <w:tc>
          <w:tcPr>
            <w:tcW w:w="1000" w:type="dxa"/>
            <w:vAlign w:val="bottom"/>
            <w:shd w:val="clear" w:color="auto" w:fill="CFF0FC"/>
          </w:tcPr>
          <w:p>
            <w:pPr>
              <w:ind w:left="20"/>
              <w:spacing w:after="0"/>
              <w:rPr>
                <w:sz w:val="20"/>
                <w:szCs w:val="20"/>
                <w:color w:val="auto"/>
              </w:rPr>
            </w:pPr>
            <w:r>
              <w:rPr>
                <w:rFonts w:ascii="Arial" w:cs="Arial" w:eastAsia="Arial" w:hAnsi="Arial"/>
                <w:sz w:val="19"/>
                <w:szCs w:val="19"/>
                <w:color w:val="auto"/>
                <w:w w:val="89"/>
              </w:rPr>
              <w:t>Substandard</w:t>
            </w: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303"/>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(6)</w:t>
            </w:r>
          </w:p>
        </w:tc>
        <w:tc>
          <w:tcPr>
            <w:tcW w:w="1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34,299</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578</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34,877</w:t>
            </w: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34,877</w:t>
            </w:r>
          </w:p>
        </w:tc>
      </w:tr>
      <w:tr>
        <w:trPr>
          <w:trHeight w:val="271"/>
        </w:trPr>
        <w:tc>
          <w:tcPr>
            <w:tcW w:w="1000" w:type="dxa"/>
            <w:vAlign w:val="bottom"/>
          </w:tcPr>
          <w:p>
            <w:pPr>
              <w:ind w:left="20"/>
              <w:spacing w:after="0"/>
              <w:rPr>
                <w:sz w:val="20"/>
                <w:szCs w:val="20"/>
                <w:color w:val="auto"/>
              </w:rPr>
            </w:pPr>
            <w:r>
              <w:rPr>
                <w:rFonts w:ascii="Arial" w:cs="Arial" w:eastAsia="Arial" w:hAnsi="Arial"/>
                <w:sz w:val="19"/>
                <w:szCs w:val="19"/>
                <w:color w:val="auto"/>
                <w:w w:val="96"/>
              </w:rPr>
              <w:t>Doubtful (7)</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8"/>
        </w:trPr>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1"/>
        </w:trPr>
        <w:tc>
          <w:tcPr>
            <w:tcW w:w="1000" w:type="dxa"/>
            <w:vAlign w:val="bottom"/>
            <w:shd w:val="clear" w:color="auto" w:fill="CFF0FC"/>
          </w:tcPr>
          <w:p>
            <w:pPr>
              <w:ind w:left="20"/>
              <w:spacing w:after="0"/>
              <w:rPr>
                <w:sz w:val="20"/>
                <w:szCs w:val="20"/>
                <w:color w:val="auto"/>
              </w:rPr>
            </w:pPr>
            <w:r>
              <w:rPr>
                <w:rFonts w:ascii="Arial" w:cs="Arial" w:eastAsia="Arial" w:hAnsi="Arial"/>
                <w:sz w:val="19"/>
                <w:szCs w:val="19"/>
                <w:color w:val="auto"/>
              </w:rPr>
              <w:t>Total</w:t>
            </w: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285"/>
        </w:trPr>
        <w:tc>
          <w:tcPr>
            <w:tcW w:w="1000" w:type="dxa"/>
            <w:vAlign w:val="bottom"/>
            <w:shd w:val="clear" w:color="auto" w:fill="CFF0FC"/>
          </w:tcPr>
          <w:p>
            <w:pPr>
              <w:ind w:left="20"/>
              <w:spacing w:after="0"/>
              <w:rPr>
                <w:sz w:val="20"/>
                <w:szCs w:val="20"/>
                <w:color w:val="auto"/>
              </w:rPr>
            </w:pPr>
            <w:r>
              <w:rPr>
                <w:rFonts w:ascii="Arial" w:cs="Arial" w:eastAsia="Arial" w:hAnsi="Arial"/>
                <w:sz w:val="19"/>
                <w:szCs w:val="19"/>
                <w:color w:val="auto"/>
                <w:w w:val="94"/>
              </w:rPr>
              <w:t>Commercial</w:t>
            </w:r>
          </w:p>
        </w:tc>
        <w:tc>
          <w:tcPr>
            <w:tcW w:w="12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303"/>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w w:val="97"/>
              </w:rPr>
              <w:t>Real Estate</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128,608</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234,491</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425,696</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218,309</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0"/>
              </w:rPr>
              <w:t>111,787</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189,570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1,308,461</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9"/>
                <w:szCs w:val="19"/>
                <w:color w:val="auto"/>
                <w:w w:val="94"/>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9"/>
              </w:rPr>
              <w:t>1,308,461</w:t>
            </w:r>
          </w:p>
        </w:tc>
      </w:tr>
      <w:tr>
        <w:trPr>
          <w:trHeight w:val="261"/>
        </w:trPr>
        <w:tc>
          <w:tcPr>
            <w:tcW w:w="1000" w:type="dxa"/>
            <w:vAlign w:val="bottom"/>
          </w:tcPr>
          <w:p>
            <w:pPr>
              <w:ind w:left="20"/>
              <w:spacing w:after="0"/>
              <w:rPr>
                <w:sz w:val="20"/>
                <w:szCs w:val="20"/>
                <w:color w:val="auto"/>
              </w:rPr>
            </w:pPr>
            <w:r>
              <w:rPr>
                <w:rFonts w:ascii="Arial" w:cs="Arial" w:eastAsia="Arial" w:hAnsi="Arial"/>
                <w:sz w:val="19"/>
                <w:szCs w:val="19"/>
                <w:color w:val="auto"/>
              </w:rPr>
              <w:t>Gross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rPr>
              <w:t>charge-offs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rPr>
              <w:t>YTD</w:t>
            </w:r>
          </w:p>
        </w:tc>
        <w:tc>
          <w:tcPr>
            <w:tcW w:w="12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15</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15</w:t>
            </w:r>
          </w:p>
        </w:tc>
        <w:tc>
          <w:tcPr>
            <w:tcW w:w="200" w:type="dxa"/>
            <w:vAlign w:val="bottom"/>
          </w:tcPr>
          <w:p>
            <w:pPr>
              <w:ind w:left="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ind w:left="80"/>
              <w:spacing w:after="0"/>
              <w:rPr>
                <w:sz w:val="20"/>
                <w:szCs w:val="20"/>
                <w:color w:val="auto"/>
              </w:rPr>
            </w:pPr>
            <w:r>
              <w:rPr>
                <w:rFonts w:ascii="Arial" w:cs="Arial" w:eastAsia="Arial" w:hAnsi="Arial"/>
                <w:sz w:val="19"/>
                <w:szCs w:val="19"/>
                <w:color w:val="auto"/>
                <w:w w:val="94"/>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33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1"/>
        </w:trPr>
        <w:tc>
          <w:tcPr>
            <w:tcW w:w="1000" w:type="dxa"/>
            <w:vAlign w:val="bottom"/>
            <w:shd w:val="clear" w:color="auto" w:fill="CFF0FC"/>
          </w:tcPr>
          <w:p>
            <w:pPr>
              <w:spacing w:after="0"/>
              <w:rPr>
                <w:sz w:val="20"/>
                <w:szCs w:val="20"/>
                <w:color w:val="auto"/>
              </w:rPr>
            </w:pPr>
            <w:r>
              <w:rPr>
                <w:rFonts w:ascii="Arial" w:cs="Arial" w:eastAsia="Arial" w:hAnsi="Arial"/>
                <w:sz w:val="19"/>
                <w:szCs w:val="19"/>
                <w:color w:val="auto"/>
                <w:w w:val="96"/>
              </w:rPr>
              <w:t>Commercial</w:t>
            </w: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303"/>
        </w:trPr>
        <w:tc>
          <w:tcPr>
            <w:tcW w:w="1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&amp; Industrial</w:t>
            </w:r>
          </w:p>
        </w:tc>
        <w:tc>
          <w:tcPr>
            <w:tcW w:w="1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r>
      <w:tr>
        <w:trPr>
          <w:trHeight w:val="261"/>
        </w:trPr>
        <w:tc>
          <w:tcPr>
            <w:tcW w:w="1000" w:type="dxa"/>
            <w:vAlign w:val="bottom"/>
          </w:tcPr>
          <w:p>
            <w:pPr>
              <w:spacing w:after="0"/>
              <w:rPr>
                <w:sz w:val="20"/>
                <w:szCs w:val="20"/>
                <w:color w:val="auto"/>
              </w:rPr>
            </w:pPr>
            <w:r>
              <w:rPr>
                <w:rFonts w:ascii="Arial" w:cs="Arial" w:eastAsia="Arial" w:hAnsi="Arial"/>
                <w:sz w:val="19"/>
                <w:szCs w:val="19"/>
                <w:color w:val="auto"/>
              </w:rPr>
              <w:t>Risk Rating</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38"/>
        </w:trPr>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Pass (1-4)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31,933</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54,581</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39,665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15,047</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13,480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1,294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156,000</w:t>
            </w:r>
          </w:p>
        </w:tc>
        <w:tc>
          <w:tcPr>
            <w:tcW w:w="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6"/>
              </w:rPr>
              <w:t>113,446</w:t>
            </w:r>
          </w:p>
        </w:tc>
        <w:tc>
          <w:tcPr>
            <w:tcW w:w="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9"/>
                <w:szCs w:val="19"/>
                <w:color w:val="auto"/>
                <w:w w:val="94"/>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222</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269,668</w:t>
            </w:r>
          </w:p>
        </w:tc>
      </w:tr>
      <w:tr>
        <w:trPr>
          <w:trHeight w:val="261"/>
        </w:trPr>
        <w:tc>
          <w:tcPr>
            <w:tcW w:w="1000" w:type="dxa"/>
            <w:vAlign w:val="bottom"/>
          </w:tcPr>
          <w:p>
            <w:pPr>
              <w:ind w:left="20"/>
              <w:spacing w:after="0"/>
              <w:rPr>
                <w:sz w:val="20"/>
                <w:szCs w:val="20"/>
                <w:color w:val="auto"/>
              </w:rPr>
            </w:pPr>
            <w:r>
              <w:rPr>
                <w:rFonts w:ascii="Arial" w:cs="Arial" w:eastAsia="Arial" w:hAnsi="Arial"/>
                <w:sz w:val="19"/>
                <w:szCs w:val="19"/>
                <w:color w:val="auto"/>
              </w:rPr>
              <w:t>Special</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w w:val="99"/>
              </w:rPr>
              <w:t>Mention (5)</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137</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188</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26</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416</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767</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459</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1,226</w:t>
            </w:r>
          </w:p>
        </w:tc>
      </w:tr>
      <w:tr>
        <w:trPr>
          <w:trHeight w:val="38"/>
        </w:trPr>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1"/>
        </w:trPr>
        <w:tc>
          <w:tcPr>
            <w:tcW w:w="1000" w:type="dxa"/>
            <w:vAlign w:val="bottom"/>
            <w:shd w:val="clear" w:color="auto" w:fill="CFF0FC"/>
          </w:tcPr>
          <w:p>
            <w:pPr>
              <w:ind w:left="20"/>
              <w:spacing w:after="0"/>
              <w:rPr>
                <w:sz w:val="20"/>
                <w:szCs w:val="20"/>
                <w:color w:val="auto"/>
              </w:rPr>
            </w:pPr>
            <w:r>
              <w:rPr>
                <w:rFonts w:ascii="Arial" w:cs="Arial" w:eastAsia="Arial" w:hAnsi="Arial"/>
                <w:sz w:val="19"/>
                <w:szCs w:val="19"/>
                <w:color w:val="auto"/>
                <w:w w:val="89"/>
              </w:rPr>
              <w:t>Substandard</w:t>
            </w: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303"/>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(6)</w:t>
            </w:r>
          </w:p>
        </w:tc>
        <w:tc>
          <w:tcPr>
            <w:tcW w:w="1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39</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348</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29</w:t>
            </w:r>
          </w:p>
        </w:tc>
        <w:tc>
          <w:tcPr>
            <w:tcW w:w="1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28</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444</w:t>
            </w: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3,481</w:t>
            </w: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3,925</w:t>
            </w:r>
          </w:p>
        </w:tc>
      </w:tr>
      <w:tr>
        <w:trPr>
          <w:trHeight w:val="271"/>
        </w:trPr>
        <w:tc>
          <w:tcPr>
            <w:tcW w:w="1000" w:type="dxa"/>
            <w:vAlign w:val="bottom"/>
          </w:tcPr>
          <w:p>
            <w:pPr>
              <w:ind w:left="20"/>
              <w:spacing w:after="0"/>
              <w:rPr>
                <w:sz w:val="20"/>
                <w:szCs w:val="20"/>
                <w:color w:val="auto"/>
              </w:rPr>
            </w:pPr>
            <w:r>
              <w:rPr>
                <w:rFonts w:ascii="Arial" w:cs="Arial" w:eastAsia="Arial" w:hAnsi="Arial"/>
                <w:sz w:val="19"/>
                <w:szCs w:val="19"/>
                <w:color w:val="auto"/>
                <w:w w:val="96"/>
              </w:rPr>
              <w:t>Doubtful (7)</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8"/>
        </w:trPr>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1"/>
        </w:trPr>
        <w:tc>
          <w:tcPr>
            <w:tcW w:w="1000" w:type="dxa"/>
            <w:vAlign w:val="bottom"/>
            <w:shd w:val="clear" w:color="auto" w:fill="CFF0FC"/>
          </w:tcPr>
          <w:p>
            <w:pPr>
              <w:ind w:left="20"/>
              <w:spacing w:after="0"/>
              <w:rPr>
                <w:sz w:val="20"/>
                <w:szCs w:val="20"/>
                <w:color w:val="auto"/>
              </w:rPr>
            </w:pPr>
            <w:r>
              <w:rPr>
                <w:rFonts w:ascii="Arial" w:cs="Arial" w:eastAsia="Arial" w:hAnsi="Arial"/>
                <w:sz w:val="19"/>
                <w:szCs w:val="19"/>
                <w:color w:val="auto"/>
              </w:rPr>
              <w:t>Total</w:t>
            </w:r>
          </w:p>
        </w:tc>
        <w:tc>
          <w:tcPr>
            <w:tcW w:w="1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285"/>
        </w:trPr>
        <w:tc>
          <w:tcPr>
            <w:tcW w:w="1000" w:type="dxa"/>
            <w:vAlign w:val="bottom"/>
            <w:shd w:val="clear" w:color="auto" w:fill="CFF0FC"/>
          </w:tcPr>
          <w:p>
            <w:pPr>
              <w:ind w:left="20"/>
              <w:spacing w:after="0"/>
              <w:rPr>
                <w:sz w:val="20"/>
                <w:szCs w:val="20"/>
                <w:color w:val="auto"/>
              </w:rPr>
            </w:pPr>
            <w:r>
              <w:rPr>
                <w:rFonts w:ascii="Arial" w:cs="Arial" w:eastAsia="Arial" w:hAnsi="Arial"/>
                <w:sz w:val="19"/>
                <w:szCs w:val="19"/>
                <w:color w:val="auto"/>
                <w:w w:val="94"/>
              </w:rPr>
              <w:t>Commercial</w:t>
            </w:r>
          </w:p>
        </w:tc>
        <w:tc>
          <w:tcPr>
            <w:tcW w:w="12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323"/>
        </w:trPr>
        <w:tc>
          <w:tcPr>
            <w:tcW w:w="1120" w:type="dxa"/>
            <w:vAlign w:val="bottom"/>
            <w:gridSpan w:val="2"/>
            <w:shd w:val="clear" w:color="auto" w:fill="CFF0FC"/>
          </w:tcPr>
          <w:p>
            <w:pPr>
              <w:ind w:left="20"/>
              <w:spacing w:after="0" w:line="323" w:lineRule="exact"/>
              <w:rPr>
                <w:sz w:val="20"/>
                <w:szCs w:val="20"/>
                <w:color w:val="auto"/>
              </w:rPr>
            </w:pPr>
            <w:r>
              <w:rPr>
                <w:rFonts w:ascii="Arial" w:cs="Arial" w:eastAsia="Arial" w:hAnsi="Arial"/>
                <w:sz w:val="19"/>
                <w:szCs w:val="19"/>
                <w:color w:val="auto"/>
                <w:w w:val="94"/>
              </w:rPr>
              <w:t xml:space="preserve">&amp; Industrial </w:t>
            </w:r>
            <w:r>
              <w:rPr>
                <w:rFonts w:ascii="Arial" w:cs="Arial" w:eastAsia="Arial" w:hAnsi="Arial"/>
                <w:sz w:val="37"/>
                <w:szCs w:val="37"/>
                <w:color w:val="auto"/>
                <w:w w:val="94"/>
                <w:vertAlign w:val="superscript"/>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31,972</w:t>
            </w:r>
          </w:p>
        </w:tc>
        <w:tc>
          <w:tcPr>
            <w:tcW w:w="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55,066</w:t>
            </w:r>
          </w:p>
        </w:tc>
        <w:tc>
          <w:tcPr>
            <w:tcW w:w="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39,694</w:t>
            </w:r>
          </w:p>
        </w:tc>
        <w:tc>
          <w:tcPr>
            <w:tcW w:w="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15,235</w:t>
            </w:r>
          </w:p>
        </w:tc>
        <w:tc>
          <w:tcPr>
            <w:tcW w:w="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13,506</w:t>
            </w:r>
          </w:p>
        </w:tc>
        <w:tc>
          <w:tcPr>
            <w:tcW w:w="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1,738</w:t>
            </w:r>
          </w:p>
        </w:tc>
        <w:tc>
          <w:tcPr>
            <w:tcW w:w="1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157,211</w:t>
            </w:r>
          </w:p>
        </w:tc>
        <w:tc>
          <w:tcPr>
            <w:tcW w:w="200" w:type="dxa"/>
            <w:vAlign w:val="bottom"/>
            <w:shd w:val="clear" w:color="auto" w:fill="CFF0FC"/>
          </w:tcPr>
          <w:p>
            <w:pPr>
              <w:ind w:left="60"/>
              <w:spacing w:after="0"/>
              <w:rPr>
                <w:sz w:val="20"/>
                <w:szCs w:val="20"/>
                <w:color w:val="auto"/>
              </w:rPr>
            </w:pPr>
            <w:r>
              <w:rPr>
                <w:rFonts w:ascii="Arial" w:cs="Arial" w:eastAsia="Arial" w:hAnsi="Arial"/>
                <w:sz w:val="19"/>
                <w:szCs w:val="19"/>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6"/>
              </w:rPr>
              <w:t>117,386</w:t>
            </w:r>
          </w:p>
        </w:tc>
        <w:tc>
          <w:tcPr>
            <w:tcW w:w="200" w:type="dxa"/>
            <w:vAlign w:val="bottom"/>
            <w:shd w:val="clear" w:color="auto" w:fill="CFF0FC"/>
          </w:tcPr>
          <w:p>
            <w:pPr>
              <w:ind w:left="80"/>
              <w:spacing w:after="0"/>
              <w:rPr>
                <w:sz w:val="20"/>
                <w:szCs w:val="20"/>
                <w:color w:val="auto"/>
              </w:rPr>
            </w:pPr>
            <w:r>
              <w:rPr>
                <w:rFonts w:ascii="Arial" w:cs="Arial" w:eastAsia="Arial" w:hAnsi="Arial"/>
                <w:sz w:val="19"/>
                <w:szCs w:val="19"/>
                <w:color w:val="auto"/>
                <w:w w:val="94"/>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222</w:t>
            </w:r>
          </w:p>
        </w:tc>
        <w:tc>
          <w:tcPr>
            <w:tcW w:w="1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274,819</w:t>
            </w:r>
          </w:p>
        </w:tc>
      </w:tr>
      <w:tr>
        <w:trPr>
          <w:trHeight w:val="261"/>
        </w:trPr>
        <w:tc>
          <w:tcPr>
            <w:tcW w:w="1000" w:type="dxa"/>
            <w:vAlign w:val="bottom"/>
          </w:tcPr>
          <w:p>
            <w:pPr>
              <w:ind w:left="20"/>
              <w:spacing w:after="0"/>
              <w:rPr>
                <w:sz w:val="20"/>
                <w:szCs w:val="20"/>
                <w:color w:val="auto"/>
              </w:rPr>
            </w:pPr>
            <w:r>
              <w:rPr>
                <w:rFonts w:ascii="Arial" w:cs="Arial" w:eastAsia="Arial" w:hAnsi="Arial"/>
                <w:sz w:val="19"/>
                <w:szCs w:val="19"/>
                <w:color w:val="auto"/>
              </w:rPr>
              <w:t>Gross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rPr>
              <w:t>charge-offs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rPr>
              <w:t>YTD</w:t>
            </w:r>
          </w:p>
        </w:tc>
        <w:tc>
          <w:tcPr>
            <w:tcW w:w="12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101</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101</w:t>
            </w:r>
          </w:p>
        </w:tc>
        <w:tc>
          <w:tcPr>
            <w:tcW w:w="200" w:type="dxa"/>
            <w:vAlign w:val="bottom"/>
          </w:tcPr>
          <w:p>
            <w:pPr>
              <w:ind w:left="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ind w:left="80"/>
              <w:spacing w:after="0"/>
              <w:rPr>
                <w:sz w:val="20"/>
                <w:szCs w:val="20"/>
                <w:color w:val="auto"/>
              </w:rPr>
            </w:pPr>
            <w:r>
              <w:rPr>
                <w:rFonts w:ascii="Arial" w:cs="Arial" w:eastAsia="Arial" w:hAnsi="Arial"/>
                <w:sz w:val="19"/>
                <w:szCs w:val="19"/>
                <w:color w:val="auto"/>
                <w:w w:val="94"/>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5</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-7128510</wp:posOffset>
            </wp:positionV>
            <wp:extent cx="5690870" cy="6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49">
                      <a:extLst>
                        <a:ext uri="{28A0092B-C50C-407E-A947-70E740481C1C}"/>
                      </a:extLst>
                    </a:blip>
                    <a:srcRect/>
                    <a:stretch>
                      <a:fillRect/>
                    </a:stretch>
                  </pic:blipFill>
                  <pic:spPr bwMode="auto">
                    <a:xfrm>
                      <a:off x="0" y="0"/>
                      <a:ext cx="569087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-6932295</wp:posOffset>
            </wp:positionV>
            <wp:extent cx="5690870"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0">
                      <a:extLst>
                        <a:ext uri="{28A0092B-C50C-407E-A947-70E740481C1C}"/>
                      </a:extLst>
                    </a:blip>
                    <a:srcRect/>
                    <a:stretch>
                      <a:fillRect/>
                    </a:stretch>
                  </pic:blipFill>
                  <pic:spPr bwMode="auto">
                    <a:xfrm>
                      <a:off x="0" y="0"/>
                      <a:ext cx="569087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-6735445</wp:posOffset>
            </wp:positionV>
            <wp:extent cx="3216910"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1">
                      <a:extLst>
                        <a:ext uri="{28A0092B-C50C-407E-A947-70E740481C1C}"/>
                      </a:extLst>
                    </a:blip>
                    <a:srcRect/>
                    <a:stretch>
                      <a:fillRect/>
                    </a:stretch>
                  </pic:blipFill>
                  <pic:spPr bwMode="auto">
                    <a:xfrm>
                      <a:off x="0" y="0"/>
                      <a:ext cx="321691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-5969000</wp:posOffset>
            </wp:positionV>
            <wp:extent cx="5690870"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2">
                      <a:extLst>
                        <a:ext uri="{28A0092B-C50C-407E-A947-70E740481C1C}"/>
                      </a:extLst>
                    </a:blip>
                    <a:srcRect/>
                    <a:stretch>
                      <a:fillRect/>
                    </a:stretch>
                  </pic:blipFill>
                  <pic:spPr bwMode="auto">
                    <a:xfrm>
                      <a:off x="0" y="0"/>
                      <a:ext cx="569087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-4079240</wp:posOffset>
            </wp:positionV>
            <wp:extent cx="5690870" cy="6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3">
                      <a:extLst>
                        <a:ext uri="{28A0092B-C50C-407E-A947-70E740481C1C}"/>
                      </a:extLst>
                    </a:blip>
                    <a:srcRect/>
                    <a:stretch>
                      <a:fillRect/>
                    </a:stretch>
                  </pic:blipFill>
                  <pic:spPr bwMode="auto">
                    <a:xfrm>
                      <a:off x="0" y="0"/>
                      <a:ext cx="569087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-3549650</wp:posOffset>
            </wp:positionV>
            <wp:extent cx="5730240" cy="285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4">
                      <a:extLst>
                        <a:ext uri="{28A0092B-C50C-407E-A947-70E740481C1C}"/>
                      </a:extLst>
                    </a:blip>
                    <a:srcRect/>
                    <a:stretch>
                      <a:fillRect/>
                    </a:stretch>
                  </pic:blipFill>
                  <pic:spPr bwMode="auto">
                    <a:xfrm>
                      <a:off x="0" y="0"/>
                      <a:ext cx="5730240" cy="2857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-2974975</wp:posOffset>
            </wp:positionV>
            <wp:extent cx="5690870" cy="6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5">
                      <a:extLst>
                        <a:ext uri="{28A0092B-C50C-407E-A947-70E740481C1C}"/>
                      </a:extLst>
                    </a:blip>
                    <a:srcRect/>
                    <a:stretch>
                      <a:fillRect/>
                    </a:stretch>
                  </pic:blipFill>
                  <pic:spPr bwMode="auto">
                    <a:xfrm>
                      <a:off x="0" y="0"/>
                      <a:ext cx="569087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-1085215</wp:posOffset>
            </wp:positionV>
            <wp:extent cx="5690870"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6">
                      <a:extLst>
                        <a:ext uri="{28A0092B-C50C-407E-A947-70E740481C1C}"/>
                      </a:extLst>
                    </a:blip>
                    <a:srcRect/>
                    <a:stretch>
                      <a:fillRect/>
                    </a:stretch>
                  </pic:blipFill>
                  <pic:spPr bwMode="auto">
                    <a:xfrm>
                      <a:off x="0" y="0"/>
                      <a:ext cx="569087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-555625</wp:posOffset>
            </wp:positionV>
            <wp:extent cx="5730240" cy="285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7">
                      <a:extLst>
                        <a:ext uri="{28A0092B-C50C-407E-A947-70E740481C1C}"/>
                      </a:extLst>
                    </a:blip>
                    <a:srcRect/>
                    <a:stretch>
                      <a:fillRect/>
                    </a:stretch>
                  </pic:blipFill>
                  <pic:spPr bwMode="auto">
                    <a:xfrm>
                      <a:off x="0" y="0"/>
                      <a:ext cx="5730240" cy="2857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17780</wp:posOffset>
            </wp:positionV>
            <wp:extent cx="5690870"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58">
                      <a:extLst>
                        <a:ext uri="{28A0092B-C50C-407E-A947-70E740481C1C}"/>
                      </a:extLst>
                    </a:blip>
                    <a:srcRect/>
                    <a:stretch>
                      <a:fillRect/>
                    </a:stretch>
                  </pic:blipFill>
                  <pic:spPr bwMode="auto">
                    <a:xfrm>
                      <a:off x="0" y="0"/>
                      <a:ext cx="5690870" cy="6350"/>
                    </a:xfrm>
                    <a:prstGeom prst="rect">
                      <a:avLst/>
                    </a:prstGeom>
                    <a:noFill/>
                  </pic:spPr>
                </pic:pic>
              </a:graphicData>
            </a:graphic>
          </wp:anchor>
        </w:drawing>
      </w:r>
    </w:p>
    <w:p>
      <w:pPr>
        <w:sectPr>
          <w:pgSz w:w="11900" w:h="16838" w:orient="portrait"/>
          <w:cols w:equalWidth="0" w:num="1">
            <w:col w:w="10040"/>
          </w:cols>
          <w:pgMar w:left="1260" w:top="1440" w:right="6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4 / 12</w:t>
      </w:r>
    </w:p>
    <w:p>
      <w:pPr>
        <w:sectPr>
          <w:pgSz w:w="11900" w:h="16838" w:orient="portrait"/>
          <w:cols w:equalWidth="0" w:num="1">
            <w:col w:w="10040"/>
          </w:cols>
          <w:pgMar w:left="1260" w:top="1440" w:right="606" w:bottom="0" w:gutter="0" w:footer="0" w:header="0"/>
          <w:type w:val="continuous"/>
        </w:sectPr>
      </w:pPr>
    </w:p>
    <w:bookmarkStart w:id="188" w:name="page189"/>
    <w:bookmarkEnd w:id="188"/>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909955</wp:posOffset>
            </wp:positionV>
            <wp:extent cx="6383655" cy="1898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59">
                      <a:extLst>
                        <a:ext uri="{28A0092B-C50C-407E-A947-70E740481C1C}"/>
                      </a:extLst>
                    </a:blip>
                    <a:srcRect/>
                    <a:stretch>
                      <a:fillRect/>
                    </a:stretch>
                  </pic:blipFill>
                  <pic:spPr bwMode="auto">
                    <a:xfrm>
                      <a:off x="0" y="0"/>
                      <a:ext cx="6383655" cy="18986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Other</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Risk Rating</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Pass (1-4)</w:t>
            </w:r>
          </w:p>
        </w:tc>
        <w:tc>
          <w:tcPr>
            <w:tcW w:w="400" w:type="dxa"/>
            <w:vAlign w:val="bottom"/>
            <w:tcBorders>
              <w:bottom w:val="single" w:sz="8" w:color="CFF0FC"/>
            </w:tcBorders>
            <w:shd w:val="clear" w:color="auto" w:fill="CFF0FC"/>
          </w:tcPr>
          <w:p>
            <w:pPr>
              <w:jc w:val="right"/>
              <w:ind w:right="185"/>
              <w:spacing w:after="0"/>
              <w:rPr>
                <w:sz w:val="20"/>
                <w:szCs w:val="20"/>
                <w:color w:val="auto"/>
              </w:rPr>
            </w:pPr>
            <w:r>
              <w:rPr>
                <w:rFonts w:ascii="Arial" w:cs="Arial" w:eastAsia="Arial" w:hAnsi="Arial"/>
                <w:sz w:val="19"/>
                <w:szCs w:val="19"/>
                <w:color w:val="auto"/>
                <w:w w:val="94"/>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40" w:type="dxa"/>
            <w:vAlign w:val="bottom"/>
            <w:tcBorders>
              <w:bottom w:val="single" w:sz="8" w:color="CFF0FC"/>
            </w:tcBorders>
            <w:shd w:val="clear" w:color="auto" w:fill="CFF0FC"/>
          </w:tcPr>
          <w:p>
            <w:pPr>
              <w:jc w:val="right"/>
              <w:ind w:right="185"/>
              <w:spacing w:after="0"/>
              <w:rPr>
                <w:sz w:val="20"/>
                <w:szCs w:val="20"/>
                <w:color w:val="auto"/>
              </w:rPr>
            </w:pPr>
            <w:r>
              <w:rPr>
                <w:rFonts w:ascii="Arial" w:cs="Arial" w:eastAsia="Arial" w:hAnsi="Arial"/>
                <w:sz w:val="19"/>
                <w:szCs w:val="19"/>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CFF0FC"/>
            </w:tcBorders>
            <w:shd w:val="clear" w:color="auto" w:fill="CFF0FC"/>
          </w:tcPr>
          <w:p>
            <w:pPr>
              <w:jc w:val="right"/>
              <w:ind w:right="205"/>
              <w:spacing w:after="0"/>
              <w:rPr>
                <w:sz w:val="20"/>
                <w:szCs w:val="20"/>
                <w:color w:val="auto"/>
              </w:rPr>
            </w:pPr>
            <w:r>
              <w:rPr>
                <w:rFonts w:ascii="Arial" w:cs="Arial" w:eastAsia="Arial" w:hAnsi="Arial"/>
                <w:sz w:val="19"/>
                <w:szCs w:val="19"/>
                <w:color w:val="auto"/>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6"/>
              </w:rPr>
              <w:t>15,829</w:t>
            </w:r>
          </w:p>
        </w:tc>
        <w:tc>
          <w:tcPr>
            <w:tcW w:w="2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5,068</w:t>
            </w:r>
          </w:p>
        </w:tc>
        <w:tc>
          <w:tcPr>
            <w:tcW w:w="2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4,081</w:t>
            </w:r>
          </w:p>
        </w:tc>
        <w:tc>
          <w:tcPr>
            <w:tcW w:w="30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24,978</w:t>
            </w:r>
          </w:p>
        </w:tc>
        <w:tc>
          <w:tcPr>
            <w:tcW w:w="480" w:type="dxa"/>
            <w:vAlign w:val="bottom"/>
            <w:tcBorders>
              <w:bottom w:val="single" w:sz="8" w:color="CFF0FC"/>
            </w:tcBorders>
            <w:shd w:val="clear" w:color="auto" w:fill="CFF0FC"/>
          </w:tcPr>
          <w:p>
            <w:pPr>
              <w:jc w:val="right"/>
              <w:ind w:right="225"/>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80" w:type="dxa"/>
            <w:vAlign w:val="bottom"/>
            <w:tcBorders>
              <w:bottom w:val="single" w:sz="8" w:color="CFF0FC"/>
            </w:tcBorders>
            <w:shd w:val="clear" w:color="auto" w:fill="CFF0FC"/>
          </w:tcPr>
          <w:p>
            <w:pPr>
              <w:jc w:val="right"/>
              <w:ind w:right="225"/>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24,978</w:t>
            </w:r>
          </w:p>
        </w:tc>
      </w:tr>
      <w:tr>
        <w:trPr>
          <w:trHeight w:val="261"/>
        </w:trPr>
        <w:tc>
          <w:tcPr>
            <w:tcW w:w="1000" w:type="dxa"/>
            <w:vAlign w:val="bottom"/>
          </w:tcPr>
          <w:p>
            <w:pPr>
              <w:ind w:left="20"/>
              <w:spacing w:after="0"/>
              <w:rPr>
                <w:sz w:val="20"/>
                <w:szCs w:val="20"/>
                <w:color w:val="auto"/>
              </w:rPr>
            </w:pPr>
            <w:r>
              <w:rPr>
                <w:rFonts w:ascii="Arial" w:cs="Arial" w:eastAsia="Arial" w:hAnsi="Arial"/>
                <w:sz w:val="19"/>
                <w:szCs w:val="19"/>
                <w:color w:val="auto"/>
              </w:rPr>
              <w:t>Special</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w w:val="99"/>
              </w:rPr>
              <w:t>Mention (5)</w:t>
            </w:r>
          </w:p>
        </w:tc>
        <w:tc>
          <w:tcPr>
            <w:tcW w:w="4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4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8"/>
        </w:trPr>
        <w:tc>
          <w:tcPr>
            <w:tcW w:w="1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1"/>
        </w:trPr>
        <w:tc>
          <w:tcPr>
            <w:tcW w:w="1000" w:type="dxa"/>
            <w:vAlign w:val="bottom"/>
            <w:shd w:val="clear" w:color="auto" w:fill="CFF0FC"/>
          </w:tcPr>
          <w:p>
            <w:pPr>
              <w:ind w:left="20"/>
              <w:spacing w:after="0"/>
              <w:rPr>
                <w:sz w:val="20"/>
                <w:szCs w:val="20"/>
                <w:color w:val="auto"/>
              </w:rPr>
            </w:pPr>
            <w:r>
              <w:rPr>
                <w:rFonts w:ascii="Arial" w:cs="Arial" w:eastAsia="Arial" w:hAnsi="Arial"/>
                <w:sz w:val="19"/>
                <w:szCs w:val="19"/>
                <w:color w:val="auto"/>
                <w:w w:val="89"/>
              </w:rPr>
              <w:t>Substandard</w:t>
            </w:r>
          </w:p>
        </w:tc>
        <w:tc>
          <w:tcPr>
            <w:tcW w:w="4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r>
      <w:tr>
        <w:trPr>
          <w:trHeight w:val="303"/>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(6)</w:t>
            </w:r>
          </w:p>
        </w:tc>
        <w:tc>
          <w:tcPr>
            <w:tcW w:w="4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r>
      <w:tr>
        <w:trPr>
          <w:trHeight w:val="271"/>
        </w:trPr>
        <w:tc>
          <w:tcPr>
            <w:tcW w:w="1000" w:type="dxa"/>
            <w:vAlign w:val="bottom"/>
          </w:tcPr>
          <w:p>
            <w:pPr>
              <w:ind w:left="20"/>
              <w:spacing w:after="0"/>
              <w:rPr>
                <w:sz w:val="20"/>
                <w:szCs w:val="20"/>
                <w:color w:val="auto"/>
              </w:rPr>
            </w:pPr>
            <w:r>
              <w:rPr>
                <w:rFonts w:ascii="Arial" w:cs="Arial" w:eastAsia="Arial" w:hAnsi="Arial"/>
                <w:sz w:val="19"/>
                <w:szCs w:val="19"/>
                <w:color w:val="auto"/>
                <w:w w:val="96"/>
              </w:rPr>
              <w:t>Doubtful (7)</w:t>
            </w:r>
          </w:p>
        </w:tc>
        <w:tc>
          <w:tcPr>
            <w:tcW w:w="4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4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8"/>
        </w:trPr>
        <w:tc>
          <w:tcPr>
            <w:tcW w:w="1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339"/>
        </w:trPr>
        <w:tc>
          <w:tcPr>
            <w:tcW w:w="1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Total Other</w:t>
            </w:r>
          </w:p>
        </w:tc>
        <w:tc>
          <w:tcPr>
            <w:tcW w:w="400" w:type="dxa"/>
            <w:vAlign w:val="bottom"/>
            <w:tcBorders>
              <w:bottom w:val="single" w:sz="8" w:color="CFF0FC"/>
            </w:tcBorders>
            <w:shd w:val="clear" w:color="auto" w:fill="CFF0FC"/>
          </w:tcPr>
          <w:p>
            <w:pPr>
              <w:jc w:val="right"/>
              <w:ind w:right="185"/>
              <w:spacing w:after="0"/>
              <w:rPr>
                <w:sz w:val="20"/>
                <w:szCs w:val="20"/>
                <w:color w:val="auto"/>
              </w:rPr>
            </w:pPr>
            <w:r>
              <w:rPr>
                <w:rFonts w:ascii="Arial" w:cs="Arial" w:eastAsia="Arial" w:hAnsi="Arial"/>
                <w:sz w:val="19"/>
                <w:szCs w:val="19"/>
                <w:color w:val="auto"/>
                <w:w w:val="94"/>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40" w:type="dxa"/>
            <w:vAlign w:val="bottom"/>
            <w:tcBorders>
              <w:bottom w:val="single" w:sz="8" w:color="CFF0FC"/>
            </w:tcBorders>
            <w:shd w:val="clear" w:color="auto" w:fill="CFF0FC"/>
          </w:tcPr>
          <w:p>
            <w:pPr>
              <w:jc w:val="right"/>
              <w:ind w:right="185"/>
              <w:spacing w:after="0"/>
              <w:rPr>
                <w:sz w:val="20"/>
                <w:szCs w:val="20"/>
                <w:color w:val="auto"/>
              </w:rPr>
            </w:pPr>
            <w:r>
              <w:rPr>
                <w:rFonts w:ascii="Arial" w:cs="Arial" w:eastAsia="Arial" w:hAnsi="Arial"/>
                <w:sz w:val="19"/>
                <w:szCs w:val="19"/>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CFF0FC"/>
            </w:tcBorders>
            <w:shd w:val="clear" w:color="auto" w:fill="CFF0FC"/>
          </w:tcPr>
          <w:p>
            <w:pPr>
              <w:jc w:val="right"/>
              <w:ind w:right="205"/>
              <w:spacing w:after="0"/>
              <w:rPr>
                <w:sz w:val="20"/>
                <w:szCs w:val="20"/>
                <w:color w:val="auto"/>
              </w:rPr>
            </w:pPr>
            <w:r>
              <w:rPr>
                <w:rFonts w:ascii="Arial" w:cs="Arial" w:eastAsia="Arial" w:hAnsi="Arial"/>
                <w:sz w:val="19"/>
                <w:szCs w:val="19"/>
                <w:color w:val="auto"/>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6"/>
              </w:rPr>
              <w:t>15,829</w:t>
            </w:r>
          </w:p>
        </w:tc>
        <w:tc>
          <w:tcPr>
            <w:tcW w:w="2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5,068</w:t>
            </w:r>
          </w:p>
        </w:tc>
        <w:tc>
          <w:tcPr>
            <w:tcW w:w="2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4,081</w:t>
            </w:r>
          </w:p>
        </w:tc>
        <w:tc>
          <w:tcPr>
            <w:tcW w:w="30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24,978</w:t>
            </w:r>
          </w:p>
        </w:tc>
        <w:tc>
          <w:tcPr>
            <w:tcW w:w="480" w:type="dxa"/>
            <w:vAlign w:val="bottom"/>
            <w:tcBorders>
              <w:bottom w:val="single" w:sz="8" w:color="CFF0FC"/>
            </w:tcBorders>
            <w:shd w:val="clear" w:color="auto" w:fill="CFF0FC"/>
          </w:tcPr>
          <w:p>
            <w:pPr>
              <w:jc w:val="right"/>
              <w:ind w:right="225"/>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480" w:type="dxa"/>
            <w:vAlign w:val="bottom"/>
            <w:tcBorders>
              <w:bottom w:val="single" w:sz="8" w:color="CFF0FC"/>
            </w:tcBorders>
            <w:shd w:val="clear" w:color="auto" w:fill="CFF0FC"/>
          </w:tcPr>
          <w:p>
            <w:pPr>
              <w:jc w:val="right"/>
              <w:ind w:right="225"/>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24,978</w:t>
            </w:r>
          </w:p>
        </w:tc>
      </w:tr>
      <w:tr>
        <w:trPr>
          <w:trHeight w:val="261"/>
        </w:trPr>
        <w:tc>
          <w:tcPr>
            <w:tcW w:w="1000" w:type="dxa"/>
            <w:vAlign w:val="bottom"/>
          </w:tcPr>
          <w:p>
            <w:pPr>
              <w:ind w:left="20"/>
              <w:spacing w:after="0"/>
              <w:rPr>
                <w:sz w:val="20"/>
                <w:szCs w:val="20"/>
                <w:color w:val="auto"/>
              </w:rPr>
            </w:pPr>
            <w:r>
              <w:rPr>
                <w:rFonts w:ascii="Arial" w:cs="Arial" w:eastAsia="Arial" w:hAnsi="Arial"/>
                <w:sz w:val="19"/>
                <w:szCs w:val="19"/>
                <w:color w:val="auto"/>
              </w:rPr>
              <w:t>Gross</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rPr>
              <w:t>charge-offs</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5"/>
        </w:trPr>
        <w:tc>
          <w:tcPr>
            <w:tcW w:w="1000" w:type="dxa"/>
            <w:vAlign w:val="bottom"/>
          </w:tcPr>
          <w:p>
            <w:pPr>
              <w:ind w:left="20"/>
              <w:spacing w:after="0"/>
              <w:rPr>
                <w:sz w:val="20"/>
                <w:szCs w:val="20"/>
                <w:color w:val="auto"/>
              </w:rPr>
            </w:pPr>
            <w:r>
              <w:rPr>
                <w:rFonts w:ascii="Arial" w:cs="Arial" w:eastAsia="Arial" w:hAnsi="Arial"/>
                <w:sz w:val="19"/>
                <w:szCs w:val="19"/>
                <w:color w:val="auto"/>
              </w:rPr>
              <w:t>YTD</w:t>
            </w:r>
          </w:p>
        </w:tc>
        <w:tc>
          <w:tcPr>
            <w:tcW w:w="400" w:type="dxa"/>
            <w:vAlign w:val="bottom"/>
          </w:tcPr>
          <w:p>
            <w:pPr>
              <w:jc w:val="right"/>
              <w:ind w:right="185"/>
              <w:spacing w:after="0"/>
              <w:rPr>
                <w:sz w:val="20"/>
                <w:szCs w:val="20"/>
                <w:color w:val="auto"/>
              </w:rPr>
            </w:pPr>
            <w:r>
              <w:rPr>
                <w:rFonts w:ascii="Arial" w:cs="Arial" w:eastAsia="Arial" w:hAnsi="Arial"/>
                <w:sz w:val="19"/>
                <w:szCs w:val="19"/>
                <w:color w:val="auto"/>
                <w:w w:val="94"/>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44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460" w:type="dxa"/>
            <w:vAlign w:val="bottom"/>
          </w:tcPr>
          <w:p>
            <w:pPr>
              <w:jc w:val="right"/>
              <w:ind w:right="205"/>
              <w:spacing w:after="0"/>
              <w:rPr>
                <w:sz w:val="20"/>
                <w:szCs w:val="20"/>
                <w:color w:val="auto"/>
              </w:rPr>
            </w:pPr>
            <w:r>
              <w:rPr>
                <w:rFonts w:ascii="Arial" w:cs="Arial" w:eastAsia="Arial" w:hAnsi="Arial"/>
                <w:sz w:val="19"/>
                <w:szCs w:val="19"/>
                <w:color w:val="auto"/>
              </w:rPr>
              <w:t>$</w:t>
            </w:r>
          </w:p>
        </w:tc>
        <w:tc>
          <w:tcPr>
            <w:tcW w:w="40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-761365</wp:posOffset>
            </wp:positionV>
            <wp:extent cx="5690870"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0">
                      <a:extLst>
                        <a:ext uri="{28A0092B-C50C-407E-A947-70E740481C1C}"/>
                      </a:extLst>
                    </a:blip>
                    <a:srcRect/>
                    <a:stretch>
                      <a:fillRect/>
                    </a:stretch>
                  </pic:blipFill>
                  <pic:spPr bwMode="auto">
                    <a:xfrm>
                      <a:off x="0" y="0"/>
                      <a:ext cx="5690870" cy="635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-555625</wp:posOffset>
            </wp:positionV>
            <wp:extent cx="5730240" cy="285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1">
                      <a:extLst>
                        <a:ext uri="{28A0092B-C50C-407E-A947-70E740481C1C}"/>
                      </a:extLst>
                    </a:blip>
                    <a:srcRect/>
                    <a:stretch>
                      <a:fillRect/>
                    </a:stretch>
                  </pic:blipFill>
                  <pic:spPr bwMode="auto">
                    <a:xfrm>
                      <a:off x="0" y="0"/>
                      <a:ext cx="5730240" cy="2857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17780</wp:posOffset>
            </wp:positionV>
            <wp:extent cx="5690870" cy="63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2">
                      <a:extLst>
                        <a:ext uri="{28A0092B-C50C-407E-A947-70E740481C1C}"/>
                      </a:extLst>
                    </a:blip>
                    <a:srcRect/>
                    <a:stretch>
                      <a:fillRect/>
                    </a:stretch>
                  </pic:blipFill>
                  <pic:spPr bwMode="auto">
                    <a:xfrm>
                      <a:off x="0" y="0"/>
                      <a:ext cx="5690870" cy="635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10040"/>
          </w:cols>
          <w:pgMar w:left="1260" w:top="1440" w:right="6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5 / 12</w:t>
      </w:r>
    </w:p>
    <w:p>
      <w:pPr>
        <w:sectPr>
          <w:pgSz w:w="11900" w:h="16838" w:orient="portrait"/>
          <w:cols w:equalWidth="0" w:num="1">
            <w:col w:w="10040"/>
          </w:cols>
          <w:pgMar w:left="1260" w:top="1440" w:right="606" w:bottom="0" w:gutter="0" w:footer="0" w:header="0"/>
          <w:type w:val="continuous"/>
        </w:sectPr>
      </w:pPr>
    </w:p>
    <w:bookmarkStart w:id="189" w:name="page190"/>
    <w:bookmarkEnd w:id="189"/>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20" w:right="60"/>
        <w:spacing w:after="0" w:line="310" w:lineRule="auto"/>
        <w:rPr>
          <w:sz w:val="20"/>
          <w:szCs w:val="20"/>
          <w:color w:val="auto"/>
        </w:rPr>
      </w:pPr>
      <w:r>
        <w:rPr>
          <w:rFonts w:ascii="Arial" w:cs="Arial" w:eastAsia="Arial" w:hAnsi="Arial"/>
          <w:sz w:val="20"/>
          <w:szCs w:val="20"/>
          <w:color w:val="auto"/>
        </w:rPr>
        <w:t>For consumer loans, the Company evaluates credit quality based on the aging status of the loan, as was previously stated, and by payment performance. Consumer loans are placed on nonperforming status in the event that the loan is in past due status for more than 90 days or payment in full of principal and interest is not expected. The following tables present the amortized cost based on payment performance as of December 31, 2025 and 2024 by year of origination:</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20"/>
                <w:szCs w:val="20"/>
                <w:color w:val="auto"/>
                <w:w w:val="89"/>
              </w:rPr>
              <w:t>(In Thousands)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24"/>
        </w:trPr>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right"/>
              <w:ind w:right="160"/>
              <w:spacing w:after="0"/>
              <w:rPr>
                <w:sz w:val="20"/>
                <w:szCs w:val="20"/>
                <w:color w:val="auto"/>
              </w:rPr>
            </w:pPr>
            <w:r>
              <w:rPr>
                <w:rFonts w:ascii="Arial" w:cs="Arial" w:eastAsia="Arial" w:hAnsi="Arial"/>
                <w:sz w:val="20"/>
                <w:szCs w:val="20"/>
                <w:color w:val="auto"/>
              </w:rPr>
              <w:t>December 31, 2025</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4"/>
        </w:trPr>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gridSpan w:val="11"/>
          </w:tcPr>
          <w:p>
            <w:pPr>
              <w:jc w:val="right"/>
              <w:ind w:right="160"/>
              <w:spacing w:after="0"/>
              <w:rPr>
                <w:sz w:val="20"/>
                <w:szCs w:val="20"/>
                <w:color w:val="auto"/>
              </w:rPr>
            </w:pPr>
            <w:r>
              <w:rPr>
                <w:rFonts w:ascii="Arial" w:cs="Arial" w:eastAsia="Arial" w:hAnsi="Arial"/>
                <w:sz w:val="20"/>
                <w:szCs w:val="20"/>
                <w:color w:val="auto"/>
                <w:w w:val="92"/>
              </w:rPr>
              <w:t>Term Loans Amortized Cost Basis by Origination Year</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4"/>
        </w:trPr>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Arial" w:cs="Arial" w:eastAsia="Arial" w:hAnsi="Arial"/>
                <w:sz w:val="20"/>
                <w:szCs w:val="20"/>
                <w:color w:val="auto"/>
              </w:rPr>
              <w:t>Revolving</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14"/>
        </w:trPr>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200"/>
              <w:spacing w:after="0"/>
              <w:rPr>
                <w:sz w:val="20"/>
                <w:szCs w:val="20"/>
                <w:color w:val="auto"/>
              </w:rPr>
            </w:pPr>
            <w:r>
              <w:rPr>
                <w:rFonts w:ascii="Arial" w:cs="Arial" w:eastAsia="Arial" w:hAnsi="Arial"/>
                <w:sz w:val="20"/>
                <w:szCs w:val="20"/>
                <w:color w:val="auto"/>
                <w:w w:val="95"/>
              </w:rPr>
              <w:t>Loans</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14"/>
        </w:trPr>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40"/>
              <w:spacing w:after="0"/>
              <w:rPr>
                <w:sz w:val="20"/>
                <w:szCs w:val="20"/>
                <w:color w:val="auto"/>
              </w:rPr>
            </w:pPr>
            <w:r>
              <w:rPr>
                <w:rFonts w:ascii="Arial" w:cs="Arial" w:eastAsia="Arial" w:hAnsi="Arial"/>
                <w:sz w:val="20"/>
                <w:szCs w:val="20"/>
                <w:color w:val="auto"/>
                <w:w w:val="89"/>
              </w:rPr>
              <w:t>Term</w:t>
            </w:r>
          </w:p>
        </w:tc>
        <w:tc>
          <w:tcPr>
            <w:tcW w:w="1080" w:type="dxa"/>
            <w:vAlign w:val="bottom"/>
            <w:gridSpan w:val="2"/>
          </w:tcPr>
          <w:p>
            <w:pPr>
              <w:ind w:left="100"/>
              <w:spacing w:after="0"/>
              <w:rPr>
                <w:sz w:val="20"/>
                <w:szCs w:val="20"/>
                <w:color w:val="auto"/>
              </w:rPr>
            </w:pPr>
            <w:r>
              <w:rPr>
                <w:rFonts w:ascii="Arial" w:cs="Arial" w:eastAsia="Arial" w:hAnsi="Arial"/>
                <w:sz w:val="20"/>
                <w:szCs w:val="20"/>
                <w:color w:val="auto"/>
              </w:rPr>
              <w:t>Amortized</w:t>
            </w:r>
          </w:p>
        </w:tc>
        <w:tc>
          <w:tcPr>
            <w:tcW w:w="880" w:type="dxa"/>
            <w:vAlign w:val="bottom"/>
            <w:gridSpan w:val="2"/>
          </w:tcPr>
          <w:p>
            <w:pPr>
              <w:jc w:val="right"/>
              <w:ind w:right="80"/>
              <w:spacing w:after="0"/>
              <w:rPr>
                <w:sz w:val="20"/>
                <w:szCs w:val="20"/>
                <w:color w:val="auto"/>
              </w:rPr>
            </w:pPr>
            <w:r>
              <w:rPr>
                <w:rFonts w:ascii="Arial" w:cs="Arial" w:eastAsia="Arial" w:hAnsi="Arial"/>
                <w:sz w:val="20"/>
                <w:szCs w:val="20"/>
                <w:color w:val="auto"/>
              </w:rPr>
              <w:t>Grand</w:t>
            </w:r>
          </w:p>
        </w:tc>
      </w:tr>
      <w:tr>
        <w:trPr>
          <w:trHeight w:val="314"/>
        </w:trPr>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60"/>
              <w:spacing w:after="0"/>
              <w:rPr>
                <w:sz w:val="20"/>
                <w:szCs w:val="20"/>
                <w:color w:val="auto"/>
              </w:rPr>
            </w:pPr>
            <w:r>
              <w:rPr>
                <w:rFonts w:ascii="Arial" w:cs="Arial" w:eastAsia="Arial" w:hAnsi="Arial"/>
                <w:sz w:val="20"/>
                <w:szCs w:val="20"/>
                <w:color w:val="auto"/>
                <w:w w:val="89"/>
              </w:rPr>
              <w:t>2025</w:t>
            </w: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2024</w:t>
            </w: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2023</w:t>
            </w:r>
          </w:p>
        </w:tc>
        <w:tc>
          <w:tcPr>
            <w:tcW w:w="220" w:type="dxa"/>
            <w:vAlign w:val="bottom"/>
          </w:tcPr>
          <w:p>
            <w:pPr>
              <w:spacing w:after="0"/>
              <w:rPr>
                <w:sz w:val="24"/>
                <w:szCs w:val="24"/>
                <w:color w:val="auto"/>
              </w:rPr>
            </w:pPr>
          </w:p>
        </w:tc>
        <w:tc>
          <w:tcPr>
            <w:tcW w:w="580" w:type="dxa"/>
            <w:vAlign w:val="bottom"/>
          </w:tcPr>
          <w:p>
            <w:pPr>
              <w:jc w:val="right"/>
              <w:ind w:right="40"/>
              <w:spacing w:after="0"/>
              <w:rPr>
                <w:sz w:val="20"/>
                <w:szCs w:val="20"/>
                <w:color w:val="auto"/>
              </w:rPr>
            </w:pPr>
            <w:r>
              <w:rPr>
                <w:rFonts w:ascii="Arial" w:cs="Arial" w:eastAsia="Arial" w:hAnsi="Arial"/>
                <w:sz w:val="20"/>
                <w:szCs w:val="20"/>
                <w:color w:val="auto"/>
                <w:w w:val="94"/>
              </w:rPr>
              <w:t>2022</w:t>
            </w:r>
          </w:p>
        </w:tc>
        <w:tc>
          <w:tcPr>
            <w:tcW w:w="900" w:type="dxa"/>
            <w:vAlign w:val="bottom"/>
            <w:gridSpan w:val="2"/>
          </w:tcPr>
          <w:p>
            <w:pPr>
              <w:jc w:val="right"/>
              <w:ind w:right="100"/>
              <w:spacing w:after="0"/>
              <w:rPr>
                <w:sz w:val="20"/>
                <w:szCs w:val="20"/>
                <w:color w:val="auto"/>
              </w:rPr>
            </w:pPr>
            <w:r>
              <w:rPr>
                <w:rFonts w:ascii="Arial" w:cs="Arial" w:eastAsia="Arial" w:hAnsi="Arial"/>
                <w:sz w:val="20"/>
                <w:szCs w:val="20"/>
                <w:color w:val="auto"/>
              </w:rPr>
              <w:t>2021</w:t>
            </w:r>
          </w:p>
        </w:tc>
        <w:tc>
          <w:tcPr>
            <w:tcW w:w="760" w:type="dxa"/>
            <w:vAlign w:val="bottom"/>
            <w:gridSpan w:val="2"/>
          </w:tcPr>
          <w:p>
            <w:pPr>
              <w:jc w:val="right"/>
              <w:ind w:right="80"/>
              <w:spacing w:after="0"/>
              <w:rPr>
                <w:sz w:val="20"/>
                <w:szCs w:val="20"/>
                <w:color w:val="auto"/>
              </w:rPr>
            </w:pPr>
            <w:r>
              <w:rPr>
                <w:rFonts w:ascii="Arial" w:cs="Arial" w:eastAsia="Arial" w:hAnsi="Arial"/>
                <w:sz w:val="20"/>
                <w:szCs w:val="20"/>
                <w:color w:val="auto"/>
              </w:rPr>
              <w:t>Prior</w:t>
            </w:r>
          </w:p>
        </w:tc>
        <w:tc>
          <w:tcPr>
            <w:tcW w:w="220" w:type="dxa"/>
            <w:vAlign w:val="bottom"/>
          </w:tcPr>
          <w:p>
            <w:pPr>
              <w:spacing w:after="0"/>
              <w:rPr>
                <w:sz w:val="24"/>
                <w:szCs w:val="24"/>
                <w:color w:val="auto"/>
              </w:rPr>
            </w:pPr>
          </w:p>
        </w:tc>
        <w:tc>
          <w:tcPr>
            <w:tcW w:w="680" w:type="dxa"/>
            <w:vAlign w:val="bottom"/>
          </w:tcPr>
          <w:p>
            <w:pPr>
              <w:jc w:val="right"/>
              <w:ind w:right="140"/>
              <w:spacing w:after="0"/>
              <w:rPr>
                <w:sz w:val="20"/>
                <w:szCs w:val="20"/>
                <w:color w:val="auto"/>
              </w:rPr>
            </w:pPr>
            <w:r>
              <w:rPr>
                <w:rFonts w:ascii="Arial" w:cs="Arial" w:eastAsia="Arial" w:hAnsi="Arial"/>
                <w:sz w:val="20"/>
                <w:szCs w:val="20"/>
                <w:color w:val="auto"/>
                <w:w w:val="94"/>
              </w:rPr>
              <w:t>Total</w:t>
            </w:r>
          </w:p>
        </w:tc>
        <w:tc>
          <w:tcPr>
            <w:tcW w:w="1080" w:type="dxa"/>
            <w:vAlign w:val="bottom"/>
            <w:gridSpan w:val="2"/>
          </w:tcPr>
          <w:p>
            <w:pPr>
              <w:ind w:left="100"/>
              <w:spacing w:after="0"/>
              <w:rPr>
                <w:sz w:val="20"/>
                <w:szCs w:val="20"/>
                <w:color w:val="auto"/>
              </w:rPr>
            </w:pPr>
            <w:r>
              <w:rPr>
                <w:rFonts w:ascii="Arial" w:cs="Arial" w:eastAsia="Arial" w:hAnsi="Arial"/>
                <w:sz w:val="20"/>
                <w:szCs w:val="20"/>
                <w:color w:val="auto"/>
              </w:rPr>
              <w:t>Cost Basis</w:t>
            </w:r>
          </w:p>
        </w:tc>
        <w:tc>
          <w:tcPr>
            <w:tcW w:w="220" w:type="dxa"/>
            <w:vAlign w:val="bottom"/>
          </w:tcPr>
          <w:p>
            <w:pPr>
              <w:spacing w:after="0"/>
              <w:rPr>
                <w:sz w:val="24"/>
                <w:szCs w:val="24"/>
                <w:color w:val="auto"/>
              </w:rPr>
            </w:pPr>
          </w:p>
        </w:tc>
        <w:tc>
          <w:tcPr>
            <w:tcW w:w="660" w:type="dxa"/>
            <w:vAlign w:val="bottom"/>
          </w:tcPr>
          <w:p>
            <w:pPr>
              <w:jc w:val="right"/>
              <w:ind w:right="120"/>
              <w:spacing w:after="0"/>
              <w:rPr>
                <w:sz w:val="20"/>
                <w:szCs w:val="20"/>
                <w:color w:val="auto"/>
              </w:rPr>
            </w:pPr>
            <w:r>
              <w:rPr>
                <w:rFonts w:ascii="Arial" w:cs="Arial" w:eastAsia="Arial" w:hAnsi="Arial"/>
                <w:sz w:val="20"/>
                <w:szCs w:val="20"/>
                <w:color w:val="auto"/>
                <w:w w:val="94"/>
              </w:rPr>
              <w:t>Total</w:t>
            </w:r>
          </w:p>
        </w:tc>
      </w:tr>
      <w:tr>
        <w:trPr>
          <w:trHeight w:val="365"/>
        </w:trPr>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4"/>
        </w:trPr>
        <w:tc>
          <w:tcPr>
            <w:tcW w:w="1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Consumer</w:t>
            </w:r>
          </w:p>
        </w:tc>
        <w:tc>
          <w:tcPr>
            <w:tcW w:w="22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r>
      <w:tr>
        <w:trPr>
          <w:trHeight w:val="274"/>
        </w:trPr>
        <w:tc>
          <w:tcPr>
            <w:tcW w:w="1580" w:type="dxa"/>
            <w:vAlign w:val="bottom"/>
          </w:tcPr>
          <w:p>
            <w:pPr>
              <w:spacing w:after="0"/>
              <w:rPr>
                <w:sz w:val="20"/>
                <w:szCs w:val="20"/>
                <w:color w:val="auto"/>
              </w:rPr>
            </w:pPr>
            <w:r>
              <w:rPr>
                <w:rFonts w:ascii="Arial" w:cs="Arial" w:eastAsia="Arial" w:hAnsi="Arial"/>
                <w:sz w:val="20"/>
                <w:szCs w:val="20"/>
                <w:color w:val="auto"/>
              </w:rPr>
              <w:t>Payment</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300"/>
        </w:trPr>
        <w:tc>
          <w:tcPr>
            <w:tcW w:w="1580" w:type="dxa"/>
            <w:vAlign w:val="bottom"/>
          </w:tcPr>
          <w:p>
            <w:pPr>
              <w:spacing w:after="0"/>
              <w:rPr>
                <w:sz w:val="20"/>
                <w:szCs w:val="20"/>
                <w:color w:val="auto"/>
              </w:rPr>
            </w:pPr>
            <w:r>
              <w:rPr>
                <w:rFonts w:ascii="Arial" w:cs="Arial" w:eastAsia="Arial" w:hAnsi="Arial"/>
                <w:sz w:val="20"/>
                <w:szCs w:val="20"/>
                <w:color w:val="auto"/>
              </w:rPr>
              <w:t>Performance</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1"/>
        </w:trPr>
        <w:tc>
          <w:tcPr>
            <w:tcW w:w="1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94"/>
        </w:trPr>
        <w:tc>
          <w:tcPr>
            <w:tcW w:w="1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Performing</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88"/>
              </w:rPr>
              <w:t>24,156</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87"/>
              </w:rPr>
              <w:t>8,134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1"/>
              </w:rPr>
              <w:t>7,852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8"/>
              </w:rPr>
              <w:t>15,191</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1"/>
              </w:rPr>
              <w:t>2,671</w:t>
            </w:r>
          </w:p>
        </w:tc>
        <w:tc>
          <w:tcPr>
            <w:tcW w:w="3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83"/>
              </w:rPr>
              <w:t>816</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88"/>
              </w:rPr>
              <w:t>58,820</w:t>
            </w:r>
          </w:p>
        </w:tc>
        <w:tc>
          <w:tcPr>
            <w:tcW w:w="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527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8"/>
              </w:rPr>
              <w:t>59,347</w:t>
            </w:r>
          </w:p>
        </w:tc>
      </w:tr>
      <w:tr>
        <w:trPr>
          <w:trHeight w:val="284"/>
        </w:trPr>
        <w:tc>
          <w:tcPr>
            <w:tcW w:w="1580" w:type="dxa"/>
            <w:vAlign w:val="bottom"/>
          </w:tcPr>
          <w:p>
            <w:pPr>
              <w:ind w:left="20"/>
              <w:spacing w:after="0"/>
              <w:rPr>
                <w:sz w:val="20"/>
                <w:szCs w:val="20"/>
                <w:color w:val="auto"/>
              </w:rPr>
            </w:pPr>
            <w:r>
              <w:rPr>
                <w:rFonts w:ascii="Arial" w:cs="Arial" w:eastAsia="Arial" w:hAnsi="Arial"/>
                <w:sz w:val="20"/>
                <w:szCs w:val="20"/>
                <w:color w:val="auto"/>
              </w:rPr>
              <w:t>Nonperforming</w:t>
            </w:r>
          </w:p>
        </w:tc>
        <w:tc>
          <w:tcPr>
            <w:tcW w:w="22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20"/>
                <w:szCs w:val="20"/>
                <w:color w:val="auto"/>
              </w:rPr>
              <w:t>92</w:t>
            </w:r>
          </w:p>
        </w:tc>
        <w:tc>
          <w:tcPr>
            <w:tcW w:w="220" w:type="dxa"/>
            <w:vAlign w:val="bottom"/>
          </w:tcPr>
          <w:p>
            <w:pPr>
              <w:spacing w:after="0"/>
              <w:rPr>
                <w:sz w:val="24"/>
                <w:szCs w:val="24"/>
                <w:color w:val="auto"/>
              </w:rPr>
            </w:pPr>
          </w:p>
        </w:tc>
        <w:tc>
          <w:tcPr>
            <w:tcW w:w="580" w:type="dxa"/>
            <w:vAlign w:val="bottom"/>
          </w:tcPr>
          <w:p>
            <w:pPr>
              <w:jc w:val="right"/>
              <w:ind w:right="20"/>
              <w:spacing w:after="0"/>
              <w:rPr>
                <w:sz w:val="20"/>
                <w:szCs w:val="20"/>
                <w:color w:val="auto"/>
              </w:rPr>
            </w:pPr>
            <w:r>
              <w:rPr>
                <w:rFonts w:ascii="Arial" w:cs="Arial" w:eastAsia="Arial" w:hAnsi="Arial"/>
                <w:sz w:val="20"/>
                <w:szCs w:val="20"/>
                <w:color w:val="auto"/>
              </w:rPr>
              <w:t>1</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20</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14</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15</w:t>
            </w:r>
          </w:p>
        </w:tc>
        <w:tc>
          <w:tcPr>
            <w:tcW w:w="340" w:type="dxa"/>
            <w:vAlign w:val="bottom"/>
          </w:tcPr>
          <w:p>
            <w:pPr>
              <w:spacing w:after="0"/>
              <w:rPr>
                <w:sz w:val="24"/>
                <w:szCs w:val="24"/>
                <w:color w:val="auto"/>
              </w:rPr>
            </w:pPr>
          </w:p>
        </w:tc>
        <w:tc>
          <w:tcPr>
            <w:tcW w:w="420" w:type="dxa"/>
            <w:vAlign w:val="bottom"/>
          </w:tcPr>
          <w:p>
            <w:pPr>
              <w:jc w:val="right"/>
              <w:ind w:right="20"/>
              <w:spacing w:after="0"/>
              <w:rPr>
                <w:sz w:val="20"/>
                <w:szCs w:val="20"/>
                <w:color w:val="auto"/>
              </w:rPr>
            </w:pPr>
            <w:r>
              <w:rPr>
                <w:rFonts w:ascii="Arial" w:cs="Arial" w:eastAsia="Arial" w:hAnsi="Arial"/>
                <w:sz w:val="20"/>
                <w:szCs w:val="20"/>
                <w:color w:val="auto"/>
              </w:rPr>
              <w:t>4</w:t>
            </w:r>
          </w:p>
        </w:tc>
        <w:tc>
          <w:tcPr>
            <w:tcW w:w="22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20"/>
                <w:szCs w:val="20"/>
                <w:color w:val="auto"/>
              </w:rPr>
              <w:t>146</w:t>
            </w:r>
          </w:p>
        </w:tc>
        <w:tc>
          <w:tcPr>
            <w:tcW w:w="24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146</w:t>
            </w:r>
          </w:p>
        </w:tc>
      </w:tr>
      <w:tr>
        <w:trPr>
          <w:trHeight w:val="41"/>
        </w:trPr>
        <w:tc>
          <w:tcPr>
            <w:tcW w:w="1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339"/>
        </w:trPr>
        <w:tc>
          <w:tcPr>
            <w:tcW w:w="1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Total Consumer</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88"/>
              </w:rPr>
              <w:t>24,248</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87"/>
              </w:rPr>
              <w:t>8,135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1"/>
              </w:rPr>
              <w:t>7,872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8"/>
              </w:rPr>
              <w:t>15,205</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1"/>
              </w:rPr>
              <w:t>2,686</w:t>
            </w:r>
          </w:p>
        </w:tc>
        <w:tc>
          <w:tcPr>
            <w:tcW w:w="3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83"/>
              </w:rPr>
              <w:t>820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88"/>
              </w:rPr>
              <w:t>58,966</w:t>
            </w:r>
          </w:p>
        </w:tc>
        <w:tc>
          <w:tcPr>
            <w:tcW w:w="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527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8"/>
              </w:rPr>
              <w:t>59,493</w:t>
            </w:r>
          </w:p>
        </w:tc>
      </w:tr>
      <w:tr>
        <w:trPr>
          <w:trHeight w:val="274"/>
        </w:trPr>
        <w:tc>
          <w:tcPr>
            <w:tcW w:w="1580" w:type="dxa"/>
            <w:vAlign w:val="bottom"/>
          </w:tcPr>
          <w:p>
            <w:pPr>
              <w:ind w:left="40"/>
              <w:spacing w:after="0"/>
              <w:rPr>
                <w:sz w:val="20"/>
                <w:szCs w:val="20"/>
                <w:color w:val="auto"/>
              </w:rPr>
            </w:pPr>
            <w:r>
              <w:rPr>
                <w:rFonts w:ascii="Arial" w:cs="Arial" w:eastAsia="Arial" w:hAnsi="Arial"/>
                <w:sz w:val="20"/>
                <w:szCs w:val="20"/>
                <w:color w:val="auto"/>
                <w:w w:val="95"/>
              </w:rPr>
              <w:t>Gross charge-offs</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300"/>
        </w:trPr>
        <w:tc>
          <w:tcPr>
            <w:tcW w:w="1580" w:type="dxa"/>
            <w:vAlign w:val="bottom"/>
          </w:tcPr>
          <w:p>
            <w:pPr>
              <w:ind w:left="40"/>
              <w:spacing w:after="0"/>
              <w:rPr>
                <w:sz w:val="20"/>
                <w:szCs w:val="20"/>
                <w:color w:val="auto"/>
              </w:rPr>
            </w:pPr>
            <w:r>
              <w:rPr>
                <w:rFonts w:ascii="Arial" w:cs="Arial" w:eastAsia="Arial" w:hAnsi="Arial"/>
                <w:sz w:val="20"/>
                <w:szCs w:val="20"/>
                <w:color w:val="auto"/>
              </w:rPr>
              <w:t>YTD</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20"/>
              <w:spacing w:after="0"/>
              <w:rPr>
                <w:sz w:val="20"/>
                <w:szCs w:val="20"/>
                <w:color w:val="auto"/>
              </w:rPr>
            </w:pPr>
            <w:r>
              <w:rPr>
                <w:rFonts w:ascii="Arial" w:cs="Arial" w:eastAsia="Arial" w:hAnsi="Arial"/>
                <w:sz w:val="20"/>
                <w:szCs w:val="20"/>
                <w:color w:val="auto"/>
              </w:rPr>
              <w:t>339</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20"/>
              <w:spacing w:after="0"/>
              <w:rPr>
                <w:sz w:val="20"/>
                <w:szCs w:val="20"/>
                <w:color w:val="auto"/>
              </w:rPr>
            </w:pPr>
            <w:r>
              <w:rPr>
                <w:rFonts w:ascii="Arial" w:cs="Arial" w:eastAsia="Arial" w:hAnsi="Arial"/>
                <w:sz w:val="20"/>
                <w:szCs w:val="20"/>
                <w:color w:val="auto"/>
              </w:rPr>
              <w:t>58</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129</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169</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61</w:t>
            </w:r>
          </w:p>
        </w:tc>
        <w:tc>
          <w:tcPr>
            <w:tcW w:w="3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20"/>
              <w:spacing w:after="0"/>
              <w:rPr>
                <w:sz w:val="20"/>
                <w:szCs w:val="20"/>
                <w:color w:val="auto"/>
              </w:rPr>
            </w:pPr>
            <w:r>
              <w:rPr>
                <w:rFonts w:ascii="Arial" w:cs="Arial" w:eastAsia="Arial" w:hAnsi="Arial"/>
                <w:sz w:val="20"/>
                <w:szCs w:val="20"/>
                <w:color w:val="auto"/>
              </w:rPr>
              <w:t>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20"/>
              <w:spacing w:after="0"/>
              <w:rPr>
                <w:sz w:val="20"/>
                <w:szCs w:val="20"/>
                <w:color w:val="auto"/>
              </w:rPr>
            </w:pPr>
            <w:r>
              <w:rPr>
                <w:rFonts w:ascii="Arial" w:cs="Arial" w:eastAsia="Arial" w:hAnsi="Arial"/>
                <w:sz w:val="20"/>
                <w:szCs w:val="20"/>
                <w:color w:val="auto"/>
              </w:rPr>
              <w:t>758</w:t>
            </w:r>
          </w:p>
        </w:tc>
        <w:tc>
          <w:tcPr>
            <w:tcW w:w="240" w:type="dxa"/>
            <w:vAlign w:val="bottom"/>
          </w:tcPr>
          <w:p>
            <w:pPr>
              <w:ind w:left="100"/>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-3010535</wp:posOffset>
            </wp:positionV>
            <wp:extent cx="4836160" cy="63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4">
                      <a:extLst>
                        <a:ext uri="{28A0092B-C50C-407E-A947-70E740481C1C}"/>
                      </a:extLst>
                    </a:blip>
                    <a:srcRect/>
                    <a:stretch>
                      <a:fillRect/>
                    </a:stretch>
                  </pic:blipFill>
                  <pic:spPr bwMode="auto">
                    <a:xfrm>
                      <a:off x="0" y="0"/>
                      <a:ext cx="4836160" cy="635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-2804160</wp:posOffset>
            </wp:positionV>
            <wp:extent cx="4836160" cy="63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5">
                      <a:extLst>
                        <a:ext uri="{28A0092B-C50C-407E-A947-70E740481C1C}"/>
                      </a:extLst>
                    </a:blip>
                    <a:srcRect/>
                    <a:stretch>
                      <a:fillRect/>
                    </a:stretch>
                  </pic:blipFill>
                  <pic:spPr bwMode="auto">
                    <a:xfrm>
                      <a:off x="0" y="0"/>
                      <a:ext cx="4836160" cy="635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-2598420</wp:posOffset>
            </wp:positionV>
            <wp:extent cx="3013710" cy="63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6">
                      <a:extLst>
                        <a:ext uri="{28A0092B-C50C-407E-A947-70E740481C1C}"/>
                      </a:extLst>
                    </a:blip>
                    <a:srcRect/>
                    <a:stretch>
                      <a:fillRect/>
                    </a:stretch>
                  </pic:blipFill>
                  <pic:spPr bwMode="auto">
                    <a:xfrm>
                      <a:off x="0" y="0"/>
                      <a:ext cx="3013710" cy="635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-1793240</wp:posOffset>
            </wp:positionV>
            <wp:extent cx="4836160"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7">
                      <a:extLst>
                        <a:ext uri="{28A0092B-C50C-407E-A947-70E740481C1C}"/>
                      </a:extLst>
                    </a:blip>
                    <a:srcRect/>
                    <a:stretch>
                      <a:fillRect/>
                    </a:stretch>
                  </pic:blipFill>
                  <pic:spPr bwMode="auto">
                    <a:xfrm>
                      <a:off x="0" y="0"/>
                      <a:ext cx="4836160" cy="635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-598170</wp:posOffset>
            </wp:positionV>
            <wp:extent cx="4836160"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68">
                      <a:extLst>
                        <a:ext uri="{28A0092B-C50C-407E-A947-70E740481C1C}"/>
                      </a:extLst>
                    </a:blip>
                    <a:srcRect/>
                    <a:stretch>
                      <a:fillRect/>
                    </a:stretch>
                  </pic:blipFill>
                  <pic:spPr bwMode="auto">
                    <a:xfrm>
                      <a:off x="0" y="0"/>
                      <a:ext cx="4836160" cy="635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-392430</wp:posOffset>
            </wp:positionV>
            <wp:extent cx="4888865" cy="285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69">
                      <a:extLst>
                        <a:ext uri="{28A0092B-C50C-407E-A947-70E740481C1C}"/>
                      </a:extLst>
                    </a:blip>
                    <a:srcRect/>
                    <a:stretch>
                      <a:fillRect/>
                    </a:stretch>
                  </pic:blipFill>
                  <pic:spPr bwMode="auto">
                    <a:xfrm>
                      <a:off x="0" y="0"/>
                      <a:ext cx="4888865" cy="2857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19685</wp:posOffset>
            </wp:positionV>
            <wp:extent cx="4836160"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0">
                      <a:extLst>
                        <a:ext uri="{28A0092B-C50C-407E-A947-70E740481C1C}"/>
                      </a:extLst>
                    </a:blip>
                    <a:srcRect/>
                    <a:stretch>
                      <a:fillRect/>
                    </a:stretch>
                  </pic:blipFill>
                  <pic:spPr bwMode="auto">
                    <a:xfrm>
                      <a:off x="0" y="0"/>
                      <a:ext cx="48361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340" w:type="dxa"/>
            <w:vAlign w:val="bottom"/>
            <w:gridSpan w:val="3"/>
          </w:tcPr>
          <w:p>
            <w:pPr>
              <w:jc w:val="right"/>
              <w:ind w:right="380"/>
              <w:spacing w:after="0"/>
              <w:rPr>
                <w:sz w:val="20"/>
                <w:szCs w:val="20"/>
                <w:color w:val="auto"/>
              </w:rPr>
            </w:pPr>
            <w:r>
              <w:rPr>
                <w:rFonts w:ascii="Arial" w:cs="Arial" w:eastAsia="Arial" w:hAnsi="Arial"/>
                <w:sz w:val="20"/>
                <w:szCs w:val="20"/>
                <w:color w:val="auto"/>
              </w:rPr>
              <w:t>(In Thousands)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24"/>
        </w:trPr>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40" w:type="dxa"/>
            <w:vAlign w:val="bottom"/>
            <w:gridSpan w:val="3"/>
          </w:tcPr>
          <w:p>
            <w:pPr>
              <w:jc w:val="right"/>
              <w:ind w:right="200"/>
              <w:spacing w:after="0"/>
              <w:rPr>
                <w:sz w:val="20"/>
                <w:szCs w:val="20"/>
                <w:color w:val="auto"/>
              </w:rPr>
            </w:pPr>
            <w:r>
              <w:rPr>
                <w:rFonts w:ascii="Arial" w:cs="Arial" w:eastAsia="Arial" w:hAnsi="Arial"/>
                <w:sz w:val="20"/>
                <w:szCs w:val="20"/>
                <w:color w:val="auto"/>
              </w:rPr>
              <w:t>December 31, 2024</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1460" w:type="dxa"/>
            <w:vAlign w:val="bottom"/>
          </w:tcPr>
          <w:p>
            <w:pPr>
              <w:spacing w:after="0"/>
              <w:rPr>
                <w:sz w:val="24"/>
                <w:szCs w:val="24"/>
                <w:color w:val="auto"/>
              </w:rPr>
            </w:pPr>
          </w:p>
        </w:tc>
        <w:tc>
          <w:tcPr>
            <w:tcW w:w="5100" w:type="dxa"/>
            <w:vAlign w:val="bottom"/>
            <w:gridSpan w:val="6"/>
          </w:tcPr>
          <w:p>
            <w:pPr>
              <w:jc w:val="right"/>
              <w:ind w:right="180"/>
              <w:spacing w:after="0"/>
              <w:rPr>
                <w:sz w:val="20"/>
                <w:szCs w:val="20"/>
                <w:color w:val="auto"/>
              </w:rPr>
            </w:pPr>
            <w:r>
              <w:rPr>
                <w:rFonts w:ascii="Arial" w:cs="Arial" w:eastAsia="Arial" w:hAnsi="Arial"/>
                <w:sz w:val="20"/>
                <w:szCs w:val="20"/>
                <w:color w:val="auto"/>
                <w:w w:val="99"/>
              </w:rPr>
              <w:t>Term Loans Amortized Cost Basis by Origination Year</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Arial" w:cs="Arial" w:eastAsia="Arial" w:hAnsi="Arial"/>
                <w:sz w:val="20"/>
                <w:szCs w:val="20"/>
                <w:color w:val="auto"/>
              </w:rPr>
              <w:t>Revolving</w:t>
            </w:r>
          </w:p>
        </w:tc>
        <w:tc>
          <w:tcPr>
            <w:tcW w:w="880" w:type="dxa"/>
            <w:vAlign w:val="bottom"/>
          </w:tcPr>
          <w:p>
            <w:pPr>
              <w:spacing w:after="0"/>
              <w:rPr>
                <w:sz w:val="24"/>
                <w:szCs w:val="24"/>
                <w:color w:val="auto"/>
              </w:rPr>
            </w:pPr>
          </w:p>
        </w:tc>
      </w:tr>
      <w:tr>
        <w:trPr>
          <w:trHeight w:val="314"/>
        </w:trPr>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200"/>
              <w:spacing w:after="0"/>
              <w:rPr>
                <w:sz w:val="20"/>
                <w:szCs w:val="20"/>
                <w:color w:val="auto"/>
              </w:rPr>
            </w:pPr>
            <w:r>
              <w:rPr>
                <w:rFonts w:ascii="Arial" w:cs="Arial" w:eastAsia="Arial" w:hAnsi="Arial"/>
                <w:sz w:val="20"/>
                <w:szCs w:val="20"/>
                <w:color w:val="auto"/>
                <w:w w:val="91"/>
              </w:rPr>
              <w:t>Loans</w:t>
            </w:r>
          </w:p>
        </w:tc>
        <w:tc>
          <w:tcPr>
            <w:tcW w:w="880" w:type="dxa"/>
            <w:vAlign w:val="bottom"/>
          </w:tcPr>
          <w:p>
            <w:pPr>
              <w:spacing w:after="0"/>
              <w:rPr>
                <w:sz w:val="24"/>
                <w:szCs w:val="24"/>
                <w:color w:val="auto"/>
              </w:rPr>
            </w:pPr>
          </w:p>
        </w:tc>
      </w:tr>
      <w:tr>
        <w:trPr>
          <w:trHeight w:val="314"/>
        </w:trPr>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jc w:val="right"/>
              <w:ind w:right="120"/>
              <w:spacing w:after="0"/>
              <w:rPr>
                <w:sz w:val="20"/>
                <w:szCs w:val="20"/>
                <w:color w:val="auto"/>
              </w:rPr>
            </w:pPr>
            <w:r>
              <w:rPr>
                <w:rFonts w:ascii="Arial" w:cs="Arial" w:eastAsia="Arial" w:hAnsi="Arial"/>
                <w:sz w:val="20"/>
                <w:szCs w:val="20"/>
                <w:color w:val="auto"/>
              </w:rPr>
              <w:t>Term</w:t>
            </w:r>
          </w:p>
        </w:tc>
        <w:tc>
          <w:tcPr>
            <w:tcW w:w="1080" w:type="dxa"/>
            <w:vAlign w:val="bottom"/>
            <w:gridSpan w:val="2"/>
          </w:tcPr>
          <w:p>
            <w:pPr>
              <w:ind w:left="120"/>
              <w:spacing w:after="0"/>
              <w:rPr>
                <w:sz w:val="20"/>
                <w:szCs w:val="20"/>
                <w:color w:val="auto"/>
              </w:rPr>
            </w:pPr>
            <w:r>
              <w:rPr>
                <w:rFonts w:ascii="Arial" w:cs="Arial" w:eastAsia="Arial" w:hAnsi="Arial"/>
                <w:sz w:val="20"/>
                <w:szCs w:val="20"/>
                <w:color w:val="auto"/>
              </w:rPr>
              <w:t>Amortized</w:t>
            </w:r>
          </w:p>
        </w:tc>
        <w:tc>
          <w:tcPr>
            <w:tcW w:w="880" w:type="dxa"/>
            <w:vAlign w:val="bottom"/>
          </w:tcPr>
          <w:p>
            <w:pPr>
              <w:jc w:val="right"/>
              <w:ind w:right="80"/>
              <w:spacing w:after="0"/>
              <w:rPr>
                <w:sz w:val="20"/>
                <w:szCs w:val="20"/>
                <w:color w:val="auto"/>
              </w:rPr>
            </w:pPr>
            <w:r>
              <w:rPr>
                <w:rFonts w:ascii="Arial" w:cs="Arial" w:eastAsia="Arial" w:hAnsi="Arial"/>
                <w:sz w:val="20"/>
                <w:szCs w:val="20"/>
                <w:color w:val="auto"/>
              </w:rPr>
              <w:t>Grand</w:t>
            </w:r>
          </w:p>
        </w:tc>
      </w:tr>
      <w:tr>
        <w:trPr>
          <w:trHeight w:val="314"/>
        </w:trPr>
        <w:tc>
          <w:tcPr>
            <w:tcW w:w="1460" w:type="dxa"/>
            <w:vAlign w:val="bottom"/>
          </w:tcPr>
          <w:p>
            <w:pPr>
              <w:spacing w:after="0"/>
              <w:rPr>
                <w:sz w:val="24"/>
                <w:szCs w:val="24"/>
                <w:color w:val="auto"/>
              </w:rPr>
            </w:pPr>
          </w:p>
        </w:tc>
        <w:tc>
          <w:tcPr>
            <w:tcW w:w="980" w:type="dxa"/>
            <w:vAlign w:val="bottom"/>
          </w:tcPr>
          <w:p>
            <w:pPr>
              <w:jc w:val="right"/>
              <w:ind w:right="140"/>
              <w:spacing w:after="0"/>
              <w:rPr>
                <w:sz w:val="20"/>
                <w:szCs w:val="20"/>
                <w:color w:val="auto"/>
              </w:rPr>
            </w:pPr>
            <w:r>
              <w:rPr>
                <w:rFonts w:ascii="Arial" w:cs="Arial" w:eastAsia="Arial" w:hAnsi="Arial"/>
                <w:sz w:val="20"/>
                <w:szCs w:val="20"/>
                <w:color w:val="auto"/>
              </w:rPr>
              <w:t>2024</w:t>
            </w:r>
          </w:p>
        </w:tc>
        <w:tc>
          <w:tcPr>
            <w:tcW w:w="880" w:type="dxa"/>
            <w:vAlign w:val="bottom"/>
          </w:tcPr>
          <w:p>
            <w:pPr>
              <w:jc w:val="right"/>
              <w:ind w:right="140"/>
              <w:spacing w:after="0"/>
              <w:rPr>
                <w:sz w:val="20"/>
                <w:szCs w:val="20"/>
                <w:color w:val="auto"/>
              </w:rPr>
            </w:pPr>
            <w:r>
              <w:rPr>
                <w:rFonts w:ascii="Arial" w:cs="Arial" w:eastAsia="Arial" w:hAnsi="Arial"/>
                <w:sz w:val="20"/>
                <w:szCs w:val="20"/>
                <w:color w:val="auto"/>
              </w:rPr>
              <w:t>2023</w:t>
            </w:r>
          </w:p>
        </w:tc>
        <w:tc>
          <w:tcPr>
            <w:tcW w:w="900" w:type="dxa"/>
            <w:vAlign w:val="bottom"/>
          </w:tcPr>
          <w:p>
            <w:pPr>
              <w:jc w:val="right"/>
              <w:ind w:right="140"/>
              <w:spacing w:after="0"/>
              <w:rPr>
                <w:sz w:val="20"/>
                <w:szCs w:val="20"/>
                <w:color w:val="auto"/>
              </w:rPr>
            </w:pPr>
            <w:r>
              <w:rPr>
                <w:rFonts w:ascii="Arial" w:cs="Arial" w:eastAsia="Arial" w:hAnsi="Arial"/>
                <w:sz w:val="20"/>
                <w:szCs w:val="20"/>
                <w:color w:val="auto"/>
              </w:rPr>
              <w:t>2022</w:t>
            </w:r>
          </w:p>
        </w:tc>
        <w:tc>
          <w:tcPr>
            <w:tcW w:w="800" w:type="dxa"/>
            <w:vAlign w:val="bottom"/>
          </w:tcPr>
          <w:p>
            <w:pPr>
              <w:jc w:val="right"/>
              <w:ind w:right="100"/>
              <w:spacing w:after="0"/>
              <w:rPr>
                <w:sz w:val="20"/>
                <w:szCs w:val="20"/>
                <w:color w:val="auto"/>
              </w:rPr>
            </w:pPr>
            <w:r>
              <w:rPr>
                <w:rFonts w:ascii="Arial" w:cs="Arial" w:eastAsia="Arial" w:hAnsi="Arial"/>
                <w:sz w:val="20"/>
                <w:szCs w:val="20"/>
                <w:color w:val="auto"/>
              </w:rPr>
              <w:t>2021</w:t>
            </w:r>
          </w:p>
        </w:tc>
        <w:tc>
          <w:tcPr>
            <w:tcW w:w="800" w:type="dxa"/>
            <w:vAlign w:val="bottom"/>
          </w:tcPr>
          <w:p>
            <w:pPr>
              <w:jc w:val="right"/>
              <w:ind w:right="100"/>
              <w:spacing w:after="0"/>
              <w:rPr>
                <w:sz w:val="20"/>
                <w:szCs w:val="20"/>
                <w:color w:val="auto"/>
              </w:rPr>
            </w:pPr>
            <w:r>
              <w:rPr>
                <w:rFonts w:ascii="Arial" w:cs="Arial" w:eastAsia="Arial" w:hAnsi="Arial"/>
                <w:sz w:val="20"/>
                <w:szCs w:val="20"/>
                <w:color w:val="auto"/>
              </w:rPr>
              <w:t>2020</w:t>
            </w:r>
          </w:p>
        </w:tc>
        <w:tc>
          <w:tcPr>
            <w:tcW w:w="740" w:type="dxa"/>
            <w:vAlign w:val="bottom"/>
          </w:tcPr>
          <w:p>
            <w:pPr>
              <w:jc w:val="right"/>
              <w:ind w:right="80"/>
              <w:spacing w:after="0"/>
              <w:rPr>
                <w:sz w:val="20"/>
                <w:szCs w:val="20"/>
                <w:color w:val="auto"/>
              </w:rPr>
            </w:pPr>
            <w:r>
              <w:rPr>
                <w:rFonts w:ascii="Arial" w:cs="Arial" w:eastAsia="Arial" w:hAnsi="Arial"/>
                <w:sz w:val="20"/>
                <w:szCs w:val="20"/>
                <w:color w:val="auto"/>
              </w:rPr>
              <w:t>Prior</w:t>
            </w:r>
          </w:p>
        </w:tc>
        <w:tc>
          <w:tcPr>
            <w:tcW w:w="880" w:type="dxa"/>
            <w:vAlign w:val="bottom"/>
          </w:tcPr>
          <w:p>
            <w:pPr>
              <w:jc w:val="right"/>
              <w:ind w:right="140"/>
              <w:spacing w:after="0"/>
              <w:rPr>
                <w:sz w:val="20"/>
                <w:szCs w:val="20"/>
                <w:color w:val="auto"/>
              </w:rPr>
            </w:pPr>
            <w:r>
              <w:rPr>
                <w:rFonts w:ascii="Arial" w:cs="Arial" w:eastAsia="Arial" w:hAnsi="Arial"/>
                <w:sz w:val="20"/>
                <w:szCs w:val="20"/>
                <w:color w:val="auto"/>
              </w:rPr>
              <w:t>Total</w:t>
            </w:r>
          </w:p>
        </w:tc>
        <w:tc>
          <w:tcPr>
            <w:tcW w:w="1080" w:type="dxa"/>
            <w:vAlign w:val="bottom"/>
            <w:gridSpan w:val="2"/>
          </w:tcPr>
          <w:p>
            <w:pPr>
              <w:ind w:left="120"/>
              <w:spacing w:after="0"/>
              <w:rPr>
                <w:sz w:val="20"/>
                <w:szCs w:val="20"/>
                <w:color w:val="auto"/>
              </w:rPr>
            </w:pPr>
            <w:r>
              <w:rPr>
                <w:rFonts w:ascii="Arial" w:cs="Arial" w:eastAsia="Arial" w:hAnsi="Arial"/>
                <w:sz w:val="20"/>
                <w:szCs w:val="20"/>
                <w:color w:val="auto"/>
                <w:w w:val="98"/>
              </w:rPr>
              <w:t>Cost Basis</w:t>
            </w:r>
          </w:p>
        </w:tc>
        <w:tc>
          <w:tcPr>
            <w:tcW w:w="880" w:type="dxa"/>
            <w:vAlign w:val="bottom"/>
          </w:tcPr>
          <w:p>
            <w:pPr>
              <w:jc w:val="right"/>
              <w:ind w:right="120"/>
              <w:spacing w:after="0"/>
              <w:rPr>
                <w:sz w:val="20"/>
                <w:szCs w:val="20"/>
                <w:color w:val="auto"/>
              </w:rPr>
            </w:pPr>
            <w:r>
              <w:rPr>
                <w:rFonts w:ascii="Arial" w:cs="Arial" w:eastAsia="Arial" w:hAnsi="Arial"/>
                <w:sz w:val="20"/>
                <w:szCs w:val="20"/>
                <w:color w:val="auto"/>
              </w:rPr>
              <w:t>Total</w:t>
            </w:r>
          </w:p>
        </w:tc>
      </w:tr>
      <w:tr>
        <w:trPr>
          <w:trHeight w:val="365"/>
        </w:trPr>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4"/>
        </w:trPr>
        <w:tc>
          <w:tcPr>
            <w:tcW w:w="1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Consumer</w:t>
            </w:r>
          </w:p>
        </w:tc>
        <w:tc>
          <w:tcPr>
            <w:tcW w:w="9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0"/>
                <w:szCs w:val="20"/>
                <w:color w:val="auto"/>
              </w:rPr>
              <w:t>Payment</w:t>
            </w: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00"/>
        </w:trPr>
        <w:tc>
          <w:tcPr>
            <w:tcW w:w="1460" w:type="dxa"/>
            <w:vAlign w:val="bottom"/>
          </w:tcPr>
          <w:p>
            <w:pPr>
              <w:spacing w:after="0"/>
              <w:rPr>
                <w:sz w:val="20"/>
                <w:szCs w:val="20"/>
                <w:color w:val="auto"/>
              </w:rPr>
            </w:pPr>
            <w:r>
              <w:rPr>
                <w:rFonts w:ascii="Arial" w:cs="Arial" w:eastAsia="Arial" w:hAnsi="Arial"/>
                <w:sz w:val="20"/>
                <w:szCs w:val="20"/>
                <w:color w:val="auto"/>
              </w:rPr>
              <w:t>Performance</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
        </w:trPr>
        <w:tc>
          <w:tcPr>
            <w:tcW w:w="1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94"/>
        </w:trPr>
        <w:tc>
          <w:tcPr>
            <w:tcW w:w="1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Performing</w:t>
            </w: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$13,437</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$13,521</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$27,264</w:t>
            </w:r>
          </w:p>
        </w:tc>
        <w:tc>
          <w:tcPr>
            <w:tcW w:w="8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98"/>
              </w:rPr>
              <w:t>$ 5,917</w:t>
            </w:r>
          </w:p>
        </w:tc>
        <w:tc>
          <w:tcPr>
            <w:tcW w:w="8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98"/>
              </w:rPr>
              <w:t>$ 2,310</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$ 582</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$63,031</w:t>
            </w:r>
          </w:p>
        </w:tc>
        <w:tc>
          <w:tcPr>
            <w:tcW w:w="2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477</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$63,508</w:t>
            </w:r>
          </w:p>
        </w:tc>
      </w:tr>
      <w:tr>
        <w:trPr>
          <w:trHeight w:val="284"/>
        </w:trPr>
        <w:tc>
          <w:tcPr>
            <w:tcW w:w="1460" w:type="dxa"/>
            <w:vAlign w:val="bottom"/>
          </w:tcPr>
          <w:p>
            <w:pPr>
              <w:ind w:left="20"/>
              <w:spacing w:after="0"/>
              <w:rPr>
                <w:sz w:val="20"/>
                <w:szCs w:val="20"/>
                <w:color w:val="auto"/>
              </w:rPr>
            </w:pPr>
            <w:r>
              <w:rPr>
                <w:rFonts w:ascii="Arial" w:cs="Arial" w:eastAsia="Arial" w:hAnsi="Arial"/>
                <w:sz w:val="20"/>
                <w:szCs w:val="20"/>
                <w:color w:val="auto"/>
              </w:rPr>
              <w:t>Nonperforming</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40</w:t>
            </w: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40</w:t>
            </w:r>
          </w:p>
        </w:tc>
        <w:tc>
          <w:tcPr>
            <w:tcW w:w="800" w:type="dxa"/>
            <w:vAlign w:val="bottom"/>
          </w:tcPr>
          <w:p>
            <w:pPr>
              <w:jc w:val="right"/>
              <w:ind w:right="20"/>
              <w:spacing w:after="0"/>
              <w:rPr>
                <w:sz w:val="20"/>
                <w:szCs w:val="20"/>
                <w:color w:val="auto"/>
              </w:rPr>
            </w:pPr>
            <w:r>
              <w:rPr>
                <w:rFonts w:ascii="Arial" w:cs="Arial" w:eastAsia="Arial" w:hAnsi="Arial"/>
                <w:sz w:val="20"/>
                <w:szCs w:val="20"/>
                <w:color w:val="auto"/>
              </w:rPr>
              <w:t>35</w:t>
            </w:r>
          </w:p>
        </w:tc>
        <w:tc>
          <w:tcPr>
            <w:tcW w:w="800" w:type="dxa"/>
            <w:vAlign w:val="bottom"/>
          </w:tcPr>
          <w:p>
            <w:pPr>
              <w:jc w:val="right"/>
              <w:ind w:right="20"/>
              <w:spacing w:after="0"/>
              <w:rPr>
                <w:sz w:val="20"/>
                <w:szCs w:val="20"/>
                <w:color w:val="auto"/>
              </w:rPr>
            </w:pPr>
            <w:r>
              <w:rPr>
                <w:rFonts w:ascii="Arial" w:cs="Arial" w:eastAsia="Arial" w:hAnsi="Arial"/>
                <w:sz w:val="20"/>
                <w:szCs w:val="20"/>
                <w:color w:val="auto"/>
              </w:rPr>
              <w:t>4</w:t>
            </w:r>
          </w:p>
        </w:tc>
        <w:tc>
          <w:tcPr>
            <w:tcW w:w="7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119</w:t>
            </w:r>
          </w:p>
        </w:tc>
        <w:tc>
          <w:tcPr>
            <w:tcW w:w="26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-2392045</wp:posOffset>
            </wp:positionV>
            <wp:extent cx="4854575"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1">
                      <a:extLst>
                        <a:ext uri="{28A0092B-C50C-407E-A947-70E740481C1C}"/>
                      </a:extLst>
                    </a:blip>
                    <a:srcRect/>
                    <a:stretch>
                      <a:fillRect/>
                    </a:stretch>
                  </pic:blipFill>
                  <pic:spPr bwMode="auto">
                    <a:xfrm>
                      <a:off x="0" y="0"/>
                      <a:ext cx="4854575" cy="6350"/>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-2185670</wp:posOffset>
            </wp:positionV>
            <wp:extent cx="4854575"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2">
                      <a:extLst>
                        <a:ext uri="{28A0092B-C50C-407E-A947-70E740481C1C}"/>
                      </a:extLst>
                    </a:blip>
                    <a:srcRect/>
                    <a:stretch>
                      <a:fillRect/>
                    </a:stretch>
                  </pic:blipFill>
                  <pic:spPr bwMode="auto">
                    <a:xfrm>
                      <a:off x="0" y="0"/>
                      <a:ext cx="4854575" cy="6350"/>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-1979930</wp:posOffset>
            </wp:positionV>
            <wp:extent cx="3043555"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3">
                      <a:extLst>
                        <a:ext uri="{28A0092B-C50C-407E-A947-70E740481C1C}"/>
                      </a:extLst>
                    </a:blip>
                    <a:srcRect/>
                    <a:stretch>
                      <a:fillRect/>
                    </a:stretch>
                  </pic:blipFill>
                  <pic:spPr bwMode="auto">
                    <a:xfrm>
                      <a:off x="0" y="0"/>
                      <a:ext cx="3043555" cy="6350"/>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-1174750</wp:posOffset>
            </wp:positionV>
            <wp:extent cx="4854575" cy="6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4">
                      <a:extLst>
                        <a:ext uri="{28A0092B-C50C-407E-A947-70E740481C1C}"/>
                      </a:extLst>
                    </a:blip>
                    <a:srcRect/>
                    <a:stretch>
                      <a:fillRect/>
                    </a:stretch>
                  </pic:blipFill>
                  <pic:spPr bwMode="auto">
                    <a:xfrm>
                      <a:off x="0" y="0"/>
                      <a:ext cx="4854575" cy="6350"/>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19685</wp:posOffset>
            </wp:positionV>
            <wp:extent cx="4854575"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5">
                      <a:extLst>
                        <a:ext uri="{28A0092B-C50C-407E-A947-70E740481C1C}"/>
                      </a:extLst>
                    </a:blip>
                    <a:srcRect/>
                    <a:stretch>
                      <a:fillRect/>
                    </a:stretch>
                  </pic:blipFill>
                  <pic:spPr bwMode="auto">
                    <a:xfrm>
                      <a:off x="0" y="0"/>
                      <a:ext cx="485457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12</w:t>
      </w:r>
    </w:p>
    <w:p>
      <w:pPr>
        <w:sectPr>
          <w:pgSz w:w="11900" w:h="16838" w:orient="portrait"/>
          <w:cols w:equalWidth="0" w:num="1">
            <w:col w:w="9400"/>
          </w:cols>
          <w:pgMar w:left="1260" w:top="1440" w:right="1246" w:bottom="0" w:gutter="0" w:footer="0" w:header="0"/>
          <w:type w:val="continuous"/>
        </w:sectPr>
      </w:pPr>
    </w:p>
    <w:bookmarkStart w:id="190" w:name="page191"/>
    <w:bookmarkEnd w:id="190"/>
    <w:tbl>
      <w:tblPr>
        <w:tblLayout w:type="fixed"/>
        <w:tblInd w:w="0" w:type="dxa"/>
        <w:tblCellMar>
          <w:top w:w="0" w:type="dxa"/>
          <w:left w:w="0" w:type="dxa"/>
          <w:bottom w:w="0" w:type="dxa"/>
          <w:right w:w="0" w:type="dxa"/>
        </w:tblCellMar>
      </w:tblPr>
      <w:tr>
        <w:trPr>
          <w:trHeight w:val="339"/>
        </w:trPr>
        <w:tc>
          <w:tcPr>
            <w:tcW w:w="15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Total Consumer</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84"/>
              </w:rPr>
              <w:t>13,477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8"/>
              </w:rPr>
              <w:t>13,521</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88"/>
              </w:rPr>
              <w:t>27,304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87"/>
              </w:rPr>
              <w:t>5,952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87"/>
              </w:rPr>
              <w:t>2,314</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582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8"/>
              </w:rPr>
              <w:t>63,150</w:t>
            </w:r>
          </w:p>
        </w:tc>
        <w:tc>
          <w:tcPr>
            <w:tcW w:w="4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477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8"/>
              </w:rPr>
              <w:t>63,627</w:t>
            </w:r>
          </w:p>
        </w:tc>
      </w:tr>
      <w:tr>
        <w:trPr>
          <w:trHeight w:val="274"/>
        </w:trPr>
        <w:tc>
          <w:tcPr>
            <w:tcW w:w="1560" w:type="dxa"/>
            <w:vAlign w:val="bottom"/>
          </w:tcPr>
          <w:p>
            <w:pPr>
              <w:ind w:left="40"/>
              <w:spacing w:after="0"/>
              <w:rPr>
                <w:sz w:val="20"/>
                <w:szCs w:val="20"/>
                <w:color w:val="auto"/>
              </w:rPr>
            </w:pPr>
            <w:r>
              <w:rPr>
                <w:rFonts w:ascii="Arial" w:cs="Arial" w:eastAsia="Arial" w:hAnsi="Arial"/>
                <w:sz w:val="20"/>
                <w:szCs w:val="20"/>
                <w:color w:val="auto"/>
                <w:w w:val="94"/>
              </w:rPr>
              <w:t>Gross charge-offs</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300"/>
        </w:trPr>
        <w:tc>
          <w:tcPr>
            <w:tcW w:w="1560" w:type="dxa"/>
            <w:vAlign w:val="bottom"/>
          </w:tcPr>
          <w:p>
            <w:pPr>
              <w:ind w:left="40"/>
              <w:spacing w:after="0"/>
              <w:rPr>
                <w:sz w:val="20"/>
                <w:szCs w:val="20"/>
                <w:color w:val="auto"/>
              </w:rPr>
            </w:pPr>
            <w:r>
              <w:rPr>
                <w:rFonts w:ascii="Arial" w:cs="Arial" w:eastAsia="Arial" w:hAnsi="Arial"/>
                <w:sz w:val="20"/>
                <w:szCs w:val="20"/>
                <w:color w:val="auto"/>
              </w:rPr>
              <w:t>YTD</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20"/>
              <w:spacing w:after="0"/>
              <w:rPr>
                <w:sz w:val="20"/>
                <w:szCs w:val="20"/>
                <w:color w:val="auto"/>
              </w:rPr>
            </w:pPr>
            <w:r>
              <w:rPr>
                <w:rFonts w:ascii="Arial" w:cs="Arial" w:eastAsia="Arial" w:hAnsi="Arial"/>
                <w:sz w:val="20"/>
                <w:szCs w:val="20"/>
                <w:color w:val="auto"/>
              </w:rPr>
              <w:t>201</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69</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20"/>
              <w:spacing w:after="0"/>
              <w:rPr>
                <w:sz w:val="20"/>
                <w:szCs w:val="20"/>
                <w:color w:val="auto"/>
              </w:rPr>
            </w:pPr>
            <w:r>
              <w:rPr>
                <w:rFonts w:ascii="Arial" w:cs="Arial" w:eastAsia="Arial" w:hAnsi="Arial"/>
                <w:sz w:val="20"/>
                <w:szCs w:val="20"/>
                <w:color w:val="auto"/>
              </w:rPr>
              <w:t>62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20"/>
              <w:spacing w:after="0"/>
              <w:rPr>
                <w:sz w:val="20"/>
                <w:szCs w:val="20"/>
                <w:color w:val="auto"/>
              </w:rPr>
            </w:pPr>
            <w:r>
              <w:rPr>
                <w:rFonts w:ascii="Arial" w:cs="Arial" w:eastAsia="Arial" w:hAnsi="Arial"/>
                <w:sz w:val="20"/>
                <w:szCs w:val="20"/>
                <w:color w:val="auto"/>
              </w:rPr>
              <w:t>14</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346</w:t>
            </w:r>
          </w:p>
        </w:tc>
        <w:tc>
          <w:tcPr>
            <w:tcW w:w="44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6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346</w:t>
            </w:r>
          </w:p>
        </w:tc>
      </w:tr>
      <w:tr>
        <w:trPr>
          <w:trHeight w:val="840"/>
        </w:trPr>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ind w:right="120"/>
              <w:spacing w:after="0"/>
              <w:rPr>
                <w:sz w:val="20"/>
                <w:szCs w:val="20"/>
                <w:color w:val="auto"/>
              </w:rPr>
            </w:pPr>
            <w:r>
              <w:rPr>
                <w:rFonts w:ascii="Arial" w:cs="Arial" w:eastAsia="Arial" w:hAnsi="Arial"/>
                <w:sz w:val="20"/>
                <w:szCs w:val="20"/>
                <w:color w:val="auto"/>
              </w:rPr>
              <w:t>88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891"/>
        </w:trPr>
        <w:tc>
          <w:tcPr>
            <w:tcW w:w="15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6">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7">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-1503680</wp:posOffset>
            </wp:positionV>
            <wp:extent cx="4906645" cy="285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78">
                      <a:extLst>
                        <a:ext uri="{28A0092B-C50C-407E-A947-70E740481C1C}"/>
                      </a:extLst>
                    </a:blip>
                    <a:srcRect/>
                    <a:stretch>
                      <a:fillRect/>
                    </a:stretch>
                  </pic:blipFill>
                  <pic:spPr bwMode="auto">
                    <a:xfrm>
                      <a:off x="0" y="0"/>
                      <a:ext cx="4906645" cy="28575"/>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-1091565</wp:posOffset>
            </wp:positionV>
            <wp:extent cx="4854575" cy="6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79">
                      <a:extLst>
                        <a:ext uri="{28A0092B-C50C-407E-A947-70E740481C1C}"/>
                      </a:extLst>
                    </a:blip>
                    <a:srcRect/>
                    <a:stretch>
                      <a:fillRect/>
                    </a:stretch>
                  </pic:blipFill>
                  <pic:spPr bwMode="auto">
                    <a:xfrm>
                      <a:off x="0" y="0"/>
                      <a:ext cx="4854575" cy="63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12</w:t>
      </w:r>
    </w:p>
    <w:p>
      <w:pPr>
        <w:sectPr>
          <w:pgSz w:w="11900" w:h="16838" w:orient="portrait"/>
          <w:cols w:equalWidth="0" w:num="1">
            <w:col w:w="9400"/>
          </w:cols>
          <w:pgMar w:left="1260" w:top="1133" w:right="1246" w:bottom="0" w:gutter="0" w:footer="0" w:header="0"/>
          <w:type w:val="continuous"/>
        </w:sectPr>
      </w:pPr>
    </w:p>
    <w:bookmarkStart w:id="191" w:name="page192"/>
    <w:bookmarkEnd w:id="191"/>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 w:right="80"/>
        <w:spacing w:after="0" w:line="302" w:lineRule="auto"/>
        <w:rPr>
          <w:sz w:val="20"/>
          <w:szCs w:val="20"/>
          <w:color w:val="auto"/>
        </w:rPr>
      </w:pPr>
      <w:r>
        <w:rPr>
          <w:rFonts w:ascii="Arial" w:cs="Arial" w:eastAsia="Arial" w:hAnsi="Arial"/>
          <w:sz w:val="20"/>
          <w:szCs w:val="20"/>
          <w:color w:val="auto"/>
        </w:rPr>
        <w:t>The following table presents collateral-dependent loans grouped by portfolio segment as of December 31, 2025 and 2024:</w:t>
      </w:r>
    </w:p>
    <w:p>
      <w:pPr>
        <w:spacing w:after="0" w:line="356" w:lineRule="exact"/>
        <w:rPr>
          <w:sz w:val="20"/>
          <w:szCs w:val="20"/>
          <w:color w:val="auto"/>
        </w:rPr>
      </w:pPr>
    </w:p>
    <w:tbl>
      <w:tblPr>
        <w:tblLayout w:type="fixed"/>
        <w:tblInd w:w="2340" w:type="dxa"/>
        <w:tblCellMar>
          <w:top w:w="0" w:type="dxa"/>
          <w:left w:w="0" w:type="dxa"/>
          <w:bottom w:w="0" w:type="dxa"/>
          <w:right w:w="0" w:type="dxa"/>
        </w:tblCellMar>
      </w:tblPr>
      <w:tr>
        <w:trPr>
          <w:trHeight w:val="230"/>
        </w:trPr>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gridSpan w:val="2"/>
          </w:tcPr>
          <w:p>
            <w:pPr>
              <w:jc w:val="center"/>
              <w:ind w:left="180"/>
              <w:spacing w:after="0"/>
              <w:rPr>
                <w:sz w:val="20"/>
                <w:szCs w:val="20"/>
                <w:color w:val="auto"/>
              </w:rPr>
            </w:pPr>
            <w:r>
              <w:rPr>
                <w:rFonts w:ascii="Arial" w:cs="Arial" w:eastAsia="Arial" w:hAnsi="Arial"/>
                <w:sz w:val="20"/>
                <w:szCs w:val="20"/>
                <w:color w:val="auto"/>
                <w:w w:val="89"/>
              </w:rPr>
              <w:t>(In Thousands)</w:t>
            </w:r>
          </w:p>
        </w:tc>
        <w:tc>
          <w:tcPr>
            <w:tcW w:w="600" w:type="dxa"/>
            <w:vAlign w:val="bottom"/>
          </w:tcPr>
          <w:p>
            <w:pPr>
              <w:spacing w:after="0"/>
              <w:rPr>
                <w:sz w:val="19"/>
                <w:szCs w:val="19"/>
                <w:color w:val="auto"/>
              </w:rPr>
            </w:pPr>
          </w:p>
        </w:tc>
      </w:tr>
      <w:tr>
        <w:trPr>
          <w:trHeight w:val="324"/>
        </w:trPr>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2"/>
          </w:tcPr>
          <w:p>
            <w:pPr>
              <w:jc w:val="center"/>
              <w:ind w:left="180"/>
              <w:spacing w:after="0"/>
              <w:rPr>
                <w:sz w:val="20"/>
                <w:szCs w:val="20"/>
                <w:color w:val="auto"/>
              </w:rPr>
            </w:pPr>
            <w:r>
              <w:rPr>
                <w:rFonts w:ascii="Arial" w:cs="Arial" w:eastAsia="Arial" w:hAnsi="Arial"/>
                <w:sz w:val="20"/>
                <w:szCs w:val="20"/>
                <w:color w:val="auto"/>
                <w:w w:val="94"/>
              </w:rPr>
              <w:t>Collateral</w:t>
            </w:r>
          </w:p>
        </w:tc>
        <w:tc>
          <w:tcPr>
            <w:tcW w:w="600" w:type="dxa"/>
            <w:vAlign w:val="bottom"/>
          </w:tcPr>
          <w:p>
            <w:pPr>
              <w:spacing w:after="0"/>
              <w:rPr>
                <w:sz w:val="24"/>
                <w:szCs w:val="24"/>
                <w:color w:val="auto"/>
              </w:rPr>
            </w:pPr>
          </w:p>
        </w:tc>
      </w:tr>
      <w:tr>
        <w:trPr>
          <w:trHeight w:val="314"/>
        </w:trPr>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2"/>
          </w:tcPr>
          <w:p>
            <w:pPr>
              <w:jc w:val="center"/>
              <w:ind w:left="180"/>
              <w:spacing w:after="0"/>
              <w:rPr>
                <w:sz w:val="20"/>
                <w:szCs w:val="20"/>
                <w:color w:val="auto"/>
              </w:rPr>
            </w:pPr>
            <w:r>
              <w:rPr>
                <w:rFonts w:ascii="Arial" w:cs="Arial" w:eastAsia="Arial" w:hAnsi="Arial"/>
                <w:sz w:val="20"/>
                <w:szCs w:val="20"/>
                <w:color w:val="auto"/>
                <w:w w:val="88"/>
              </w:rPr>
              <w:t>Dependent Loans</w:t>
            </w:r>
          </w:p>
        </w:tc>
        <w:tc>
          <w:tcPr>
            <w:tcW w:w="60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Arial" w:cs="Arial" w:eastAsia="Arial" w:hAnsi="Arial"/>
                <w:sz w:val="20"/>
                <w:szCs w:val="20"/>
                <w:color w:val="auto"/>
              </w:rPr>
              <w:t>December 31,</w:t>
            </w:r>
          </w:p>
        </w:tc>
        <w:tc>
          <w:tcPr>
            <w:tcW w:w="1380" w:type="dxa"/>
            <w:vAlign w:val="bottom"/>
            <w:gridSpan w:val="2"/>
          </w:tcPr>
          <w:p>
            <w:pPr>
              <w:ind w:left="140"/>
              <w:spacing w:after="0"/>
              <w:rPr>
                <w:sz w:val="20"/>
                <w:szCs w:val="20"/>
                <w:color w:val="auto"/>
              </w:rPr>
            </w:pPr>
            <w:r>
              <w:rPr>
                <w:rFonts w:ascii="Arial" w:cs="Arial" w:eastAsia="Arial" w:hAnsi="Arial"/>
                <w:sz w:val="20"/>
                <w:szCs w:val="20"/>
                <w:color w:val="auto"/>
                <w:w w:val="97"/>
              </w:rPr>
              <w:t>December 31,</w:t>
            </w:r>
          </w:p>
        </w:tc>
      </w:tr>
      <w:tr>
        <w:trPr>
          <w:trHeight w:val="300"/>
        </w:trPr>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420"/>
              <w:spacing w:after="0"/>
              <w:rPr>
                <w:sz w:val="20"/>
                <w:szCs w:val="20"/>
                <w:color w:val="auto"/>
              </w:rPr>
            </w:pPr>
            <w:r>
              <w:rPr>
                <w:rFonts w:ascii="Arial" w:cs="Arial" w:eastAsia="Arial" w:hAnsi="Arial"/>
                <w:sz w:val="20"/>
                <w:szCs w:val="20"/>
                <w:color w:val="auto"/>
              </w:rPr>
              <w:t>2025</w:t>
            </w:r>
          </w:p>
        </w:tc>
        <w:tc>
          <w:tcPr>
            <w:tcW w:w="1380" w:type="dxa"/>
            <w:vAlign w:val="bottom"/>
            <w:gridSpan w:val="2"/>
          </w:tcPr>
          <w:p>
            <w:pPr>
              <w:jc w:val="right"/>
              <w:ind w:right="360"/>
              <w:spacing w:after="0"/>
              <w:rPr>
                <w:sz w:val="20"/>
                <w:szCs w:val="20"/>
                <w:color w:val="auto"/>
              </w:rPr>
            </w:pPr>
            <w:r>
              <w:rPr>
                <w:rFonts w:ascii="Arial" w:cs="Arial" w:eastAsia="Arial" w:hAnsi="Arial"/>
                <w:sz w:val="20"/>
                <w:szCs w:val="20"/>
                <w:color w:val="auto"/>
              </w:rPr>
              <w:t>2024</w:t>
            </w:r>
          </w:p>
        </w:tc>
      </w:tr>
      <w:tr>
        <w:trPr>
          <w:trHeight w:val="51"/>
        </w:trPr>
        <w:tc>
          <w:tcPr>
            <w:tcW w:w="1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94"/>
        </w:trPr>
        <w:tc>
          <w:tcPr>
            <w:tcW w:w="1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w w:val="93"/>
              </w:rPr>
              <w:t>Consumer Real Estate</w:t>
            </w:r>
          </w:p>
        </w:tc>
        <w:tc>
          <w:tcPr>
            <w:tcW w:w="3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4,016</w:t>
            </w:r>
          </w:p>
        </w:tc>
        <w:tc>
          <w:tcPr>
            <w:tcW w:w="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9"/>
              </w:rPr>
              <w:t>2,384</w:t>
            </w:r>
          </w:p>
        </w:tc>
      </w:tr>
      <w:tr>
        <w:trPr>
          <w:trHeight w:val="274"/>
        </w:trPr>
        <w:tc>
          <w:tcPr>
            <w:tcW w:w="1900" w:type="dxa"/>
            <w:vAlign w:val="bottom"/>
          </w:tcPr>
          <w:p>
            <w:pPr>
              <w:spacing w:after="0"/>
              <w:rPr>
                <w:sz w:val="20"/>
                <w:szCs w:val="20"/>
                <w:color w:val="auto"/>
              </w:rPr>
            </w:pPr>
            <w:r>
              <w:rPr>
                <w:rFonts w:ascii="Arial" w:cs="Arial" w:eastAsia="Arial" w:hAnsi="Arial"/>
                <w:sz w:val="20"/>
                <w:szCs w:val="20"/>
                <w:color w:val="auto"/>
              </w:rPr>
              <w:t>Agricultural Real</w:t>
            </w: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300"/>
        </w:trPr>
        <w:tc>
          <w:tcPr>
            <w:tcW w:w="1900" w:type="dxa"/>
            <w:vAlign w:val="bottom"/>
          </w:tcPr>
          <w:p>
            <w:pPr>
              <w:spacing w:after="0"/>
              <w:rPr>
                <w:sz w:val="20"/>
                <w:szCs w:val="20"/>
                <w:color w:val="auto"/>
              </w:rPr>
            </w:pPr>
            <w:r>
              <w:rPr>
                <w:rFonts w:ascii="Arial" w:cs="Arial" w:eastAsia="Arial" w:hAnsi="Arial"/>
                <w:sz w:val="20"/>
                <w:szCs w:val="20"/>
                <w:color w:val="auto"/>
              </w:rPr>
              <w:t>Estate</w:t>
            </w:r>
          </w:p>
        </w:tc>
        <w:tc>
          <w:tcPr>
            <w:tcW w:w="36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20"/>
                <w:szCs w:val="20"/>
                <w:color w:val="auto"/>
              </w:rPr>
              <w:t>1,433</w:t>
            </w:r>
          </w:p>
        </w:tc>
        <w:tc>
          <w:tcPr>
            <w:tcW w:w="7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41"/>
        </w:trPr>
        <w:tc>
          <w:tcPr>
            <w:tcW w:w="1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94"/>
        </w:trPr>
        <w:tc>
          <w:tcPr>
            <w:tcW w:w="1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Agricultural</w:t>
            </w:r>
          </w:p>
        </w:tc>
        <w:tc>
          <w:tcPr>
            <w:tcW w:w="36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5,261</w:t>
            </w: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w:t>
            </w:r>
          </w:p>
        </w:tc>
      </w:tr>
      <w:tr>
        <w:trPr>
          <w:trHeight w:val="274"/>
        </w:trPr>
        <w:tc>
          <w:tcPr>
            <w:tcW w:w="1900" w:type="dxa"/>
            <w:vAlign w:val="bottom"/>
          </w:tcPr>
          <w:p>
            <w:pPr>
              <w:spacing w:after="0"/>
              <w:rPr>
                <w:sz w:val="20"/>
                <w:szCs w:val="20"/>
                <w:color w:val="auto"/>
              </w:rPr>
            </w:pPr>
            <w:r>
              <w:rPr>
                <w:rFonts w:ascii="Arial" w:cs="Arial" w:eastAsia="Arial" w:hAnsi="Arial"/>
                <w:sz w:val="20"/>
                <w:szCs w:val="20"/>
                <w:color w:val="auto"/>
              </w:rPr>
              <w:t>Commercial Real</w:t>
            </w: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300"/>
        </w:trPr>
        <w:tc>
          <w:tcPr>
            <w:tcW w:w="1900" w:type="dxa"/>
            <w:vAlign w:val="bottom"/>
          </w:tcPr>
          <w:p>
            <w:pPr>
              <w:spacing w:after="0"/>
              <w:rPr>
                <w:sz w:val="20"/>
                <w:szCs w:val="20"/>
                <w:color w:val="auto"/>
              </w:rPr>
            </w:pPr>
            <w:r>
              <w:rPr>
                <w:rFonts w:ascii="Arial" w:cs="Arial" w:eastAsia="Arial" w:hAnsi="Arial"/>
                <w:sz w:val="20"/>
                <w:szCs w:val="20"/>
                <w:color w:val="auto"/>
              </w:rPr>
              <w:t>Estate</w:t>
            </w:r>
          </w:p>
        </w:tc>
        <w:tc>
          <w:tcPr>
            <w:tcW w:w="36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20"/>
                <w:szCs w:val="20"/>
                <w:color w:val="auto"/>
              </w:rPr>
              <w:t>141</w:t>
            </w:r>
          </w:p>
        </w:tc>
        <w:tc>
          <w:tcPr>
            <w:tcW w:w="7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360</w:t>
            </w:r>
          </w:p>
        </w:tc>
      </w:tr>
      <w:tr>
        <w:trPr>
          <w:trHeight w:val="41"/>
        </w:trPr>
        <w:tc>
          <w:tcPr>
            <w:tcW w:w="1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4"/>
        </w:trPr>
        <w:tc>
          <w:tcPr>
            <w:tcW w:w="1900" w:type="dxa"/>
            <w:vAlign w:val="bottom"/>
            <w:shd w:val="clear" w:color="auto" w:fill="CFF0FC"/>
          </w:tcPr>
          <w:p>
            <w:pPr>
              <w:spacing w:after="0"/>
              <w:rPr>
                <w:sz w:val="20"/>
                <w:szCs w:val="20"/>
                <w:color w:val="auto"/>
              </w:rPr>
            </w:pPr>
            <w:r>
              <w:rPr>
                <w:rFonts w:ascii="Arial" w:cs="Arial" w:eastAsia="Arial" w:hAnsi="Arial"/>
                <w:sz w:val="20"/>
                <w:szCs w:val="20"/>
                <w:color w:val="auto"/>
              </w:rPr>
              <w:t>Commercial &amp;</w:t>
            </w:r>
          </w:p>
        </w:tc>
        <w:tc>
          <w:tcPr>
            <w:tcW w:w="36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78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r>
      <w:tr>
        <w:trPr>
          <w:trHeight w:val="321"/>
        </w:trPr>
        <w:tc>
          <w:tcPr>
            <w:tcW w:w="1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Industrial</w:t>
            </w:r>
          </w:p>
        </w:tc>
        <w:tc>
          <w:tcPr>
            <w:tcW w:w="36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40</w:t>
            </w: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w:t>
            </w:r>
          </w:p>
        </w:tc>
      </w:tr>
      <w:tr>
        <w:trPr>
          <w:trHeight w:val="274"/>
        </w:trPr>
        <w:tc>
          <w:tcPr>
            <w:tcW w:w="1900" w:type="dxa"/>
            <w:vAlign w:val="bottom"/>
          </w:tcPr>
          <w:p>
            <w:pPr>
              <w:spacing w:after="0"/>
              <w:rPr>
                <w:sz w:val="20"/>
                <w:szCs w:val="20"/>
                <w:color w:val="auto"/>
              </w:rPr>
            </w:pPr>
            <w:r>
              <w:rPr>
                <w:rFonts w:ascii="Arial" w:cs="Arial" w:eastAsia="Arial" w:hAnsi="Arial"/>
                <w:sz w:val="20"/>
                <w:szCs w:val="20"/>
                <w:color w:val="auto"/>
              </w:rPr>
              <w:t>Consumer</w:t>
            </w:r>
          </w:p>
        </w:tc>
        <w:tc>
          <w:tcPr>
            <w:tcW w:w="36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20"/>
                <w:szCs w:val="20"/>
                <w:color w:val="auto"/>
              </w:rPr>
              <w:t>14</w:t>
            </w:r>
          </w:p>
        </w:tc>
        <w:tc>
          <w:tcPr>
            <w:tcW w:w="7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41"/>
        </w:trPr>
        <w:tc>
          <w:tcPr>
            <w:tcW w:w="1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329"/>
        </w:trPr>
        <w:tc>
          <w:tcPr>
            <w:tcW w:w="190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w:t>
            </w:r>
          </w:p>
        </w:tc>
        <w:tc>
          <w:tcPr>
            <w:tcW w:w="360" w:type="dxa"/>
            <w:vAlign w:val="bottom"/>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10,905</w:t>
            </w:r>
          </w:p>
        </w:tc>
        <w:tc>
          <w:tcPr>
            <w:tcW w:w="7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2,988</w:t>
            </w:r>
          </w:p>
        </w:tc>
      </w:tr>
      <w:tr>
        <w:trPr>
          <w:trHeight w:val="41"/>
        </w:trPr>
        <w:tc>
          <w:tcPr>
            <w:tcW w:w="190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-2811780</wp:posOffset>
            </wp:positionV>
            <wp:extent cx="1662430"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0">
                      <a:extLst>
                        <a:ext uri="{28A0092B-C50C-407E-A947-70E740481C1C}"/>
                      </a:extLst>
                    </a:blip>
                    <a:srcRect/>
                    <a:stretch>
                      <a:fillRect/>
                    </a:stretch>
                  </pic:blipFill>
                  <pic:spPr bwMode="auto">
                    <a:xfrm>
                      <a:off x="0" y="0"/>
                      <a:ext cx="1662430" cy="635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-2406015</wp:posOffset>
            </wp:positionV>
            <wp:extent cx="1662430" cy="6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1">
                      <a:extLst>
                        <a:ext uri="{28A0092B-C50C-407E-A947-70E740481C1C}"/>
                      </a:extLst>
                    </a:blip>
                    <a:srcRect/>
                    <a:stretch>
                      <a:fillRect/>
                    </a:stretch>
                  </pic:blipFill>
                  <pic:spPr bwMode="auto">
                    <a:xfrm>
                      <a:off x="0" y="0"/>
                      <a:ext cx="1662430" cy="635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-2009775</wp:posOffset>
            </wp:positionV>
            <wp:extent cx="1662430"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2">
                      <a:extLst>
                        <a:ext uri="{28A0092B-C50C-407E-A947-70E740481C1C}"/>
                      </a:extLst>
                    </a:blip>
                    <a:srcRect/>
                    <a:stretch>
                      <a:fillRect/>
                    </a:stretch>
                  </pic:blipFill>
                  <pic:spPr bwMode="auto">
                    <a:xfrm>
                      <a:off x="0" y="0"/>
                      <a:ext cx="1662430" cy="635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-233680</wp:posOffset>
            </wp:positionV>
            <wp:extent cx="1703705" cy="2343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3">
                      <a:extLst>
                        <a:ext uri="{28A0092B-C50C-407E-A947-70E740481C1C}"/>
                      </a:extLst>
                    </a:blip>
                    <a:srcRect/>
                    <a:stretch>
                      <a:fillRect/>
                    </a:stretch>
                  </pic:blipFill>
                  <pic:spPr bwMode="auto">
                    <a:xfrm>
                      <a:off x="0" y="0"/>
                      <a:ext cx="1703705" cy="234315"/>
                    </a:xfrm>
                    <a:prstGeom prst="rect">
                      <a:avLst/>
                    </a:prstGeom>
                    <a:noFill/>
                  </pic:spPr>
                </pic:pic>
              </a:graphicData>
            </a:graphic>
          </wp:anchor>
        </w:drawing>
      </w:r>
    </w:p>
    <w:p>
      <w:pPr>
        <w:spacing w:after="0" w:line="319" w:lineRule="exact"/>
        <w:rPr>
          <w:sz w:val="20"/>
          <w:szCs w:val="20"/>
          <w:color w:val="auto"/>
        </w:rPr>
      </w:pPr>
    </w:p>
    <w:p>
      <w:pPr>
        <w:jc w:val="both"/>
        <w:ind w:left="620" w:right="60"/>
        <w:spacing w:after="0" w:line="352" w:lineRule="auto"/>
        <w:rPr>
          <w:sz w:val="20"/>
          <w:szCs w:val="20"/>
          <w:color w:val="auto"/>
        </w:rPr>
      </w:pPr>
      <w:r>
        <w:rPr>
          <w:rFonts w:ascii="Arial" w:cs="Arial" w:eastAsia="Arial" w:hAnsi="Arial"/>
          <w:sz w:val="18"/>
          <w:szCs w:val="18"/>
          <w:color w:val="auto"/>
        </w:rPr>
        <w:t>The Bank periodically evaluates collateral asset values for collateral dependent loans to determine fair value and to measure any anticipated shortfall.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ectPr>
          <w:pgSz w:w="11900" w:h="16838" w:orient="portrait"/>
          <w:cols w:equalWidth="0" w:num="1">
            <w:col w:w="9400"/>
          </w:cols>
          <w:pgMar w:left="1260" w:top="1440" w:right="1246" w:bottom="0" w:gutter="0" w:footer="0" w:header="0"/>
        </w:sectPr>
      </w:pPr>
    </w:p>
    <w:p>
      <w:pPr>
        <w:spacing w:after="0" w:line="226" w:lineRule="exact"/>
        <w:rPr>
          <w:sz w:val="20"/>
          <w:szCs w:val="20"/>
          <w:color w:val="auto"/>
        </w:rPr>
      </w:pPr>
    </w:p>
    <w:p>
      <w:pPr>
        <w:jc w:val="both"/>
        <w:ind w:left="620"/>
        <w:spacing w:after="0" w:line="351" w:lineRule="auto"/>
        <w:rPr>
          <w:sz w:val="20"/>
          <w:szCs w:val="20"/>
          <w:color w:val="auto"/>
        </w:rPr>
      </w:pPr>
      <w:r>
        <w:rPr>
          <w:rFonts w:ascii="Arial" w:cs="Arial" w:eastAsia="Arial" w:hAnsi="Arial"/>
          <w:sz w:val="18"/>
          <w:szCs w:val="18"/>
          <w:color w:val="auto"/>
        </w:rPr>
        <w:t>The collateral securing the agricultural primarily farmland and rental properties</w:t>
      </w:r>
      <w:r>
        <w:rPr>
          <w:rFonts w:ascii="Courier New" w:cs="Courier New" w:eastAsia="Courier New" w:hAnsi="Courier New"/>
          <w:sz w:val="19"/>
          <w:szCs w:val="19"/>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100" w:firstLine="54"/>
        <w:spacing w:after="0" w:line="357" w:lineRule="auto"/>
        <w:rPr>
          <w:sz w:val="20"/>
          <w:szCs w:val="20"/>
          <w:color w:val="auto"/>
        </w:rPr>
      </w:pPr>
      <w:r>
        <w:rPr>
          <w:rFonts w:ascii="Arial" w:cs="Arial" w:eastAsia="Arial" w:hAnsi="Arial"/>
          <w:sz w:val="19"/>
          <w:szCs w:val="19"/>
          <w:color w:val="auto"/>
        </w:rPr>
        <w:t>collateral dependent loans as of December 31, 2025 includes and to a lesser extent, farm and transportation equipment.</w:t>
      </w:r>
    </w:p>
    <w:p>
      <w:pPr>
        <w:spacing w:after="0" w:line="200" w:lineRule="exact"/>
        <w:rPr>
          <w:sz w:val="20"/>
          <w:szCs w:val="20"/>
          <w:color w:val="auto"/>
        </w:rPr>
      </w:pPr>
    </w:p>
    <w:p>
      <w:pPr>
        <w:sectPr>
          <w:pgSz w:w="11900" w:h="16838" w:orient="portrait"/>
          <w:cols w:equalWidth="0" w:num="2">
            <w:col w:w="3920" w:space="40"/>
            <w:col w:w="5440"/>
          </w:cols>
          <w:pgMar w:left="1260" w:top="1440" w:right="1246" w:bottom="0" w:gutter="0" w:footer="0" w:header="0"/>
          <w:type w:val="continuous"/>
        </w:sectPr>
      </w:pPr>
    </w:p>
    <w:p>
      <w:pPr>
        <w:spacing w:after="0" w:line="20" w:lineRule="exact"/>
        <w:rPr>
          <w:sz w:val="20"/>
          <w:szCs w:val="20"/>
          <w:color w:val="auto"/>
        </w:rPr>
      </w:pPr>
    </w:p>
    <w:p>
      <w:pPr>
        <w:ind w:left="620" w:right="60"/>
        <w:spacing w:after="0" w:line="302" w:lineRule="auto"/>
        <w:rPr>
          <w:sz w:val="20"/>
          <w:szCs w:val="20"/>
          <w:color w:val="auto"/>
        </w:rPr>
      </w:pPr>
      <w:r>
        <w:rPr>
          <w:rFonts w:ascii="Arial" w:cs="Arial" w:eastAsia="Arial" w:hAnsi="Arial"/>
          <w:sz w:val="20"/>
          <w:szCs w:val="20"/>
          <w:color w:val="auto"/>
        </w:rPr>
        <w:t>The specific reserve portion of the ACL for collateral dependent loans was $145 thousand and $52 thousand at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12</w:t>
      </w:r>
    </w:p>
    <w:p>
      <w:pPr>
        <w:sectPr>
          <w:pgSz w:w="11900" w:h="16838" w:orient="portrait"/>
          <w:cols w:equalWidth="0" w:num="1">
            <w:col w:w="9400"/>
          </w:cols>
          <w:pgMar w:left="1260" w:top="1440" w:right="1246" w:bottom="0" w:gutter="0" w:footer="0" w:header="0"/>
          <w:type w:val="continuous"/>
        </w:sectPr>
      </w:pPr>
    </w:p>
    <w:bookmarkStart w:id="192" w:name="page193"/>
    <w:bookmarkEnd w:id="192"/>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 w:right="20"/>
        <w:spacing w:after="0" w:line="330" w:lineRule="auto"/>
        <w:rPr>
          <w:sz w:val="20"/>
          <w:szCs w:val="20"/>
          <w:color w:val="auto"/>
        </w:rPr>
      </w:pPr>
      <w:r>
        <w:rPr>
          <w:rFonts w:ascii="Arial" w:cs="Arial" w:eastAsia="Arial" w:hAnsi="Arial"/>
          <w:sz w:val="19"/>
          <w:szCs w:val="19"/>
          <w:color w:val="auto"/>
        </w:rPr>
        <w:t>The Company periodically modifies a loan for a borrower experiencing financial difficulty in an effort to enhance the borrowers' performance on the note. Modification programs focused on payment pattern changes and/or modified maturity dates with most receiving a combination of the two concessions. The modifications normally do not result in the contractual forgiveness of principal. No modifications to borrowers experiencing financial difficulty were made during 2025 or 2024.</w:t>
      </w:r>
    </w:p>
    <w:p>
      <w:pPr>
        <w:spacing w:after="0" w:line="238" w:lineRule="exact"/>
        <w:rPr>
          <w:sz w:val="20"/>
          <w:szCs w:val="20"/>
          <w:color w:val="auto"/>
        </w:rPr>
      </w:pPr>
    </w:p>
    <w:p>
      <w:pPr>
        <w:ind w:left="620" w:right="320"/>
        <w:spacing w:after="0" w:line="302" w:lineRule="auto"/>
        <w:rPr>
          <w:sz w:val="20"/>
          <w:szCs w:val="20"/>
          <w:color w:val="auto"/>
        </w:rPr>
      </w:pPr>
      <w:r>
        <w:rPr>
          <w:rFonts w:ascii="Arial" w:cs="Arial" w:eastAsia="Arial" w:hAnsi="Arial"/>
          <w:sz w:val="20"/>
          <w:szCs w:val="20"/>
          <w:color w:val="auto"/>
        </w:rPr>
        <w:t>For the years ended December 31, 2025 and 2024, there were no modifications to borrowers experiencing financial difficulty that subsequently defaulted after modification.</w:t>
      </w:r>
    </w:p>
    <w:p>
      <w:pPr>
        <w:spacing w:after="0" w:line="261" w:lineRule="exact"/>
        <w:rPr>
          <w:sz w:val="20"/>
          <w:szCs w:val="20"/>
          <w:color w:val="auto"/>
        </w:rPr>
      </w:pPr>
    </w:p>
    <w:p>
      <w:pPr>
        <w:jc w:val="both"/>
        <w:ind w:left="620" w:right="60"/>
        <w:spacing w:after="0" w:line="350" w:lineRule="auto"/>
        <w:rPr>
          <w:sz w:val="20"/>
          <w:szCs w:val="20"/>
          <w:color w:val="auto"/>
        </w:rPr>
      </w:pPr>
      <w:r>
        <w:rPr>
          <w:rFonts w:ascii="Arial" w:cs="Arial" w:eastAsia="Arial" w:hAnsi="Arial"/>
          <w:sz w:val="18"/>
          <w:szCs w:val="18"/>
          <w:color w:val="auto"/>
        </w:rPr>
        <w:t>As of December 31, 2025, the Company had no foreclosed residential real estate property obtained by physical possession and $1.4 million of consumer real estate loans secured by residential real estate properties for which foreclosure proceedings were in process according to local jurisdictions. This compares to the Company having no foreclosed residential real estate property obtained by physical possession and $890 thousand of consumer real estate loans secured by residential real estate properties for which foreclosure proceedings were in process according to local jurisdictions as of December 31, 2024.</w:t>
      </w:r>
    </w:p>
    <w:p>
      <w:pPr>
        <w:spacing w:after="0" w:line="229" w:lineRule="exact"/>
        <w:rPr>
          <w:sz w:val="20"/>
          <w:szCs w:val="20"/>
          <w:color w:val="auto"/>
        </w:rPr>
      </w:pPr>
    </w:p>
    <w:p>
      <w:pPr>
        <w:jc w:val="both"/>
        <w:ind w:left="620" w:right="60"/>
        <w:spacing w:after="0" w:line="310" w:lineRule="auto"/>
        <w:rPr>
          <w:sz w:val="20"/>
          <w:szCs w:val="20"/>
          <w:color w:val="auto"/>
        </w:rPr>
      </w:pPr>
      <w:r>
        <w:rPr>
          <w:rFonts w:ascii="Arial" w:cs="Arial" w:eastAsia="Arial" w:hAnsi="Arial"/>
          <w:sz w:val="20"/>
          <w:szCs w:val="20"/>
          <w:color w:val="auto"/>
        </w:rPr>
        <w:t>On January 1, 2023, the Company adopted Accounting Standards Update ("ASU") No. 2016-13 - "Financial Instruments - Credit Losses (Topic 326): Measurement of Credit Losses on Financial Instruments" and implemented the current expected credit losses accounting standard. As a result, the Company recorded a one-time adjustment from equity into the allowance for credit losses and unfunded commitment liability in the amount of $4.5 million, or $3.4 million, net of tax.</w:t>
      </w:r>
    </w:p>
    <w:p>
      <w:pPr>
        <w:spacing w:after="0" w:line="255" w:lineRule="exact"/>
        <w:rPr>
          <w:sz w:val="20"/>
          <w:szCs w:val="20"/>
          <w:color w:val="auto"/>
        </w:rPr>
      </w:pPr>
    </w:p>
    <w:p>
      <w:pPr>
        <w:jc w:val="both"/>
        <w:ind w:left="620" w:right="60"/>
        <w:spacing w:after="0" w:line="302" w:lineRule="auto"/>
        <w:rPr>
          <w:sz w:val="20"/>
          <w:szCs w:val="20"/>
          <w:color w:val="auto"/>
        </w:rPr>
      </w:pPr>
      <w:r>
        <w:rPr>
          <w:rFonts w:ascii="Arial" w:cs="Arial" w:eastAsia="Arial" w:hAnsi="Arial"/>
          <w:sz w:val="20"/>
          <w:szCs w:val="20"/>
          <w:color w:val="auto"/>
        </w:rPr>
        <w:t>Allowance for Credit Losses (ACL) has a direct impact on the provision expense. An increase in the ACL is funded through recoveries and provision expense.</w:t>
      </w:r>
    </w:p>
    <w:p>
      <w:pPr>
        <w:spacing w:after="0" w:line="261" w:lineRule="exact"/>
        <w:rPr>
          <w:sz w:val="20"/>
          <w:szCs w:val="20"/>
          <w:color w:val="auto"/>
        </w:rPr>
      </w:pPr>
    </w:p>
    <w:p>
      <w:pPr>
        <w:jc w:val="both"/>
        <w:ind w:left="620" w:right="60"/>
        <w:spacing w:after="0" w:line="355" w:lineRule="auto"/>
        <w:rPr>
          <w:sz w:val="20"/>
          <w:szCs w:val="20"/>
          <w:color w:val="auto"/>
        </w:rPr>
      </w:pPr>
      <w:r>
        <w:rPr>
          <w:rFonts w:ascii="Arial" w:cs="Arial" w:eastAsia="Arial" w:hAnsi="Arial"/>
          <w:sz w:val="18"/>
          <w:szCs w:val="18"/>
          <w:color w:val="auto"/>
        </w:rPr>
        <w:t>The Company segregates its allowance into two reserves: The Allowance for Credit Losses (ACL) and the Allowance for Unfunded Loan Commitments and Letters of Credit (AULC). When combined, these reserves constitute the total ACL calculated under the Current Expected Credit Losses (CECL) methodology.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12</w:t>
      </w:r>
    </w:p>
    <w:p>
      <w:pPr>
        <w:sectPr>
          <w:pgSz w:w="11900" w:h="16838" w:orient="portrait"/>
          <w:cols w:equalWidth="0" w:num="1">
            <w:col w:w="9400"/>
          </w:cols>
          <w:pgMar w:left="1260" w:top="1440" w:right="1246" w:bottom="0" w:gutter="0" w:footer="0" w:header="0"/>
          <w:type w:val="continuous"/>
        </w:sectPr>
      </w:pPr>
    </w:p>
    <w:bookmarkStart w:id="193" w:name="page194"/>
    <w:bookmarkEnd w:id="193"/>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20" w:right="80"/>
        <w:spacing w:after="0" w:line="307" w:lineRule="auto"/>
        <w:rPr>
          <w:sz w:val="20"/>
          <w:szCs w:val="20"/>
          <w:color w:val="auto"/>
        </w:rPr>
      </w:pPr>
      <w:r>
        <w:rPr>
          <w:rFonts w:ascii="Arial" w:cs="Arial" w:eastAsia="Arial" w:hAnsi="Arial"/>
          <w:sz w:val="20"/>
          <w:szCs w:val="20"/>
          <w:color w:val="auto"/>
        </w:rPr>
        <w:t>The following tables present the activity within the ACL for each portfolio segment and shows the contribution provided by both the recoveries and the provision along with the reduction of the allowance caused by charge-offs for the years ended December 31, 2025 and 2024:</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40" w:type="dxa"/>
            <w:vAlign w:val="bottom"/>
            <w:gridSpan w:val="4"/>
          </w:tcPr>
          <w:p>
            <w:pPr>
              <w:ind w:left="140"/>
              <w:spacing w:after="0"/>
              <w:rPr>
                <w:sz w:val="20"/>
                <w:szCs w:val="20"/>
                <w:color w:val="auto"/>
              </w:rPr>
            </w:pPr>
            <w:r>
              <w:rPr>
                <w:rFonts w:ascii="Arial" w:cs="Arial" w:eastAsia="Arial" w:hAnsi="Arial"/>
                <w:sz w:val="20"/>
                <w:szCs w:val="20"/>
                <w:color w:val="auto"/>
              </w:rPr>
              <w:t>(In Thousands)</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24"/>
        </w:trPr>
        <w:tc>
          <w:tcPr>
            <w:tcW w:w="140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Arial" w:cs="Arial" w:eastAsia="Arial" w:hAnsi="Arial"/>
                <w:sz w:val="20"/>
                <w:szCs w:val="20"/>
                <w:color w:val="auto"/>
                <w:w w:val="99"/>
              </w:rPr>
              <w:t>Consumer</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20"/>
                <w:szCs w:val="20"/>
                <w:color w:val="auto"/>
              </w:rPr>
              <w:t>Commercial</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0"/>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0"/>
              <w:spacing w:after="0"/>
              <w:rPr>
                <w:sz w:val="20"/>
                <w:szCs w:val="20"/>
                <w:color w:val="auto"/>
              </w:rPr>
            </w:pPr>
            <w:r>
              <w:rPr>
                <w:rFonts w:ascii="Arial" w:cs="Arial" w:eastAsia="Arial" w:hAnsi="Arial"/>
                <w:sz w:val="20"/>
                <w:szCs w:val="20"/>
                <w:color w:val="auto"/>
              </w:rPr>
              <w:t>Real</w:t>
            </w:r>
          </w:p>
        </w:tc>
        <w:tc>
          <w:tcPr>
            <w:tcW w:w="1160" w:type="dxa"/>
            <w:vAlign w:val="bottom"/>
            <w:gridSpan w:val="2"/>
          </w:tcPr>
          <w:p>
            <w:pPr>
              <w:ind w:left="40"/>
              <w:spacing w:after="0"/>
              <w:rPr>
                <w:sz w:val="20"/>
                <w:szCs w:val="20"/>
                <w:color w:val="auto"/>
              </w:rPr>
            </w:pPr>
            <w:r>
              <w:rPr>
                <w:rFonts w:ascii="Arial" w:cs="Arial" w:eastAsia="Arial" w:hAnsi="Arial"/>
                <w:sz w:val="20"/>
                <w:szCs w:val="20"/>
                <w:color w:val="auto"/>
              </w:rPr>
              <w:t>Agricultural</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20"/>
                <w:szCs w:val="20"/>
                <w:color w:val="auto"/>
                <w:w w:val="99"/>
              </w:rPr>
              <w:t>Commercial</w:t>
            </w:r>
          </w:p>
        </w:tc>
        <w:tc>
          <w:tcPr>
            <w:tcW w:w="180" w:type="dxa"/>
            <w:vAlign w:val="bottom"/>
          </w:tcPr>
          <w:p>
            <w:pPr>
              <w:spacing w:after="0"/>
              <w:rPr>
                <w:sz w:val="24"/>
                <w:szCs w:val="24"/>
                <w:color w:val="auto"/>
              </w:rPr>
            </w:pPr>
          </w:p>
        </w:tc>
        <w:tc>
          <w:tcPr>
            <w:tcW w:w="1000" w:type="dxa"/>
            <w:vAlign w:val="bottom"/>
          </w:tcPr>
          <w:p>
            <w:pPr>
              <w:jc w:val="right"/>
              <w:ind w:right="400"/>
              <w:spacing w:after="0"/>
              <w:rPr>
                <w:sz w:val="20"/>
                <w:szCs w:val="20"/>
                <w:color w:val="auto"/>
              </w:rPr>
            </w:pPr>
            <w:r>
              <w:rPr>
                <w:rFonts w:ascii="Arial" w:cs="Arial" w:eastAsia="Arial" w:hAnsi="Arial"/>
                <w:sz w:val="20"/>
                <w:szCs w:val="20"/>
                <w:color w:val="auto"/>
              </w:rPr>
              <w:t>and</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0"/>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180"/>
              <w:spacing w:after="0"/>
              <w:rPr>
                <w:sz w:val="20"/>
                <w:szCs w:val="20"/>
                <w:color w:val="auto"/>
              </w:rPr>
            </w:pPr>
            <w:r>
              <w:rPr>
                <w:rFonts w:ascii="Arial" w:cs="Arial" w:eastAsia="Arial" w:hAnsi="Arial"/>
                <w:sz w:val="20"/>
                <w:szCs w:val="20"/>
                <w:color w:val="auto"/>
                <w:w w:val="91"/>
              </w:rPr>
              <w:t>Estate</w:t>
            </w:r>
          </w:p>
        </w:tc>
        <w:tc>
          <w:tcPr>
            <w:tcW w:w="1160" w:type="dxa"/>
            <w:vAlign w:val="bottom"/>
            <w:gridSpan w:val="2"/>
          </w:tcPr>
          <w:p>
            <w:pPr>
              <w:jc w:val="right"/>
              <w:ind w:right="80"/>
              <w:spacing w:after="0"/>
              <w:rPr>
                <w:sz w:val="20"/>
                <w:szCs w:val="20"/>
                <w:color w:val="auto"/>
              </w:rPr>
            </w:pPr>
            <w:r>
              <w:rPr>
                <w:rFonts w:ascii="Arial" w:cs="Arial" w:eastAsia="Arial" w:hAnsi="Arial"/>
                <w:sz w:val="20"/>
                <w:szCs w:val="20"/>
                <w:color w:val="auto"/>
                <w:w w:val="92"/>
              </w:rPr>
              <w:t>Real Estate</w:t>
            </w:r>
          </w:p>
        </w:tc>
        <w:tc>
          <w:tcPr>
            <w:tcW w:w="1080" w:type="dxa"/>
            <w:vAlign w:val="bottom"/>
            <w:gridSpan w:val="2"/>
          </w:tcPr>
          <w:p>
            <w:pPr>
              <w:ind w:left="40"/>
              <w:spacing w:after="0"/>
              <w:rPr>
                <w:sz w:val="20"/>
                <w:szCs w:val="20"/>
                <w:color w:val="auto"/>
              </w:rPr>
            </w:pPr>
            <w:r>
              <w:rPr>
                <w:rFonts w:ascii="Arial" w:cs="Arial" w:eastAsia="Arial" w:hAnsi="Arial"/>
                <w:sz w:val="20"/>
                <w:szCs w:val="20"/>
                <w:color w:val="auto"/>
              </w:rPr>
              <w:t>Agricultural</w:t>
            </w:r>
          </w:p>
        </w:tc>
        <w:tc>
          <w:tcPr>
            <w:tcW w:w="1160" w:type="dxa"/>
            <w:vAlign w:val="bottom"/>
            <w:gridSpan w:val="2"/>
          </w:tcPr>
          <w:p>
            <w:pPr>
              <w:ind w:left="120"/>
              <w:spacing w:after="0"/>
              <w:rPr>
                <w:sz w:val="20"/>
                <w:szCs w:val="20"/>
                <w:color w:val="auto"/>
              </w:rPr>
            </w:pPr>
            <w:r>
              <w:rPr>
                <w:rFonts w:ascii="Arial" w:cs="Arial" w:eastAsia="Arial" w:hAnsi="Arial"/>
                <w:sz w:val="20"/>
                <w:szCs w:val="20"/>
                <w:color w:val="auto"/>
                <w:w w:val="98"/>
              </w:rPr>
              <w:t>Real Estate</w:t>
            </w:r>
          </w:p>
        </w:tc>
        <w:tc>
          <w:tcPr>
            <w:tcW w:w="18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Arial" w:cs="Arial" w:eastAsia="Arial" w:hAnsi="Arial"/>
                <w:sz w:val="20"/>
                <w:szCs w:val="20"/>
                <w:color w:val="auto"/>
                <w:w w:val="91"/>
              </w:rPr>
              <w:t>Industrial</w:t>
            </w:r>
          </w:p>
        </w:tc>
        <w:tc>
          <w:tcPr>
            <w:tcW w:w="1000" w:type="dxa"/>
            <w:vAlign w:val="bottom"/>
            <w:gridSpan w:val="2"/>
          </w:tcPr>
          <w:p>
            <w:pPr>
              <w:ind w:left="40"/>
              <w:spacing w:after="0"/>
              <w:rPr>
                <w:sz w:val="20"/>
                <w:szCs w:val="20"/>
                <w:color w:val="auto"/>
              </w:rPr>
            </w:pPr>
            <w:r>
              <w:rPr>
                <w:rFonts w:ascii="Arial" w:cs="Arial" w:eastAsia="Arial" w:hAnsi="Arial"/>
                <w:sz w:val="20"/>
                <w:szCs w:val="20"/>
                <w:color w:val="auto"/>
              </w:rPr>
              <w:t>Consumer</w:t>
            </w:r>
          </w:p>
        </w:tc>
        <w:tc>
          <w:tcPr>
            <w:tcW w:w="620" w:type="dxa"/>
            <w:vAlign w:val="bottom"/>
          </w:tcPr>
          <w:p>
            <w:pPr>
              <w:jc w:val="right"/>
              <w:ind w:right="20"/>
              <w:spacing w:after="0"/>
              <w:rPr>
                <w:sz w:val="20"/>
                <w:szCs w:val="20"/>
                <w:color w:val="auto"/>
              </w:rPr>
            </w:pPr>
            <w:r>
              <w:rPr>
                <w:rFonts w:ascii="Arial" w:cs="Arial" w:eastAsia="Arial" w:hAnsi="Arial"/>
                <w:sz w:val="20"/>
                <w:szCs w:val="20"/>
                <w:color w:val="auto"/>
                <w:w w:val="95"/>
              </w:rPr>
              <w:t>Other</w:t>
            </w:r>
          </w:p>
        </w:tc>
        <w:tc>
          <w:tcPr>
            <w:tcW w:w="800" w:type="dxa"/>
            <w:vAlign w:val="bottom"/>
          </w:tcPr>
          <w:p>
            <w:pPr>
              <w:jc w:val="right"/>
              <w:ind w:right="120"/>
              <w:spacing w:after="0"/>
              <w:rPr>
                <w:sz w:val="20"/>
                <w:szCs w:val="20"/>
                <w:color w:val="auto"/>
              </w:rPr>
            </w:pPr>
            <w:r>
              <w:rPr>
                <w:rFonts w:ascii="Arial" w:cs="Arial" w:eastAsia="Arial" w:hAnsi="Arial"/>
                <w:sz w:val="20"/>
                <w:szCs w:val="20"/>
                <w:color w:val="auto"/>
              </w:rPr>
              <w:t>Total</w:t>
            </w:r>
          </w:p>
        </w:tc>
      </w:tr>
      <w:tr>
        <w:trPr>
          <w:trHeight w:val="51"/>
        </w:trPr>
        <w:tc>
          <w:tcPr>
            <w:tcW w:w="1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94"/>
        </w:trPr>
        <w:tc>
          <w:tcPr>
            <w:tcW w:w="1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2025</w:t>
            </w:r>
          </w:p>
        </w:tc>
        <w:tc>
          <w:tcPr>
            <w:tcW w:w="1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0"/>
                <w:szCs w:val="20"/>
                <w:b w:val="1"/>
                <w:bCs w:val="1"/>
                <w:color w:val="auto"/>
              </w:rPr>
              <w:t>ALLOWANCE</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00"/>
        </w:trPr>
        <w:tc>
          <w:tcPr>
            <w:tcW w:w="1400" w:type="dxa"/>
            <w:vAlign w:val="bottom"/>
          </w:tcPr>
          <w:p>
            <w:pPr>
              <w:spacing w:after="0"/>
              <w:rPr>
                <w:sz w:val="20"/>
                <w:szCs w:val="20"/>
                <w:color w:val="auto"/>
              </w:rPr>
            </w:pPr>
            <w:r>
              <w:rPr>
                <w:rFonts w:ascii="Arial" w:cs="Arial" w:eastAsia="Arial" w:hAnsi="Arial"/>
                <w:sz w:val="20"/>
                <w:szCs w:val="20"/>
                <w:b w:val="1"/>
                <w:bCs w:val="1"/>
                <w:color w:val="auto"/>
              </w:rPr>
              <w:t>FOR CREDIT</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0"/>
        </w:trPr>
        <w:tc>
          <w:tcPr>
            <w:tcW w:w="1400" w:type="dxa"/>
            <w:vAlign w:val="bottom"/>
          </w:tcPr>
          <w:p>
            <w:pPr>
              <w:ind w:left="140"/>
              <w:spacing w:after="0"/>
              <w:rPr>
                <w:sz w:val="20"/>
                <w:szCs w:val="20"/>
                <w:color w:val="auto"/>
              </w:rPr>
            </w:pPr>
            <w:r>
              <w:rPr>
                <w:rFonts w:ascii="Arial" w:cs="Arial" w:eastAsia="Arial" w:hAnsi="Arial"/>
                <w:sz w:val="20"/>
                <w:szCs w:val="20"/>
                <w:b w:val="1"/>
                <w:bCs w:val="1"/>
                <w:color w:val="auto"/>
              </w:rPr>
              <w:t>LOSSES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
        </w:trPr>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74"/>
        </w:trPr>
        <w:tc>
          <w:tcPr>
            <w:tcW w:w="1400" w:type="dxa"/>
            <w:vAlign w:val="bottom"/>
            <w:shd w:val="clear" w:color="auto" w:fill="CFF0FC"/>
          </w:tcPr>
          <w:p>
            <w:pPr>
              <w:spacing w:after="0"/>
              <w:rPr>
                <w:sz w:val="20"/>
                <w:szCs w:val="20"/>
                <w:color w:val="auto"/>
              </w:rPr>
            </w:pPr>
            <w:r>
              <w:rPr>
                <w:rFonts w:ascii="Arial" w:cs="Arial" w:eastAsia="Arial" w:hAnsi="Arial"/>
                <w:sz w:val="20"/>
                <w:szCs w:val="20"/>
                <w:color w:val="auto"/>
              </w:rPr>
              <w:t>Beginning</w:t>
            </w:r>
          </w:p>
        </w:tc>
        <w:tc>
          <w:tcPr>
            <w:tcW w:w="180" w:type="dxa"/>
            <w:vAlign w:val="bottom"/>
            <w:shd w:val="clear" w:color="auto" w:fill="CFF0FC"/>
          </w:tcPr>
          <w:p>
            <w:pPr>
              <w:spacing w:after="0"/>
              <w:rPr>
                <w:sz w:val="23"/>
                <w:szCs w:val="23"/>
                <w:color w:val="auto"/>
              </w:rPr>
            </w:pPr>
          </w:p>
        </w:tc>
        <w:tc>
          <w:tcPr>
            <w:tcW w:w="8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76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66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8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720" w:type="dxa"/>
            <w:vAlign w:val="bottom"/>
            <w:shd w:val="clear" w:color="auto" w:fill="CFF0FC"/>
          </w:tcPr>
          <w:p>
            <w:pPr>
              <w:spacing w:after="0"/>
              <w:rPr>
                <w:sz w:val="23"/>
                <w:szCs w:val="23"/>
                <w:color w:val="auto"/>
              </w:rPr>
            </w:pPr>
          </w:p>
        </w:tc>
        <w:tc>
          <w:tcPr>
            <w:tcW w:w="620" w:type="dxa"/>
            <w:vAlign w:val="bottom"/>
            <w:shd w:val="clear" w:color="auto" w:fill="CFF0FC"/>
          </w:tcPr>
          <w:p>
            <w:pPr>
              <w:spacing w:after="0"/>
              <w:rPr>
                <w:sz w:val="23"/>
                <w:szCs w:val="23"/>
                <w:color w:val="auto"/>
              </w:rPr>
            </w:pPr>
          </w:p>
        </w:tc>
        <w:tc>
          <w:tcPr>
            <w:tcW w:w="800" w:type="dxa"/>
            <w:vAlign w:val="bottom"/>
            <w:shd w:val="clear" w:color="auto" w:fill="CFF0FC"/>
          </w:tcPr>
          <w:p>
            <w:pPr>
              <w:spacing w:after="0"/>
              <w:rPr>
                <w:sz w:val="23"/>
                <w:szCs w:val="23"/>
                <w:color w:val="auto"/>
              </w:rPr>
            </w:pPr>
          </w:p>
        </w:tc>
      </w:tr>
      <w:tr>
        <w:trPr>
          <w:trHeight w:val="321"/>
        </w:trPr>
        <w:tc>
          <w:tcPr>
            <w:tcW w:w="1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w:t>
            </w:r>
          </w:p>
        </w:tc>
        <w:tc>
          <w:tcPr>
            <w:tcW w:w="1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3,543</w:t>
            </w:r>
          </w:p>
        </w:tc>
        <w:tc>
          <w:tcPr>
            <w:tcW w:w="4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895</w:t>
            </w:r>
          </w:p>
        </w:tc>
        <w:tc>
          <w:tcPr>
            <w:tcW w:w="4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285</w:t>
            </w:r>
          </w:p>
        </w:tc>
        <w:tc>
          <w:tcPr>
            <w:tcW w:w="3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16,560</w:t>
            </w:r>
          </w:p>
        </w:tc>
        <w:tc>
          <w:tcPr>
            <w:tcW w:w="1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2,969</w:t>
            </w:r>
          </w:p>
        </w:tc>
        <w:tc>
          <w:tcPr>
            <w:tcW w:w="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1,012</w:t>
            </w:r>
          </w:p>
        </w:tc>
        <w:tc>
          <w:tcPr>
            <w:tcW w:w="6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95"/>
              </w:rPr>
              <w:t>$ 562</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4"/>
              </w:rPr>
              <w:t>$25,826</w:t>
            </w:r>
          </w:p>
        </w:tc>
      </w:tr>
      <w:tr>
        <w:trPr>
          <w:trHeight w:val="274"/>
        </w:trPr>
        <w:tc>
          <w:tcPr>
            <w:tcW w:w="1400" w:type="dxa"/>
            <w:vAlign w:val="bottom"/>
          </w:tcPr>
          <w:p>
            <w:pPr>
              <w:ind w:left="20"/>
              <w:spacing w:after="0"/>
              <w:rPr>
                <w:sz w:val="20"/>
                <w:szCs w:val="20"/>
                <w:color w:val="auto"/>
              </w:rPr>
            </w:pPr>
            <w:r>
              <w:rPr>
                <w:rFonts w:ascii="Arial" w:cs="Arial" w:eastAsia="Arial" w:hAnsi="Arial"/>
                <w:sz w:val="20"/>
                <w:szCs w:val="20"/>
                <w:color w:val="auto"/>
              </w:rPr>
              <w:t>Provision for</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00"/>
        </w:trPr>
        <w:tc>
          <w:tcPr>
            <w:tcW w:w="1400" w:type="dxa"/>
            <w:vAlign w:val="bottom"/>
          </w:tcPr>
          <w:p>
            <w:pPr>
              <w:ind w:left="20"/>
              <w:spacing w:after="0"/>
              <w:rPr>
                <w:sz w:val="20"/>
                <w:szCs w:val="20"/>
                <w:color w:val="auto"/>
              </w:rPr>
            </w:pPr>
            <w:r>
              <w:rPr>
                <w:rFonts w:ascii="Arial" w:cs="Arial" w:eastAsia="Arial" w:hAnsi="Arial"/>
                <w:sz w:val="20"/>
                <w:szCs w:val="20"/>
                <w:color w:val="auto"/>
              </w:rPr>
              <w:t>(recovery of)</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0"/>
        </w:trPr>
        <w:tc>
          <w:tcPr>
            <w:tcW w:w="1400" w:type="dxa"/>
            <w:vAlign w:val="bottom"/>
          </w:tcPr>
          <w:p>
            <w:pPr>
              <w:ind w:left="20"/>
              <w:spacing w:after="0"/>
              <w:rPr>
                <w:sz w:val="20"/>
                <w:szCs w:val="20"/>
                <w:color w:val="auto"/>
              </w:rPr>
            </w:pPr>
            <w:r>
              <w:rPr>
                <w:rFonts w:ascii="Arial" w:cs="Arial" w:eastAsia="Arial" w:hAnsi="Arial"/>
                <w:sz w:val="20"/>
                <w:szCs w:val="20"/>
                <w:color w:val="auto"/>
              </w:rPr>
              <w:t>credit</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0"/>
        </w:trPr>
        <w:tc>
          <w:tcPr>
            <w:tcW w:w="1400" w:type="dxa"/>
            <w:vAlign w:val="bottom"/>
          </w:tcPr>
          <w:p>
            <w:pPr>
              <w:ind w:left="160"/>
              <w:spacing w:after="0"/>
              <w:rPr>
                <w:sz w:val="20"/>
                <w:szCs w:val="20"/>
                <w:color w:val="auto"/>
              </w:rPr>
            </w:pPr>
            <w:r>
              <w:rPr>
                <w:rFonts w:ascii="Arial" w:cs="Arial" w:eastAsia="Arial" w:hAnsi="Arial"/>
                <w:sz w:val="20"/>
                <w:szCs w:val="20"/>
                <w:color w:val="auto"/>
                <w:w w:val="99"/>
              </w:rPr>
              <w:t>losses - loans</w:t>
            </w:r>
          </w:p>
        </w:tc>
        <w:tc>
          <w:tcPr>
            <w:tcW w:w="18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20"/>
                <w:szCs w:val="20"/>
                <w:color w:val="auto"/>
              </w:rPr>
              <w:t>738</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(160)</w:t>
            </w: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179</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844</w:t>
            </w:r>
          </w:p>
        </w:tc>
        <w:tc>
          <w:tcPr>
            <w:tcW w:w="18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533</w:t>
            </w:r>
          </w:p>
        </w:tc>
        <w:tc>
          <w:tcPr>
            <w:tcW w:w="280" w:type="dxa"/>
            <w:vAlign w:val="bottom"/>
          </w:tcPr>
          <w:p>
            <w:pPr>
              <w:spacing w:after="0"/>
              <w:rPr>
                <w:sz w:val="24"/>
                <w:szCs w:val="24"/>
                <w:color w:val="auto"/>
              </w:rPr>
            </w:pPr>
          </w:p>
        </w:tc>
        <w:tc>
          <w:tcPr>
            <w:tcW w:w="720" w:type="dxa"/>
            <w:vAlign w:val="bottom"/>
          </w:tcPr>
          <w:p>
            <w:pPr>
              <w:jc w:val="right"/>
              <w:ind w:right="40"/>
              <w:spacing w:after="0"/>
              <w:rPr>
                <w:sz w:val="20"/>
                <w:szCs w:val="20"/>
                <w:color w:val="auto"/>
              </w:rPr>
            </w:pPr>
            <w:r>
              <w:rPr>
                <w:rFonts w:ascii="Arial" w:cs="Arial" w:eastAsia="Arial" w:hAnsi="Arial"/>
                <w:sz w:val="20"/>
                <w:szCs w:val="20"/>
                <w:color w:val="auto"/>
              </w:rPr>
              <w:t>478</w:t>
            </w:r>
          </w:p>
        </w:tc>
        <w:tc>
          <w:tcPr>
            <w:tcW w:w="620" w:type="dxa"/>
            <w:vAlign w:val="bottom"/>
          </w:tcPr>
          <w:p>
            <w:pPr>
              <w:jc w:val="right"/>
              <w:spacing w:after="0"/>
              <w:rPr>
                <w:sz w:val="20"/>
                <w:szCs w:val="20"/>
                <w:color w:val="auto"/>
              </w:rPr>
            </w:pPr>
            <w:r>
              <w:rPr>
                <w:rFonts w:ascii="Arial" w:cs="Arial" w:eastAsia="Arial" w:hAnsi="Arial"/>
                <w:sz w:val="20"/>
                <w:szCs w:val="20"/>
                <w:color w:val="auto"/>
              </w:rPr>
              <w:t>(16)</w:t>
            </w:r>
          </w:p>
        </w:tc>
        <w:tc>
          <w:tcPr>
            <w:tcW w:w="800" w:type="dxa"/>
            <w:vAlign w:val="bottom"/>
          </w:tcPr>
          <w:p>
            <w:pPr>
              <w:jc w:val="right"/>
              <w:spacing w:after="0"/>
              <w:rPr>
                <w:sz w:val="20"/>
                <w:szCs w:val="20"/>
                <w:color w:val="auto"/>
              </w:rPr>
            </w:pPr>
            <w:r>
              <w:rPr>
                <w:rFonts w:ascii="Arial" w:cs="Arial" w:eastAsia="Arial" w:hAnsi="Arial"/>
                <w:sz w:val="20"/>
                <w:szCs w:val="20"/>
                <w:color w:val="auto"/>
              </w:rPr>
              <w:t>2,596</w:t>
            </w:r>
          </w:p>
        </w:tc>
      </w:tr>
      <w:tr>
        <w:trPr>
          <w:trHeight w:val="41"/>
        </w:trPr>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1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Charge-offs</w:t>
            </w:r>
          </w:p>
        </w:tc>
        <w:tc>
          <w:tcPr>
            <w:tcW w:w="1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(20)</w:t>
            </w:r>
          </w:p>
        </w:tc>
        <w:tc>
          <w:tcPr>
            <w:tcW w:w="4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(250)</w:t>
            </w:r>
          </w:p>
        </w:tc>
        <w:tc>
          <w:tcPr>
            <w:tcW w:w="28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(758)</w:t>
            </w:r>
          </w:p>
        </w:tc>
        <w:tc>
          <w:tcPr>
            <w:tcW w:w="6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(1,028)</w:t>
            </w:r>
          </w:p>
        </w:tc>
      </w:tr>
      <w:tr>
        <w:trPr>
          <w:trHeight w:val="274"/>
        </w:trPr>
        <w:tc>
          <w:tcPr>
            <w:tcW w:w="1400" w:type="dxa"/>
            <w:vAlign w:val="bottom"/>
          </w:tcPr>
          <w:p>
            <w:pPr>
              <w:ind w:left="20"/>
              <w:spacing w:after="0"/>
              <w:rPr>
                <w:sz w:val="20"/>
                <w:szCs w:val="20"/>
                <w:color w:val="auto"/>
              </w:rPr>
            </w:pPr>
            <w:r>
              <w:rPr>
                <w:rFonts w:ascii="Arial" w:cs="Arial" w:eastAsia="Arial" w:hAnsi="Arial"/>
                <w:sz w:val="20"/>
                <w:szCs w:val="20"/>
                <w:color w:val="auto"/>
              </w:rPr>
              <w:t>Recoveries</w:t>
            </w:r>
          </w:p>
        </w:tc>
        <w:tc>
          <w:tcPr>
            <w:tcW w:w="1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20"/>
                <w:szCs w:val="20"/>
                <w:color w:val="auto"/>
              </w:rPr>
              <w:t>5</w:t>
            </w:r>
          </w:p>
        </w:tc>
        <w:tc>
          <w:tcPr>
            <w:tcW w:w="40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10</w:t>
            </w: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24</w:t>
            </w:r>
          </w:p>
        </w:tc>
        <w:tc>
          <w:tcPr>
            <w:tcW w:w="18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34</w:t>
            </w:r>
          </w:p>
        </w:tc>
        <w:tc>
          <w:tcPr>
            <w:tcW w:w="280" w:type="dxa"/>
            <w:vAlign w:val="bottom"/>
          </w:tcPr>
          <w:p>
            <w:pPr>
              <w:spacing w:after="0"/>
              <w:rPr>
                <w:sz w:val="23"/>
                <w:szCs w:val="23"/>
                <w:color w:val="auto"/>
              </w:rPr>
            </w:pPr>
          </w:p>
        </w:tc>
        <w:tc>
          <w:tcPr>
            <w:tcW w:w="720" w:type="dxa"/>
            <w:vAlign w:val="bottom"/>
          </w:tcPr>
          <w:p>
            <w:pPr>
              <w:jc w:val="right"/>
              <w:ind w:right="40"/>
              <w:spacing w:after="0"/>
              <w:rPr>
                <w:sz w:val="20"/>
                <w:szCs w:val="20"/>
                <w:color w:val="auto"/>
              </w:rPr>
            </w:pPr>
            <w:r>
              <w:rPr>
                <w:rFonts w:ascii="Arial" w:cs="Arial" w:eastAsia="Arial" w:hAnsi="Arial"/>
                <w:sz w:val="20"/>
                <w:szCs w:val="20"/>
                <w:color w:val="auto"/>
              </w:rPr>
              <w:t>221</w:t>
            </w:r>
          </w:p>
        </w:tc>
        <w:tc>
          <w:tcPr>
            <w:tcW w:w="6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294</w:t>
            </w:r>
          </w:p>
        </w:tc>
      </w:tr>
      <w:tr>
        <w:trPr>
          <w:trHeight w:val="41"/>
        </w:trPr>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329"/>
        </w:trPr>
        <w:tc>
          <w:tcPr>
            <w:tcW w:w="1400" w:type="dxa"/>
            <w:vAlign w:val="bottom"/>
            <w:shd w:val="clear" w:color="auto" w:fill="CFF0FC"/>
          </w:tcPr>
          <w:p>
            <w:pPr>
              <w:spacing w:after="0"/>
              <w:rPr>
                <w:sz w:val="20"/>
                <w:szCs w:val="20"/>
                <w:color w:val="auto"/>
              </w:rPr>
            </w:pPr>
            <w:r>
              <w:rPr>
                <w:rFonts w:ascii="Arial" w:cs="Arial" w:eastAsia="Arial" w:hAnsi="Arial"/>
                <w:sz w:val="20"/>
                <w:szCs w:val="20"/>
                <w:color w:val="auto"/>
                <w:w w:val="98"/>
              </w:rPr>
              <w:t>Ending Balance</w:t>
            </w:r>
          </w:p>
        </w:tc>
        <w:tc>
          <w:tcPr>
            <w:tcW w:w="180" w:type="dxa"/>
            <w:vAlign w:val="bottom"/>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8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4,266</w:t>
            </w:r>
          </w:p>
        </w:tc>
        <w:tc>
          <w:tcPr>
            <w:tcW w:w="40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7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735</w:t>
            </w:r>
          </w:p>
        </w:tc>
        <w:tc>
          <w:tcPr>
            <w:tcW w:w="42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474</w:t>
            </w:r>
          </w:p>
        </w:tc>
        <w:tc>
          <w:tcPr>
            <w:tcW w:w="360" w:type="dxa"/>
            <w:vAlign w:val="bottom"/>
            <w:shd w:val="clear" w:color="auto" w:fill="CFF0FC"/>
          </w:tcPr>
          <w:p>
            <w:pPr>
              <w:ind w:left="80"/>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17,428</w:t>
            </w:r>
          </w:p>
        </w:tc>
        <w:tc>
          <w:tcPr>
            <w:tcW w:w="180" w:type="dxa"/>
            <w:vAlign w:val="bottom"/>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3,286</w:t>
            </w:r>
          </w:p>
        </w:tc>
        <w:tc>
          <w:tcPr>
            <w:tcW w:w="2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953</w:t>
            </w:r>
          </w:p>
        </w:tc>
        <w:tc>
          <w:tcPr>
            <w:tcW w:w="6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w w:val="95"/>
              </w:rPr>
              <w:t>$ 546</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$27,688</w:t>
            </w:r>
          </w:p>
        </w:tc>
      </w:tr>
      <w:tr>
        <w:trPr>
          <w:trHeight w:val="41"/>
        </w:trPr>
        <w:tc>
          <w:tcPr>
            <w:tcW w:w="140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42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924560</wp:posOffset>
            </wp:positionH>
            <wp:positionV relativeFrom="paragraph">
              <wp:posOffset>-3168015</wp:posOffset>
            </wp:positionV>
            <wp:extent cx="5045710" cy="31686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6">
                      <a:extLst>
                        <a:ext uri="{28A0092B-C50C-407E-A947-70E740481C1C}"/>
                      </a:extLst>
                    </a:blip>
                    <a:srcRect/>
                    <a:stretch>
                      <a:fillRect/>
                    </a:stretch>
                  </pic:blipFill>
                  <pic:spPr bwMode="auto">
                    <a:xfrm>
                      <a:off x="0" y="0"/>
                      <a:ext cx="5045710" cy="316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26035</wp:posOffset>
            </wp:positionV>
            <wp:extent cx="989965" cy="6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7">
                      <a:extLst>
                        <a:ext uri="{28A0092B-C50C-407E-A947-70E740481C1C}"/>
                      </a:extLst>
                    </a:blip>
                    <a:srcRect/>
                    <a:stretch>
                      <a:fillRect/>
                    </a:stretch>
                  </pic:blipFill>
                  <pic:spPr bwMode="auto">
                    <a:xfrm>
                      <a:off x="0" y="0"/>
                      <a:ext cx="989965" cy="6350"/>
                    </a:xfrm>
                    <a:prstGeom prst="rect">
                      <a:avLst/>
                    </a:prstGeom>
                    <a:noFill/>
                  </pic:spPr>
                </pic:pic>
              </a:graphicData>
            </a:graphic>
          </wp:anchor>
        </w:drawing>
      </w:r>
    </w:p>
    <w:p>
      <w:pPr>
        <w:spacing w:after="0" w:line="7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Unfunded</w:t>
      </w:r>
    </w:p>
    <w:p>
      <w:pPr>
        <w:spacing w:after="0" w:line="70" w:lineRule="exact"/>
        <w:rPr>
          <w:sz w:val="20"/>
          <w:szCs w:val="20"/>
          <w:color w:val="auto"/>
        </w:rPr>
      </w:pPr>
    </w:p>
    <w:p>
      <w:pPr>
        <w:jc w:val="center"/>
        <w:ind w:left="3900"/>
        <w:spacing w:after="0"/>
        <w:rPr>
          <w:sz w:val="20"/>
          <w:szCs w:val="20"/>
          <w:color w:val="auto"/>
        </w:rPr>
      </w:pPr>
      <w:r>
        <w:rPr>
          <w:rFonts w:ascii="Arial" w:cs="Arial" w:eastAsia="Arial" w:hAnsi="Arial"/>
          <w:sz w:val="20"/>
          <w:szCs w:val="20"/>
          <w:color w:val="auto"/>
        </w:rPr>
        <w:t>Loan</w:t>
      </w:r>
    </w:p>
    <w:p>
      <w:pPr>
        <w:spacing w:after="0" w:line="70" w:lineRule="exact"/>
        <w:rPr>
          <w:sz w:val="20"/>
          <w:szCs w:val="20"/>
          <w:color w:val="auto"/>
        </w:rPr>
      </w:pPr>
    </w:p>
    <w:p>
      <w:pPr>
        <w:jc w:val="center"/>
        <w:ind w:left="3900"/>
        <w:spacing w:after="0"/>
        <w:rPr>
          <w:sz w:val="20"/>
          <w:szCs w:val="20"/>
          <w:color w:val="auto"/>
        </w:rPr>
      </w:pPr>
      <w:r>
        <w:rPr>
          <w:rFonts w:ascii="Arial" w:cs="Arial" w:eastAsia="Arial" w:hAnsi="Arial"/>
          <w:sz w:val="20"/>
          <w:szCs w:val="20"/>
          <w:color w:val="auto"/>
        </w:rPr>
        <w:t>Commitment</w:t>
      </w:r>
    </w:p>
    <w:p>
      <w:pPr>
        <w:spacing w:after="0" w:line="70" w:lineRule="exact"/>
        <w:rPr>
          <w:sz w:val="20"/>
          <w:szCs w:val="20"/>
          <w:color w:val="auto"/>
        </w:rPr>
      </w:pPr>
    </w:p>
    <w:p>
      <w:pPr>
        <w:jc w:val="center"/>
        <w:ind w:left="3900"/>
        <w:spacing w:after="0"/>
        <w:rPr>
          <w:sz w:val="20"/>
          <w:szCs w:val="20"/>
          <w:color w:val="auto"/>
        </w:rPr>
      </w:pPr>
      <w:r>
        <w:rPr>
          <w:rFonts w:ascii="Arial" w:cs="Arial" w:eastAsia="Arial" w:hAnsi="Arial"/>
          <w:sz w:val="20"/>
          <w:szCs w:val="20"/>
          <w:color w:val="auto"/>
        </w:rPr>
        <w:t>&amp; Letters of</w:t>
      </w:r>
    </w:p>
    <w:p>
      <w:pPr>
        <w:spacing w:after="0" w:line="70" w:lineRule="exact"/>
        <w:rPr>
          <w:sz w:val="20"/>
          <w:szCs w:val="20"/>
          <w:color w:val="auto"/>
        </w:rPr>
      </w:pPr>
    </w:p>
    <w:p>
      <w:pPr>
        <w:jc w:val="center"/>
        <w:ind w:left="3900"/>
        <w:spacing w:after="0"/>
        <w:rPr>
          <w:sz w:val="20"/>
          <w:szCs w:val="20"/>
          <w:color w:val="auto"/>
        </w:rPr>
      </w:pPr>
      <w:r>
        <w:rPr>
          <w:rFonts w:ascii="Arial" w:cs="Arial" w:eastAsia="Arial" w:hAnsi="Arial"/>
          <w:sz w:val="20"/>
          <w:szCs w:val="20"/>
          <w:color w:val="auto"/>
        </w:rPr>
        <w:t>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26035</wp:posOffset>
            </wp:positionV>
            <wp:extent cx="3580765" cy="2057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88">
                      <a:extLst>
                        <a:ext uri="{28A0092B-C50C-407E-A947-70E740481C1C}"/>
                      </a:extLst>
                    </a:blip>
                    <a:srcRect/>
                    <a:stretch>
                      <a:fillRect/>
                    </a:stretch>
                  </pic:blipFill>
                  <pic:spPr bwMode="auto">
                    <a:xfrm>
                      <a:off x="0" y="0"/>
                      <a:ext cx="3580765" cy="205740"/>
                    </a:xfrm>
                    <a:prstGeom prst="rect">
                      <a:avLst/>
                    </a:prstGeom>
                    <a:noFill/>
                  </pic:spPr>
                </pic:pic>
              </a:graphicData>
            </a:graphic>
          </wp:anchor>
        </w:drawing>
      </w:r>
    </w:p>
    <w:p>
      <w:pPr>
        <w:spacing w:after="0" w:line="7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2025</w:t>
      </w:r>
    </w:p>
    <w:p>
      <w:pPr>
        <w:spacing w:after="0" w:line="8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ALLOWANCE FOR UNFUNDED LOAN</w:t>
      </w:r>
    </w:p>
    <w:p>
      <w:pPr>
        <w:spacing w:after="0" w:line="7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COMMITMENTS AND</w:t>
      </w:r>
    </w:p>
    <w:p>
      <w:pPr>
        <w:spacing w:after="0" w:line="70" w:lineRule="exact"/>
        <w:rPr>
          <w:sz w:val="20"/>
          <w:szCs w:val="20"/>
          <w:color w:val="auto"/>
        </w:rPr>
      </w:pPr>
    </w:p>
    <w:p>
      <w:pPr>
        <w:ind w:left="2020"/>
        <w:spacing w:after="0"/>
        <w:rPr>
          <w:sz w:val="20"/>
          <w:szCs w:val="20"/>
          <w:color w:val="auto"/>
        </w:rPr>
      </w:pPr>
      <w:r>
        <w:rPr>
          <w:rFonts w:ascii="Arial" w:cs="Arial" w:eastAsia="Arial" w:hAnsi="Arial"/>
          <w:sz w:val="20"/>
          <w:szCs w:val="20"/>
          <w:b w:val="1"/>
          <w:bCs w:val="1"/>
          <w:color w:val="auto"/>
        </w:rPr>
        <w:t>LETTERS OF CREDIT</w:t>
      </w:r>
    </w:p>
    <w:p>
      <w:pPr>
        <w:spacing w:after="0" w:line="41" w:lineRule="exact"/>
        <w:rPr>
          <w:sz w:val="20"/>
          <w:szCs w:val="20"/>
          <w:color w:val="auto"/>
        </w:rPr>
      </w:pPr>
    </w:p>
    <w:tbl>
      <w:tblPr>
        <w:tblLayout w:type="fixed"/>
        <w:tblInd w:w="1880" w:type="dxa"/>
        <w:tblCellMar>
          <w:top w:w="0" w:type="dxa"/>
          <w:left w:w="0" w:type="dxa"/>
          <w:bottom w:w="0" w:type="dxa"/>
          <w:right w:w="0" w:type="dxa"/>
        </w:tblCellMar>
      </w:tblPr>
      <w:tr>
        <w:trPr>
          <w:trHeight w:val="294"/>
        </w:trPr>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Beginning balance</w:t>
            </w:r>
          </w:p>
        </w:tc>
        <w:tc>
          <w:tcPr>
            <w:tcW w:w="1260" w:type="dxa"/>
            <w:vAlign w:val="bottom"/>
            <w:tcBorders>
              <w:bottom w:val="single" w:sz="8" w:color="CFF0FC"/>
            </w:tcBorders>
            <w:shd w:val="clear" w:color="auto" w:fill="CFF0FC"/>
          </w:tcPr>
          <w:p>
            <w:pPr>
              <w:jc w:val="right"/>
              <w:ind w:right="38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1,541</w:t>
            </w:r>
          </w:p>
        </w:tc>
      </w:tr>
      <w:tr>
        <w:trPr>
          <w:trHeight w:val="274"/>
        </w:trPr>
        <w:tc>
          <w:tcPr>
            <w:tcW w:w="3320" w:type="dxa"/>
            <w:vAlign w:val="bottom"/>
          </w:tcPr>
          <w:p>
            <w:pPr>
              <w:ind w:left="60"/>
              <w:spacing w:after="0"/>
              <w:rPr>
                <w:sz w:val="20"/>
                <w:szCs w:val="20"/>
                <w:color w:val="auto"/>
              </w:rPr>
            </w:pPr>
            <w:r>
              <w:rPr>
                <w:rFonts w:ascii="Arial" w:cs="Arial" w:eastAsia="Arial" w:hAnsi="Arial"/>
                <w:sz w:val="20"/>
                <w:szCs w:val="20"/>
                <w:color w:val="auto"/>
              </w:rPr>
              <w:t>Recovery of credit losses - off</w:t>
            </w:r>
          </w:p>
        </w:tc>
        <w:tc>
          <w:tcPr>
            <w:tcW w:w="12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00"/>
        </w:trPr>
        <w:tc>
          <w:tcPr>
            <w:tcW w:w="3320" w:type="dxa"/>
            <w:vAlign w:val="bottom"/>
          </w:tcPr>
          <w:p>
            <w:pPr>
              <w:ind w:left="220"/>
              <w:spacing w:after="0"/>
              <w:rPr>
                <w:sz w:val="20"/>
                <w:szCs w:val="20"/>
                <w:color w:val="auto"/>
              </w:rPr>
            </w:pPr>
            <w:r>
              <w:rPr>
                <w:rFonts w:ascii="Arial" w:cs="Arial" w:eastAsia="Arial" w:hAnsi="Arial"/>
                <w:sz w:val="20"/>
                <w:szCs w:val="20"/>
                <w:color w:val="auto"/>
              </w:rPr>
              <w:t>balance sheet credit exposures</w:t>
            </w:r>
          </w:p>
        </w:tc>
        <w:tc>
          <w:tcPr>
            <w:tcW w:w="1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(506)</w:t>
            </w:r>
          </w:p>
        </w:tc>
      </w:tr>
      <w:tr>
        <w:trPr>
          <w:trHeight w:val="41"/>
        </w:trPr>
        <w:tc>
          <w:tcPr>
            <w:tcW w:w="3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329"/>
        </w:trPr>
        <w:tc>
          <w:tcPr>
            <w:tcW w:w="3320" w:type="dxa"/>
            <w:vAlign w:val="bottom"/>
            <w:shd w:val="clear" w:color="auto" w:fill="CFF0FC"/>
          </w:tcPr>
          <w:p>
            <w:pPr>
              <w:spacing w:after="0"/>
              <w:rPr>
                <w:sz w:val="20"/>
                <w:szCs w:val="20"/>
                <w:color w:val="auto"/>
              </w:rPr>
            </w:pPr>
            <w:r>
              <w:rPr>
                <w:rFonts w:ascii="Arial" w:cs="Arial" w:eastAsia="Arial" w:hAnsi="Arial"/>
                <w:sz w:val="20"/>
                <w:szCs w:val="20"/>
                <w:color w:val="auto"/>
              </w:rPr>
              <w:t>Ending Balance</w:t>
            </w:r>
          </w:p>
        </w:tc>
        <w:tc>
          <w:tcPr>
            <w:tcW w:w="1260" w:type="dxa"/>
            <w:vAlign w:val="bottom"/>
            <w:shd w:val="clear" w:color="auto" w:fill="CFF0FC"/>
          </w:tcPr>
          <w:p>
            <w:pPr>
              <w:jc w:val="right"/>
              <w:ind w:right="380"/>
              <w:spacing w:after="0"/>
              <w:rPr>
                <w:sz w:val="20"/>
                <w:szCs w:val="20"/>
                <w:color w:val="auto"/>
              </w:rPr>
            </w:pPr>
            <w:r>
              <w:rPr>
                <w:rFonts w:ascii="Arial" w:cs="Arial" w:eastAsia="Arial" w:hAnsi="Arial"/>
                <w:sz w:val="20"/>
                <w:szCs w:val="20"/>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1,035</w:t>
            </w:r>
          </w:p>
        </w:tc>
      </w:tr>
      <w:tr>
        <w:trPr>
          <w:trHeight w:val="41"/>
        </w:trPr>
        <w:tc>
          <w:tcPr>
            <w:tcW w:w="332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-233680</wp:posOffset>
            </wp:positionV>
            <wp:extent cx="1041400" cy="2343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89">
                      <a:extLst>
                        <a:ext uri="{28A0092B-C50C-407E-A947-70E740481C1C}"/>
                      </a:extLst>
                    </a:blip>
                    <a:srcRect/>
                    <a:stretch>
                      <a:fillRect/>
                    </a:stretch>
                  </pic:blipFill>
                  <pic:spPr bwMode="auto">
                    <a:xfrm>
                      <a:off x="0" y="0"/>
                      <a:ext cx="1041400" cy="23431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12</w:t>
      </w:r>
    </w:p>
    <w:p>
      <w:pPr>
        <w:sectPr>
          <w:pgSz w:w="11900" w:h="16838" w:orient="portrait"/>
          <w:cols w:equalWidth="0" w:num="1">
            <w:col w:w="9400"/>
          </w:cols>
          <w:pgMar w:left="1260" w:top="1440" w:right="1246" w:bottom="0" w:gutter="0" w:footer="0" w:header="0"/>
          <w:type w:val="continuous"/>
        </w:sectPr>
      </w:pPr>
    </w:p>
    <w:bookmarkStart w:id="194" w:name="page195"/>
    <w:bookmarkEnd w:id="194"/>
    <w:p>
      <w:pPr>
        <w:jc w:val="center"/>
        <w:ind w:right="-13"/>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 / 12</w:t>
      </w:r>
    </w:p>
    <w:p>
      <w:pPr>
        <w:sectPr>
          <w:pgSz w:w="11900" w:h="16838" w:orient="portrait"/>
          <w:cols w:equalWidth="0" w:num="1">
            <w:col w:w="9026"/>
          </w:cols>
          <w:pgMar w:left="1440" w:top="1413" w:right="1440" w:bottom="0" w:gutter="0" w:footer="0" w:header="0"/>
          <w:type w:val="continuous"/>
        </w:sectPr>
      </w:pPr>
    </w:p>
    <w:bookmarkStart w:id="195" w:name="page196"/>
    <w:bookmarkEnd w:id="195"/>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20"/>
                <w:szCs w:val="20"/>
                <w:color w:val="auto"/>
                <w:w w:val="95"/>
              </w:rPr>
              <w:t>(In Thousands)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24"/>
        </w:trPr>
        <w:tc>
          <w:tcPr>
            <w:tcW w:w="140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Arial" w:cs="Arial" w:eastAsia="Arial" w:hAnsi="Arial"/>
                <w:sz w:val="20"/>
                <w:szCs w:val="20"/>
                <w:color w:val="auto"/>
                <w:w w:val="99"/>
              </w:rPr>
              <w:t>Consumer</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w w:val="95"/>
              </w:rPr>
              <w:t>Commercial</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0"/>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0"/>
              <w:spacing w:after="0"/>
              <w:rPr>
                <w:sz w:val="20"/>
                <w:szCs w:val="20"/>
                <w:color w:val="auto"/>
              </w:rPr>
            </w:pPr>
            <w:r>
              <w:rPr>
                <w:rFonts w:ascii="Arial" w:cs="Arial" w:eastAsia="Arial" w:hAnsi="Arial"/>
                <w:sz w:val="20"/>
                <w:szCs w:val="20"/>
                <w:color w:val="auto"/>
              </w:rPr>
              <w:t>Real</w:t>
            </w:r>
          </w:p>
        </w:tc>
        <w:tc>
          <w:tcPr>
            <w:tcW w:w="1100" w:type="dxa"/>
            <w:vAlign w:val="bottom"/>
            <w:gridSpan w:val="2"/>
          </w:tcPr>
          <w:p>
            <w:pPr>
              <w:ind w:left="40"/>
              <w:spacing w:after="0"/>
              <w:rPr>
                <w:sz w:val="20"/>
                <w:szCs w:val="20"/>
                <w:color w:val="auto"/>
              </w:rPr>
            </w:pPr>
            <w:r>
              <w:rPr>
                <w:rFonts w:ascii="Arial" w:cs="Arial" w:eastAsia="Arial" w:hAnsi="Arial"/>
                <w:sz w:val="20"/>
                <w:szCs w:val="20"/>
                <w:color w:val="auto"/>
              </w:rPr>
              <w:t>Agricultural</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20"/>
                <w:szCs w:val="20"/>
                <w:color w:val="auto"/>
              </w:rPr>
              <w:t>Commercial</w:t>
            </w:r>
          </w:p>
        </w:tc>
        <w:tc>
          <w:tcPr>
            <w:tcW w:w="160" w:type="dxa"/>
            <w:vAlign w:val="bottom"/>
          </w:tcPr>
          <w:p>
            <w:pPr>
              <w:spacing w:after="0"/>
              <w:rPr>
                <w:sz w:val="24"/>
                <w:szCs w:val="24"/>
                <w:color w:val="auto"/>
              </w:rPr>
            </w:pPr>
          </w:p>
        </w:tc>
        <w:tc>
          <w:tcPr>
            <w:tcW w:w="1000" w:type="dxa"/>
            <w:vAlign w:val="bottom"/>
          </w:tcPr>
          <w:p>
            <w:pPr>
              <w:jc w:val="right"/>
              <w:ind w:right="400"/>
              <w:spacing w:after="0"/>
              <w:rPr>
                <w:sz w:val="20"/>
                <w:szCs w:val="20"/>
                <w:color w:val="auto"/>
              </w:rPr>
            </w:pPr>
            <w:r>
              <w:rPr>
                <w:rFonts w:ascii="Arial" w:cs="Arial" w:eastAsia="Arial" w:hAnsi="Arial"/>
                <w:sz w:val="20"/>
                <w:szCs w:val="20"/>
                <w:color w:val="auto"/>
              </w:rPr>
              <w:t>and</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0"/>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180"/>
              <w:spacing w:after="0"/>
              <w:rPr>
                <w:sz w:val="20"/>
                <w:szCs w:val="20"/>
                <w:color w:val="auto"/>
              </w:rPr>
            </w:pPr>
            <w:r>
              <w:rPr>
                <w:rFonts w:ascii="Arial" w:cs="Arial" w:eastAsia="Arial" w:hAnsi="Arial"/>
                <w:sz w:val="20"/>
                <w:szCs w:val="20"/>
                <w:color w:val="auto"/>
                <w:w w:val="91"/>
              </w:rPr>
              <w:t>Estate</w:t>
            </w:r>
          </w:p>
        </w:tc>
        <w:tc>
          <w:tcPr>
            <w:tcW w:w="1100" w:type="dxa"/>
            <w:vAlign w:val="bottom"/>
            <w:gridSpan w:val="2"/>
          </w:tcPr>
          <w:p>
            <w:pPr>
              <w:jc w:val="right"/>
              <w:ind w:right="20"/>
              <w:spacing w:after="0"/>
              <w:rPr>
                <w:sz w:val="20"/>
                <w:szCs w:val="20"/>
                <w:color w:val="auto"/>
              </w:rPr>
            </w:pPr>
            <w:r>
              <w:rPr>
                <w:rFonts w:ascii="Arial" w:cs="Arial" w:eastAsia="Arial" w:hAnsi="Arial"/>
                <w:sz w:val="20"/>
                <w:szCs w:val="20"/>
                <w:color w:val="auto"/>
                <w:w w:val="92"/>
              </w:rPr>
              <w:t>Real Estate</w:t>
            </w:r>
          </w:p>
        </w:tc>
        <w:tc>
          <w:tcPr>
            <w:tcW w:w="1180" w:type="dxa"/>
            <w:vAlign w:val="bottom"/>
            <w:gridSpan w:val="2"/>
          </w:tcPr>
          <w:p>
            <w:pPr>
              <w:ind w:left="80"/>
              <w:spacing w:after="0"/>
              <w:rPr>
                <w:sz w:val="20"/>
                <w:szCs w:val="20"/>
                <w:color w:val="auto"/>
              </w:rPr>
            </w:pPr>
            <w:r>
              <w:rPr>
                <w:rFonts w:ascii="Arial" w:cs="Arial" w:eastAsia="Arial" w:hAnsi="Arial"/>
                <w:sz w:val="20"/>
                <w:szCs w:val="20"/>
                <w:color w:val="auto"/>
              </w:rPr>
              <w:t>Agricultural</w:t>
            </w:r>
          </w:p>
        </w:tc>
        <w:tc>
          <w:tcPr>
            <w:tcW w:w="1160" w:type="dxa"/>
            <w:vAlign w:val="bottom"/>
            <w:gridSpan w:val="2"/>
          </w:tcPr>
          <w:p>
            <w:pPr>
              <w:jc w:val="right"/>
              <w:ind w:right="60"/>
              <w:spacing w:after="0"/>
              <w:rPr>
                <w:sz w:val="20"/>
                <w:szCs w:val="20"/>
                <w:color w:val="auto"/>
              </w:rPr>
            </w:pPr>
            <w:r>
              <w:rPr>
                <w:rFonts w:ascii="Arial" w:cs="Arial" w:eastAsia="Arial" w:hAnsi="Arial"/>
                <w:sz w:val="20"/>
                <w:szCs w:val="20"/>
                <w:color w:val="auto"/>
                <w:w w:val="94"/>
              </w:rPr>
              <w:t>Real Estate</w:t>
            </w:r>
          </w:p>
        </w:tc>
        <w:tc>
          <w:tcPr>
            <w:tcW w:w="16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Arial" w:cs="Arial" w:eastAsia="Arial" w:hAnsi="Arial"/>
                <w:sz w:val="20"/>
                <w:szCs w:val="20"/>
                <w:color w:val="auto"/>
                <w:w w:val="91"/>
              </w:rPr>
              <w:t>Industrial</w:t>
            </w: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9"/>
              </w:rPr>
              <w:t>Consumer</w:t>
            </w:r>
          </w:p>
        </w:tc>
        <w:tc>
          <w:tcPr>
            <w:tcW w:w="580" w:type="dxa"/>
            <w:vAlign w:val="bottom"/>
          </w:tcPr>
          <w:p>
            <w:pPr>
              <w:jc w:val="right"/>
              <w:spacing w:after="0"/>
              <w:rPr>
                <w:sz w:val="20"/>
                <w:szCs w:val="20"/>
                <w:color w:val="auto"/>
              </w:rPr>
            </w:pPr>
            <w:r>
              <w:rPr>
                <w:rFonts w:ascii="Arial" w:cs="Arial" w:eastAsia="Arial" w:hAnsi="Arial"/>
                <w:sz w:val="20"/>
                <w:szCs w:val="20"/>
                <w:color w:val="auto"/>
                <w:w w:val="95"/>
              </w:rPr>
              <w:t>Other</w:t>
            </w:r>
          </w:p>
        </w:tc>
        <w:tc>
          <w:tcPr>
            <w:tcW w:w="840" w:type="dxa"/>
            <w:vAlign w:val="bottom"/>
          </w:tcPr>
          <w:p>
            <w:pPr>
              <w:jc w:val="right"/>
              <w:ind w:right="120"/>
              <w:spacing w:after="0"/>
              <w:rPr>
                <w:sz w:val="20"/>
                <w:szCs w:val="20"/>
                <w:color w:val="auto"/>
              </w:rPr>
            </w:pPr>
            <w:r>
              <w:rPr>
                <w:rFonts w:ascii="Arial" w:cs="Arial" w:eastAsia="Arial" w:hAnsi="Arial"/>
                <w:sz w:val="20"/>
                <w:szCs w:val="20"/>
                <w:color w:val="auto"/>
              </w:rPr>
              <w:t>Total</w:t>
            </w:r>
          </w:p>
        </w:tc>
      </w:tr>
      <w:tr>
        <w:trPr>
          <w:trHeight w:val="51"/>
        </w:trPr>
        <w:tc>
          <w:tcPr>
            <w:tcW w:w="1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94"/>
        </w:trPr>
        <w:tc>
          <w:tcPr>
            <w:tcW w:w="1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2024</w:t>
            </w:r>
          </w:p>
        </w:tc>
        <w:tc>
          <w:tcPr>
            <w:tcW w:w="1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0"/>
                <w:szCs w:val="20"/>
                <w:b w:val="1"/>
                <w:bCs w:val="1"/>
                <w:color w:val="auto"/>
              </w:rPr>
              <w:t>ALLOWANCE</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300"/>
        </w:trPr>
        <w:tc>
          <w:tcPr>
            <w:tcW w:w="1400" w:type="dxa"/>
            <w:vAlign w:val="bottom"/>
          </w:tcPr>
          <w:p>
            <w:pPr>
              <w:spacing w:after="0"/>
              <w:rPr>
                <w:sz w:val="20"/>
                <w:szCs w:val="20"/>
                <w:color w:val="auto"/>
              </w:rPr>
            </w:pPr>
            <w:r>
              <w:rPr>
                <w:rFonts w:ascii="Arial" w:cs="Arial" w:eastAsia="Arial" w:hAnsi="Arial"/>
                <w:sz w:val="20"/>
                <w:szCs w:val="20"/>
                <w:b w:val="1"/>
                <w:bCs w:val="1"/>
                <w:color w:val="auto"/>
              </w:rPr>
              <w:t>FOR CREDIT</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0"/>
        </w:trPr>
        <w:tc>
          <w:tcPr>
            <w:tcW w:w="1400" w:type="dxa"/>
            <w:vAlign w:val="bottom"/>
          </w:tcPr>
          <w:p>
            <w:pPr>
              <w:ind w:left="140"/>
              <w:spacing w:after="0"/>
              <w:rPr>
                <w:sz w:val="20"/>
                <w:szCs w:val="20"/>
                <w:color w:val="auto"/>
              </w:rPr>
            </w:pPr>
            <w:r>
              <w:rPr>
                <w:rFonts w:ascii="Arial" w:cs="Arial" w:eastAsia="Arial" w:hAnsi="Arial"/>
                <w:sz w:val="20"/>
                <w:szCs w:val="20"/>
                <w:b w:val="1"/>
                <w:bCs w:val="1"/>
                <w:color w:val="auto"/>
              </w:rPr>
              <w:t>LOSSES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
        </w:trPr>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74"/>
        </w:trPr>
        <w:tc>
          <w:tcPr>
            <w:tcW w:w="1400" w:type="dxa"/>
            <w:vAlign w:val="bottom"/>
            <w:shd w:val="clear" w:color="auto" w:fill="CFF0FC"/>
          </w:tcPr>
          <w:p>
            <w:pPr>
              <w:spacing w:after="0"/>
              <w:rPr>
                <w:sz w:val="20"/>
                <w:szCs w:val="20"/>
                <w:color w:val="auto"/>
              </w:rPr>
            </w:pPr>
            <w:r>
              <w:rPr>
                <w:rFonts w:ascii="Arial" w:cs="Arial" w:eastAsia="Arial" w:hAnsi="Arial"/>
                <w:sz w:val="20"/>
                <w:szCs w:val="20"/>
                <w:color w:val="auto"/>
              </w:rPr>
              <w:t>Beginning</w:t>
            </w:r>
          </w:p>
        </w:tc>
        <w:tc>
          <w:tcPr>
            <w:tcW w:w="180" w:type="dxa"/>
            <w:vAlign w:val="bottom"/>
            <w:shd w:val="clear" w:color="auto" w:fill="CFF0FC"/>
          </w:tcPr>
          <w:p>
            <w:pPr>
              <w:spacing w:after="0"/>
              <w:rPr>
                <w:sz w:val="23"/>
                <w:szCs w:val="23"/>
                <w:color w:val="auto"/>
              </w:rPr>
            </w:pPr>
          </w:p>
        </w:tc>
        <w:tc>
          <w:tcPr>
            <w:tcW w:w="82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66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7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58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r>
      <w:tr>
        <w:trPr>
          <w:trHeight w:val="321"/>
        </w:trPr>
        <w:tc>
          <w:tcPr>
            <w:tcW w:w="1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w:t>
            </w:r>
          </w:p>
        </w:tc>
        <w:tc>
          <w:tcPr>
            <w:tcW w:w="1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3,581</w:t>
            </w:r>
          </w:p>
        </w:tc>
        <w:tc>
          <w:tcPr>
            <w:tcW w:w="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312</w:t>
            </w:r>
          </w:p>
        </w:tc>
        <w:tc>
          <w:tcPr>
            <w:tcW w:w="4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336</w:t>
            </w:r>
          </w:p>
        </w:tc>
        <w:tc>
          <w:tcPr>
            <w:tcW w:w="3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17,400</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1,766</w:t>
            </w:r>
          </w:p>
        </w:tc>
        <w:tc>
          <w:tcPr>
            <w:tcW w:w="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1,302</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5"/>
              </w:rPr>
              <w:t>$ 327</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9"/>
              </w:rPr>
              <w:t>$25,024</w:t>
            </w:r>
          </w:p>
        </w:tc>
      </w:tr>
      <w:tr>
        <w:trPr>
          <w:trHeight w:val="274"/>
        </w:trPr>
        <w:tc>
          <w:tcPr>
            <w:tcW w:w="1400" w:type="dxa"/>
            <w:vAlign w:val="bottom"/>
          </w:tcPr>
          <w:p>
            <w:pPr>
              <w:ind w:left="20"/>
              <w:spacing w:after="0"/>
              <w:rPr>
                <w:sz w:val="20"/>
                <w:szCs w:val="20"/>
                <w:color w:val="auto"/>
              </w:rPr>
            </w:pPr>
            <w:r>
              <w:rPr>
                <w:rFonts w:ascii="Arial" w:cs="Arial" w:eastAsia="Arial" w:hAnsi="Arial"/>
                <w:sz w:val="20"/>
                <w:szCs w:val="20"/>
                <w:color w:val="auto"/>
              </w:rPr>
              <w:t>Provision for</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300"/>
        </w:trPr>
        <w:tc>
          <w:tcPr>
            <w:tcW w:w="1400" w:type="dxa"/>
            <w:vAlign w:val="bottom"/>
          </w:tcPr>
          <w:p>
            <w:pPr>
              <w:ind w:left="20"/>
              <w:spacing w:after="0"/>
              <w:rPr>
                <w:sz w:val="20"/>
                <w:szCs w:val="20"/>
                <w:color w:val="auto"/>
              </w:rPr>
            </w:pPr>
            <w:r>
              <w:rPr>
                <w:rFonts w:ascii="Arial" w:cs="Arial" w:eastAsia="Arial" w:hAnsi="Arial"/>
                <w:sz w:val="20"/>
                <w:szCs w:val="20"/>
                <w:color w:val="auto"/>
              </w:rPr>
              <w:t>(recovery of)</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0"/>
        </w:trPr>
        <w:tc>
          <w:tcPr>
            <w:tcW w:w="1400" w:type="dxa"/>
            <w:vAlign w:val="bottom"/>
          </w:tcPr>
          <w:p>
            <w:pPr>
              <w:ind w:left="20"/>
              <w:spacing w:after="0"/>
              <w:rPr>
                <w:sz w:val="20"/>
                <w:szCs w:val="20"/>
                <w:color w:val="auto"/>
              </w:rPr>
            </w:pPr>
            <w:r>
              <w:rPr>
                <w:rFonts w:ascii="Arial" w:cs="Arial" w:eastAsia="Arial" w:hAnsi="Arial"/>
                <w:sz w:val="20"/>
                <w:szCs w:val="20"/>
                <w:color w:val="auto"/>
              </w:rPr>
              <w:t>credit</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0"/>
        </w:trPr>
        <w:tc>
          <w:tcPr>
            <w:tcW w:w="1400" w:type="dxa"/>
            <w:vAlign w:val="bottom"/>
          </w:tcPr>
          <w:p>
            <w:pPr>
              <w:ind w:left="160"/>
              <w:spacing w:after="0"/>
              <w:rPr>
                <w:sz w:val="20"/>
                <w:szCs w:val="20"/>
                <w:color w:val="auto"/>
              </w:rPr>
            </w:pPr>
            <w:r>
              <w:rPr>
                <w:rFonts w:ascii="Arial" w:cs="Arial" w:eastAsia="Arial" w:hAnsi="Arial"/>
                <w:sz w:val="20"/>
                <w:szCs w:val="20"/>
                <w:color w:val="auto"/>
                <w:w w:val="99"/>
              </w:rPr>
              <w:t>losses - loans</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(31)</w:t>
            </w: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583</w:t>
            </w:r>
          </w:p>
        </w:tc>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(52)</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(834)</w:t>
            </w:r>
          </w:p>
        </w:tc>
        <w:tc>
          <w:tcPr>
            <w:tcW w:w="16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1,176</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(133)</w:t>
            </w:r>
          </w:p>
        </w:tc>
        <w:tc>
          <w:tcPr>
            <w:tcW w:w="580" w:type="dxa"/>
            <w:vAlign w:val="bottom"/>
          </w:tcPr>
          <w:p>
            <w:pPr>
              <w:jc w:val="right"/>
              <w:spacing w:after="0"/>
              <w:rPr>
                <w:sz w:val="20"/>
                <w:szCs w:val="20"/>
                <w:color w:val="auto"/>
              </w:rPr>
            </w:pPr>
            <w:r>
              <w:rPr>
                <w:rFonts w:ascii="Arial" w:cs="Arial" w:eastAsia="Arial" w:hAnsi="Arial"/>
                <w:sz w:val="20"/>
                <w:szCs w:val="20"/>
                <w:color w:val="auto"/>
              </w:rPr>
              <w:t>235</w:t>
            </w:r>
          </w:p>
        </w:tc>
        <w:tc>
          <w:tcPr>
            <w:tcW w:w="840" w:type="dxa"/>
            <w:vAlign w:val="bottom"/>
          </w:tcPr>
          <w:p>
            <w:pPr>
              <w:jc w:val="right"/>
              <w:spacing w:after="0"/>
              <w:rPr>
                <w:sz w:val="20"/>
                <w:szCs w:val="20"/>
                <w:color w:val="auto"/>
              </w:rPr>
            </w:pPr>
            <w:r>
              <w:rPr>
                <w:rFonts w:ascii="Arial" w:cs="Arial" w:eastAsia="Arial" w:hAnsi="Arial"/>
                <w:sz w:val="20"/>
                <w:szCs w:val="20"/>
                <w:color w:val="auto"/>
              </w:rPr>
              <w:t>944</w:t>
            </w:r>
          </w:p>
        </w:tc>
      </w:tr>
      <w:tr>
        <w:trPr>
          <w:trHeight w:val="41"/>
        </w:trPr>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1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Charge-offs</w:t>
            </w:r>
          </w:p>
        </w:tc>
        <w:tc>
          <w:tcPr>
            <w:tcW w:w="1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4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w:t>
            </w:r>
          </w:p>
        </w:tc>
        <w:tc>
          <w:tcPr>
            <w:tcW w:w="1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(106)</w:t>
            </w:r>
          </w:p>
        </w:tc>
        <w:tc>
          <w:tcPr>
            <w:tcW w:w="2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(346)</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(480)</w:t>
            </w:r>
          </w:p>
        </w:tc>
      </w:tr>
      <w:tr>
        <w:trPr>
          <w:trHeight w:val="274"/>
        </w:trPr>
        <w:tc>
          <w:tcPr>
            <w:tcW w:w="1400" w:type="dxa"/>
            <w:vAlign w:val="bottom"/>
          </w:tcPr>
          <w:p>
            <w:pPr>
              <w:ind w:left="20"/>
              <w:spacing w:after="0"/>
              <w:rPr>
                <w:sz w:val="20"/>
                <w:szCs w:val="20"/>
                <w:color w:val="auto"/>
              </w:rPr>
            </w:pPr>
            <w:r>
              <w:rPr>
                <w:rFonts w:ascii="Arial" w:cs="Arial" w:eastAsia="Arial" w:hAnsi="Arial"/>
                <w:sz w:val="20"/>
                <w:szCs w:val="20"/>
                <w:color w:val="auto"/>
              </w:rPr>
              <w:t>Recoveries</w:t>
            </w:r>
          </w:p>
        </w:tc>
        <w:tc>
          <w:tcPr>
            <w:tcW w:w="1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20"/>
                <w:szCs w:val="20"/>
                <w:color w:val="auto"/>
              </w:rPr>
              <w:t>6</w:t>
            </w:r>
          </w:p>
        </w:tc>
        <w:tc>
          <w:tcPr>
            <w:tcW w:w="4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20"/>
                <w:szCs w:val="20"/>
                <w:color w:val="auto"/>
              </w:rPr>
              <w:t>1</w:t>
            </w:r>
          </w:p>
        </w:tc>
        <w:tc>
          <w:tcPr>
            <w:tcW w:w="3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9</w:t>
            </w:r>
          </w:p>
        </w:tc>
        <w:tc>
          <w:tcPr>
            <w:tcW w:w="16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133</w:t>
            </w:r>
          </w:p>
        </w:tc>
        <w:tc>
          <w:tcPr>
            <w:tcW w:w="28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20"/>
                <w:szCs w:val="20"/>
                <w:color w:val="auto"/>
              </w:rPr>
              <w:t>189</w:t>
            </w: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338</w:t>
            </w:r>
          </w:p>
        </w:tc>
      </w:tr>
      <w:tr>
        <w:trPr>
          <w:trHeight w:val="41"/>
        </w:trPr>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29"/>
        </w:trPr>
        <w:tc>
          <w:tcPr>
            <w:tcW w:w="1400" w:type="dxa"/>
            <w:vAlign w:val="bottom"/>
            <w:shd w:val="clear" w:color="auto" w:fill="CFF0FC"/>
          </w:tcPr>
          <w:p>
            <w:pPr>
              <w:spacing w:after="0"/>
              <w:rPr>
                <w:sz w:val="20"/>
                <w:szCs w:val="20"/>
                <w:color w:val="auto"/>
              </w:rPr>
            </w:pPr>
            <w:r>
              <w:rPr>
                <w:rFonts w:ascii="Arial" w:cs="Arial" w:eastAsia="Arial" w:hAnsi="Arial"/>
                <w:sz w:val="20"/>
                <w:szCs w:val="20"/>
                <w:color w:val="auto"/>
                <w:w w:val="98"/>
              </w:rPr>
              <w:t>Ending Balance</w:t>
            </w:r>
          </w:p>
        </w:tc>
        <w:tc>
          <w:tcPr>
            <w:tcW w:w="180" w:type="dxa"/>
            <w:vAlign w:val="bottom"/>
            <w:shd w:val="clear" w:color="auto" w:fill="CFF0FC"/>
          </w:tcPr>
          <w:p>
            <w:pPr>
              <w:ind w:left="60"/>
              <w:spacing w:after="0"/>
              <w:rPr>
                <w:sz w:val="20"/>
                <w:szCs w:val="20"/>
                <w:color w:val="auto"/>
              </w:rPr>
            </w:pPr>
            <w:r>
              <w:rPr>
                <w:rFonts w:ascii="Arial" w:cs="Arial" w:eastAsia="Arial" w:hAnsi="Arial"/>
                <w:sz w:val="20"/>
                <w:szCs w:val="20"/>
                <w:color w:val="auto"/>
                <w:w w:val="89"/>
              </w:rPr>
              <w:t>$</w:t>
            </w:r>
          </w:p>
        </w:tc>
        <w:tc>
          <w:tcPr>
            <w:tcW w:w="8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3,543</w:t>
            </w:r>
          </w:p>
        </w:tc>
        <w:tc>
          <w:tcPr>
            <w:tcW w:w="44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895</w:t>
            </w:r>
          </w:p>
        </w:tc>
        <w:tc>
          <w:tcPr>
            <w:tcW w:w="460" w:type="dxa"/>
            <w:vAlign w:val="bottom"/>
            <w:shd w:val="clear" w:color="auto" w:fill="CFF0FC"/>
          </w:tcPr>
          <w:p>
            <w:pPr>
              <w:ind w:left="80"/>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285</w:t>
            </w:r>
          </w:p>
        </w:tc>
        <w:tc>
          <w:tcPr>
            <w:tcW w:w="32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16,560</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2,969</w:t>
            </w:r>
          </w:p>
        </w:tc>
        <w:tc>
          <w:tcPr>
            <w:tcW w:w="2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1,012</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$ 562</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$25,826</w:t>
            </w:r>
          </w:p>
        </w:tc>
      </w:tr>
      <w:tr>
        <w:trPr>
          <w:trHeight w:val="41"/>
        </w:trPr>
        <w:tc>
          <w:tcPr>
            <w:tcW w:w="140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44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924560</wp:posOffset>
            </wp:positionH>
            <wp:positionV relativeFrom="paragraph">
              <wp:posOffset>-3168015</wp:posOffset>
            </wp:positionV>
            <wp:extent cx="5045710" cy="31686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1">
                      <a:extLst>
                        <a:ext uri="{28A0092B-C50C-407E-A947-70E740481C1C}"/>
                      </a:extLst>
                    </a:blip>
                    <a:srcRect/>
                    <a:stretch>
                      <a:fillRect/>
                    </a:stretch>
                  </pic:blipFill>
                  <pic:spPr bwMode="auto">
                    <a:xfrm>
                      <a:off x="0" y="0"/>
                      <a:ext cx="5045710" cy="316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26035</wp:posOffset>
            </wp:positionV>
            <wp:extent cx="991870"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2">
                      <a:extLst>
                        <a:ext uri="{28A0092B-C50C-407E-A947-70E740481C1C}"/>
                      </a:extLst>
                    </a:blip>
                    <a:srcRect/>
                    <a:stretch>
                      <a:fillRect/>
                    </a:stretch>
                  </pic:blipFill>
                  <pic:spPr bwMode="auto">
                    <a:xfrm>
                      <a:off x="0" y="0"/>
                      <a:ext cx="991870" cy="6350"/>
                    </a:xfrm>
                    <a:prstGeom prst="rect">
                      <a:avLst/>
                    </a:prstGeom>
                    <a:noFill/>
                  </pic:spPr>
                </pic:pic>
              </a:graphicData>
            </a:graphic>
          </wp:anchor>
        </w:drawing>
      </w:r>
    </w:p>
    <w:p>
      <w:pPr>
        <w:spacing w:after="0" w:line="74"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Unfunded</w:t>
      </w:r>
    </w:p>
    <w:p>
      <w:pPr>
        <w:spacing w:after="0" w:line="70" w:lineRule="exact"/>
        <w:rPr>
          <w:sz w:val="20"/>
          <w:szCs w:val="20"/>
          <w:color w:val="auto"/>
        </w:rPr>
      </w:pPr>
    </w:p>
    <w:p>
      <w:pPr>
        <w:jc w:val="center"/>
        <w:ind w:left="3940"/>
        <w:spacing w:after="0"/>
        <w:rPr>
          <w:sz w:val="20"/>
          <w:szCs w:val="20"/>
          <w:color w:val="auto"/>
        </w:rPr>
      </w:pPr>
      <w:r>
        <w:rPr>
          <w:rFonts w:ascii="Arial" w:cs="Arial" w:eastAsia="Arial" w:hAnsi="Arial"/>
          <w:sz w:val="20"/>
          <w:szCs w:val="20"/>
          <w:color w:val="auto"/>
        </w:rPr>
        <w:t>Loan</w:t>
      </w:r>
    </w:p>
    <w:p>
      <w:pPr>
        <w:spacing w:after="0" w:line="70" w:lineRule="exact"/>
        <w:rPr>
          <w:sz w:val="20"/>
          <w:szCs w:val="20"/>
          <w:color w:val="auto"/>
        </w:rPr>
      </w:pPr>
    </w:p>
    <w:p>
      <w:pPr>
        <w:jc w:val="center"/>
        <w:ind w:left="3940"/>
        <w:spacing w:after="0"/>
        <w:rPr>
          <w:sz w:val="20"/>
          <w:szCs w:val="20"/>
          <w:color w:val="auto"/>
        </w:rPr>
      </w:pPr>
      <w:r>
        <w:rPr>
          <w:rFonts w:ascii="Arial" w:cs="Arial" w:eastAsia="Arial" w:hAnsi="Arial"/>
          <w:sz w:val="20"/>
          <w:szCs w:val="20"/>
          <w:color w:val="auto"/>
        </w:rPr>
        <w:t>Commitment</w:t>
      </w:r>
    </w:p>
    <w:p>
      <w:pPr>
        <w:spacing w:after="0" w:line="70" w:lineRule="exact"/>
        <w:rPr>
          <w:sz w:val="20"/>
          <w:szCs w:val="20"/>
          <w:color w:val="auto"/>
        </w:rPr>
      </w:pPr>
    </w:p>
    <w:p>
      <w:pPr>
        <w:jc w:val="center"/>
        <w:ind w:left="3940"/>
        <w:spacing w:after="0"/>
        <w:rPr>
          <w:sz w:val="20"/>
          <w:szCs w:val="20"/>
          <w:color w:val="auto"/>
        </w:rPr>
      </w:pPr>
      <w:r>
        <w:rPr>
          <w:rFonts w:ascii="Arial" w:cs="Arial" w:eastAsia="Arial" w:hAnsi="Arial"/>
          <w:sz w:val="20"/>
          <w:szCs w:val="20"/>
          <w:color w:val="auto"/>
        </w:rPr>
        <w:t>&amp; Letters of</w:t>
      </w:r>
    </w:p>
    <w:p>
      <w:pPr>
        <w:spacing w:after="0" w:line="70" w:lineRule="exact"/>
        <w:rPr>
          <w:sz w:val="20"/>
          <w:szCs w:val="20"/>
          <w:color w:val="auto"/>
        </w:rPr>
      </w:pPr>
    </w:p>
    <w:p>
      <w:pPr>
        <w:jc w:val="center"/>
        <w:ind w:left="3940"/>
        <w:spacing w:after="0"/>
        <w:rPr>
          <w:sz w:val="20"/>
          <w:szCs w:val="20"/>
          <w:color w:val="auto"/>
        </w:rPr>
      </w:pPr>
      <w:r>
        <w:rPr>
          <w:rFonts w:ascii="Arial" w:cs="Arial" w:eastAsia="Arial" w:hAnsi="Arial"/>
          <w:sz w:val="20"/>
          <w:szCs w:val="20"/>
          <w:color w:val="auto"/>
        </w:rPr>
        <w:t>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26035</wp:posOffset>
            </wp:positionV>
            <wp:extent cx="3580765" cy="2057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3">
                      <a:extLst>
                        <a:ext uri="{28A0092B-C50C-407E-A947-70E740481C1C}"/>
                      </a:extLst>
                    </a:blip>
                    <a:srcRect/>
                    <a:stretch>
                      <a:fillRect/>
                    </a:stretch>
                  </pic:blipFill>
                  <pic:spPr bwMode="auto">
                    <a:xfrm>
                      <a:off x="0" y="0"/>
                      <a:ext cx="3580765" cy="205740"/>
                    </a:xfrm>
                    <a:prstGeom prst="rect">
                      <a:avLst/>
                    </a:prstGeom>
                    <a:noFill/>
                  </pic:spPr>
                </pic:pic>
              </a:graphicData>
            </a:graphic>
          </wp:anchor>
        </w:drawing>
      </w:r>
    </w:p>
    <w:p>
      <w:pPr>
        <w:spacing w:after="0" w:line="7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2024</w:t>
      </w:r>
    </w:p>
    <w:p>
      <w:pPr>
        <w:spacing w:after="0" w:line="8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ALLOWANCE FOR UNFUNDED LOAN</w:t>
      </w:r>
    </w:p>
    <w:p>
      <w:pPr>
        <w:spacing w:after="0" w:line="7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COMMITMENTS AND</w:t>
      </w:r>
    </w:p>
    <w:p>
      <w:pPr>
        <w:spacing w:after="0" w:line="70" w:lineRule="exact"/>
        <w:rPr>
          <w:sz w:val="20"/>
          <w:szCs w:val="20"/>
          <w:color w:val="auto"/>
        </w:rPr>
      </w:pPr>
    </w:p>
    <w:p>
      <w:pPr>
        <w:ind w:left="2020"/>
        <w:spacing w:after="0"/>
        <w:rPr>
          <w:sz w:val="20"/>
          <w:szCs w:val="20"/>
          <w:color w:val="auto"/>
        </w:rPr>
      </w:pPr>
      <w:r>
        <w:rPr>
          <w:rFonts w:ascii="Arial" w:cs="Arial" w:eastAsia="Arial" w:hAnsi="Arial"/>
          <w:sz w:val="20"/>
          <w:szCs w:val="20"/>
          <w:b w:val="1"/>
          <w:bCs w:val="1"/>
          <w:color w:val="auto"/>
        </w:rPr>
        <w:t>LETTERS OF CREDIT</w:t>
      </w:r>
    </w:p>
    <w:p>
      <w:pPr>
        <w:spacing w:after="0" w:line="41" w:lineRule="exact"/>
        <w:rPr>
          <w:sz w:val="20"/>
          <w:szCs w:val="20"/>
          <w:color w:val="auto"/>
        </w:rPr>
      </w:pPr>
    </w:p>
    <w:tbl>
      <w:tblPr>
        <w:tblLayout w:type="fixed"/>
        <w:tblInd w:w="1880" w:type="dxa"/>
        <w:tblCellMar>
          <w:top w:w="0" w:type="dxa"/>
          <w:left w:w="0" w:type="dxa"/>
          <w:bottom w:w="0" w:type="dxa"/>
          <w:right w:w="0" w:type="dxa"/>
        </w:tblCellMar>
      </w:tblPr>
      <w:tr>
        <w:trPr>
          <w:trHeight w:val="294"/>
        </w:trPr>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Beginning balance</w:t>
            </w:r>
          </w:p>
        </w:tc>
        <w:tc>
          <w:tcPr>
            <w:tcW w:w="1280" w:type="dxa"/>
            <w:vAlign w:val="bottom"/>
            <w:tcBorders>
              <w:bottom w:val="single" w:sz="8" w:color="CFF0FC"/>
            </w:tcBorders>
            <w:shd w:val="clear" w:color="auto" w:fill="CFF0FC"/>
          </w:tcPr>
          <w:p>
            <w:pPr>
              <w:jc w:val="right"/>
              <w:ind w:right="40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2,212</w:t>
            </w:r>
          </w:p>
        </w:tc>
      </w:tr>
      <w:tr>
        <w:trPr>
          <w:trHeight w:val="274"/>
        </w:trPr>
        <w:tc>
          <w:tcPr>
            <w:tcW w:w="3320" w:type="dxa"/>
            <w:vAlign w:val="bottom"/>
          </w:tcPr>
          <w:p>
            <w:pPr>
              <w:ind w:left="60"/>
              <w:spacing w:after="0"/>
              <w:rPr>
                <w:sz w:val="20"/>
                <w:szCs w:val="20"/>
                <w:color w:val="auto"/>
              </w:rPr>
            </w:pPr>
            <w:r>
              <w:rPr>
                <w:rFonts w:ascii="Arial" w:cs="Arial" w:eastAsia="Arial" w:hAnsi="Arial"/>
                <w:sz w:val="20"/>
                <w:szCs w:val="20"/>
                <w:color w:val="auto"/>
              </w:rPr>
              <w:t>Recovery of credit losses - off</w:t>
            </w:r>
          </w:p>
        </w:tc>
        <w:tc>
          <w:tcPr>
            <w:tcW w:w="12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00"/>
        </w:trPr>
        <w:tc>
          <w:tcPr>
            <w:tcW w:w="3320" w:type="dxa"/>
            <w:vAlign w:val="bottom"/>
          </w:tcPr>
          <w:p>
            <w:pPr>
              <w:ind w:left="220"/>
              <w:spacing w:after="0"/>
              <w:rPr>
                <w:sz w:val="20"/>
                <w:szCs w:val="20"/>
                <w:color w:val="auto"/>
              </w:rPr>
            </w:pPr>
            <w:r>
              <w:rPr>
                <w:rFonts w:ascii="Arial" w:cs="Arial" w:eastAsia="Arial" w:hAnsi="Arial"/>
                <w:sz w:val="20"/>
                <w:szCs w:val="20"/>
                <w:color w:val="auto"/>
              </w:rPr>
              <w:t>balance sheet credit exposures</w:t>
            </w:r>
          </w:p>
        </w:tc>
        <w:tc>
          <w:tcPr>
            <w:tcW w:w="1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(671</w:t>
            </w: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12</w:t>
      </w:r>
    </w:p>
    <w:p>
      <w:pPr>
        <w:sectPr>
          <w:pgSz w:w="11900" w:h="16838" w:orient="portrait"/>
          <w:cols w:equalWidth="0" w:num="1">
            <w:col w:w="9400"/>
          </w:cols>
          <w:pgMar w:left="1260" w:top="1440" w:right="1246" w:bottom="0" w:gutter="0" w:footer="0" w:header="0"/>
          <w:type w:val="continuous"/>
        </w:sectPr>
      </w:pPr>
    </w:p>
    <w:bookmarkStart w:id="196" w:name="page197"/>
    <w:bookmarkEnd w:id="196"/>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Ending Balance</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28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24</w:t>
      </w:r>
    </w:p>
    <w:p>
      <w:pPr>
        <w:sectPr>
          <w:pgSz w:w="11900" w:h="16838" w:orient="portrait"/>
          <w:cols w:equalWidth="0" w:num="1">
            <w:col w:w="9400"/>
          </w:cols>
          <w:pgMar w:left="1260" w:top="1283" w:right="1246" w:bottom="0" w:gutter="0" w:footer="0" w:header="0"/>
          <w:type w:val="continuous"/>
        </w:sectPr>
      </w:pPr>
    </w:p>
    <w:bookmarkStart w:id="197" w:name="page198"/>
    <w:bookmarkEnd w:id="197"/>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Note 5 – Premises and Equipment</w:t>
      </w:r>
    </w:p>
    <w:p>
      <w:pPr>
        <w:spacing w:after="0" w:line="200" w:lineRule="exact"/>
        <w:rPr>
          <w:sz w:val="20"/>
          <w:szCs w:val="20"/>
          <w:color w:val="auto"/>
        </w:rPr>
      </w:pPr>
    </w:p>
    <w:p>
      <w:pPr>
        <w:jc w:val="both"/>
        <w:ind w:left="620" w:right="60"/>
        <w:spacing w:after="0" w:line="302" w:lineRule="auto"/>
        <w:rPr>
          <w:sz w:val="20"/>
          <w:szCs w:val="20"/>
          <w:color w:val="auto"/>
        </w:rPr>
      </w:pPr>
      <w:r>
        <w:rPr>
          <w:rFonts w:ascii="Arial" w:cs="Arial" w:eastAsia="Arial" w:hAnsi="Arial"/>
          <w:sz w:val="20"/>
          <w:szCs w:val="20"/>
          <w:color w:val="auto"/>
        </w:rPr>
        <w:t>The major categories of banking premises and equipment and accumulated depreciation at December 31 are summarized below:</w:t>
      </w:r>
    </w:p>
    <w:p>
      <w:pPr>
        <w:spacing w:after="0" w:line="356"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980" w:type="dxa"/>
            <w:vAlign w:val="bottom"/>
            <w:gridSpan w:val="3"/>
          </w:tcPr>
          <w:p>
            <w:pPr>
              <w:jc w:val="right"/>
              <w:ind w:right="420"/>
              <w:spacing w:after="0"/>
              <w:rPr>
                <w:sz w:val="20"/>
                <w:szCs w:val="20"/>
                <w:color w:val="auto"/>
              </w:rPr>
            </w:pPr>
            <w:r>
              <w:rPr>
                <w:rFonts w:ascii="Arial" w:cs="Arial" w:eastAsia="Arial" w:hAnsi="Arial"/>
                <w:sz w:val="20"/>
                <w:szCs w:val="20"/>
                <w:color w:val="auto"/>
              </w:rPr>
              <w:t>(In Thousands)</w:t>
            </w:r>
          </w:p>
        </w:tc>
      </w:tr>
      <w:tr>
        <w:trPr>
          <w:trHeight w:val="324"/>
        </w:trPr>
        <w:tc>
          <w:tcPr>
            <w:tcW w:w="3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jc w:val="right"/>
              <w:ind w:right="300"/>
              <w:spacing w:after="0"/>
              <w:rPr>
                <w:sz w:val="20"/>
                <w:szCs w:val="20"/>
                <w:color w:val="auto"/>
              </w:rPr>
            </w:pPr>
            <w:r>
              <w:rPr>
                <w:rFonts w:ascii="Arial" w:cs="Arial" w:eastAsia="Arial" w:hAnsi="Arial"/>
                <w:sz w:val="20"/>
                <w:szCs w:val="20"/>
                <w:color w:val="auto"/>
              </w:rPr>
              <w:t>2025</w:t>
            </w:r>
          </w:p>
        </w:tc>
        <w:tc>
          <w:tcPr>
            <w:tcW w:w="260" w:type="dxa"/>
            <w:vAlign w:val="bottom"/>
          </w:tcPr>
          <w:p>
            <w:pPr>
              <w:spacing w:after="0"/>
              <w:rPr>
                <w:sz w:val="24"/>
                <w:szCs w:val="24"/>
                <w:color w:val="auto"/>
              </w:rPr>
            </w:pPr>
          </w:p>
        </w:tc>
        <w:tc>
          <w:tcPr>
            <w:tcW w:w="840" w:type="dxa"/>
            <w:vAlign w:val="bottom"/>
          </w:tcPr>
          <w:p>
            <w:pPr>
              <w:jc w:val="right"/>
              <w:ind w:right="260"/>
              <w:spacing w:after="0"/>
              <w:rPr>
                <w:sz w:val="20"/>
                <w:szCs w:val="20"/>
                <w:color w:val="auto"/>
              </w:rPr>
            </w:pPr>
            <w:r>
              <w:rPr>
                <w:rFonts w:ascii="Arial" w:cs="Arial" w:eastAsia="Arial" w:hAnsi="Arial"/>
                <w:sz w:val="20"/>
                <w:szCs w:val="20"/>
                <w:color w:val="auto"/>
              </w:rPr>
              <w:t>2024</w:t>
            </w:r>
          </w:p>
        </w:tc>
      </w:tr>
      <w:tr>
        <w:trPr>
          <w:trHeight w:val="51"/>
        </w:trPr>
        <w:tc>
          <w:tcPr>
            <w:tcW w:w="3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94"/>
        </w:trPr>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Land</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6,803</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6,803</w:t>
            </w:r>
          </w:p>
        </w:tc>
      </w:tr>
      <w:tr>
        <w:trPr>
          <w:trHeight w:val="274"/>
        </w:trPr>
        <w:tc>
          <w:tcPr>
            <w:tcW w:w="3620" w:type="dxa"/>
            <w:vAlign w:val="bottom"/>
          </w:tcPr>
          <w:p>
            <w:pPr>
              <w:spacing w:after="0"/>
              <w:rPr>
                <w:sz w:val="20"/>
                <w:szCs w:val="20"/>
                <w:color w:val="auto"/>
              </w:rPr>
            </w:pPr>
            <w:r>
              <w:rPr>
                <w:rFonts w:ascii="Arial" w:cs="Arial" w:eastAsia="Arial" w:hAnsi="Arial"/>
                <w:sz w:val="20"/>
                <w:szCs w:val="20"/>
                <w:color w:val="auto"/>
              </w:rPr>
              <w:t>Buildings (useful life 15-39 years)</w:t>
            </w:r>
          </w:p>
        </w:tc>
        <w:tc>
          <w:tcPr>
            <w:tcW w:w="98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20"/>
                <w:szCs w:val="20"/>
                <w:color w:val="auto"/>
              </w:rPr>
              <w:t>41,636</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41,306</w:t>
            </w:r>
          </w:p>
        </w:tc>
      </w:tr>
      <w:tr>
        <w:trPr>
          <w:trHeight w:val="41"/>
        </w:trPr>
        <w:tc>
          <w:tcPr>
            <w:tcW w:w="3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04"/>
        </w:trPr>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Furnishings (useful life 3-15 years)</w:t>
            </w:r>
          </w:p>
        </w:tc>
        <w:tc>
          <w:tcPr>
            <w:tcW w:w="9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31,289</w:t>
            </w:r>
          </w:p>
        </w:tc>
        <w:tc>
          <w:tcPr>
            <w:tcW w:w="2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31,378</w:t>
            </w:r>
          </w:p>
        </w:tc>
      </w:tr>
      <w:tr>
        <w:trPr>
          <w:trHeight w:val="274"/>
        </w:trPr>
        <w:tc>
          <w:tcPr>
            <w:tcW w:w="36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20"/>
                <w:szCs w:val="20"/>
                <w:color w:val="auto"/>
              </w:rPr>
              <w:t>79,728</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79,487</w:t>
            </w:r>
          </w:p>
        </w:tc>
      </w:tr>
      <w:tr>
        <w:trPr>
          <w:trHeight w:val="41"/>
        </w:trPr>
        <w:tc>
          <w:tcPr>
            <w:tcW w:w="3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04"/>
        </w:trPr>
        <w:tc>
          <w:tcPr>
            <w:tcW w:w="36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Less: Accumulated depreciation</w:t>
            </w:r>
          </w:p>
        </w:tc>
        <w:tc>
          <w:tcPr>
            <w:tcW w:w="9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(47,864)</w:t>
            </w:r>
          </w:p>
        </w:tc>
        <w:tc>
          <w:tcPr>
            <w:tcW w:w="2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(45,659)</w:t>
            </w:r>
          </w:p>
        </w:tc>
      </w:tr>
      <w:tr>
        <w:trPr>
          <w:trHeight w:val="296"/>
        </w:trPr>
        <w:tc>
          <w:tcPr>
            <w:tcW w:w="3620" w:type="dxa"/>
            <w:vAlign w:val="bottom"/>
          </w:tcPr>
          <w:p>
            <w:pPr>
              <w:spacing w:after="0"/>
              <w:rPr>
                <w:sz w:val="20"/>
                <w:szCs w:val="20"/>
                <w:color w:val="auto"/>
              </w:rPr>
            </w:pPr>
            <w:r>
              <w:rPr>
                <w:rFonts w:ascii="Arial" w:cs="Arial" w:eastAsia="Arial" w:hAnsi="Arial"/>
                <w:sz w:val="20"/>
                <w:szCs w:val="20"/>
                <w:color w:val="auto"/>
              </w:rPr>
              <w:t>Premises and Equipment (Net)</w:t>
            </w: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40"/>
              <w:spacing w:after="0"/>
              <w:rPr>
                <w:sz w:val="20"/>
                <w:szCs w:val="20"/>
                <w:color w:val="auto"/>
              </w:rPr>
            </w:pPr>
            <w:r>
              <w:rPr>
                <w:rFonts w:ascii="Arial" w:cs="Arial" w:eastAsia="Arial" w:hAnsi="Arial"/>
                <w:sz w:val="20"/>
                <w:szCs w:val="20"/>
                <w:color w:val="auto"/>
              </w:rPr>
              <w:t>31,864</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33,828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-1410970</wp:posOffset>
            </wp:positionV>
            <wp:extent cx="1330325" cy="63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5">
                      <a:extLst>
                        <a:ext uri="{28A0092B-C50C-407E-A947-70E740481C1C}"/>
                      </a:extLst>
                    </a:blip>
                    <a:srcRect/>
                    <a:stretch>
                      <a:fillRect/>
                    </a:stretch>
                  </pic:blipFill>
                  <pic:spPr bwMode="auto">
                    <a:xfrm>
                      <a:off x="0" y="0"/>
                      <a:ext cx="1330325" cy="6350"/>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-1204595</wp:posOffset>
            </wp:positionV>
            <wp:extent cx="1330325" cy="63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6">
                      <a:extLst>
                        <a:ext uri="{28A0092B-C50C-407E-A947-70E740481C1C}"/>
                      </a:extLst>
                    </a:blip>
                    <a:srcRect/>
                    <a:stretch>
                      <a:fillRect/>
                    </a:stretch>
                  </pic:blipFill>
                  <pic:spPr bwMode="auto">
                    <a:xfrm>
                      <a:off x="0" y="0"/>
                      <a:ext cx="1330325" cy="6350"/>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-599440</wp:posOffset>
            </wp:positionV>
            <wp:extent cx="1381760" cy="63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7">
                      <a:extLst>
                        <a:ext uri="{28A0092B-C50C-407E-A947-70E740481C1C}"/>
                      </a:extLst>
                    </a:blip>
                    <a:srcRect/>
                    <a:stretch>
                      <a:fillRect/>
                    </a:stretch>
                  </pic:blipFill>
                  <pic:spPr bwMode="auto">
                    <a:xfrm>
                      <a:off x="0" y="0"/>
                      <a:ext cx="1381760" cy="6350"/>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-193675</wp:posOffset>
            </wp:positionV>
            <wp:extent cx="1381760"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98">
                      <a:extLst>
                        <a:ext uri="{28A0092B-C50C-407E-A947-70E740481C1C}"/>
                      </a:extLst>
                    </a:blip>
                    <a:srcRect/>
                    <a:stretch>
                      <a:fillRect/>
                    </a:stretch>
                  </pic:blipFill>
                  <pic:spPr bwMode="auto">
                    <a:xfrm>
                      <a:off x="0" y="0"/>
                      <a:ext cx="1381760" cy="6350"/>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11430</wp:posOffset>
            </wp:positionV>
            <wp:extent cx="1330325" cy="285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99">
                      <a:extLst>
                        <a:ext uri="{28A0092B-C50C-407E-A947-70E740481C1C}"/>
                      </a:extLst>
                    </a:blip>
                    <a:srcRect/>
                    <a:stretch>
                      <a:fillRect/>
                    </a:stretch>
                  </pic:blipFill>
                  <pic:spPr bwMode="auto">
                    <a:xfrm>
                      <a:off x="0" y="0"/>
                      <a:ext cx="1330325" cy="28575"/>
                    </a:xfrm>
                    <a:prstGeom prst="rect">
                      <a:avLst/>
                    </a:prstGeom>
                    <a:noFill/>
                  </pic:spPr>
                </pic:pic>
              </a:graphicData>
            </a:graphic>
          </wp:anchor>
        </w:drawing>
      </w:r>
    </w:p>
    <w:p>
      <w:pPr>
        <w:spacing w:after="0" w:line="382" w:lineRule="exact"/>
        <w:rPr>
          <w:sz w:val="20"/>
          <w:szCs w:val="20"/>
          <w:color w:val="auto"/>
        </w:rPr>
      </w:pPr>
    </w:p>
    <w:p>
      <w:pPr>
        <w:jc w:val="both"/>
        <w:ind w:left="620" w:right="80"/>
        <w:spacing w:after="0" w:line="302" w:lineRule="auto"/>
        <w:rPr>
          <w:sz w:val="20"/>
          <w:szCs w:val="20"/>
          <w:color w:val="auto"/>
        </w:rPr>
      </w:pPr>
      <w:r>
        <w:rPr>
          <w:rFonts w:ascii="Arial" w:cs="Arial" w:eastAsia="Arial" w:hAnsi="Arial"/>
          <w:sz w:val="20"/>
          <w:szCs w:val="20"/>
          <w:color w:val="auto"/>
        </w:rPr>
        <w:t>Depreciation expense for the years ended December 31, 2025, 2024 and 2023 amounted to $3.6, $3.8 and $3.4 million, respectively.</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Leases</w:t>
      </w:r>
    </w:p>
    <w:p>
      <w:pPr>
        <w:spacing w:after="0" w:line="200" w:lineRule="exact"/>
        <w:rPr>
          <w:sz w:val="20"/>
          <w:szCs w:val="20"/>
          <w:color w:val="auto"/>
        </w:rPr>
      </w:pPr>
    </w:p>
    <w:p>
      <w:pPr>
        <w:jc w:val="both"/>
        <w:ind w:left="620" w:right="80"/>
        <w:spacing w:after="0" w:line="309" w:lineRule="auto"/>
        <w:rPr>
          <w:sz w:val="20"/>
          <w:szCs w:val="20"/>
          <w:color w:val="auto"/>
        </w:rPr>
      </w:pPr>
      <w:r>
        <w:rPr>
          <w:rFonts w:ascii="Arial" w:cs="Arial" w:eastAsia="Arial" w:hAnsi="Arial"/>
          <w:sz w:val="20"/>
          <w:szCs w:val="20"/>
          <w:color w:val="auto"/>
        </w:rPr>
        <w:t>The Bank leases space for retail branches, LPOs and ATMs. Our leases have remaining lease terms of 4 months to just under 13 years, some of which may include options to renew the leases and some of which may include options to terminate the leases prior to the end date of the lease term. The Bank does receive rental income for the leasing of available space.</w:t>
      </w:r>
    </w:p>
    <w:p>
      <w:pPr>
        <w:spacing w:after="0" w:line="24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below tables provide information on the Bank’s operating leases:</w:t>
      </w:r>
    </w:p>
    <w:p>
      <w:pPr>
        <w:spacing w:after="0" w:line="200" w:lineRule="exact"/>
        <w:rPr>
          <w:sz w:val="20"/>
          <w:szCs w:val="20"/>
          <w:color w:val="auto"/>
        </w:rPr>
      </w:pP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gridSpan w:val="2"/>
          </w:tcPr>
          <w:p>
            <w:pPr>
              <w:ind w:left="100"/>
              <w:spacing w:after="0"/>
              <w:rPr>
                <w:sz w:val="20"/>
                <w:szCs w:val="20"/>
                <w:color w:val="auto"/>
              </w:rPr>
            </w:pPr>
            <w:r>
              <w:rPr>
                <w:rFonts w:ascii="Arial" w:cs="Arial" w:eastAsia="Arial" w:hAnsi="Arial"/>
                <w:sz w:val="20"/>
                <w:szCs w:val="20"/>
                <w:color w:val="auto"/>
                <w:w w:val="95"/>
              </w:rPr>
              <w:t>(In Thousands)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24"/>
        </w:trPr>
        <w:tc>
          <w:tcPr>
            <w:tcW w:w="3180" w:type="dxa"/>
            <w:vAlign w:val="bottom"/>
          </w:tcPr>
          <w:p>
            <w:pPr>
              <w:spacing w:after="0"/>
              <w:rPr>
                <w:sz w:val="24"/>
                <w:szCs w:val="24"/>
                <w:color w:val="auto"/>
              </w:rPr>
            </w:pPr>
          </w:p>
        </w:tc>
        <w:tc>
          <w:tcPr>
            <w:tcW w:w="2520" w:type="dxa"/>
            <w:vAlign w:val="bottom"/>
            <w:gridSpan w:val="2"/>
          </w:tcPr>
          <w:p>
            <w:pPr>
              <w:ind w:left="1260"/>
              <w:spacing w:after="0"/>
              <w:rPr>
                <w:sz w:val="20"/>
                <w:szCs w:val="20"/>
                <w:color w:val="auto"/>
              </w:rPr>
            </w:pPr>
            <w:r>
              <w:rPr>
                <w:rFonts w:ascii="Arial" w:cs="Arial" w:eastAsia="Arial" w:hAnsi="Arial"/>
                <w:sz w:val="20"/>
                <w:szCs w:val="20"/>
                <w:color w:val="auto"/>
                <w:w w:val="98"/>
              </w:rPr>
              <w:t>December 31,</w:t>
            </w:r>
          </w:p>
        </w:tc>
        <w:tc>
          <w:tcPr>
            <w:tcW w:w="1400" w:type="dxa"/>
            <w:vAlign w:val="bottom"/>
            <w:gridSpan w:val="2"/>
          </w:tcPr>
          <w:p>
            <w:pPr>
              <w:ind w:left="120"/>
              <w:spacing w:after="0"/>
              <w:rPr>
                <w:sz w:val="20"/>
                <w:szCs w:val="20"/>
                <w:color w:val="auto"/>
              </w:rPr>
            </w:pPr>
            <w:r>
              <w:rPr>
                <w:rFonts w:ascii="Arial" w:cs="Arial" w:eastAsia="Arial" w:hAnsi="Arial"/>
                <w:sz w:val="20"/>
                <w:szCs w:val="20"/>
                <w:color w:val="auto"/>
              </w:rPr>
              <w:t>December 31,</w:t>
            </w:r>
          </w:p>
        </w:tc>
        <w:tc>
          <w:tcPr>
            <w:tcW w:w="1360" w:type="dxa"/>
            <w:vAlign w:val="bottom"/>
            <w:gridSpan w:val="2"/>
          </w:tcPr>
          <w:p>
            <w:pPr>
              <w:ind w:left="100"/>
              <w:spacing w:after="0"/>
              <w:rPr>
                <w:sz w:val="20"/>
                <w:szCs w:val="20"/>
                <w:color w:val="auto"/>
              </w:rPr>
            </w:pPr>
            <w:r>
              <w:rPr>
                <w:rFonts w:ascii="Arial" w:cs="Arial" w:eastAsia="Arial" w:hAnsi="Arial"/>
                <w:sz w:val="20"/>
                <w:szCs w:val="20"/>
                <w:color w:val="auto"/>
                <w:w w:val="98"/>
              </w:rPr>
              <w:t>December 31,</w:t>
            </w:r>
          </w:p>
        </w:tc>
      </w:tr>
      <w:tr>
        <w:trPr>
          <w:trHeight w:val="300"/>
        </w:trPr>
        <w:tc>
          <w:tcPr>
            <w:tcW w:w="3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20" w:type="dxa"/>
            <w:vAlign w:val="bottom"/>
          </w:tcPr>
          <w:p>
            <w:pPr>
              <w:jc w:val="right"/>
              <w:ind w:right="380"/>
              <w:spacing w:after="0"/>
              <w:rPr>
                <w:sz w:val="20"/>
                <w:szCs w:val="20"/>
                <w:color w:val="auto"/>
              </w:rPr>
            </w:pPr>
            <w:r>
              <w:rPr>
                <w:rFonts w:ascii="Arial" w:cs="Arial" w:eastAsia="Arial" w:hAnsi="Arial"/>
                <w:sz w:val="20"/>
                <w:szCs w:val="20"/>
                <w:color w:val="auto"/>
              </w:rPr>
              <w:t>2025</w:t>
            </w:r>
          </w:p>
        </w:tc>
        <w:tc>
          <w:tcPr>
            <w:tcW w:w="360" w:type="dxa"/>
            <w:vAlign w:val="bottom"/>
          </w:tcPr>
          <w:p>
            <w:pPr>
              <w:spacing w:after="0"/>
              <w:rPr>
                <w:sz w:val="24"/>
                <w:szCs w:val="24"/>
                <w:color w:val="auto"/>
              </w:rPr>
            </w:pPr>
          </w:p>
        </w:tc>
        <w:tc>
          <w:tcPr>
            <w:tcW w:w="1040" w:type="dxa"/>
            <w:vAlign w:val="bottom"/>
          </w:tcPr>
          <w:p>
            <w:pPr>
              <w:jc w:val="right"/>
              <w:ind w:right="400"/>
              <w:spacing w:after="0"/>
              <w:rPr>
                <w:sz w:val="20"/>
                <w:szCs w:val="20"/>
                <w:color w:val="auto"/>
              </w:rPr>
            </w:pPr>
            <w:r>
              <w:rPr>
                <w:rFonts w:ascii="Arial" w:cs="Arial" w:eastAsia="Arial" w:hAnsi="Arial"/>
                <w:sz w:val="20"/>
                <w:szCs w:val="20"/>
                <w:color w:val="auto"/>
              </w:rPr>
              <w:t>2024</w:t>
            </w:r>
          </w:p>
        </w:tc>
        <w:tc>
          <w:tcPr>
            <w:tcW w:w="340" w:type="dxa"/>
            <w:vAlign w:val="bottom"/>
          </w:tcPr>
          <w:p>
            <w:pPr>
              <w:spacing w:after="0"/>
              <w:rPr>
                <w:sz w:val="24"/>
                <w:szCs w:val="24"/>
                <w:color w:val="auto"/>
              </w:rPr>
            </w:pPr>
          </w:p>
        </w:tc>
        <w:tc>
          <w:tcPr>
            <w:tcW w:w="1020" w:type="dxa"/>
            <w:vAlign w:val="bottom"/>
          </w:tcPr>
          <w:p>
            <w:pPr>
              <w:jc w:val="right"/>
              <w:ind w:right="380"/>
              <w:spacing w:after="0"/>
              <w:rPr>
                <w:sz w:val="20"/>
                <w:szCs w:val="20"/>
                <w:color w:val="auto"/>
              </w:rPr>
            </w:pPr>
            <w:r>
              <w:rPr>
                <w:rFonts w:ascii="Arial" w:cs="Arial" w:eastAsia="Arial" w:hAnsi="Arial"/>
                <w:sz w:val="20"/>
                <w:szCs w:val="20"/>
                <w:color w:val="auto"/>
              </w:rPr>
              <w:t>2023</w:t>
            </w:r>
          </w:p>
        </w:tc>
      </w:tr>
      <w:tr>
        <w:trPr>
          <w:trHeight w:val="51"/>
        </w:trPr>
        <w:tc>
          <w:tcPr>
            <w:tcW w:w="3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314"/>
        </w:trPr>
        <w:tc>
          <w:tcPr>
            <w:tcW w:w="318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Operating lease cost </w:t>
            </w:r>
            <w:r>
              <w:rPr>
                <w:rFonts w:ascii="Arial" w:cs="Arial" w:eastAsia="Arial" w:hAnsi="Arial"/>
                <w:sz w:val="26"/>
                <w:szCs w:val="26"/>
                <w:color w:val="auto"/>
                <w:vertAlign w:val="superscript"/>
              </w:rPr>
              <w:t>(1)</w:t>
            </w:r>
          </w:p>
        </w:tc>
        <w:tc>
          <w:tcPr>
            <w:tcW w:w="1500" w:type="dxa"/>
            <w:vAlign w:val="bottom"/>
            <w:shd w:val="clear" w:color="auto" w:fill="CFF0FC"/>
          </w:tcPr>
          <w:p>
            <w:pPr>
              <w:ind w:left="126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1,125</w:t>
            </w:r>
          </w:p>
        </w:tc>
        <w:tc>
          <w:tcPr>
            <w:tcW w:w="360" w:type="dxa"/>
            <w:vAlign w:val="bottom"/>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979</w:t>
            </w:r>
          </w:p>
        </w:tc>
        <w:tc>
          <w:tcPr>
            <w:tcW w:w="340" w:type="dxa"/>
            <w:vAlign w:val="bottom"/>
            <w:shd w:val="clear" w:color="auto" w:fill="CFF0FC"/>
          </w:tcPr>
          <w:p>
            <w:pPr>
              <w:ind w:left="8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540</w:t>
            </w:r>
          </w:p>
        </w:tc>
      </w:tr>
      <w:tr>
        <w:trPr>
          <w:trHeight w:val="345"/>
        </w:trPr>
        <w:tc>
          <w:tcPr>
            <w:tcW w:w="3180" w:type="dxa"/>
            <w:vAlign w:val="bottom"/>
          </w:tcPr>
          <w:p>
            <w:pPr>
              <w:spacing w:after="0"/>
              <w:rPr>
                <w:sz w:val="20"/>
                <w:szCs w:val="20"/>
                <w:color w:val="auto"/>
              </w:rPr>
            </w:pPr>
            <w:r>
              <w:rPr>
                <w:rFonts w:ascii="Arial" w:cs="Arial" w:eastAsia="Arial" w:hAnsi="Arial"/>
                <w:sz w:val="20"/>
                <w:szCs w:val="20"/>
                <w:color w:val="auto"/>
              </w:rPr>
              <w:t xml:space="preserve">Operating cash flows </w:t>
            </w:r>
            <w:r>
              <w:rPr>
                <w:rFonts w:ascii="Arial" w:cs="Arial" w:eastAsia="Arial" w:hAnsi="Arial"/>
                <w:sz w:val="26"/>
                <w:szCs w:val="26"/>
                <w:color w:val="auto"/>
                <w:vertAlign w:val="superscript"/>
              </w:rPr>
              <w:t>(2)</w:t>
            </w:r>
          </w:p>
        </w:tc>
        <w:tc>
          <w:tcPr>
            <w:tcW w:w="1500" w:type="dxa"/>
            <w:vAlign w:val="bottom"/>
          </w:tcPr>
          <w:p>
            <w:pPr>
              <w:ind w:left="12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90</w:t>
            </w:r>
          </w:p>
        </w:tc>
        <w:tc>
          <w:tcPr>
            <w:tcW w:w="360" w:type="dxa"/>
            <w:vAlign w:val="bottom"/>
          </w:tcPr>
          <w:p>
            <w:pPr>
              <w:ind w:left="12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42</w:t>
            </w:r>
          </w:p>
        </w:tc>
        <w:tc>
          <w:tcPr>
            <w:tcW w:w="340" w:type="dxa"/>
            <w:vAlign w:val="bottom"/>
          </w:tcPr>
          <w:p>
            <w:pPr>
              <w:ind w:left="8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-821055</wp:posOffset>
            </wp:positionV>
            <wp:extent cx="2498090" cy="63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0">
                      <a:extLst>
                        <a:ext uri="{28A0092B-C50C-407E-A947-70E740481C1C}"/>
                      </a:extLst>
                    </a:blip>
                    <a:srcRect/>
                    <a:stretch>
                      <a:fillRect/>
                    </a:stretch>
                  </pic:blipFill>
                  <pic:spPr bwMode="auto">
                    <a:xfrm>
                      <a:off x="0" y="0"/>
                      <a:ext cx="2498090" cy="635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-424815</wp:posOffset>
            </wp:positionV>
            <wp:extent cx="2498090" cy="63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1">
                      <a:extLst>
                        <a:ext uri="{28A0092B-C50C-407E-A947-70E740481C1C}"/>
                      </a:extLst>
                    </a:blip>
                    <a:srcRect/>
                    <a:stretch>
                      <a:fillRect/>
                    </a:stretch>
                  </pic:blipFill>
                  <pic:spPr bwMode="auto">
                    <a:xfrm>
                      <a:off x="0" y="0"/>
                      <a:ext cx="2498090" cy="6350"/>
                    </a:xfrm>
                    <a:prstGeom prst="rect">
                      <a:avLst/>
                    </a:prstGeom>
                    <a:noFill/>
                  </pic:spPr>
                </pic:pic>
              </a:graphicData>
            </a:graphic>
          </wp:anchor>
        </w:drawing>
      </w:r>
    </w:p>
    <w:p>
      <w:pPr>
        <w:spacing w:after="0" w:line="239" w:lineRule="exact"/>
        <w:rPr>
          <w:sz w:val="20"/>
          <w:szCs w:val="20"/>
          <w:color w:val="auto"/>
        </w:rPr>
      </w:pPr>
    </w:p>
    <w:p>
      <w:pPr>
        <w:ind w:left="680" w:hanging="216"/>
        <w:spacing w:after="0"/>
        <w:tabs>
          <w:tab w:leader="none" w:pos="680" w:val="left"/>
        </w:tabs>
        <w:numPr>
          <w:ilvl w:val="0"/>
          <w:numId w:val="27"/>
        </w:numPr>
        <w:rPr>
          <w:rFonts w:ascii="Arial" w:cs="Arial" w:eastAsia="Arial" w:hAnsi="Arial"/>
          <w:sz w:val="26"/>
          <w:szCs w:val="26"/>
          <w:color w:val="auto"/>
          <w:vertAlign w:val="superscript"/>
        </w:rPr>
      </w:pPr>
      <w:r>
        <w:rPr>
          <w:rFonts w:ascii="Arial" w:cs="Arial" w:eastAsia="Arial" w:hAnsi="Arial"/>
          <w:sz w:val="19"/>
          <w:szCs w:val="19"/>
          <w:color w:val="auto"/>
        </w:rPr>
        <w:t>Included in net occupancy expense on Company's consolidated statement of income</w:t>
      </w:r>
    </w:p>
    <w:p>
      <w:pPr>
        <w:spacing w:after="0" w:line="71" w:lineRule="exact"/>
        <w:rPr>
          <w:rFonts w:ascii="Arial" w:cs="Arial" w:eastAsia="Arial" w:hAnsi="Arial"/>
          <w:sz w:val="26"/>
          <w:szCs w:val="26"/>
          <w:color w:val="auto"/>
          <w:vertAlign w:val="superscript"/>
        </w:rPr>
      </w:pPr>
    </w:p>
    <w:p>
      <w:pPr>
        <w:ind w:left="680" w:hanging="216"/>
        <w:spacing w:after="0" w:line="195" w:lineRule="auto"/>
        <w:tabs>
          <w:tab w:leader="none" w:pos="680" w:val="left"/>
        </w:tabs>
        <w:numPr>
          <w:ilvl w:val="0"/>
          <w:numId w:val="27"/>
        </w:numPr>
        <w:rPr>
          <w:rFonts w:ascii="Arial" w:cs="Arial" w:eastAsia="Arial" w:hAnsi="Arial"/>
          <w:sz w:val="26"/>
          <w:szCs w:val="26"/>
          <w:color w:val="auto"/>
          <w:vertAlign w:val="superscript"/>
        </w:rPr>
      </w:pPr>
      <w:r>
        <w:rPr>
          <w:rFonts w:ascii="Arial" w:cs="Arial" w:eastAsia="Arial" w:hAnsi="Arial"/>
          <w:sz w:val="19"/>
          <w:szCs w:val="19"/>
          <w:color w:val="auto"/>
        </w:rPr>
        <w:t>Included in customer service fees on Company's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720"/>
        <w:spacing w:after="0"/>
        <w:rPr>
          <w:sz w:val="20"/>
          <w:szCs w:val="20"/>
          <w:color w:val="auto"/>
        </w:rPr>
      </w:pPr>
      <w:r>
        <w:rPr>
          <w:rFonts w:ascii="Arial" w:cs="Arial" w:eastAsia="Arial" w:hAnsi="Arial"/>
          <w:sz w:val="20"/>
          <w:szCs w:val="20"/>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26035</wp:posOffset>
            </wp:positionV>
            <wp:extent cx="1915795" cy="63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2">
                      <a:extLst>
                        <a:ext uri="{28A0092B-C50C-407E-A947-70E740481C1C}"/>
                      </a:extLst>
                    </a:blip>
                    <a:srcRect/>
                    <a:stretch>
                      <a:fillRect/>
                    </a:stretch>
                  </pic:blipFill>
                  <pic:spPr bwMode="auto">
                    <a:xfrm>
                      <a:off x="0" y="0"/>
                      <a:ext cx="191579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24</w:t>
      </w:r>
    </w:p>
    <w:p>
      <w:pPr>
        <w:sectPr>
          <w:pgSz w:w="11900" w:h="16838" w:orient="portrait"/>
          <w:cols w:equalWidth="0" w:num="1">
            <w:col w:w="9400"/>
          </w:cols>
          <w:pgMar w:left="1260" w:top="1440" w:right="1246" w:bottom="0" w:gutter="0" w:footer="0" w:header="0"/>
          <w:type w:val="continuous"/>
        </w:sectPr>
      </w:pPr>
    </w:p>
    <w:bookmarkStart w:id="198" w:name="page199"/>
    <w:bookmarkEnd w:id="198"/>
    <w:tbl>
      <w:tblPr>
        <w:tblLayout w:type="fixed"/>
        <w:tblInd w:w="28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0" w:type="dxa"/>
            <w:vAlign w:val="bottom"/>
          </w:tcPr>
          <w:p>
            <w:pPr>
              <w:jc w:val="right"/>
              <w:ind w:right="160"/>
              <w:spacing w:after="0"/>
              <w:rPr>
                <w:sz w:val="20"/>
                <w:szCs w:val="20"/>
                <w:color w:val="auto"/>
              </w:rPr>
            </w:pPr>
            <w:r>
              <w:rPr>
                <w:rFonts w:ascii="Arial" w:cs="Arial" w:eastAsia="Arial" w:hAnsi="Arial"/>
                <w:sz w:val="20"/>
                <w:szCs w:val="20"/>
                <w:color w:val="auto"/>
                <w:w w:val="89"/>
              </w:rPr>
              <w:t>December 31,</w:t>
            </w:r>
          </w:p>
        </w:tc>
        <w:tc>
          <w:tcPr>
            <w:tcW w:w="220" w:type="dxa"/>
            <w:vAlign w:val="bottom"/>
          </w:tcPr>
          <w:p>
            <w:pPr>
              <w:spacing w:after="0"/>
              <w:rPr>
                <w:sz w:val="19"/>
                <w:szCs w:val="19"/>
                <w:color w:val="auto"/>
              </w:rPr>
            </w:pPr>
          </w:p>
        </w:tc>
        <w:tc>
          <w:tcPr>
            <w:tcW w:w="1380" w:type="dxa"/>
            <w:vAlign w:val="bottom"/>
          </w:tcPr>
          <w:p>
            <w:pPr>
              <w:jc w:val="right"/>
              <w:ind w:right="160"/>
              <w:spacing w:after="0"/>
              <w:rPr>
                <w:sz w:val="20"/>
                <w:szCs w:val="20"/>
                <w:color w:val="auto"/>
              </w:rPr>
            </w:pPr>
            <w:r>
              <w:rPr>
                <w:rFonts w:ascii="Arial" w:cs="Arial" w:eastAsia="Arial" w:hAnsi="Arial"/>
                <w:sz w:val="20"/>
                <w:szCs w:val="20"/>
                <w:color w:val="auto"/>
                <w:w w:val="87"/>
              </w:rPr>
              <w:t>December 31,</w:t>
            </w:r>
          </w:p>
        </w:tc>
      </w:tr>
      <w:tr>
        <w:trPr>
          <w:trHeight w:val="300"/>
        </w:trPr>
        <w:tc>
          <w:tcPr>
            <w:tcW w:w="3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jc w:val="right"/>
              <w:ind w:right="500"/>
              <w:spacing w:after="0"/>
              <w:rPr>
                <w:sz w:val="20"/>
                <w:szCs w:val="20"/>
                <w:color w:val="auto"/>
              </w:rPr>
            </w:pPr>
            <w:r>
              <w:rPr>
                <w:rFonts w:ascii="Arial" w:cs="Arial" w:eastAsia="Arial" w:hAnsi="Arial"/>
                <w:sz w:val="20"/>
                <w:szCs w:val="20"/>
                <w:color w:val="auto"/>
              </w:rPr>
              <w:t>2025</w:t>
            </w:r>
          </w:p>
        </w:tc>
        <w:tc>
          <w:tcPr>
            <w:tcW w:w="220" w:type="dxa"/>
            <w:vAlign w:val="bottom"/>
          </w:tcPr>
          <w:p>
            <w:pPr>
              <w:spacing w:after="0"/>
              <w:rPr>
                <w:sz w:val="24"/>
                <w:szCs w:val="24"/>
                <w:color w:val="auto"/>
              </w:rPr>
            </w:pPr>
          </w:p>
        </w:tc>
        <w:tc>
          <w:tcPr>
            <w:tcW w:w="1380" w:type="dxa"/>
            <w:vAlign w:val="bottom"/>
          </w:tcPr>
          <w:p>
            <w:pPr>
              <w:jc w:val="right"/>
              <w:ind w:right="500"/>
              <w:spacing w:after="0"/>
              <w:rPr>
                <w:sz w:val="20"/>
                <w:szCs w:val="20"/>
                <w:color w:val="auto"/>
              </w:rPr>
            </w:pPr>
            <w:r>
              <w:rPr>
                <w:rFonts w:ascii="Arial" w:cs="Arial" w:eastAsia="Arial" w:hAnsi="Arial"/>
                <w:sz w:val="20"/>
                <w:szCs w:val="20"/>
                <w:color w:val="auto"/>
              </w:rPr>
              <w:t>2024</w:t>
            </w:r>
          </w:p>
        </w:tc>
      </w:tr>
      <w:tr>
        <w:trPr>
          <w:trHeight w:val="51"/>
        </w:trPr>
        <w:tc>
          <w:tcPr>
            <w:tcW w:w="3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314"/>
        </w:trPr>
        <w:tc>
          <w:tcPr>
            <w:tcW w:w="380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Operating lease assets </w:t>
            </w:r>
            <w:r>
              <w:rPr>
                <w:rFonts w:ascii="Arial" w:cs="Arial" w:eastAsia="Arial" w:hAnsi="Arial"/>
                <w:sz w:val="26"/>
                <w:szCs w:val="26"/>
                <w:color w:val="auto"/>
                <w:vertAlign w:val="superscript"/>
              </w:rPr>
              <w:t>(1)</w:t>
            </w:r>
          </w:p>
        </w:tc>
        <w:tc>
          <w:tcPr>
            <w:tcW w:w="1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5,594</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6,403</w:t>
            </w:r>
          </w:p>
        </w:tc>
      </w:tr>
      <w:tr>
        <w:trPr>
          <w:trHeight w:val="345"/>
        </w:trPr>
        <w:tc>
          <w:tcPr>
            <w:tcW w:w="3800" w:type="dxa"/>
            <w:vAlign w:val="bottom"/>
          </w:tcPr>
          <w:p>
            <w:pPr>
              <w:spacing w:after="0"/>
              <w:rPr>
                <w:sz w:val="20"/>
                <w:szCs w:val="20"/>
                <w:color w:val="auto"/>
              </w:rPr>
            </w:pPr>
            <w:r>
              <w:rPr>
                <w:rFonts w:ascii="Arial" w:cs="Arial" w:eastAsia="Arial" w:hAnsi="Arial"/>
                <w:sz w:val="20"/>
                <w:szCs w:val="20"/>
                <w:color w:val="auto"/>
              </w:rPr>
              <w:t xml:space="preserve">Operating lease liabilities </w:t>
            </w:r>
            <w:r>
              <w:rPr>
                <w:rFonts w:ascii="Arial" w:cs="Arial" w:eastAsia="Arial" w:hAnsi="Arial"/>
                <w:sz w:val="26"/>
                <w:szCs w:val="26"/>
                <w:color w:val="auto"/>
                <w:vertAlign w:val="superscript"/>
              </w:rPr>
              <w:t>(2)</w:t>
            </w:r>
          </w:p>
        </w:tc>
        <w:tc>
          <w:tcPr>
            <w:tcW w:w="166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20"/>
              <w:spacing w:after="0"/>
              <w:rPr>
                <w:sz w:val="20"/>
                <w:szCs w:val="20"/>
                <w:color w:val="auto"/>
              </w:rPr>
            </w:pPr>
            <w:r>
              <w:rPr>
                <w:rFonts w:ascii="Arial" w:cs="Arial" w:eastAsia="Arial" w:hAnsi="Arial"/>
                <w:sz w:val="20"/>
                <w:szCs w:val="20"/>
                <w:color w:val="auto"/>
              </w:rPr>
              <w:t>5,740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6,403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-424815</wp:posOffset>
            </wp:positionV>
            <wp:extent cx="1915795" cy="63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3">
                      <a:extLst>
                        <a:ext uri="{28A0092B-C50C-407E-A947-70E740481C1C}"/>
                      </a:extLst>
                    </a:blip>
                    <a:srcRect/>
                    <a:stretch>
                      <a:fillRect/>
                    </a:stretch>
                  </pic:blipFill>
                  <pic:spPr bwMode="auto">
                    <a:xfrm>
                      <a:off x="0" y="0"/>
                      <a:ext cx="1915795" cy="6350"/>
                    </a:xfrm>
                    <a:prstGeom prst="rect">
                      <a:avLst/>
                    </a:prstGeom>
                    <a:noFill/>
                  </pic:spPr>
                </pic:pic>
              </a:graphicData>
            </a:graphic>
          </wp:anchor>
        </w:drawing>
      </w:r>
    </w:p>
    <w:p>
      <w:pPr>
        <w:spacing w:after="0" w:line="239" w:lineRule="exact"/>
        <w:rPr>
          <w:sz w:val="20"/>
          <w:szCs w:val="20"/>
          <w:color w:val="auto"/>
        </w:rPr>
      </w:pPr>
    </w:p>
    <w:p>
      <w:pPr>
        <w:ind w:left="500" w:hanging="216"/>
        <w:spacing w:after="0"/>
        <w:tabs>
          <w:tab w:leader="none" w:pos="500" w:val="left"/>
        </w:tabs>
        <w:numPr>
          <w:ilvl w:val="0"/>
          <w:numId w:val="28"/>
        </w:numPr>
        <w:rPr>
          <w:rFonts w:ascii="Arial" w:cs="Arial" w:eastAsia="Arial" w:hAnsi="Arial"/>
          <w:sz w:val="26"/>
          <w:szCs w:val="26"/>
          <w:color w:val="auto"/>
          <w:vertAlign w:val="superscript"/>
        </w:rPr>
      </w:pPr>
      <w:r>
        <w:rPr>
          <w:rFonts w:ascii="Arial" w:cs="Arial" w:eastAsia="Arial" w:hAnsi="Arial"/>
          <w:sz w:val="19"/>
          <w:szCs w:val="19"/>
          <w:color w:val="auto"/>
        </w:rPr>
        <w:t>Included in other assets on Company's consolidated balance sheets</w:t>
      </w:r>
    </w:p>
    <w:p>
      <w:pPr>
        <w:spacing w:after="0" w:line="71" w:lineRule="exact"/>
        <w:rPr>
          <w:rFonts w:ascii="Arial" w:cs="Arial" w:eastAsia="Arial" w:hAnsi="Arial"/>
          <w:sz w:val="26"/>
          <w:szCs w:val="26"/>
          <w:color w:val="auto"/>
          <w:vertAlign w:val="superscript"/>
        </w:rPr>
      </w:pPr>
    </w:p>
    <w:p>
      <w:pPr>
        <w:ind w:left="500" w:hanging="216"/>
        <w:spacing w:after="0" w:line="195" w:lineRule="auto"/>
        <w:tabs>
          <w:tab w:leader="none" w:pos="500" w:val="left"/>
        </w:tabs>
        <w:numPr>
          <w:ilvl w:val="0"/>
          <w:numId w:val="28"/>
        </w:numPr>
        <w:rPr>
          <w:rFonts w:ascii="Arial" w:cs="Arial" w:eastAsia="Arial" w:hAnsi="Arial"/>
          <w:sz w:val="26"/>
          <w:szCs w:val="26"/>
          <w:color w:val="auto"/>
          <w:vertAlign w:val="superscript"/>
        </w:rPr>
      </w:pPr>
      <w:r>
        <w:rPr>
          <w:rFonts w:ascii="Arial" w:cs="Arial" w:eastAsia="Arial" w:hAnsi="Arial"/>
          <w:sz w:val="19"/>
          <w:szCs w:val="19"/>
          <w:color w:val="auto"/>
        </w:rPr>
        <w:t>Included in accrued interest and other liabilities on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 / 24</w:t>
      </w:r>
    </w:p>
    <w:p>
      <w:pPr>
        <w:sectPr>
          <w:pgSz w:w="11900" w:h="16838" w:orient="portrait"/>
          <w:cols w:equalWidth="0" w:num="1">
            <w:col w:w="9026"/>
          </w:cols>
          <w:pgMar w:left="1440" w:top="1177" w:right="1440" w:bottom="0" w:gutter="0" w:footer="0" w:header="0"/>
          <w:type w:val="continuous"/>
        </w:sectPr>
      </w:pPr>
    </w:p>
    <w:bookmarkStart w:id="199" w:name="page200"/>
    <w:bookmarkEnd w:id="199"/>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 w:right="180"/>
        <w:spacing w:after="0" w:line="302" w:lineRule="auto"/>
        <w:rPr>
          <w:sz w:val="20"/>
          <w:szCs w:val="20"/>
          <w:color w:val="auto"/>
        </w:rPr>
      </w:pPr>
      <w:r>
        <w:rPr>
          <w:rFonts w:ascii="Arial" w:cs="Arial" w:eastAsia="Arial" w:hAnsi="Arial"/>
          <w:sz w:val="20"/>
          <w:szCs w:val="20"/>
          <w:color w:val="auto"/>
        </w:rPr>
        <w:t>Operating lease term and discount rates of our lessee arrangements at December 31, 2025 and 2024 were as follows:</w:t>
      </w:r>
    </w:p>
    <w:p>
      <w:pPr>
        <w:spacing w:after="0" w:line="356"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20"/>
                <w:szCs w:val="20"/>
                <w:color w:val="auto"/>
                <w:w w:val="89"/>
              </w:rPr>
              <w:t>December 31,</w:t>
            </w:r>
          </w:p>
        </w:tc>
        <w:tc>
          <w:tcPr>
            <w:tcW w:w="1460" w:type="dxa"/>
            <w:vAlign w:val="bottom"/>
          </w:tcPr>
          <w:p>
            <w:pPr>
              <w:jc w:val="right"/>
              <w:ind w:right="180"/>
              <w:spacing w:after="0"/>
              <w:rPr>
                <w:sz w:val="20"/>
                <w:szCs w:val="20"/>
                <w:color w:val="auto"/>
              </w:rPr>
            </w:pPr>
            <w:r>
              <w:rPr>
                <w:rFonts w:ascii="Arial" w:cs="Arial" w:eastAsia="Arial" w:hAnsi="Arial"/>
                <w:sz w:val="20"/>
                <w:szCs w:val="20"/>
                <w:color w:val="auto"/>
                <w:w w:val="92"/>
              </w:rPr>
              <w:t>December 31,</w:t>
            </w:r>
          </w:p>
        </w:tc>
      </w:tr>
      <w:tr>
        <w:trPr>
          <w:trHeight w:val="300"/>
        </w:trPr>
        <w:tc>
          <w:tcPr>
            <w:tcW w:w="4200" w:type="dxa"/>
            <w:vAlign w:val="bottom"/>
          </w:tcPr>
          <w:p>
            <w:pPr>
              <w:spacing w:after="0"/>
              <w:rPr>
                <w:sz w:val="24"/>
                <w:szCs w:val="24"/>
                <w:color w:val="auto"/>
              </w:rPr>
            </w:pPr>
          </w:p>
        </w:tc>
        <w:tc>
          <w:tcPr>
            <w:tcW w:w="1860" w:type="dxa"/>
            <w:vAlign w:val="bottom"/>
          </w:tcPr>
          <w:p>
            <w:pPr>
              <w:jc w:val="right"/>
              <w:ind w:right="560"/>
              <w:spacing w:after="0"/>
              <w:rPr>
                <w:sz w:val="20"/>
                <w:szCs w:val="20"/>
                <w:color w:val="auto"/>
              </w:rPr>
            </w:pPr>
            <w:r>
              <w:rPr>
                <w:rFonts w:ascii="Arial" w:cs="Arial" w:eastAsia="Arial" w:hAnsi="Arial"/>
                <w:sz w:val="20"/>
                <w:szCs w:val="20"/>
                <w:color w:val="auto"/>
              </w:rPr>
              <w:t>2025</w:t>
            </w:r>
          </w:p>
        </w:tc>
        <w:tc>
          <w:tcPr>
            <w:tcW w:w="1460" w:type="dxa"/>
            <w:vAlign w:val="bottom"/>
          </w:tcPr>
          <w:p>
            <w:pPr>
              <w:jc w:val="right"/>
              <w:ind w:right="520"/>
              <w:spacing w:after="0"/>
              <w:rPr>
                <w:sz w:val="20"/>
                <w:szCs w:val="20"/>
                <w:color w:val="auto"/>
              </w:rPr>
            </w:pPr>
            <w:r>
              <w:rPr>
                <w:rFonts w:ascii="Arial" w:cs="Arial" w:eastAsia="Arial" w:hAnsi="Arial"/>
                <w:sz w:val="20"/>
                <w:szCs w:val="20"/>
                <w:color w:val="auto"/>
              </w:rPr>
              <w:t>2024</w:t>
            </w:r>
          </w:p>
        </w:tc>
      </w:tr>
      <w:tr>
        <w:trPr>
          <w:trHeight w:val="51"/>
        </w:trPr>
        <w:tc>
          <w:tcPr>
            <w:tcW w:w="42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94"/>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w w:val="98"/>
              </w:rPr>
              <w:t>Weighted average remaining lease term (years)</w:t>
            </w:r>
          </w:p>
        </w:tc>
        <w:tc>
          <w:tcPr>
            <w:tcW w:w="1860" w:type="dxa"/>
            <w:vAlign w:val="bottom"/>
            <w:tcBorders>
              <w:bottom w:val="single" w:sz="8" w:color="CFF0FC"/>
            </w:tcBorders>
            <w:shd w:val="clear" w:color="auto" w:fill="CFF0FC"/>
          </w:tcPr>
          <w:p>
            <w:pPr>
              <w:ind w:left="1260"/>
              <w:spacing w:after="0"/>
              <w:rPr>
                <w:sz w:val="20"/>
                <w:szCs w:val="20"/>
                <w:color w:val="auto"/>
              </w:rPr>
            </w:pPr>
            <w:r>
              <w:rPr>
                <w:rFonts w:ascii="Arial" w:cs="Arial" w:eastAsia="Arial" w:hAnsi="Arial"/>
                <w:sz w:val="20"/>
                <w:szCs w:val="20"/>
                <w:color w:val="auto"/>
              </w:rPr>
              <w:t>8.12</w:t>
            </w:r>
          </w:p>
        </w:tc>
        <w:tc>
          <w:tcPr>
            <w:tcW w:w="14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11.07</w:t>
            </w:r>
          </w:p>
        </w:tc>
      </w:tr>
      <w:tr>
        <w:trPr>
          <w:trHeight w:val="274"/>
        </w:trPr>
        <w:tc>
          <w:tcPr>
            <w:tcW w:w="4200" w:type="dxa"/>
            <w:vAlign w:val="bottom"/>
          </w:tcPr>
          <w:p>
            <w:pPr>
              <w:spacing w:after="0"/>
              <w:rPr>
                <w:sz w:val="20"/>
                <w:szCs w:val="20"/>
                <w:color w:val="auto"/>
              </w:rPr>
            </w:pPr>
            <w:r>
              <w:rPr>
                <w:rFonts w:ascii="Arial" w:cs="Arial" w:eastAsia="Arial" w:hAnsi="Arial"/>
                <w:sz w:val="20"/>
                <w:szCs w:val="20"/>
                <w:color w:val="auto"/>
              </w:rPr>
              <w:t>Weighted average discount rate</w:t>
            </w:r>
          </w:p>
        </w:tc>
        <w:tc>
          <w:tcPr>
            <w:tcW w:w="1860" w:type="dxa"/>
            <w:vAlign w:val="bottom"/>
          </w:tcPr>
          <w:p>
            <w:pPr>
              <w:ind w:left="1260"/>
              <w:spacing w:after="0"/>
              <w:rPr>
                <w:sz w:val="20"/>
                <w:szCs w:val="20"/>
                <w:color w:val="auto"/>
              </w:rPr>
            </w:pPr>
            <w:r>
              <w:rPr>
                <w:rFonts w:ascii="Arial" w:cs="Arial" w:eastAsia="Arial" w:hAnsi="Arial"/>
                <w:sz w:val="20"/>
                <w:szCs w:val="20"/>
                <w:color w:val="auto"/>
              </w:rPr>
              <w:t>4.46%</w:t>
            </w:r>
          </w:p>
        </w:tc>
        <w:tc>
          <w:tcPr>
            <w:tcW w:w="1460" w:type="dxa"/>
            <w:vAlign w:val="bottom"/>
          </w:tcPr>
          <w:p>
            <w:pPr>
              <w:jc w:val="right"/>
              <w:spacing w:after="0"/>
              <w:rPr>
                <w:sz w:val="20"/>
                <w:szCs w:val="20"/>
                <w:color w:val="auto"/>
              </w:rPr>
            </w:pPr>
            <w:r>
              <w:rPr>
                <w:rFonts w:ascii="Arial" w:cs="Arial" w:eastAsia="Arial" w:hAnsi="Arial"/>
                <w:sz w:val="20"/>
                <w:szCs w:val="20"/>
                <w:color w:val="auto"/>
              </w:rPr>
              <w:t>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-379095</wp:posOffset>
            </wp:positionV>
            <wp:extent cx="1740535" cy="63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5">
                      <a:extLst>
                        <a:ext uri="{28A0092B-C50C-407E-A947-70E740481C1C}"/>
                      </a:extLst>
                    </a:blip>
                    <a:srcRect/>
                    <a:stretch>
                      <a:fillRect/>
                    </a:stretch>
                  </pic:blipFill>
                  <pic:spPr bwMode="auto">
                    <a:xfrm>
                      <a:off x="0" y="0"/>
                      <a:ext cx="1740535" cy="6350"/>
                    </a:xfrm>
                    <a:prstGeom prst="rect">
                      <a:avLst/>
                    </a:prstGeom>
                    <a:noFill/>
                  </pic:spPr>
                </pic:pic>
              </a:graphicData>
            </a:graphic>
          </wp:anchor>
        </w:drawing>
      </w:r>
    </w:p>
    <w:p>
      <w:pPr>
        <w:spacing w:after="0" w:line="360" w:lineRule="exact"/>
        <w:rPr>
          <w:sz w:val="20"/>
          <w:szCs w:val="20"/>
          <w:color w:val="auto"/>
        </w:rPr>
      </w:pPr>
    </w:p>
    <w:p>
      <w:pPr>
        <w:ind w:left="620" w:right="160"/>
        <w:spacing w:after="0" w:line="302" w:lineRule="auto"/>
        <w:rPr>
          <w:sz w:val="20"/>
          <w:szCs w:val="20"/>
          <w:color w:val="auto"/>
        </w:rPr>
      </w:pPr>
      <w:r>
        <w:rPr>
          <w:rFonts w:ascii="Arial" w:cs="Arial" w:eastAsia="Arial" w:hAnsi="Arial"/>
          <w:sz w:val="20"/>
          <w:szCs w:val="20"/>
          <w:color w:val="auto"/>
        </w:rPr>
        <w:t>The future lease payments based on maturity for our lessee liability arrangements at December 31, 2025 are as follows:</w:t>
      </w:r>
    </w:p>
    <w:p>
      <w:pPr>
        <w:spacing w:after="0" w:line="356"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00" w:type="dxa"/>
            <w:vAlign w:val="bottom"/>
          </w:tcPr>
          <w:p>
            <w:pPr>
              <w:jc w:val="right"/>
              <w:ind w:right="160"/>
              <w:spacing w:after="0"/>
              <w:rPr>
                <w:sz w:val="20"/>
                <w:szCs w:val="20"/>
                <w:color w:val="auto"/>
              </w:rPr>
            </w:pPr>
            <w:r>
              <w:rPr>
                <w:rFonts w:ascii="Arial" w:cs="Arial" w:eastAsia="Arial" w:hAnsi="Arial"/>
                <w:sz w:val="20"/>
                <w:szCs w:val="20"/>
                <w:color w:val="auto"/>
                <w:w w:val="90"/>
              </w:rPr>
              <w:t>(In Thousands)</w:t>
            </w:r>
          </w:p>
        </w:tc>
      </w:tr>
      <w:tr>
        <w:trPr>
          <w:trHeight w:val="51"/>
        </w:trPr>
        <w:tc>
          <w:tcPr>
            <w:tcW w:w="5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94"/>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2026</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962</w:t>
            </w:r>
          </w:p>
        </w:tc>
      </w:tr>
      <w:tr>
        <w:trPr>
          <w:trHeight w:val="274"/>
        </w:trPr>
        <w:tc>
          <w:tcPr>
            <w:tcW w:w="5140" w:type="dxa"/>
            <w:vAlign w:val="bottom"/>
          </w:tcPr>
          <w:p>
            <w:pPr>
              <w:spacing w:after="0"/>
              <w:rPr>
                <w:sz w:val="20"/>
                <w:szCs w:val="20"/>
                <w:color w:val="auto"/>
              </w:rPr>
            </w:pPr>
            <w:r>
              <w:rPr>
                <w:rFonts w:ascii="Arial" w:cs="Arial" w:eastAsia="Arial" w:hAnsi="Arial"/>
                <w:sz w:val="20"/>
                <w:szCs w:val="20"/>
                <w:color w:val="auto"/>
              </w:rPr>
              <w:t>2027</w:t>
            </w:r>
          </w:p>
        </w:tc>
        <w:tc>
          <w:tcPr>
            <w:tcW w:w="8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911</w:t>
            </w:r>
          </w:p>
        </w:tc>
      </w:tr>
      <w:tr>
        <w:trPr>
          <w:trHeight w:val="41"/>
        </w:trPr>
        <w:tc>
          <w:tcPr>
            <w:tcW w:w="5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94"/>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2028</w:t>
            </w:r>
          </w:p>
        </w:tc>
        <w:tc>
          <w:tcPr>
            <w:tcW w:w="88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832</w:t>
            </w:r>
          </w:p>
        </w:tc>
      </w:tr>
      <w:tr>
        <w:trPr>
          <w:trHeight w:val="274"/>
        </w:trPr>
        <w:tc>
          <w:tcPr>
            <w:tcW w:w="5140" w:type="dxa"/>
            <w:vAlign w:val="bottom"/>
          </w:tcPr>
          <w:p>
            <w:pPr>
              <w:spacing w:after="0"/>
              <w:rPr>
                <w:sz w:val="20"/>
                <w:szCs w:val="20"/>
                <w:color w:val="auto"/>
              </w:rPr>
            </w:pPr>
            <w:r>
              <w:rPr>
                <w:rFonts w:ascii="Arial" w:cs="Arial" w:eastAsia="Arial" w:hAnsi="Arial"/>
                <w:sz w:val="20"/>
                <w:szCs w:val="20"/>
                <w:color w:val="auto"/>
              </w:rPr>
              <w:t>2029</w:t>
            </w:r>
          </w:p>
        </w:tc>
        <w:tc>
          <w:tcPr>
            <w:tcW w:w="8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776</w:t>
            </w:r>
          </w:p>
        </w:tc>
      </w:tr>
      <w:tr>
        <w:trPr>
          <w:trHeight w:val="41"/>
        </w:trPr>
        <w:tc>
          <w:tcPr>
            <w:tcW w:w="5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94"/>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2030</w:t>
            </w:r>
          </w:p>
        </w:tc>
        <w:tc>
          <w:tcPr>
            <w:tcW w:w="88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779</w:t>
            </w:r>
          </w:p>
        </w:tc>
      </w:tr>
      <w:tr>
        <w:trPr>
          <w:trHeight w:val="284"/>
        </w:trPr>
        <w:tc>
          <w:tcPr>
            <w:tcW w:w="5140" w:type="dxa"/>
            <w:vAlign w:val="bottom"/>
          </w:tcPr>
          <w:p>
            <w:pPr>
              <w:spacing w:after="0"/>
              <w:rPr>
                <w:sz w:val="20"/>
                <w:szCs w:val="20"/>
                <w:color w:val="auto"/>
              </w:rPr>
            </w:pPr>
            <w:r>
              <w:rPr>
                <w:rFonts w:ascii="Arial" w:cs="Arial" w:eastAsia="Arial" w:hAnsi="Arial"/>
                <w:sz w:val="20"/>
                <w:szCs w:val="20"/>
                <w:color w:val="auto"/>
              </w:rPr>
              <w:t>2031 and thereafter</w:t>
            </w:r>
          </w:p>
        </w:tc>
        <w:tc>
          <w:tcPr>
            <w:tcW w:w="8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2,555</w:t>
            </w:r>
          </w:p>
        </w:tc>
      </w:tr>
      <w:tr>
        <w:trPr>
          <w:trHeight w:val="41"/>
        </w:trPr>
        <w:tc>
          <w:tcPr>
            <w:tcW w:w="5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94"/>
        </w:trPr>
        <w:tc>
          <w:tcPr>
            <w:tcW w:w="5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Total future lease payments</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6,815</w:t>
            </w:r>
          </w:p>
        </w:tc>
      </w:tr>
      <w:tr>
        <w:trPr>
          <w:trHeight w:val="284"/>
        </w:trPr>
        <w:tc>
          <w:tcPr>
            <w:tcW w:w="5140" w:type="dxa"/>
            <w:vAlign w:val="bottom"/>
          </w:tcPr>
          <w:p>
            <w:pPr>
              <w:spacing w:after="0"/>
              <w:rPr>
                <w:sz w:val="20"/>
                <w:szCs w:val="20"/>
                <w:color w:val="auto"/>
              </w:rPr>
            </w:pPr>
            <w:r>
              <w:rPr>
                <w:rFonts w:ascii="Arial" w:cs="Arial" w:eastAsia="Arial" w:hAnsi="Arial"/>
                <w:sz w:val="20"/>
                <w:szCs w:val="20"/>
                <w:color w:val="auto"/>
              </w:rPr>
              <w:t>Less: interest</w:t>
            </w:r>
          </w:p>
        </w:tc>
        <w:tc>
          <w:tcPr>
            <w:tcW w:w="8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1,075</w:t>
            </w:r>
          </w:p>
        </w:tc>
      </w:tr>
      <w:tr>
        <w:trPr>
          <w:trHeight w:val="41"/>
        </w:trPr>
        <w:tc>
          <w:tcPr>
            <w:tcW w:w="5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319"/>
        </w:trPr>
        <w:tc>
          <w:tcPr>
            <w:tcW w:w="5140" w:type="dxa"/>
            <w:vAlign w:val="bottom"/>
            <w:shd w:val="clear" w:color="auto" w:fill="CFF0FC"/>
          </w:tcPr>
          <w:p>
            <w:pPr>
              <w:ind w:left="40"/>
              <w:spacing w:after="0"/>
              <w:rPr>
                <w:sz w:val="20"/>
                <w:szCs w:val="20"/>
                <w:color w:val="auto"/>
              </w:rPr>
            </w:pPr>
            <w:r>
              <w:rPr>
                <w:rFonts w:ascii="Arial" w:cs="Arial" w:eastAsia="Arial" w:hAnsi="Arial"/>
                <w:sz w:val="20"/>
                <w:szCs w:val="20"/>
                <w:color w:val="auto"/>
              </w:rPr>
              <w:t>Present value of operating lease liability arrangements</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5,740</w:t>
            </w:r>
          </w:p>
        </w:tc>
      </w:tr>
      <w:tr>
        <w:trPr>
          <w:trHeight w:val="41"/>
        </w:trPr>
        <w:tc>
          <w:tcPr>
            <w:tcW w:w="514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15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-1844040</wp:posOffset>
            </wp:positionV>
            <wp:extent cx="989330"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6">
                      <a:extLst>
                        <a:ext uri="{28A0092B-C50C-407E-A947-70E740481C1C}"/>
                      </a:extLst>
                    </a:blip>
                    <a:srcRect/>
                    <a:stretch>
                      <a:fillRect/>
                    </a:stretch>
                  </pic:blipFill>
                  <pic:spPr bwMode="auto">
                    <a:xfrm>
                      <a:off x="0" y="0"/>
                      <a:ext cx="989330" cy="6350"/>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-639445</wp:posOffset>
            </wp:positionV>
            <wp:extent cx="989330" cy="63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7">
                      <a:extLst>
                        <a:ext uri="{28A0092B-C50C-407E-A947-70E740481C1C}"/>
                      </a:extLst>
                    </a:blip>
                    <a:srcRect/>
                    <a:stretch>
                      <a:fillRect/>
                    </a:stretch>
                  </pic:blipFill>
                  <pic:spPr bwMode="auto">
                    <a:xfrm>
                      <a:off x="0" y="0"/>
                      <a:ext cx="989330" cy="6350"/>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-233680</wp:posOffset>
            </wp:positionV>
            <wp:extent cx="989330" cy="63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08">
                      <a:extLst>
                        <a:ext uri="{28A0092B-C50C-407E-A947-70E740481C1C}"/>
                      </a:extLst>
                    </a:blip>
                    <a:srcRect/>
                    <a:stretch>
                      <a:fillRect/>
                    </a:stretch>
                  </pic:blipFill>
                  <pic:spPr bwMode="auto">
                    <a:xfrm>
                      <a:off x="0" y="0"/>
                      <a:ext cx="989330" cy="6350"/>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-27940</wp:posOffset>
            </wp:positionV>
            <wp:extent cx="1036955" cy="285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09">
                      <a:extLst>
                        <a:ext uri="{28A0092B-C50C-407E-A947-70E740481C1C}"/>
                      </a:extLst>
                    </a:blip>
                    <a:srcRect/>
                    <a:stretch>
                      <a:fillRect/>
                    </a:stretch>
                  </pic:blipFill>
                  <pic:spPr bwMode="auto">
                    <a:xfrm>
                      <a:off x="0" y="0"/>
                      <a:ext cx="1036955" cy="285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Servicing</w:t>
      </w:r>
    </w:p>
    <w:p>
      <w:pPr>
        <w:spacing w:after="0" w:line="200" w:lineRule="exact"/>
        <w:rPr>
          <w:sz w:val="20"/>
          <w:szCs w:val="20"/>
          <w:color w:val="auto"/>
        </w:rPr>
      </w:pPr>
    </w:p>
    <w:p>
      <w:pPr>
        <w:jc w:val="both"/>
        <w:ind w:left="620" w:right="60"/>
        <w:spacing w:after="0" w:line="378" w:lineRule="auto"/>
        <w:rPr>
          <w:sz w:val="20"/>
          <w:szCs w:val="20"/>
          <w:color w:val="auto"/>
        </w:rPr>
      </w:pPr>
      <w:r>
        <w:rPr>
          <w:rFonts w:ascii="Arial" w:cs="Arial" w:eastAsia="Arial" w:hAnsi="Arial"/>
          <w:sz w:val="17"/>
          <w:szCs w:val="17"/>
          <w:color w:val="auto"/>
        </w:rPr>
        <w:t>Loans serviced for others are not included in the accompanying Company's consolidated balance sheets. The unpaid principal balances of 1-4 family real estate loans serviced for others were $362.6 and $364.3 million at December 31, 2025 and 2024, respectively. Unpaid principal balances of agricultural real estate loans serviced for others were $153.4 million at December 31, 2025 and $141.9 million at December 31, 2024.</w:t>
      </w:r>
    </w:p>
    <w:p>
      <w:pPr>
        <w:spacing w:after="0" w:line="209" w:lineRule="exact"/>
        <w:rPr>
          <w:sz w:val="20"/>
          <w:szCs w:val="20"/>
          <w:color w:val="auto"/>
        </w:rPr>
      </w:pPr>
    </w:p>
    <w:p>
      <w:pPr>
        <w:jc w:val="both"/>
        <w:ind w:left="620" w:right="60"/>
        <w:spacing w:after="0" w:line="310" w:lineRule="auto"/>
        <w:rPr>
          <w:sz w:val="20"/>
          <w:szCs w:val="20"/>
          <w:color w:val="auto"/>
        </w:rPr>
      </w:pPr>
      <w:r>
        <w:rPr>
          <w:rFonts w:ascii="Arial" w:cs="Arial" w:eastAsia="Arial" w:hAnsi="Arial"/>
          <w:sz w:val="20"/>
          <w:szCs w:val="20"/>
          <w:color w:val="auto"/>
        </w:rPr>
        <w:t>The balance of capitalized servicing rights at December 31, 2025 and 2024 for 1-4 family real estate loans, was $3.6 million and $3.5 million, respectively. Agricultural real estate loan servicing rights, established in 2023, were $2.4 million and $2.2 million at December 31, 2025 and 2024, respectively. The capitalized addition of servicing rights is included in loan servicing income on the Company's consolidated statement of income.</w:t>
      </w:r>
    </w:p>
    <w:p>
      <w:pPr>
        <w:spacing w:after="0" w:line="255" w:lineRule="exact"/>
        <w:rPr>
          <w:sz w:val="20"/>
          <w:szCs w:val="20"/>
          <w:color w:val="auto"/>
        </w:rPr>
      </w:pPr>
    </w:p>
    <w:p>
      <w:pPr>
        <w:jc w:val="both"/>
        <w:ind w:left="620" w:right="40"/>
        <w:spacing w:after="0" w:line="352" w:lineRule="auto"/>
        <w:rPr>
          <w:sz w:val="20"/>
          <w:szCs w:val="20"/>
          <w:color w:val="auto"/>
        </w:rPr>
      </w:pPr>
      <w:r>
        <w:rPr>
          <w:rFonts w:ascii="Arial" w:cs="Arial" w:eastAsia="Arial" w:hAnsi="Arial"/>
          <w:sz w:val="18"/>
          <w:szCs w:val="18"/>
          <w:color w:val="auto"/>
        </w:rPr>
        <w:t>The fair value of the capitalized servicing rights for 1-4 family real estate loans as of December 31, 2025 and 2024 was $4.5 million and $4.8 million, respectively. Capitalized servicing rights for agricultural real estate loans had a fair value of $1.5 million and $2.7 million as of December 31, 2025 and 2024. The valuations were completed by stratifying the loans into like groups based on loan type and term. Impairment was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24</w:t>
      </w:r>
    </w:p>
    <w:p>
      <w:pPr>
        <w:sectPr>
          <w:pgSz w:w="11900" w:h="16838" w:orient="portrait"/>
          <w:cols w:equalWidth="0" w:num="1">
            <w:col w:w="9400"/>
          </w:cols>
          <w:pgMar w:left="1260" w:top="1440" w:right="1246" w:bottom="0" w:gutter="0" w:footer="0" w:header="0"/>
          <w:type w:val="continuous"/>
        </w:sectPr>
      </w:pPr>
    </w:p>
    <w:bookmarkStart w:id="200" w:name="page201"/>
    <w:bookmarkEnd w:id="200"/>
    <w:p>
      <w:pPr>
        <w:jc w:val="both"/>
        <w:ind w:left="440"/>
        <w:spacing w:after="0" w:line="329" w:lineRule="auto"/>
        <w:rPr>
          <w:sz w:val="20"/>
          <w:szCs w:val="20"/>
          <w:color w:val="auto"/>
        </w:rPr>
      </w:pPr>
      <w:r>
        <w:rPr>
          <w:rFonts w:ascii="Arial" w:cs="Arial" w:eastAsia="Arial" w:hAnsi="Arial"/>
          <w:sz w:val="19"/>
          <w:szCs w:val="19"/>
          <w:color w:val="auto"/>
        </w:rPr>
        <w:t>measured by estimating the fair value of each stratum, taking into consideration an estimated level of prepayment based upon current market conditions. An average constant prepayment rate for 1-4 family real estate loans of 9.8% and 6.1% were utilized for December 31, 2025 and 2024, respectively. Agricultural real estate loans utilize an average constant prepayment rate based on the Bank's last twelve months of data. The average monthly constant prepayment rate was 1.054% and 0.184% for fixed rate agricultural loans at December 31, 2025 and 2024, respectively. In 2025, two 1-4 family real estate strata, which included 72 of the total 3,597 loans, were slightly below the carrying value using a discount yield of 5.48% which resulted in the need to establish an additional $3 thousand valuation allowance for a total valuation allowance of $5 thousand. In 2024, two 1-4 family real estate strata, which included 82 of the total 3,677 loans, were slightly below the carrying value using a discount yield of 5.98% which resulted in the need to establish a $2 thousand valuation allowance. At December 31, 2025, the carrying value of all fourteen agricultural real estate strata, which included 658 loans, using an approximate discount rate of 7.97% were higher than the fair value requiring an additional $783 thousand valuation allowance to be established for a total valuation allowance of $878 thousand. During 2024,the carrying value of 10 agricultural real estate strata, which included 33 of the total 619</w:t>
      </w:r>
    </w:p>
    <w:p>
      <w:pPr>
        <w:spacing w:after="0" w:line="238"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5 / 24</w:t>
      </w:r>
    </w:p>
    <w:p>
      <w:pPr>
        <w:sectPr>
          <w:pgSz w:w="11900" w:h="16838" w:orient="portrait"/>
          <w:cols w:equalWidth="0" w:num="1">
            <w:col w:w="9160"/>
          </w:cols>
          <w:pgMar w:left="1440" w:top="1173" w:right="1306" w:bottom="0" w:gutter="0" w:footer="0" w:header="0"/>
          <w:type w:val="continuous"/>
        </w:sectPr>
      </w:pPr>
    </w:p>
    <w:bookmarkStart w:id="201" w:name="page202"/>
    <w:bookmarkEnd w:id="201"/>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20" w:right="80" w:firstLine="68"/>
        <w:spacing w:after="0" w:line="302" w:lineRule="auto"/>
        <w:rPr>
          <w:sz w:val="20"/>
          <w:szCs w:val="20"/>
          <w:color w:val="auto"/>
        </w:rPr>
      </w:pPr>
      <w:r>
        <w:rPr>
          <w:rFonts w:ascii="Arial" w:cs="Arial" w:eastAsia="Arial" w:hAnsi="Arial"/>
          <w:sz w:val="20"/>
          <w:szCs w:val="20"/>
          <w:color w:val="auto"/>
        </w:rPr>
        <w:t>loans, using an approximate discount rate of 8.62% were higher than fair value requiring a $95 thousand valuation allowance to be established.</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following summarizes servicing rights capitalized and amortized during each year:</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560" w:type="dxa"/>
            <w:vAlign w:val="bottom"/>
            <w:gridSpan w:val="4"/>
          </w:tcPr>
          <w:p>
            <w:pPr>
              <w:ind w:left="320"/>
              <w:spacing w:after="0"/>
              <w:rPr>
                <w:sz w:val="20"/>
                <w:szCs w:val="20"/>
                <w:color w:val="auto"/>
              </w:rPr>
            </w:pPr>
            <w:r>
              <w:rPr>
                <w:rFonts w:ascii="Arial" w:cs="Arial" w:eastAsia="Arial" w:hAnsi="Arial"/>
                <w:sz w:val="20"/>
                <w:szCs w:val="20"/>
                <w:color w:val="auto"/>
              </w:rPr>
              <w:t>(In Thousands)</w:t>
            </w:r>
          </w:p>
        </w:tc>
      </w:tr>
      <w:tr>
        <w:trPr>
          <w:trHeight w:val="324"/>
        </w:trPr>
        <w:tc>
          <w:tcPr>
            <w:tcW w:w="14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jc w:val="right"/>
              <w:ind w:right="360"/>
              <w:spacing w:after="0"/>
              <w:rPr>
                <w:sz w:val="20"/>
                <w:szCs w:val="20"/>
                <w:color w:val="auto"/>
              </w:rPr>
            </w:pPr>
            <w:r>
              <w:rPr>
                <w:rFonts w:ascii="Arial" w:cs="Arial" w:eastAsia="Arial" w:hAnsi="Arial"/>
                <w:sz w:val="20"/>
                <w:szCs w:val="20"/>
                <w:color w:val="auto"/>
              </w:rPr>
              <w:t>2025</w:t>
            </w:r>
          </w:p>
        </w:tc>
        <w:tc>
          <w:tcPr>
            <w:tcW w:w="280" w:type="dxa"/>
            <w:vAlign w:val="bottom"/>
          </w:tcPr>
          <w:p>
            <w:pPr>
              <w:spacing w:after="0"/>
              <w:rPr>
                <w:sz w:val="24"/>
                <w:szCs w:val="24"/>
                <w:color w:val="auto"/>
              </w:rPr>
            </w:pPr>
          </w:p>
        </w:tc>
        <w:tc>
          <w:tcPr>
            <w:tcW w:w="900" w:type="dxa"/>
            <w:vAlign w:val="bottom"/>
          </w:tcPr>
          <w:p>
            <w:pPr>
              <w:jc w:val="right"/>
              <w:ind w:right="300"/>
              <w:spacing w:after="0"/>
              <w:rPr>
                <w:sz w:val="20"/>
                <w:szCs w:val="20"/>
                <w:color w:val="auto"/>
              </w:rPr>
            </w:pPr>
            <w:r>
              <w:rPr>
                <w:rFonts w:ascii="Arial" w:cs="Arial" w:eastAsia="Arial" w:hAnsi="Arial"/>
                <w:sz w:val="20"/>
                <w:szCs w:val="20"/>
                <w:color w:val="auto"/>
              </w:rPr>
              <w:t>2024</w:t>
            </w:r>
          </w:p>
        </w:tc>
        <w:tc>
          <w:tcPr>
            <w:tcW w:w="1420" w:type="dxa"/>
            <w:vAlign w:val="bottom"/>
          </w:tcPr>
          <w:p>
            <w:pPr>
              <w:spacing w:after="0"/>
              <w:rPr>
                <w:sz w:val="24"/>
                <w:szCs w:val="24"/>
                <w:color w:val="auto"/>
              </w:rPr>
            </w:pPr>
          </w:p>
        </w:tc>
      </w:tr>
      <w:tr>
        <w:trPr>
          <w:trHeight w:val="51"/>
        </w:trPr>
        <w:tc>
          <w:tcPr>
            <w:tcW w:w="14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94"/>
        </w:trPr>
        <w:tc>
          <w:tcPr>
            <w:tcW w:w="1400" w:type="dxa"/>
            <w:vAlign w:val="bottom"/>
          </w:tcPr>
          <w:p>
            <w:pPr>
              <w:spacing w:after="0"/>
              <w:rPr>
                <w:sz w:val="24"/>
                <w:szCs w:val="24"/>
                <w:color w:val="auto"/>
              </w:rPr>
            </w:pPr>
          </w:p>
        </w:tc>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Beginning of Year</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5,753</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5,655</w:t>
            </w:r>
          </w:p>
        </w:tc>
        <w:tc>
          <w:tcPr>
            <w:tcW w:w="1420" w:type="dxa"/>
            <w:vAlign w:val="bottom"/>
          </w:tcPr>
          <w:p>
            <w:pPr>
              <w:spacing w:after="0"/>
              <w:rPr>
                <w:sz w:val="24"/>
                <w:szCs w:val="24"/>
                <w:color w:val="auto"/>
              </w:rPr>
            </w:pPr>
          </w:p>
        </w:tc>
      </w:tr>
      <w:tr>
        <w:trPr>
          <w:trHeight w:val="274"/>
        </w:trPr>
        <w:tc>
          <w:tcPr>
            <w:tcW w:w="1400" w:type="dxa"/>
            <w:vAlign w:val="bottom"/>
          </w:tcPr>
          <w:p>
            <w:pPr>
              <w:spacing w:after="0"/>
              <w:rPr>
                <w:sz w:val="23"/>
                <w:szCs w:val="23"/>
                <w:color w:val="auto"/>
              </w:rPr>
            </w:pPr>
          </w:p>
        </w:tc>
        <w:tc>
          <w:tcPr>
            <w:tcW w:w="3000" w:type="dxa"/>
            <w:vAlign w:val="bottom"/>
          </w:tcPr>
          <w:p>
            <w:pPr>
              <w:ind w:left="80"/>
              <w:spacing w:after="0"/>
              <w:rPr>
                <w:sz w:val="20"/>
                <w:szCs w:val="20"/>
                <w:color w:val="auto"/>
              </w:rPr>
            </w:pPr>
            <w:r>
              <w:rPr>
                <w:rFonts w:ascii="Arial" w:cs="Arial" w:eastAsia="Arial" w:hAnsi="Arial"/>
                <w:sz w:val="20"/>
                <w:szCs w:val="20"/>
                <w:color w:val="auto"/>
              </w:rPr>
              <w:t>Capitalized Additions</w:t>
            </w:r>
          </w:p>
        </w:tc>
        <w:tc>
          <w:tcPr>
            <w:tcW w:w="14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20"/>
                <w:szCs w:val="20"/>
                <w:color w:val="auto"/>
              </w:rPr>
              <w:t>1,103</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826</w:t>
            </w:r>
          </w:p>
        </w:tc>
        <w:tc>
          <w:tcPr>
            <w:tcW w:w="1420" w:type="dxa"/>
            <w:vAlign w:val="bottom"/>
          </w:tcPr>
          <w:p>
            <w:pPr>
              <w:spacing w:after="0"/>
              <w:rPr>
                <w:sz w:val="23"/>
                <w:szCs w:val="23"/>
                <w:color w:val="auto"/>
              </w:rPr>
            </w:pPr>
          </w:p>
        </w:tc>
      </w:tr>
      <w:tr>
        <w:trPr>
          <w:trHeight w:val="41"/>
        </w:trPr>
        <w:tc>
          <w:tcPr>
            <w:tcW w:w="140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304"/>
        </w:trPr>
        <w:tc>
          <w:tcPr>
            <w:tcW w:w="1400" w:type="dxa"/>
            <w:vAlign w:val="bottom"/>
          </w:tcPr>
          <w:p>
            <w:pPr>
              <w:spacing w:after="0"/>
              <w:rPr>
                <w:sz w:val="24"/>
                <w:szCs w:val="24"/>
                <w:color w:val="auto"/>
              </w:rPr>
            </w:pPr>
          </w:p>
        </w:tc>
        <w:tc>
          <w:tcPr>
            <w:tcW w:w="30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Amortization</w:t>
            </w:r>
          </w:p>
        </w:tc>
        <w:tc>
          <w:tcPr>
            <w:tcW w:w="14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(798)</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(728)</w:t>
            </w:r>
          </w:p>
        </w:tc>
        <w:tc>
          <w:tcPr>
            <w:tcW w:w="1420" w:type="dxa"/>
            <w:vAlign w:val="bottom"/>
          </w:tcPr>
          <w:p>
            <w:pPr>
              <w:spacing w:after="0"/>
              <w:rPr>
                <w:sz w:val="24"/>
                <w:szCs w:val="24"/>
                <w:color w:val="auto"/>
              </w:rPr>
            </w:pPr>
          </w:p>
        </w:tc>
      </w:tr>
      <w:tr>
        <w:trPr>
          <w:trHeight w:val="274"/>
        </w:trPr>
        <w:tc>
          <w:tcPr>
            <w:tcW w:w="1400" w:type="dxa"/>
            <w:vAlign w:val="bottom"/>
          </w:tcPr>
          <w:p>
            <w:pPr>
              <w:spacing w:after="0"/>
              <w:rPr>
                <w:sz w:val="23"/>
                <w:szCs w:val="23"/>
                <w:color w:val="auto"/>
              </w:rPr>
            </w:pPr>
          </w:p>
        </w:tc>
        <w:tc>
          <w:tcPr>
            <w:tcW w:w="3000" w:type="dxa"/>
            <w:vAlign w:val="bottom"/>
          </w:tcPr>
          <w:p>
            <w:pPr>
              <w:spacing w:after="0"/>
              <w:rPr>
                <w:sz w:val="20"/>
                <w:szCs w:val="20"/>
                <w:color w:val="auto"/>
              </w:rPr>
            </w:pPr>
            <w:r>
              <w:rPr>
                <w:rFonts w:ascii="Arial" w:cs="Arial" w:eastAsia="Arial" w:hAnsi="Arial"/>
                <w:sz w:val="20"/>
                <w:szCs w:val="20"/>
                <w:color w:val="auto"/>
              </w:rPr>
              <w:t>Ending Balance, December 31</w:t>
            </w:r>
          </w:p>
        </w:tc>
        <w:tc>
          <w:tcPr>
            <w:tcW w:w="14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20"/>
                <w:szCs w:val="20"/>
                <w:color w:val="auto"/>
              </w:rPr>
              <w:t>6,058</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5,753</w:t>
            </w:r>
          </w:p>
        </w:tc>
        <w:tc>
          <w:tcPr>
            <w:tcW w:w="1420" w:type="dxa"/>
            <w:vAlign w:val="bottom"/>
          </w:tcPr>
          <w:p>
            <w:pPr>
              <w:spacing w:after="0"/>
              <w:rPr>
                <w:sz w:val="23"/>
                <w:szCs w:val="23"/>
                <w:color w:val="auto"/>
              </w:rPr>
            </w:pPr>
          </w:p>
        </w:tc>
      </w:tr>
      <w:tr>
        <w:trPr>
          <w:trHeight w:val="41"/>
        </w:trPr>
        <w:tc>
          <w:tcPr>
            <w:tcW w:w="140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304"/>
        </w:trPr>
        <w:tc>
          <w:tcPr>
            <w:tcW w:w="1400" w:type="dxa"/>
            <w:vAlign w:val="bottom"/>
          </w:tcPr>
          <w:p>
            <w:pPr>
              <w:spacing w:after="0"/>
              <w:rPr>
                <w:sz w:val="24"/>
                <w:szCs w:val="24"/>
                <w:color w:val="auto"/>
              </w:rPr>
            </w:pPr>
          </w:p>
        </w:tc>
        <w:tc>
          <w:tcPr>
            <w:tcW w:w="30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Valuation Allowance</w:t>
            </w:r>
          </w:p>
        </w:tc>
        <w:tc>
          <w:tcPr>
            <w:tcW w:w="14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(883)</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(97)</w:t>
            </w:r>
          </w:p>
        </w:tc>
        <w:tc>
          <w:tcPr>
            <w:tcW w:w="1420" w:type="dxa"/>
            <w:vAlign w:val="bottom"/>
          </w:tcPr>
          <w:p>
            <w:pPr>
              <w:spacing w:after="0"/>
              <w:rPr>
                <w:sz w:val="24"/>
                <w:szCs w:val="24"/>
                <w:color w:val="auto"/>
              </w:rPr>
            </w:pPr>
          </w:p>
        </w:tc>
      </w:tr>
      <w:tr>
        <w:trPr>
          <w:trHeight w:val="296"/>
        </w:trPr>
        <w:tc>
          <w:tcPr>
            <w:tcW w:w="140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Arial" w:cs="Arial" w:eastAsia="Arial" w:hAnsi="Arial"/>
                <w:sz w:val="20"/>
                <w:szCs w:val="20"/>
                <w:color w:val="auto"/>
                <w:w w:val="96"/>
              </w:rPr>
              <w:t>Servicing Rights net, December 31</w:t>
            </w: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0"/>
              <w:spacing w:after="0"/>
              <w:rPr>
                <w:sz w:val="20"/>
                <w:szCs w:val="20"/>
                <w:color w:val="auto"/>
              </w:rPr>
            </w:pPr>
            <w:r>
              <w:rPr>
                <w:rFonts w:ascii="Arial" w:cs="Arial" w:eastAsia="Arial" w:hAnsi="Arial"/>
                <w:sz w:val="20"/>
                <w:szCs w:val="20"/>
                <w:color w:val="auto"/>
              </w:rPr>
              <w:t>5,175</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5,656</w:t>
            </w:r>
          </w:p>
        </w:tc>
        <w:tc>
          <w:tcPr>
            <w:tcW w:w="1420" w:type="dxa"/>
            <w:vAlign w:val="bottom"/>
          </w:tcPr>
          <w:p>
            <w:pPr>
              <w:spacing w:after="0"/>
              <w:rPr>
                <w:sz w:val="24"/>
                <w:szCs w:val="24"/>
                <w:color w:val="auto"/>
              </w:rPr>
            </w:pPr>
          </w:p>
        </w:tc>
      </w:tr>
      <w:tr>
        <w:trPr>
          <w:trHeight w:val="863"/>
        </w:trPr>
        <w:tc>
          <w:tcPr>
            <w:tcW w:w="14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40" w:type="dxa"/>
            <w:vAlign w:val="bottom"/>
          </w:tcPr>
          <w:p>
            <w:pPr>
              <w:jc w:val="right"/>
              <w:ind w:right="940"/>
              <w:spacing w:after="0"/>
              <w:rPr>
                <w:sz w:val="20"/>
                <w:szCs w:val="20"/>
                <w:color w:val="auto"/>
              </w:rPr>
            </w:pPr>
            <w:r>
              <w:rPr>
                <w:rFonts w:ascii="Arial" w:cs="Arial" w:eastAsia="Arial" w:hAnsi="Arial"/>
                <w:sz w:val="20"/>
                <w:szCs w:val="20"/>
                <w:color w:val="auto"/>
              </w:rPr>
              <w:t>95</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91"/>
        </w:trPr>
        <w:tc>
          <w:tcPr>
            <w:tcW w:w="1400" w:type="dxa"/>
            <w:vAlign w:val="bottom"/>
            <w:tcBorders>
              <w:bottom w:val="single" w:sz="8" w:color="010101"/>
            </w:tcBorders>
          </w:tcPr>
          <w:p>
            <w:pPr>
              <w:spacing w:after="0"/>
              <w:rPr>
                <w:sz w:val="24"/>
                <w:szCs w:val="24"/>
                <w:color w:val="auto"/>
              </w:rPr>
            </w:pPr>
          </w:p>
        </w:tc>
        <w:tc>
          <w:tcPr>
            <w:tcW w:w="3000" w:type="dxa"/>
            <w:vAlign w:val="bottom"/>
            <w:tcBorders>
              <w:bottom w:val="single" w:sz="8" w:color="010101"/>
            </w:tcBorders>
          </w:tcPr>
          <w:p>
            <w:pPr>
              <w:spacing w:after="0"/>
              <w:rPr>
                <w:sz w:val="24"/>
                <w:szCs w:val="24"/>
                <w:color w:val="auto"/>
              </w:rPr>
            </w:pPr>
          </w:p>
        </w:tc>
        <w:tc>
          <w:tcPr>
            <w:tcW w:w="144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14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2">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-2536825</wp:posOffset>
            </wp:positionV>
            <wp:extent cx="1432560" cy="63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3">
                      <a:extLst>
                        <a:ext uri="{28A0092B-C50C-407E-A947-70E740481C1C}"/>
                      </a:extLst>
                    </a:blip>
                    <a:srcRect/>
                    <a:stretch>
                      <a:fillRect/>
                    </a:stretch>
                  </pic:blipFill>
                  <pic:spPr bwMode="auto">
                    <a:xfrm>
                      <a:off x="0" y="0"/>
                      <a:ext cx="143256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-2330450</wp:posOffset>
            </wp:positionV>
            <wp:extent cx="1432560" cy="6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4">
                      <a:extLst>
                        <a:ext uri="{28A0092B-C50C-407E-A947-70E740481C1C}"/>
                      </a:extLst>
                    </a:blip>
                    <a:srcRect/>
                    <a:stretch>
                      <a:fillRect/>
                    </a:stretch>
                  </pic:blipFill>
                  <pic:spPr bwMode="auto">
                    <a:xfrm>
                      <a:off x="0" y="0"/>
                      <a:ext cx="1432560"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-1725295</wp:posOffset>
            </wp:positionV>
            <wp:extent cx="1483995" cy="63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5">
                      <a:extLst>
                        <a:ext uri="{28A0092B-C50C-407E-A947-70E740481C1C}"/>
                      </a:extLst>
                    </a:blip>
                    <a:srcRect/>
                    <a:stretch>
                      <a:fillRect/>
                    </a:stretch>
                  </pic:blipFill>
                  <pic:spPr bwMode="auto">
                    <a:xfrm>
                      <a:off x="0" y="0"/>
                      <a:ext cx="1483995"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-1319530</wp:posOffset>
            </wp:positionV>
            <wp:extent cx="1483995" cy="6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6">
                      <a:extLst>
                        <a:ext uri="{28A0092B-C50C-407E-A947-70E740481C1C}"/>
                      </a:extLst>
                    </a:blip>
                    <a:srcRect/>
                    <a:stretch>
                      <a:fillRect/>
                    </a:stretch>
                  </pic:blipFill>
                  <pic:spPr bwMode="auto">
                    <a:xfrm>
                      <a:off x="0" y="0"/>
                      <a:ext cx="1483995" cy="635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-1113790</wp:posOffset>
            </wp:positionV>
            <wp:extent cx="1432560" cy="2857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7">
                      <a:extLst>
                        <a:ext uri="{28A0092B-C50C-407E-A947-70E740481C1C}"/>
                      </a:extLst>
                    </a:blip>
                    <a:srcRect/>
                    <a:stretch>
                      <a:fillRect/>
                    </a:stretch>
                  </pic:blipFill>
                  <pic:spPr bwMode="auto">
                    <a:xfrm>
                      <a:off x="0" y="0"/>
                      <a:ext cx="143256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24</w:t>
      </w:r>
    </w:p>
    <w:p>
      <w:pPr>
        <w:sectPr>
          <w:pgSz w:w="11900" w:h="16838" w:orient="portrait"/>
          <w:cols w:equalWidth="0" w:num="1">
            <w:col w:w="9400"/>
          </w:cols>
          <w:pgMar w:left="1260" w:top="1440" w:right="1246" w:bottom="0" w:gutter="0" w:footer="0" w:header="0"/>
          <w:type w:val="continuous"/>
        </w:sectPr>
      </w:pPr>
    </w:p>
    <w:bookmarkStart w:id="202" w:name="page203"/>
    <w:bookmarkEnd w:id="202"/>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 Deposits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Time deposits as of December 31 consist of the following:</w:t>
      </w:r>
    </w:p>
    <w:p>
      <w:pPr>
        <w:spacing w:after="0" w:line="200" w:lineRule="exact"/>
        <w:rPr>
          <w:sz w:val="20"/>
          <w:szCs w:val="20"/>
          <w:color w:val="auto"/>
        </w:rPr>
      </w:pPr>
    </w:p>
    <w:p>
      <w:pPr>
        <w:spacing w:after="0" w:line="214"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3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80" w:type="dxa"/>
            <w:vAlign w:val="bottom"/>
            <w:gridSpan w:val="3"/>
          </w:tcPr>
          <w:p>
            <w:pPr>
              <w:jc w:val="right"/>
              <w:ind w:right="800"/>
              <w:spacing w:after="0"/>
              <w:rPr>
                <w:sz w:val="20"/>
                <w:szCs w:val="20"/>
                <w:color w:val="auto"/>
              </w:rPr>
            </w:pPr>
            <w:r>
              <w:rPr>
                <w:rFonts w:ascii="Arial" w:cs="Arial" w:eastAsia="Arial" w:hAnsi="Arial"/>
                <w:sz w:val="20"/>
                <w:szCs w:val="20"/>
                <w:color w:val="auto"/>
              </w:rPr>
              <w:t>(In Thousands)</w:t>
            </w:r>
          </w:p>
        </w:tc>
      </w:tr>
      <w:tr>
        <w:trPr>
          <w:trHeight w:val="324"/>
        </w:trPr>
        <w:tc>
          <w:tcPr>
            <w:tcW w:w="3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jc w:val="right"/>
              <w:ind w:right="460"/>
              <w:spacing w:after="0"/>
              <w:rPr>
                <w:sz w:val="20"/>
                <w:szCs w:val="20"/>
                <w:color w:val="auto"/>
              </w:rPr>
            </w:pPr>
            <w:r>
              <w:rPr>
                <w:rFonts w:ascii="Arial" w:cs="Arial" w:eastAsia="Arial" w:hAnsi="Arial"/>
                <w:sz w:val="20"/>
                <w:szCs w:val="20"/>
                <w:color w:val="auto"/>
              </w:rPr>
              <w:t>2025</w:t>
            </w:r>
          </w:p>
        </w:tc>
        <w:tc>
          <w:tcPr>
            <w:tcW w:w="400" w:type="dxa"/>
            <w:vAlign w:val="bottom"/>
          </w:tcPr>
          <w:p>
            <w:pPr>
              <w:spacing w:after="0"/>
              <w:rPr>
                <w:sz w:val="24"/>
                <w:szCs w:val="24"/>
                <w:color w:val="auto"/>
              </w:rPr>
            </w:pPr>
          </w:p>
        </w:tc>
        <w:tc>
          <w:tcPr>
            <w:tcW w:w="1120" w:type="dxa"/>
            <w:vAlign w:val="bottom"/>
          </w:tcPr>
          <w:p>
            <w:pPr>
              <w:jc w:val="right"/>
              <w:ind w:right="440"/>
              <w:spacing w:after="0"/>
              <w:rPr>
                <w:sz w:val="20"/>
                <w:szCs w:val="20"/>
                <w:color w:val="auto"/>
              </w:rPr>
            </w:pPr>
            <w:r>
              <w:rPr>
                <w:rFonts w:ascii="Arial" w:cs="Arial" w:eastAsia="Arial" w:hAnsi="Arial"/>
                <w:sz w:val="20"/>
                <w:szCs w:val="20"/>
                <w:color w:val="auto"/>
              </w:rPr>
              <w:t>2024</w:t>
            </w:r>
          </w:p>
        </w:tc>
      </w:tr>
      <w:tr>
        <w:trPr>
          <w:trHeight w:val="51"/>
        </w:trPr>
        <w:tc>
          <w:tcPr>
            <w:tcW w:w="3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94"/>
        </w:trPr>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Time deposits under $250,000</w:t>
            </w:r>
          </w:p>
        </w:tc>
        <w:tc>
          <w:tcPr>
            <w:tcW w:w="6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433,307</w:t>
            </w:r>
          </w:p>
        </w:tc>
        <w:tc>
          <w:tcPr>
            <w:tcW w:w="4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505,949</w:t>
            </w:r>
          </w:p>
        </w:tc>
      </w:tr>
      <w:tr>
        <w:trPr>
          <w:trHeight w:val="279"/>
        </w:trPr>
        <w:tc>
          <w:tcPr>
            <w:tcW w:w="3220" w:type="dxa"/>
            <w:vAlign w:val="bottom"/>
          </w:tcPr>
          <w:p>
            <w:pPr>
              <w:spacing w:after="0"/>
              <w:rPr>
                <w:sz w:val="20"/>
                <w:szCs w:val="20"/>
                <w:color w:val="auto"/>
              </w:rPr>
            </w:pPr>
            <w:r>
              <w:rPr>
                <w:rFonts w:ascii="Arial" w:cs="Arial" w:eastAsia="Arial" w:hAnsi="Arial"/>
                <w:sz w:val="20"/>
                <w:szCs w:val="20"/>
                <w:color w:val="auto"/>
              </w:rPr>
              <w:t>Time deposits of $250,000 or more</w:t>
            </w:r>
          </w:p>
        </w:tc>
        <w:tc>
          <w:tcPr>
            <w:tcW w:w="6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164,478</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141,632</w:t>
            </w:r>
          </w:p>
        </w:tc>
      </w:tr>
      <w:tr>
        <w:trPr>
          <w:trHeight w:val="46"/>
        </w:trPr>
        <w:tc>
          <w:tcPr>
            <w:tcW w:w="3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4"/>
        </w:trPr>
        <w:tc>
          <w:tcPr>
            <w:tcW w:w="3220" w:type="dxa"/>
            <w:vAlign w:val="bottom"/>
            <w:shd w:val="clear" w:color="auto" w:fill="CFF0FC"/>
          </w:tcPr>
          <w:p>
            <w:pPr>
              <w:spacing w:after="0"/>
              <w:rPr>
                <w:sz w:val="23"/>
                <w:szCs w:val="23"/>
                <w:color w:val="auto"/>
              </w:rPr>
            </w:pPr>
          </w:p>
        </w:tc>
        <w:tc>
          <w:tcPr>
            <w:tcW w:w="68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597,785</w:t>
            </w:r>
          </w:p>
        </w:tc>
        <w:tc>
          <w:tcPr>
            <w:tcW w:w="40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647,581</w:t>
            </w:r>
          </w:p>
        </w:tc>
      </w:tr>
      <w:tr>
        <w:trPr>
          <w:trHeight w:val="86"/>
        </w:trPr>
        <w:tc>
          <w:tcPr>
            <w:tcW w:w="3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1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-845820</wp:posOffset>
            </wp:positionV>
            <wp:extent cx="1833245" cy="63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18">
                      <a:extLst>
                        <a:ext uri="{28A0092B-C50C-407E-A947-70E740481C1C}"/>
                      </a:extLst>
                    </a:blip>
                    <a:srcRect/>
                    <a:stretch>
                      <a:fillRect/>
                    </a:stretch>
                  </pic:blipFill>
                  <pic:spPr bwMode="auto">
                    <a:xfrm>
                      <a:off x="0" y="0"/>
                      <a:ext cx="1833245" cy="635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-639445</wp:posOffset>
            </wp:positionV>
            <wp:extent cx="1833245" cy="63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19">
                      <a:extLst>
                        <a:ext uri="{28A0092B-C50C-407E-A947-70E740481C1C}"/>
                      </a:extLst>
                    </a:blip>
                    <a:srcRect/>
                    <a:stretch>
                      <a:fillRect/>
                    </a:stretch>
                  </pic:blipFill>
                  <pic:spPr bwMode="auto">
                    <a:xfrm>
                      <a:off x="0" y="0"/>
                      <a:ext cx="1833245" cy="635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-233680</wp:posOffset>
            </wp:positionV>
            <wp:extent cx="1833245" cy="63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0">
                      <a:extLst>
                        <a:ext uri="{28A0092B-C50C-407E-A947-70E740481C1C}"/>
                      </a:extLst>
                    </a:blip>
                    <a:srcRect/>
                    <a:stretch>
                      <a:fillRect/>
                    </a:stretch>
                  </pic:blipFill>
                  <pic:spPr bwMode="auto">
                    <a:xfrm>
                      <a:off x="0" y="0"/>
                      <a:ext cx="1833245" cy="635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-27940</wp:posOffset>
            </wp:positionV>
            <wp:extent cx="1875155" cy="285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1">
                      <a:extLst>
                        <a:ext uri="{28A0092B-C50C-407E-A947-70E740481C1C}"/>
                      </a:extLst>
                    </a:blip>
                    <a:srcRect/>
                    <a:stretch>
                      <a:fillRect/>
                    </a:stretch>
                  </pic:blipFill>
                  <pic:spPr bwMode="auto">
                    <a:xfrm>
                      <a:off x="0" y="0"/>
                      <a:ext cx="1875155" cy="28575"/>
                    </a:xfrm>
                    <a:prstGeom prst="rect">
                      <a:avLst/>
                    </a:prstGeom>
                    <a:noFill/>
                  </pic:spPr>
                </pic:pic>
              </a:graphicData>
            </a:graphic>
          </wp:anchor>
        </w:drawing>
      </w:r>
    </w:p>
    <w:p>
      <w:pPr>
        <w:spacing w:after="0" w:line="30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At December 31, 2025 the scheduled maturities for time deposits are as follows:</w:t>
      </w:r>
    </w:p>
    <w:p>
      <w:pPr>
        <w:spacing w:after="0" w:line="200" w:lineRule="exact"/>
        <w:rPr>
          <w:sz w:val="20"/>
          <w:szCs w:val="20"/>
          <w:color w:val="auto"/>
        </w:rPr>
      </w:pPr>
    </w:p>
    <w:p>
      <w:pPr>
        <w:spacing w:after="0" w:line="216"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80" w:type="dxa"/>
            <w:vAlign w:val="bottom"/>
          </w:tcPr>
          <w:p>
            <w:pPr>
              <w:jc w:val="right"/>
              <w:ind w:right="120"/>
              <w:spacing w:after="0"/>
              <w:rPr>
                <w:sz w:val="20"/>
                <w:szCs w:val="20"/>
                <w:color w:val="auto"/>
              </w:rPr>
            </w:pPr>
            <w:r>
              <w:rPr>
                <w:rFonts w:ascii="Arial" w:cs="Arial" w:eastAsia="Arial" w:hAnsi="Arial"/>
                <w:sz w:val="20"/>
                <w:szCs w:val="20"/>
                <w:color w:val="auto"/>
                <w:w w:val="92"/>
              </w:rPr>
              <w:t>(In Thousands)</w:t>
            </w:r>
          </w:p>
        </w:tc>
      </w:tr>
      <w:tr>
        <w:trPr>
          <w:trHeight w:val="51"/>
        </w:trPr>
        <w:tc>
          <w:tcPr>
            <w:tcW w:w="24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94"/>
        </w:trPr>
        <w:tc>
          <w:tcPr>
            <w:tcW w:w="2440" w:type="dxa"/>
            <w:vAlign w:val="bottom"/>
            <w:tcBorders>
              <w:bottom w:val="single" w:sz="8" w:color="CFF0FC"/>
            </w:tcBorders>
            <w:shd w:val="clear" w:color="auto" w:fill="CFF0FC"/>
          </w:tcPr>
          <w:p>
            <w:pPr>
              <w:jc w:val="right"/>
              <w:ind w:right="1880"/>
              <w:spacing w:after="0"/>
              <w:rPr>
                <w:sz w:val="20"/>
                <w:szCs w:val="20"/>
                <w:color w:val="auto"/>
              </w:rPr>
            </w:pPr>
            <w:r>
              <w:rPr>
                <w:rFonts w:ascii="Arial" w:cs="Arial" w:eastAsia="Arial" w:hAnsi="Arial"/>
                <w:sz w:val="20"/>
                <w:szCs w:val="20"/>
                <w:color w:val="auto"/>
                <w:w w:val="98"/>
              </w:rPr>
              <w:t>2026</w:t>
            </w:r>
          </w:p>
        </w:tc>
        <w:tc>
          <w:tcPr>
            <w:tcW w:w="1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482,056</w:t>
            </w:r>
          </w:p>
        </w:tc>
      </w:tr>
      <w:tr>
        <w:trPr>
          <w:trHeight w:val="274"/>
        </w:trPr>
        <w:tc>
          <w:tcPr>
            <w:tcW w:w="2440" w:type="dxa"/>
            <w:vAlign w:val="bottom"/>
          </w:tcPr>
          <w:p>
            <w:pPr>
              <w:jc w:val="right"/>
              <w:ind w:right="1880"/>
              <w:spacing w:after="0"/>
              <w:rPr>
                <w:sz w:val="20"/>
                <w:szCs w:val="20"/>
                <w:color w:val="auto"/>
              </w:rPr>
            </w:pPr>
            <w:r>
              <w:rPr>
                <w:rFonts w:ascii="Arial" w:cs="Arial" w:eastAsia="Arial" w:hAnsi="Arial"/>
                <w:sz w:val="20"/>
                <w:szCs w:val="20"/>
                <w:color w:val="auto"/>
                <w:w w:val="98"/>
              </w:rPr>
              <w:t>2027</w:t>
            </w:r>
          </w:p>
        </w:tc>
        <w:tc>
          <w:tcPr>
            <w:tcW w:w="17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77,090</w:t>
            </w:r>
          </w:p>
        </w:tc>
      </w:tr>
      <w:tr>
        <w:trPr>
          <w:trHeight w:val="41"/>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94"/>
        </w:trPr>
        <w:tc>
          <w:tcPr>
            <w:tcW w:w="2440" w:type="dxa"/>
            <w:vAlign w:val="bottom"/>
            <w:tcBorders>
              <w:bottom w:val="single" w:sz="8" w:color="CFF0FC"/>
            </w:tcBorders>
            <w:shd w:val="clear" w:color="auto" w:fill="CFF0FC"/>
          </w:tcPr>
          <w:p>
            <w:pPr>
              <w:jc w:val="right"/>
              <w:ind w:right="1880"/>
              <w:spacing w:after="0"/>
              <w:rPr>
                <w:sz w:val="20"/>
                <w:szCs w:val="20"/>
                <w:color w:val="auto"/>
              </w:rPr>
            </w:pPr>
            <w:r>
              <w:rPr>
                <w:rFonts w:ascii="Arial" w:cs="Arial" w:eastAsia="Arial" w:hAnsi="Arial"/>
                <w:sz w:val="20"/>
                <w:szCs w:val="20"/>
                <w:color w:val="auto"/>
                <w:w w:val="98"/>
              </w:rPr>
              <w:t>2028</w:t>
            </w:r>
          </w:p>
        </w:tc>
        <w:tc>
          <w:tcPr>
            <w:tcW w:w="172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28,895</w:t>
            </w:r>
          </w:p>
        </w:tc>
      </w:tr>
      <w:tr>
        <w:trPr>
          <w:trHeight w:val="274"/>
        </w:trPr>
        <w:tc>
          <w:tcPr>
            <w:tcW w:w="2440" w:type="dxa"/>
            <w:vAlign w:val="bottom"/>
          </w:tcPr>
          <w:p>
            <w:pPr>
              <w:jc w:val="right"/>
              <w:ind w:right="1880"/>
              <w:spacing w:after="0"/>
              <w:rPr>
                <w:sz w:val="20"/>
                <w:szCs w:val="20"/>
                <w:color w:val="auto"/>
              </w:rPr>
            </w:pPr>
            <w:r>
              <w:rPr>
                <w:rFonts w:ascii="Arial" w:cs="Arial" w:eastAsia="Arial" w:hAnsi="Arial"/>
                <w:sz w:val="20"/>
                <w:szCs w:val="20"/>
                <w:color w:val="auto"/>
                <w:w w:val="98"/>
              </w:rPr>
              <w:t>2029</w:t>
            </w:r>
          </w:p>
        </w:tc>
        <w:tc>
          <w:tcPr>
            <w:tcW w:w="17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4,966</w:t>
            </w:r>
          </w:p>
        </w:tc>
      </w:tr>
      <w:tr>
        <w:trPr>
          <w:trHeight w:val="41"/>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94"/>
        </w:trPr>
        <w:tc>
          <w:tcPr>
            <w:tcW w:w="2440" w:type="dxa"/>
            <w:vAlign w:val="bottom"/>
            <w:tcBorders>
              <w:bottom w:val="single" w:sz="8" w:color="CFF0FC"/>
            </w:tcBorders>
            <w:shd w:val="clear" w:color="auto" w:fill="CFF0FC"/>
          </w:tcPr>
          <w:p>
            <w:pPr>
              <w:jc w:val="right"/>
              <w:ind w:right="1880"/>
              <w:spacing w:after="0"/>
              <w:rPr>
                <w:sz w:val="20"/>
                <w:szCs w:val="20"/>
                <w:color w:val="auto"/>
              </w:rPr>
            </w:pPr>
            <w:r>
              <w:rPr>
                <w:rFonts w:ascii="Arial" w:cs="Arial" w:eastAsia="Arial" w:hAnsi="Arial"/>
                <w:sz w:val="20"/>
                <w:szCs w:val="20"/>
                <w:color w:val="auto"/>
                <w:w w:val="98"/>
              </w:rPr>
              <w:t>2030</w:t>
            </w:r>
          </w:p>
        </w:tc>
        <w:tc>
          <w:tcPr>
            <w:tcW w:w="172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4,617</w:t>
            </w:r>
          </w:p>
        </w:tc>
      </w:tr>
      <w:tr>
        <w:trPr>
          <w:trHeight w:val="284"/>
        </w:trPr>
        <w:tc>
          <w:tcPr>
            <w:tcW w:w="2440" w:type="dxa"/>
            <w:vAlign w:val="bottom"/>
          </w:tcPr>
          <w:p>
            <w:pPr>
              <w:jc w:val="right"/>
              <w:ind w:right="1520"/>
              <w:spacing w:after="0"/>
              <w:rPr>
                <w:sz w:val="20"/>
                <w:szCs w:val="20"/>
                <w:color w:val="auto"/>
              </w:rPr>
            </w:pPr>
            <w:r>
              <w:rPr>
                <w:rFonts w:ascii="Arial" w:cs="Arial" w:eastAsia="Arial" w:hAnsi="Arial"/>
                <w:sz w:val="20"/>
                <w:szCs w:val="20"/>
                <w:color w:val="auto"/>
                <w:w w:val="86"/>
              </w:rPr>
              <w:t>Thereafter</w:t>
            </w:r>
          </w:p>
        </w:tc>
        <w:tc>
          <w:tcPr>
            <w:tcW w:w="17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161</w:t>
            </w:r>
          </w:p>
        </w:tc>
      </w:tr>
      <w:tr>
        <w:trPr>
          <w:trHeight w:val="41"/>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74"/>
        </w:trPr>
        <w:tc>
          <w:tcPr>
            <w:tcW w:w="2440" w:type="dxa"/>
            <w:vAlign w:val="bottom"/>
            <w:shd w:val="clear" w:color="auto" w:fill="CFF0FC"/>
          </w:tcPr>
          <w:p>
            <w:pPr>
              <w:spacing w:after="0"/>
              <w:rPr>
                <w:sz w:val="23"/>
                <w:szCs w:val="23"/>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597,785</w:t>
            </w:r>
          </w:p>
        </w:tc>
      </w:tr>
      <w:tr>
        <w:trPr>
          <w:trHeight w:val="86"/>
        </w:trPr>
        <w:tc>
          <w:tcPr>
            <w:tcW w:w="2440" w:type="dxa"/>
            <w:vAlign w:val="bottom"/>
            <w:shd w:val="clear" w:color="auto" w:fill="CFF0FC"/>
          </w:tcPr>
          <w:p>
            <w:pPr>
              <w:spacing w:after="0"/>
              <w:rPr>
                <w:sz w:val="7"/>
                <w:szCs w:val="7"/>
                <w:color w:val="auto"/>
              </w:rPr>
            </w:pPr>
          </w:p>
        </w:tc>
        <w:tc>
          <w:tcPr>
            <w:tcW w:w="17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-1438275</wp:posOffset>
            </wp:positionV>
            <wp:extent cx="965835" cy="63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2">
                      <a:extLst>
                        <a:ext uri="{28A0092B-C50C-407E-A947-70E740481C1C}"/>
                      </a:extLst>
                    </a:blip>
                    <a:srcRect/>
                    <a:stretch>
                      <a:fillRect/>
                    </a:stretch>
                  </pic:blipFill>
                  <pic:spPr bwMode="auto">
                    <a:xfrm>
                      <a:off x="0" y="0"/>
                      <a:ext cx="965835" cy="6350"/>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-233680</wp:posOffset>
            </wp:positionV>
            <wp:extent cx="965835" cy="63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3">
                      <a:extLst>
                        <a:ext uri="{28A0092B-C50C-407E-A947-70E740481C1C}"/>
                      </a:extLst>
                    </a:blip>
                    <a:srcRect/>
                    <a:stretch>
                      <a:fillRect/>
                    </a:stretch>
                  </pic:blipFill>
                  <pic:spPr bwMode="auto">
                    <a:xfrm>
                      <a:off x="0" y="0"/>
                      <a:ext cx="965835" cy="6350"/>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-27940</wp:posOffset>
            </wp:positionV>
            <wp:extent cx="1006475" cy="285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4">
                      <a:extLst>
                        <a:ext uri="{28A0092B-C50C-407E-A947-70E740481C1C}"/>
                      </a:extLst>
                    </a:blip>
                    <a:srcRect/>
                    <a:stretch>
                      <a:fillRect/>
                    </a:stretch>
                  </pic:blipFill>
                  <pic:spPr bwMode="auto">
                    <a:xfrm>
                      <a:off x="0" y="0"/>
                      <a:ext cx="1006475" cy="285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 Federal Funds Purchased and Securities Sold Under Agreement to Repurchase</w:t>
      </w:r>
    </w:p>
    <w:p>
      <w:pPr>
        <w:spacing w:after="0" w:line="200" w:lineRule="exact"/>
        <w:rPr>
          <w:sz w:val="20"/>
          <w:szCs w:val="20"/>
          <w:color w:val="auto"/>
        </w:rPr>
      </w:pPr>
    </w:p>
    <w:p>
      <w:pPr>
        <w:jc w:val="both"/>
        <w:ind w:left="620" w:right="60"/>
        <w:spacing w:after="0" w:line="310" w:lineRule="auto"/>
        <w:rPr>
          <w:sz w:val="20"/>
          <w:szCs w:val="20"/>
          <w:color w:val="auto"/>
        </w:rPr>
      </w:pPr>
      <w:r>
        <w:rPr>
          <w:rFonts w:ascii="Arial" w:cs="Arial" w:eastAsia="Arial" w:hAnsi="Arial"/>
          <w:sz w:val="20"/>
          <w:szCs w:val="20"/>
          <w:color w:val="auto"/>
        </w:rPr>
        <w:t>The Bank’s policy requires qualifying securities to be used as collateral for the underlying repurchase agreements. As of December 31, 2025 and 2024, securities with a fair value of $40.3 million and $43.0 million, respectively, were pledged to secure the repurchase agreements. The table below presents the daily securities sold under agreement to repurchase and the term repurchase agreements. It does not include the Bank’s federal funds purchased.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00" w:type="dxa"/>
            <w:vAlign w:val="bottom"/>
            <w:gridSpan w:val="5"/>
          </w:tcPr>
          <w:p>
            <w:pPr>
              <w:jc w:val="center"/>
              <w:spacing w:after="0"/>
              <w:rPr>
                <w:sz w:val="20"/>
                <w:szCs w:val="20"/>
                <w:color w:val="auto"/>
              </w:rPr>
            </w:pPr>
            <w:r>
              <w:rPr>
                <w:rFonts w:ascii="Arial" w:cs="Arial" w:eastAsia="Arial" w:hAnsi="Arial"/>
                <w:sz w:val="20"/>
                <w:szCs w:val="20"/>
                <w:color w:val="auto"/>
                <w:w w:val="90"/>
              </w:rPr>
              <w:t>Daily Securities Sold Under Agreement to Repurchase</w:t>
            </w:r>
          </w:p>
        </w:tc>
        <w:tc>
          <w:tcPr>
            <w:tcW w:w="1460" w:type="dxa"/>
            <w:vAlign w:val="bottom"/>
          </w:tcPr>
          <w:p>
            <w:pPr>
              <w:spacing w:after="0"/>
              <w:rPr>
                <w:sz w:val="19"/>
                <w:szCs w:val="19"/>
                <w:color w:val="auto"/>
              </w:rPr>
            </w:pPr>
          </w:p>
        </w:tc>
      </w:tr>
      <w:tr>
        <w:trPr>
          <w:trHeight w:val="629"/>
        </w:trPr>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center"/>
              <w:ind w:right="180"/>
              <w:spacing w:after="0"/>
              <w:rPr>
                <w:sz w:val="20"/>
                <w:szCs w:val="20"/>
                <w:color w:val="auto"/>
              </w:rPr>
            </w:pPr>
            <w:r>
              <w:rPr>
                <w:rFonts w:ascii="Arial" w:cs="Arial" w:eastAsia="Arial" w:hAnsi="Arial"/>
                <w:sz w:val="20"/>
                <w:szCs w:val="20"/>
                <w:color w:val="auto"/>
                <w:w w:val="94"/>
              </w:rPr>
              <w:t>Maximum</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00"/>
        </w:trPr>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center"/>
              <w:ind w:right="60"/>
              <w:spacing w:after="0"/>
              <w:rPr>
                <w:sz w:val="20"/>
                <w:szCs w:val="20"/>
                <w:color w:val="auto"/>
              </w:rPr>
            </w:pPr>
            <w:r>
              <w:rPr>
                <w:rFonts w:ascii="Arial" w:cs="Arial" w:eastAsia="Arial" w:hAnsi="Arial"/>
                <w:sz w:val="20"/>
                <w:szCs w:val="20"/>
                <w:color w:val="auto"/>
                <w:w w:val="95"/>
              </w:rPr>
              <w:t>Amount</w:t>
            </w:r>
          </w:p>
        </w:tc>
        <w:tc>
          <w:tcPr>
            <w:tcW w:w="1580" w:type="dxa"/>
            <w:vAlign w:val="bottom"/>
          </w:tcPr>
          <w:p>
            <w:pPr>
              <w:jc w:val="center"/>
              <w:spacing w:after="0"/>
              <w:rPr>
                <w:sz w:val="20"/>
                <w:szCs w:val="20"/>
                <w:color w:val="auto"/>
              </w:rPr>
            </w:pPr>
            <w:r>
              <w:rPr>
                <w:rFonts w:ascii="Arial" w:cs="Arial" w:eastAsia="Arial" w:hAnsi="Arial"/>
                <w:sz w:val="20"/>
                <w:szCs w:val="20"/>
                <w:color w:val="auto"/>
                <w:w w:val="89"/>
              </w:rPr>
              <w:t>Weighted</w:t>
            </w:r>
          </w:p>
        </w:tc>
        <w:tc>
          <w:tcPr>
            <w:tcW w:w="180" w:type="dxa"/>
            <w:vAlign w:val="bottom"/>
          </w:tcPr>
          <w:p>
            <w:pPr>
              <w:spacing w:after="0"/>
              <w:rPr>
                <w:sz w:val="24"/>
                <w:szCs w:val="24"/>
                <w:color w:val="auto"/>
              </w:rPr>
            </w:pPr>
          </w:p>
        </w:tc>
        <w:tc>
          <w:tcPr>
            <w:tcW w:w="1220" w:type="dxa"/>
            <w:vAlign w:val="bottom"/>
          </w:tcPr>
          <w:p>
            <w:pPr>
              <w:jc w:val="center"/>
              <w:ind w:right="140"/>
              <w:spacing w:after="0"/>
              <w:rPr>
                <w:sz w:val="20"/>
                <w:szCs w:val="20"/>
                <w:color w:val="auto"/>
              </w:rPr>
            </w:pPr>
            <w:r>
              <w:rPr>
                <w:rFonts w:ascii="Arial" w:cs="Arial" w:eastAsia="Arial" w:hAnsi="Arial"/>
                <w:sz w:val="20"/>
                <w:szCs w:val="20"/>
                <w:color w:val="auto"/>
                <w:w w:val="95"/>
              </w:rPr>
              <w:t>Amount</w:t>
            </w:r>
          </w:p>
        </w:tc>
        <w:tc>
          <w:tcPr>
            <w:tcW w:w="1520" w:type="dxa"/>
            <w:vAlign w:val="bottom"/>
            <w:gridSpan w:val="2"/>
          </w:tcPr>
          <w:p>
            <w:pPr>
              <w:jc w:val="center"/>
              <w:spacing w:after="0"/>
              <w:rPr>
                <w:sz w:val="20"/>
                <w:szCs w:val="20"/>
                <w:color w:val="auto"/>
              </w:rPr>
            </w:pPr>
            <w:r>
              <w:rPr>
                <w:rFonts w:ascii="Arial" w:cs="Arial" w:eastAsia="Arial" w:hAnsi="Arial"/>
                <w:sz w:val="20"/>
                <w:szCs w:val="20"/>
                <w:color w:val="auto"/>
                <w:w w:val="92"/>
              </w:rPr>
              <w:t>Approximate</w:t>
            </w:r>
          </w:p>
        </w:tc>
        <w:tc>
          <w:tcPr>
            <w:tcW w:w="1460" w:type="dxa"/>
            <w:vAlign w:val="bottom"/>
          </w:tcPr>
          <w:p>
            <w:pPr>
              <w:jc w:val="center"/>
              <w:ind w:right="100"/>
              <w:spacing w:after="0"/>
              <w:rPr>
                <w:sz w:val="20"/>
                <w:szCs w:val="20"/>
                <w:color w:val="auto"/>
              </w:rPr>
            </w:pPr>
            <w:r>
              <w:rPr>
                <w:rFonts w:ascii="Arial" w:cs="Arial" w:eastAsia="Arial" w:hAnsi="Arial"/>
                <w:sz w:val="20"/>
                <w:szCs w:val="20"/>
                <w:color w:val="auto"/>
                <w:w w:val="94"/>
              </w:rPr>
              <w:t>Approximate</w:t>
            </w:r>
          </w:p>
        </w:tc>
      </w:tr>
      <w:tr>
        <w:trPr>
          <w:trHeight w:val="314"/>
        </w:trPr>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ind w:right="140"/>
              <w:spacing w:after="0"/>
              <w:rPr>
                <w:sz w:val="20"/>
                <w:szCs w:val="20"/>
                <w:color w:val="auto"/>
              </w:rPr>
            </w:pPr>
            <w:r>
              <w:rPr>
                <w:rFonts w:ascii="Arial" w:cs="Arial" w:eastAsia="Arial" w:hAnsi="Arial"/>
                <w:sz w:val="20"/>
                <w:szCs w:val="20"/>
                <w:color w:val="auto"/>
                <w:w w:val="92"/>
              </w:rPr>
              <w:t>Weighted</w:t>
            </w:r>
          </w:p>
        </w:tc>
      </w:tr>
      <w:tr>
        <w:trPr>
          <w:trHeight w:val="300"/>
        </w:trPr>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center"/>
              <w:ind w:right="60"/>
              <w:spacing w:after="0"/>
              <w:rPr>
                <w:sz w:val="20"/>
                <w:szCs w:val="20"/>
                <w:color w:val="auto"/>
              </w:rPr>
            </w:pPr>
            <w:r>
              <w:rPr>
                <w:rFonts w:ascii="Arial" w:cs="Arial" w:eastAsia="Arial" w:hAnsi="Arial"/>
                <w:sz w:val="20"/>
                <w:szCs w:val="20"/>
                <w:color w:val="auto"/>
                <w:w w:val="90"/>
              </w:rPr>
              <w:t>Outstanding</w:t>
            </w:r>
          </w:p>
        </w:tc>
        <w:tc>
          <w:tcPr>
            <w:tcW w:w="1580" w:type="dxa"/>
            <w:vAlign w:val="bottom"/>
          </w:tcPr>
          <w:p>
            <w:pPr>
              <w:jc w:val="center"/>
              <w:spacing w:after="0"/>
              <w:rPr>
                <w:sz w:val="20"/>
                <w:szCs w:val="20"/>
                <w:color w:val="auto"/>
              </w:rPr>
            </w:pPr>
            <w:r>
              <w:rPr>
                <w:rFonts w:ascii="Arial" w:cs="Arial" w:eastAsia="Arial" w:hAnsi="Arial"/>
                <w:sz w:val="20"/>
                <w:szCs w:val="20"/>
                <w:color w:val="auto"/>
                <w:w w:val="91"/>
              </w:rPr>
              <w:t>Average</w:t>
            </w:r>
          </w:p>
        </w:tc>
        <w:tc>
          <w:tcPr>
            <w:tcW w:w="180" w:type="dxa"/>
            <w:vAlign w:val="bottom"/>
          </w:tcPr>
          <w:p>
            <w:pPr>
              <w:spacing w:after="0"/>
              <w:rPr>
                <w:sz w:val="24"/>
                <w:szCs w:val="24"/>
                <w:color w:val="auto"/>
              </w:rPr>
            </w:pPr>
          </w:p>
        </w:tc>
        <w:tc>
          <w:tcPr>
            <w:tcW w:w="1220" w:type="dxa"/>
            <w:vAlign w:val="bottom"/>
          </w:tcPr>
          <w:p>
            <w:pPr>
              <w:jc w:val="center"/>
              <w:ind w:right="140"/>
              <w:spacing w:after="0"/>
              <w:rPr>
                <w:sz w:val="20"/>
                <w:szCs w:val="20"/>
                <w:color w:val="auto"/>
              </w:rPr>
            </w:pPr>
            <w:r>
              <w:rPr>
                <w:rFonts w:ascii="Arial" w:cs="Arial" w:eastAsia="Arial" w:hAnsi="Arial"/>
                <w:sz w:val="20"/>
                <w:szCs w:val="20"/>
                <w:color w:val="auto"/>
                <w:w w:val="93"/>
              </w:rPr>
              <w:t>Borrowings</w:t>
            </w:r>
          </w:p>
        </w:tc>
        <w:tc>
          <w:tcPr>
            <w:tcW w:w="300" w:type="dxa"/>
            <w:vAlign w:val="bottom"/>
          </w:tcPr>
          <w:p>
            <w:pPr>
              <w:spacing w:after="0"/>
              <w:rPr>
                <w:sz w:val="24"/>
                <w:szCs w:val="24"/>
                <w:color w:val="auto"/>
              </w:rPr>
            </w:pPr>
          </w:p>
        </w:tc>
        <w:tc>
          <w:tcPr>
            <w:tcW w:w="1220" w:type="dxa"/>
            <w:vAlign w:val="bottom"/>
          </w:tcPr>
          <w:p>
            <w:pPr>
              <w:jc w:val="center"/>
              <w:ind w:right="280"/>
              <w:spacing w:after="0"/>
              <w:rPr>
                <w:sz w:val="20"/>
                <w:szCs w:val="20"/>
                <w:color w:val="auto"/>
              </w:rPr>
            </w:pPr>
            <w:r>
              <w:rPr>
                <w:rFonts w:ascii="Arial" w:cs="Arial" w:eastAsia="Arial" w:hAnsi="Arial"/>
                <w:sz w:val="20"/>
                <w:szCs w:val="20"/>
                <w:color w:val="auto"/>
                <w:w w:val="91"/>
              </w:rPr>
              <w:t>Average</w:t>
            </w:r>
          </w:p>
        </w:tc>
        <w:tc>
          <w:tcPr>
            <w:tcW w:w="1460" w:type="dxa"/>
            <w:vAlign w:val="bottom"/>
          </w:tcPr>
          <w:p>
            <w:pPr>
              <w:jc w:val="center"/>
              <w:ind w:right="80"/>
              <w:spacing w:after="0"/>
              <w:rPr>
                <w:sz w:val="20"/>
                <w:szCs w:val="20"/>
                <w:color w:val="auto"/>
              </w:rPr>
            </w:pPr>
            <w:r>
              <w:rPr>
                <w:rFonts w:ascii="Arial" w:cs="Arial" w:eastAsia="Arial" w:hAnsi="Arial"/>
                <w:sz w:val="20"/>
                <w:szCs w:val="20"/>
                <w:color w:val="auto"/>
                <w:w w:val="91"/>
              </w:rPr>
              <w:t>Average</w:t>
            </w:r>
          </w:p>
        </w:tc>
      </w:tr>
      <w:tr>
        <w:trPr>
          <w:trHeight w:val="314"/>
        </w:trPr>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center"/>
              <w:ind w:right="60"/>
              <w:spacing w:after="0"/>
              <w:rPr>
                <w:sz w:val="20"/>
                <w:szCs w:val="20"/>
                <w:color w:val="auto"/>
              </w:rPr>
            </w:pPr>
            <w:r>
              <w:rPr>
                <w:rFonts w:ascii="Arial" w:cs="Arial" w:eastAsia="Arial" w:hAnsi="Arial"/>
                <w:sz w:val="20"/>
                <w:szCs w:val="20"/>
                <w:color w:val="auto"/>
                <w:w w:val="86"/>
              </w:rPr>
              <w:t>at End</w:t>
            </w:r>
          </w:p>
        </w:tc>
        <w:tc>
          <w:tcPr>
            <w:tcW w:w="1580" w:type="dxa"/>
            <w:vAlign w:val="bottom"/>
          </w:tcPr>
          <w:p>
            <w:pPr>
              <w:jc w:val="center"/>
              <w:spacing w:after="0"/>
              <w:rPr>
                <w:sz w:val="20"/>
                <w:szCs w:val="20"/>
                <w:color w:val="auto"/>
              </w:rPr>
            </w:pPr>
            <w:r>
              <w:rPr>
                <w:rFonts w:ascii="Arial" w:cs="Arial" w:eastAsia="Arial" w:hAnsi="Arial"/>
                <w:sz w:val="20"/>
                <w:szCs w:val="20"/>
                <w:color w:val="auto"/>
                <w:w w:val="86"/>
              </w:rPr>
              <w:t>Rate End</w:t>
            </w:r>
          </w:p>
        </w:tc>
        <w:tc>
          <w:tcPr>
            <w:tcW w:w="180" w:type="dxa"/>
            <w:vAlign w:val="bottom"/>
          </w:tcPr>
          <w:p>
            <w:pPr>
              <w:spacing w:after="0"/>
              <w:rPr>
                <w:sz w:val="24"/>
                <w:szCs w:val="24"/>
                <w:color w:val="auto"/>
              </w:rPr>
            </w:pPr>
          </w:p>
        </w:tc>
        <w:tc>
          <w:tcPr>
            <w:tcW w:w="1220" w:type="dxa"/>
            <w:vAlign w:val="bottom"/>
          </w:tcPr>
          <w:p>
            <w:pPr>
              <w:jc w:val="center"/>
              <w:ind w:right="140"/>
              <w:spacing w:after="0"/>
              <w:rPr>
                <w:sz w:val="20"/>
                <w:szCs w:val="20"/>
                <w:color w:val="auto"/>
              </w:rPr>
            </w:pPr>
            <w:r>
              <w:rPr>
                <w:rFonts w:ascii="Arial" w:cs="Arial" w:eastAsia="Arial" w:hAnsi="Arial"/>
                <w:sz w:val="20"/>
                <w:szCs w:val="20"/>
                <w:color w:val="auto"/>
                <w:w w:val="90"/>
              </w:rPr>
              <w:t>Outstanding</w:t>
            </w:r>
          </w:p>
        </w:tc>
        <w:tc>
          <w:tcPr>
            <w:tcW w:w="1520" w:type="dxa"/>
            <w:vAlign w:val="bottom"/>
            <w:gridSpan w:val="2"/>
          </w:tcPr>
          <w:p>
            <w:pPr>
              <w:jc w:val="center"/>
              <w:spacing w:after="0"/>
              <w:rPr>
                <w:sz w:val="20"/>
                <w:szCs w:val="20"/>
                <w:color w:val="auto"/>
              </w:rPr>
            </w:pPr>
            <w:r>
              <w:rPr>
                <w:rFonts w:ascii="Arial" w:cs="Arial" w:eastAsia="Arial" w:hAnsi="Arial"/>
                <w:sz w:val="20"/>
                <w:szCs w:val="20"/>
                <w:color w:val="auto"/>
                <w:w w:val="93"/>
              </w:rPr>
              <w:t>Outstanding in</w:t>
            </w:r>
          </w:p>
        </w:tc>
        <w:tc>
          <w:tcPr>
            <w:tcW w:w="1460" w:type="dxa"/>
            <w:vAlign w:val="bottom"/>
          </w:tcPr>
          <w:p>
            <w:pPr>
              <w:jc w:val="center"/>
              <w:ind w:right="100"/>
              <w:spacing w:after="0"/>
              <w:rPr>
                <w:sz w:val="20"/>
                <w:szCs w:val="20"/>
                <w:color w:val="auto"/>
              </w:rPr>
            </w:pPr>
            <w:r>
              <w:rPr>
                <w:rFonts w:ascii="Arial" w:cs="Arial" w:eastAsia="Arial" w:hAnsi="Arial"/>
                <w:sz w:val="20"/>
                <w:szCs w:val="20"/>
                <w:color w:val="auto"/>
                <w:w w:val="89"/>
              </w:rPr>
              <w:t>Interest Rate</w:t>
            </w:r>
          </w:p>
        </w:tc>
      </w:tr>
      <w:tr>
        <w:trPr>
          <w:trHeight w:val="314"/>
        </w:trPr>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center"/>
              <w:ind w:right="100"/>
              <w:spacing w:after="0"/>
              <w:rPr>
                <w:sz w:val="20"/>
                <w:szCs w:val="20"/>
                <w:color w:val="auto"/>
              </w:rPr>
            </w:pPr>
            <w:r>
              <w:rPr>
                <w:rFonts w:ascii="Arial" w:cs="Arial" w:eastAsia="Arial" w:hAnsi="Arial"/>
                <w:sz w:val="20"/>
                <w:szCs w:val="20"/>
                <w:color w:val="auto"/>
                <w:w w:val="92"/>
              </w:rPr>
              <w:t>of Period</w:t>
            </w: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center"/>
              <w:ind w:right="180"/>
              <w:spacing w:after="0"/>
              <w:rPr>
                <w:sz w:val="20"/>
                <w:szCs w:val="20"/>
                <w:color w:val="auto"/>
              </w:rPr>
            </w:pPr>
            <w:r>
              <w:rPr>
                <w:rFonts w:ascii="Arial" w:cs="Arial" w:eastAsia="Arial" w:hAnsi="Arial"/>
                <w:sz w:val="20"/>
                <w:szCs w:val="20"/>
                <w:color w:val="auto"/>
                <w:w w:val="93"/>
              </w:rPr>
              <w:t>Month End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00"/>
        </w:trPr>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center"/>
              <w:ind w:right="60"/>
              <w:spacing w:after="0"/>
              <w:rPr>
                <w:sz w:val="20"/>
                <w:szCs w:val="20"/>
                <w:color w:val="auto"/>
              </w:rPr>
            </w:pPr>
            <w:r>
              <w:rPr>
                <w:rFonts w:ascii="Arial" w:cs="Arial" w:eastAsia="Arial" w:hAnsi="Arial"/>
                <w:sz w:val="20"/>
                <w:szCs w:val="20"/>
                <w:color w:val="auto"/>
                <w:w w:val="89"/>
              </w:rPr>
              <w:t>(000's)</w:t>
            </w:r>
          </w:p>
        </w:tc>
        <w:tc>
          <w:tcPr>
            <w:tcW w:w="1580" w:type="dxa"/>
            <w:vAlign w:val="bottom"/>
          </w:tcPr>
          <w:p>
            <w:pPr>
              <w:jc w:val="center"/>
              <w:spacing w:after="0"/>
              <w:rPr>
                <w:sz w:val="20"/>
                <w:szCs w:val="20"/>
                <w:color w:val="auto"/>
              </w:rPr>
            </w:pPr>
            <w:r>
              <w:rPr>
                <w:rFonts w:ascii="Arial" w:cs="Arial" w:eastAsia="Arial" w:hAnsi="Arial"/>
                <w:sz w:val="20"/>
                <w:szCs w:val="20"/>
                <w:color w:val="auto"/>
                <w:w w:val="89"/>
              </w:rPr>
              <w:t>of Period</w:t>
            </w:r>
          </w:p>
        </w:tc>
        <w:tc>
          <w:tcPr>
            <w:tcW w:w="180" w:type="dxa"/>
            <w:vAlign w:val="bottom"/>
          </w:tcPr>
          <w:p>
            <w:pPr>
              <w:spacing w:after="0"/>
              <w:rPr>
                <w:sz w:val="24"/>
                <w:szCs w:val="24"/>
                <w:color w:val="auto"/>
              </w:rPr>
            </w:pPr>
          </w:p>
        </w:tc>
        <w:tc>
          <w:tcPr>
            <w:tcW w:w="1220" w:type="dxa"/>
            <w:vAlign w:val="bottom"/>
          </w:tcPr>
          <w:p>
            <w:pPr>
              <w:jc w:val="center"/>
              <w:ind w:right="140"/>
              <w:spacing w:after="0"/>
              <w:rPr>
                <w:sz w:val="20"/>
                <w:szCs w:val="20"/>
                <w:color w:val="auto"/>
              </w:rPr>
            </w:pPr>
            <w:r>
              <w:rPr>
                <w:rFonts w:ascii="Arial" w:cs="Arial" w:eastAsia="Arial" w:hAnsi="Arial"/>
                <w:sz w:val="20"/>
                <w:szCs w:val="20"/>
                <w:color w:val="auto"/>
                <w:w w:val="89"/>
              </w:rPr>
              <w:t>(000's)</w:t>
            </w:r>
          </w:p>
        </w:tc>
        <w:tc>
          <w:tcPr>
            <w:tcW w:w="1520" w:type="dxa"/>
            <w:vAlign w:val="bottom"/>
            <w:gridSpan w:val="2"/>
          </w:tcPr>
          <w:p>
            <w:pPr>
              <w:jc w:val="center"/>
              <w:spacing w:after="0"/>
              <w:rPr>
                <w:sz w:val="20"/>
                <w:szCs w:val="20"/>
                <w:color w:val="auto"/>
              </w:rPr>
            </w:pPr>
            <w:r>
              <w:rPr>
                <w:rFonts w:ascii="Arial" w:cs="Arial" w:eastAsia="Arial" w:hAnsi="Arial"/>
                <w:sz w:val="20"/>
                <w:szCs w:val="20"/>
                <w:color w:val="auto"/>
                <w:w w:val="90"/>
              </w:rPr>
              <w:t>Period (000's)</w:t>
            </w:r>
          </w:p>
        </w:tc>
        <w:tc>
          <w:tcPr>
            <w:tcW w:w="1460" w:type="dxa"/>
            <w:vAlign w:val="bottom"/>
          </w:tcPr>
          <w:p>
            <w:pPr>
              <w:jc w:val="center"/>
              <w:ind w:right="100"/>
              <w:spacing w:after="0"/>
              <w:rPr>
                <w:sz w:val="20"/>
                <w:szCs w:val="20"/>
                <w:color w:val="auto"/>
              </w:rPr>
            </w:pPr>
            <w:r>
              <w:rPr>
                <w:rFonts w:ascii="Arial" w:cs="Arial" w:eastAsia="Arial" w:hAnsi="Arial"/>
                <w:sz w:val="20"/>
                <w:szCs w:val="20"/>
                <w:color w:val="auto"/>
                <w:w w:val="89"/>
              </w:rPr>
              <w:t>For the Period</w:t>
            </w:r>
          </w:p>
        </w:tc>
      </w:tr>
      <w:tr>
        <w:trPr>
          <w:trHeight w:val="51"/>
        </w:trPr>
        <w:tc>
          <w:tcPr>
            <w:tcW w:w="1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94"/>
        </w:trPr>
        <w:tc>
          <w:tcPr>
            <w:tcW w:w="1680" w:type="dxa"/>
            <w:vAlign w:val="bottom"/>
            <w:tcBorders>
              <w:bottom w:val="single" w:sz="8" w:color="CFF0FC"/>
            </w:tcBorders>
            <w:shd w:val="clear" w:color="auto" w:fill="CFF0FC"/>
          </w:tcPr>
          <w:p>
            <w:pPr>
              <w:jc w:val="right"/>
              <w:ind w:right="360"/>
              <w:spacing w:after="0"/>
              <w:rPr>
                <w:sz w:val="20"/>
                <w:szCs w:val="20"/>
                <w:color w:val="auto"/>
              </w:rPr>
            </w:pPr>
            <w:r>
              <w:rPr>
                <w:rFonts w:ascii="Arial" w:cs="Arial" w:eastAsia="Arial" w:hAnsi="Arial"/>
                <w:sz w:val="20"/>
                <w:szCs w:val="20"/>
                <w:color w:val="auto"/>
              </w:rPr>
              <w:t>2025</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0.00%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1,663</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71</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0.10%</w:t>
            </w:r>
          </w:p>
        </w:tc>
      </w:tr>
      <w:tr>
        <w:trPr>
          <w:trHeight w:val="274"/>
        </w:trPr>
        <w:tc>
          <w:tcPr>
            <w:tcW w:w="1680" w:type="dxa"/>
            <w:vAlign w:val="bottom"/>
          </w:tcPr>
          <w:p>
            <w:pPr>
              <w:jc w:val="right"/>
              <w:ind w:right="360"/>
              <w:spacing w:after="0"/>
              <w:rPr>
                <w:sz w:val="20"/>
                <w:szCs w:val="20"/>
                <w:color w:val="auto"/>
              </w:rPr>
            </w:pPr>
            <w:r>
              <w:rPr>
                <w:rFonts w:ascii="Arial" w:cs="Arial" w:eastAsia="Arial" w:hAnsi="Arial"/>
                <w:sz w:val="20"/>
                <w:szCs w:val="20"/>
                <w:color w:val="auto"/>
              </w:rPr>
              <w:t>2024</w:t>
            </w: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0.00%</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20"/>
              <w:spacing w:after="0"/>
              <w:rPr>
                <w:sz w:val="20"/>
                <w:szCs w:val="20"/>
                <w:color w:val="auto"/>
              </w:rPr>
            </w:pPr>
            <w:r>
              <w:rPr>
                <w:rFonts w:ascii="Arial" w:cs="Arial" w:eastAsia="Arial" w:hAnsi="Arial"/>
                <w:sz w:val="20"/>
                <w:szCs w:val="20"/>
                <w:color w:val="auto"/>
              </w:rPr>
              <w:t>523</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80"/>
              <w:spacing w:after="0"/>
              <w:rPr>
                <w:sz w:val="20"/>
                <w:szCs w:val="20"/>
                <w:color w:val="auto"/>
              </w:rPr>
            </w:pPr>
            <w:r>
              <w:rPr>
                <w:rFonts w:ascii="Arial" w:cs="Arial" w:eastAsia="Arial" w:hAnsi="Arial"/>
                <w:sz w:val="20"/>
                <w:szCs w:val="20"/>
                <w:color w:val="auto"/>
              </w:rPr>
              <w:t>79</w:t>
            </w:r>
          </w:p>
        </w:tc>
        <w:tc>
          <w:tcPr>
            <w:tcW w:w="1460" w:type="dxa"/>
            <w:vAlign w:val="bottom"/>
          </w:tcPr>
          <w:p>
            <w:pPr>
              <w:jc w:val="right"/>
              <w:spacing w:after="0"/>
              <w:rPr>
                <w:sz w:val="20"/>
                <w:szCs w:val="20"/>
                <w:color w:val="auto"/>
              </w:rPr>
            </w:pPr>
            <w:r>
              <w:rPr>
                <w:rFonts w:ascii="Arial" w:cs="Arial" w:eastAsia="Arial" w:hAnsi="Arial"/>
                <w:sz w:val="20"/>
                <w:szCs w:val="20"/>
                <w:color w:val="auto"/>
              </w:rPr>
              <w:t>3.77%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-379095</wp:posOffset>
            </wp:positionV>
            <wp:extent cx="4481195" cy="63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5">
                      <a:extLst>
                        <a:ext uri="{28A0092B-C50C-407E-A947-70E740481C1C}"/>
                      </a:extLst>
                    </a:blip>
                    <a:srcRect/>
                    <a:stretch>
                      <a:fillRect/>
                    </a:stretch>
                  </pic:blipFill>
                  <pic:spPr bwMode="auto">
                    <a:xfrm>
                      <a:off x="0" y="0"/>
                      <a:ext cx="448119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24</w:t>
      </w:r>
    </w:p>
    <w:p>
      <w:pPr>
        <w:sectPr>
          <w:pgSz w:w="11900" w:h="16838" w:orient="portrait"/>
          <w:cols w:equalWidth="0" w:num="1">
            <w:col w:w="9400"/>
          </w:cols>
          <w:pgMar w:left="1260" w:top="1440" w:right="1246" w:bottom="0" w:gutter="0" w:footer="0" w:header="0"/>
          <w:type w:val="continuous"/>
        </w:sectPr>
      </w:pPr>
    </w:p>
    <w:bookmarkStart w:id="203" w:name="page204"/>
    <w:bookmarkEnd w:id="203"/>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300" w:type="dxa"/>
            <w:vAlign w:val="bottom"/>
            <w:gridSpan w:val="5"/>
          </w:tcPr>
          <w:p>
            <w:pPr>
              <w:jc w:val="center"/>
              <w:spacing w:after="0"/>
              <w:rPr>
                <w:sz w:val="20"/>
                <w:szCs w:val="20"/>
                <w:color w:val="auto"/>
              </w:rPr>
            </w:pPr>
            <w:r>
              <w:rPr>
                <w:rFonts w:ascii="Arial" w:cs="Arial" w:eastAsia="Arial" w:hAnsi="Arial"/>
                <w:sz w:val="20"/>
                <w:szCs w:val="20"/>
                <w:color w:val="auto"/>
                <w:w w:val="89"/>
              </w:rPr>
              <w:t>Securities Sold Under Agreement to Repurchase</w:t>
            </w:r>
          </w:p>
        </w:tc>
        <w:tc>
          <w:tcPr>
            <w:tcW w:w="1520" w:type="dxa"/>
            <w:vAlign w:val="bottom"/>
          </w:tcPr>
          <w:p>
            <w:pPr>
              <w:spacing w:after="0"/>
              <w:rPr>
                <w:sz w:val="19"/>
                <w:szCs w:val="19"/>
                <w:color w:val="auto"/>
              </w:rPr>
            </w:pPr>
          </w:p>
        </w:tc>
      </w:tr>
      <w:tr>
        <w:trPr>
          <w:trHeight w:val="629"/>
        </w:trPr>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center"/>
              <w:ind w:right="160"/>
              <w:spacing w:after="0"/>
              <w:rPr>
                <w:sz w:val="20"/>
                <w:szCs w:val="20"/>
                <w:color w:val="auto"/>
              </w:rPr>
            </w:pPr>
            <w:r>
              <w:rPr>
                <w:rFonts w:ascii="Arial" w:cs="Arial" w:eastAsia="Arial" w:hAnsi="Arial"/>
                <w:sz w:val="20"/>
                <w:szCs w:val="20"/>
                <w:color w:val="auto"/>
                <w:w w:val="96"/>
              </w:rPr>
              <w:t>Maximum</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0"/>
        </w:trPr>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jc w:val="center"/>
              <w:ind w:right="200"/>
              <w:spacing w:after="0"/>
              <w:rPr>
                <w:sz w:val="20"/>
                <w:szCs w:val="20"/>
                <w:color w:val="auto"/>
              </w:rPr>
            </w:pPr>
            <w:r>
              <w:rPr>
                <w:rFonts w:ascii="Arial" w:cs="Arial" w:eastAsia="Arial" w:hAnsi="Arial"/>
                <w:sz w:val="20"/>
                <w:szCs w:val="20"/>
                <w:color w:val="auto"/>
                <w:w w:val="95"/>
              </w:rPr>
              <w:t>Amount</w:t>
            </w:r>
          </w:p>
        </w:tc>
        <w:tc>
          <w:tcPr>
            <w:tcW w:w="1460" w:type="dxa"/>
            <w:vAlign w:val="bottom"/>
          </w:tcPr>
          <w:p>
            <w:pPr>
              <w:jc w:val="center"/>
              <w:ind w:right="140"/>
              <w:spacing w:after="0"/>
              <w:rPr>
                <w:sz w:val="20"/>
                <w:szCs w:val="20"/>
                <w:color w:val="auto"/>
              </w:rPr>
            </w:pPr>
            <w:r>
              <w:rPr>
                <w:rFonts w:ascii="Arial" w:cs="Arial" w:eastAsia="Arial" w:hAnsi="Arial"/>
                <w:sz w:val="20"/>
                <w:szCs w:val="20"/>
                <w:color w:val="auto"/>
                <w:w w:val="92"/>
              </w:rPr>
              <w:t>Weighted</w:t>
            </w:r>
          </w:p>
        </w:tc>
        <w:tc>
          <w:tcPr>
            <w:tcW w:w="160" w:type="dxa"/>
            <w:vAlign w:val="bottom"/>
          </w:tcPr>
          <w:p>
            <w:pPr>
              <w:spacing w:after="0"/>
              <w:rPr>
                <w:sz w:val="24"/>
                <w:szCs w:val="24"/>
                <w:color w:val="auto"/>
              </w:rPr>
            </w:pPr>
          </w:p>
        </w:tc>
        <w:tc>
          <w:tcPr>
            <w:tcW w:w="1220" w:type="dxa"/>
            <w:vAlign w:val="bottom"/>
          </w:tcPr>
          <w:p>
            <w:pPr>
              <w:jc w:val="center"/>
              <w:ind w:right="100"/>
              <w:spacing w:after="0"/>
              <w:rPr>
                <w:sz w:val="20"/>
                <w:szCs w:val="20"/>
                <w:color w:val="auto"/>
              </w:rPr>
            </w:pPr>
            <w:r>
              <w:rPr>
                <w:rFonts w:ascii="Arial" w:cs="Arial" w:eastAsia="Arial" w:hAnsi="Arial"/>
                <w:sz w:val="20"/>
                <w:szCs w:val="20"/>
                <w:color w:val="auto"/>
                <w:w w:val="95"/>
              </w:rPr>
              <w:t>Amount</w:t>
            </w:r>
          </w:p>
        </w:tc>
        <w:tc>
          <w:tcPr>
            <w:tcW w:w="1460" w:type="dxa"/>
            <w:vAlign w:val="bottom"/>
            <w:gridSpan w:val="2"/>
          </w:tcPr>
          <w:p>
            <w:pPr>
              <w:jc w:val="center"/>
              <w:spacing w:after="0"/>
              <w:rPr>
                <w:sz w:val="20"/>
                <w:szCs w:val="20"/>
                <w:color w:val="auto"/>
              </w:rPr>
            </w:pPr>
            <w:r>
              <w:rPr>
                <w:rFonts w:ascii="Arial" w:cs="Arial" w:eastAsia="Arial" w:hAnsi="Arial"/>
                <w:sz w:val="20"/>
                <w:szCs w:val="20"/>
                <w:color w:val="auto"/>
                <w:w w:val="94"/>
              </w:rPr>
              <w:t>Approximate</w:t>
            </w:r>
          </w:p>
        </w:tc>
        <w:tc>
          <w:tcPr>
            <w:tcW w:w="1520" w:type="dxa"/>
            <w:vAlign w:val="bottom"/>
          </w:tcPr>
          <w:p>
            <w:pPr>
              <w:jc w:val="center"/>
              <w:ind w:right="40"/>
              <w:spacing w:after="0"/>
              <w:rPr>
                <w:sz w:val="20"/>
                <w:szCs w:val="20"/>
                <w:color w:val="auto"/>
              </w:rPr>
            </w:pPr>
            <w:r>
              <w:rPr>
                <w:rFonts w:ascii="Arial" w:cs="Arial" w:eastAsia="Arial" w:hAnsi="Arial"/>
                <w:sz w:val="20"/>
                <w:szCs w:val="20"/>
                <w:color w:val="auto"/>
                <w:w w:val="94"/>
              </w:rPr>
              <w:t>Approximate</w:t>
            </w:r>
          </w:p>
        </w:tc>
      </w:tr>
      <w:tr>
        <w:trPr>
          <w:trHeight w:val="314"/>
        </w:trPr>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jc w:val="center"/>
              <w:ind w:right="80"/>
              <w:spacing w:after="0"/>
              <w:rPr>
                <w:sz w:val="20"/>
                <w:szCs w:val="20"/>
                <w:color w:val="auto"/>
              </w:rPr>
            </w:pPr>
            <w:r>
              <w:rPr>
                <w:rFonts w:ascii="Arial" w:cs="Arial" w:eastAsia="Arial" w:hAnsi="Arial"/>
                <w:sz w:val="20"/>
                <w:szCs w:val="20"/>
                <w:color w:val="auto"/>
                <w:w w:val="92"/>
              </w:rPr>
              <w:t>Weighted</w:t>
            </w:r>
          </w:p>
        </w:tc>
      </w:tr>
      <w:tr>
        <w:trPr>
          <w:trHeight w:val="300"/>
        </w:trPr>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jc w:val="center"/>
              <w:ind w:right="200"/>
              <w:spacing w:after="0"/>
              <w:rPr>
                <w:sz w:val="20"/>
                <w:szCs w:val="20"/>
                <w:color w:val="auto"/>
              </w:rPr>
            </w:pPr>
            <w:r>
              <w:rPr>
                <w:rFonts w:ascii="Arial" w:cs="Arial" w:eastAsia="Arial" w:hAnsi="Arial"/>
                <w:sz w:val="20"/>
                <w:szCs w:val="20"/>
                <w:color w:val="auto"/>
                <w:w w:val="90"/>
              </w:rPr>
              <w:t>Outstanding</w:t>
            </w:r>
          </w:p>
        </w:tc>
        <w:tc>
          <w:tcPr>
            <w:tcW w:w="1460" w:type="dxa"/>
            <w:vAlign w:val="bottom"/>
          </w:tcPr>
          <w:p>
            <w:pPr>
              <w:jc w:val="center"/>
              <w:ind w:right="140"/>
              <w:spacing w:after="0"/>
              <w:rPr>
                <w:sz w:val="20"/>
                <w:szCs w:val="20"/>
                <w:color w:val="auto"/>
              </w:rPr>
            </w:pPr>
            <w:r>
              <w:rPr>
                <w:rFonts w:ascii="Arial" w:cs="Arial" w:eastAsia="Arial" w:hAnsi="Arial"/>
                <w:sz w:val="20"/>
                <w:szCs w:val="20"/>
                <w:color w:val="auto"/>
                <w:w w:val="88"/>
              </w:rPr>
              <w:t>Average</w:t>
            </w:r>
          </w:p>
        </w:tc>
        <w:tc>
          <w:tcPr>
            <w:tcW w:w="160" w:type="dxa"/>
            <w:vAlign w:val="bottom"/>
          </w:tcPr>
          <w:p>
            <w:pPr>
              <w:spacing w:after="0"/>
              <w:rPr>
                <w:sz w:val="24"/>
                <w:szCs w:val="24"/>
                <w:color w:val="auto"/>
              </w:rPr>
            </w:pPr>
          </w:p>
        </w:tc>
        <w:tc>
          <w:tcPr>
            <w:tcW w:w="1220" w:type="dxa"/>
            <w:vAlign w:val="bottom"/>
          </w:tcPr>
          <w:p>
            <w:pPr>
              <w:jc w:val="center"/>
              <w:ind w:right="100"/>
              <w:spacing w:after="0"/>
              <w:rPr>
                <w:sz w:val="20"/>
                <w:szCs w:val="20"/>
                <w:color w:val="auto"/>
              </w:rPr>
            </w:pPr>
            <w:r>
              <w:rPr>
                <w:rFonts w:ascii="Arial" w:cs="Arial" w:eastAsia="Arial" w:hAnsi="Arial"/>
                <w:sz w:val="20"/>
                <w:szCs w:val="20"/>
                <w:color w:val="auto"/>
                <w:w w:val="93"/>
              </w:rPr>
              <w:t>Borrowings</w:t>
            </w:r>
          </w:p>
        </w:tc>
        <w:tc>
          <w:tcPr>
            <w:tcW w:w="300" w:type="dxa"/>
            <w:vAlign w:val="bottom"/>
          </w:tcPr>
          <w:p>
            <w:pPr>
              <w:spacing w:after="0"/>
              <w:rPr>
                <w:sz w:val="24"/>
                <w:szCs w:val="24"/>
                <w:color w:val="auto"/>
              </w:rPr>
            </w:pPr>
          </w:p>
        </w:tc>
        <w:tc>
          <w:tcPr>
            <w:tcW w:w="1160" w:type="dxa"/>
            <w:vAlign w:val="bottom"/>
          </w:tcPr>
          <w:p>
            <w:pPr>
              <w:jc w:val="center"/>
              <w:ind w:right="220"/>
              <w:spacing w:after="0"/>
              <w:rPr>
                <w:sz w:val="20"/>
                <w:szCs w:val="20"/>
                <w:color w:val="auto"/>
              </w:rPr>
            </w:pPr>
            <w:r>
              <w:rPr>
                <w:rFonts w:ascii="Arial" w:cs="Arial" w:eastAsia="Arial" w:hAnsi="Arial"/>
                <w:sz w:val="20"/>
                <w:szCs w:val="20"/>
                <w:color w:val="auto"/>
                <w:w w:val="91"/>
              </w:rPr>
              <w:t>Average</w:t>
            </w:r>
          </w:p>
        </w:tc>
        <w:tc>
          <w:tcPr>
            <w:tcW w:w="1520" w:type="dxa"/>
            <w:vAlign w:val="bottom"/>
          </w:tcPr>
          <w:p>
            <w:pPr>
              <w:jc w:val="center"/>
              <w:ind w:right="20"/>
              <w:spacing w:after="0"/>
              <w:rPr>
                <w:sz w:val="20"/>
                <w:szCs w:val="20"/>
                <w:color w:val="auto"/>
              </w:rPr>
            </w:pPr>
            <w:r>
              <w:rPr>
                <w:rFonts w:ascii="Arial" w:cs="Arial" w:eastAsia="Arial" w:hAnsi="Arial"/>
                <w:sz w:val="20"/>
                <w:szCs w:val="20"/>
                <w:color w:val="auto"/>
                <w:w w:val="91"/>
              </w:rPr>
              <w:t>Average</w:t>
            </w:r>
          </w:p>
        </w:tc>
      </w:tr>
      <w:tr>
        <w:trPr>
          <w:trHeight w:val="314"/>
        </w:trPr>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jc w:val="center"/>
              <w:ind w:right="200"/>
              <w:spacing w:after="0"/>
              <w:rPr>
                <w:sz w:val="20"/>
                <w:szCs w:val="20"/>
                <w:color w:val="auto"/>
              </w:rPr>
            </w:pPr>
            <w:r>
              <w:rPr>
                <w:rFonts w:ascii="Arial" w:cs="Arial" w:eastAsia="Arial" w:hAnsi="Arial"/>
                <w:sz w:val="20"/>
                <w:szCs w:val="20"/>
                <w:color w:val="auto"/>
                <w:w w:val="86"/>
              </w:rPr>
              <w:t>at End</w:t>
            </w:r>
          </w:p>
        </w:tc>
        <w:tc>
          <w:tcPr>
            <w:tcW w:w="1460" w:type="dxa"/>
            <w:vAlign w:val="bottom"/>
          </w:tcPr>
          <w:p>
            <w:pPr>
              <w:jc w:val="center"/>
              <w:ind w:right="140"/>
              <w:spacing w:after="0"/>
              <w:rPr>
                <w:sz w:val="20"/>
                <w:szCs w:val="20"/>
                <w:color w:val="auto"/>
              </w:rPr>
            </w:pPr>
            <w:r>
              <w:rPr>
                <w:rFonts w:ascii="Arial" w:cs="Arial" w:eastAsia="Arial" w:hAnsi="Arial"/>
                <w:sz w:val="20"/>
                <w:szCs w:val="20"/>
                <w:color w:val="auto"/>
                <w:w w:val="88"/>
              </w:rPr>
              <w:t>Rate End</w:t>
            </w:r>
          </w:p>
        </w:tc>
        <w:tc>
          <w:tcPr>
            <w:tcW w:w="160" w:type="dxa"/>
            <w:vAlign w:val="bottom"/>
          </w:tcPr>
          <w:p>
            <w:pPr>
              <w:spacing w:after="0"/>
              <w:rPr>
                <w:sz w:val="24"/>
                <w:szCs w:val="24"/>
                <w:color w:val="auto"/>
              </w:rPr>
            </w:pPr>
          </w:p>
        </w:tc>
        <w:tc>
          <w:tcPr>
            <w:tcW w:w="1220" w:type="dxa"/>
            <w:vAlign w:val="bottom"/>
          </w:tcPr>
          <w:p>
            <w:pPr>
              <w:jc w:val="center"/>
              <w:ind w:right="100"/>
              <w:spacing w:after="0"/>
              <w:rPr>
                <w:sz w:val="20"/>
                <w:szCs w:val="20"/>
                <w:color w:val="auto"/>
              </w:rPr>
            </w:pPr>
            <w:r>
              <w:rPr>
                <w:rFonts w:ascii="Arial" w:cs="Arial" w:eastAsia="Arial" w:hAnsi="Arial"/>
                <w:sz w:val="20"/>
                <w:szCs w:val="20"/>
                <w:color w:val="auto"/>
                <w:w w:val="90"/>
              </w:rPr>
              <w:t>Outstanding</w:t>
            </w:r>
          </w:p>
        </w:tc>
        <w:tc>
          <w:tcPr>
            <w:tcW w:w="1460" w:type="dxa"/>
            <w:vAlign w:val="bottom"/>
            <w:gridSpan w:val="2"/>
          </w:tcPr>
          <w:p>
            <w:pPr>
              <w:jc w:val="center"/>
              <w:spacing w:after="0"/>
              <w:rPr>
                <w:sz w:val="20"/>
                <w:szCs w:val="20"/>
                <w:color w:val="auto"/>
              </w:rPr>
            </w:pPr>
            <w:r>
              <w:rPr>
                <w:rFonts w:ascii="Arial" w:cs="Arial" w:eastAsia="Arial" w:hAnsi="Arial"/>
                <w:sz w:val="20"/>
                <w:szCs w:val="20"/>
                <w:color w:val="auto"/>
                <w:w w:val="91"/>
              </w:rPr>
              <w:t>Outstanding in</w:t>
            </w:r>
          </w:p>
        </w:tc>
        <w:tc>
          <w:tcPr>
            <w:tcW w:w="1520" w:type="dxa"/>
            <w:vAlign w:val="bottom"/>
          </w:tcPr>
          <w:p>
            <w:pPr>
              <w:jc w:val="center"/>
              <w:ind w:right="40"/>
              <w:spacing w:after="0"/>
              <w:rPr>
                <w:sz w:val="20"/>
                <w:szCs w:val="20"/>
                <w:color w:val="auto"/>
              </w:rPr>
            </w:pPr>
            <w:r>
              <w:rPr>
                <w:rFonts w:ascii="Arial" w:cs="Arial" w:eastAsia="Arial" w:hAnsi="Arial"/>
                <w:sz w:val="20"/>
                <w:szCs w:val="20"/>
                <w:color w:val="auto"/>
                <w:w w:val="89"/>
              </w:rPr>
              <w:t>Interest Rate</w:t>
            </w:r>
          </w:p>
        </w:tc>
      </w:tr>
      <w:tr>
        <w:trPr>
          <w:trHeight w:val="314"/>
        </w:trPr>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jc w:val="center"/>
              <w:ind w:right="240"/>
              <w:spacing w:after="0"/>
              <w:rPr>
                <w:sz w:val="20"/>
                <w:szCs w:val="20"/>
                <w:color w:val="auto"/>
              </w:rPr>
            </w:pPr>
            <w:r>
              <w:rPr>
                <w:rFonts w:ascii="Arial" w:cs="Arial" w:eastAsia="Arial" w:hAnsi="Arial"/>
                <w:sz w:val="20"/>
                <w:szCs w:val="20"/>
                <w:color w:val="auto"/>
                <w:w w:val="92"/>
              </w:rPr>
              <w:t>of Period</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center"/>
              <w:ind w:right="140"/>
              <w:spacing w:after="0"/>
              <w:rPr>
                <w:sz w:val="20"/>
                <w:szCs w:val="20"/>
                <w:color w:val="auto"/>
              </w:rPr>
            </w:pPr>
            <w:r>
              <w:rPr>
                <w:rFonts w:ascii="Arial" w:cs="Arial" w:eastAsia="Arial" w:hAnsi="Arial"/>
                <w:sz w:val="20"/>
                <w:szCs w:val="20"/>
                <w:color w:val="auto"/>
                <w:w w:val="93"/>
              </w:rPr>
              <w:t>Month End</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0"/>
        </w:trPr>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jc w:val="center"/>
              <w:ind w:right="200"/>
              <w:spacing w:after="0"/>
              <w:rPr>
                <w:sz w:val="20"/>
                <w:szCs w:val="20"/>
                <w:color w:val="auto"/>
              </w:rPr>
            </w:pPr>
            <w:r>
              <w:rPr>
                <w:rFonts w:ascii="Arial" w:cs="Arial" w:eastAsia="Arial" w:hAnsi="Arial"/>
                <w:sz w:val="20"/>
                <w:szCs w:val="20"/>
                <w:color w:val="auto"/>
                <w:w w:val="89"/>
              </w:rPr>
              <w:t>(000's)</w:t>
            </w:r>
          </w:p>
        </w:tc>
        <w:tc>
          <w:tcPr>
            <w:tcW w:w="1460" w:type="dxa"/>
            <w:vAlign w:val="bottom"/>
          </w:tcPr>
          <w:p>
            <w:pPr>
              <w:jc w:val="center"/>
              <w:ind w:right="140"/>
              <w:spacing w:after="0"/>
              <w:rPr>
                <w:sz w:val="20"/>
                <w:szCs w:val="20"/>
                <w:color w:val="auto"/>
              </w:rPr>
            </w:pPr>
            <w:r>
              <w:rPr>
                <w:rFonts w:ascii="Arial" w:cs="Arial" w:eastAsia="Arial" w:hAnsi="Arial"/>
                <w:sz w:val="20"/>
                <w:szCs w:val="20"/>
                <w:color w:val="auto"/>
                <w:w w:val="92"/>
              </w:rPr>
              <w:t>of Period</w:t>
            </w:r>
          </w:p>
        </w:tc>
        <w:tc>
          <w:tcPr>
            <w:tcW w:w="160" w:type="dxa"/>
            <w:vAlign w:val="bottom"/>
          </w:tcPr>
          <w:p>
            <w:pPr>
              <w:spacing w:after="0"/>
              <w:rPr>
                <w:sz w:val="24"/>
                <w:szCs w:val="24"/>
                <w:color w:val="auto"/>
              </w:rPr>
            </w:pPr>
          </w:p>
        </w:tc>
        <w:tc>
          <w:tcPr>
            <w:tcW w:w="1220" w:type="dxa"/>
            <w:vAlign w:val="bottom"/>
          </w:tcPr>
          <w:p>
            <w:pPr>
              <w:jc w:val="center"/>
              <w:ind w:right="100"/>
              <w:spacing w:after="0"/>
              <w:rPr>
                <w:sz w:val="20"/>
                <w:szCs w:val="20"/>
                <w:color w:val="auto"/>
              </w:rPr>
            </w:pPr>
            <w:r>
              <w:rPr>
                <w:rFonts w:ascii="Arial" w:cs="Arial" w:eastAsia="Arial" w:hAnsi="Arial"/>
                <w:sz w:val="20"/>
                <w:szCs w:val="20"/>
                <w:color w:val="auto"/>
                <w:w w:val="89"/>
              </w:rPr>
              <w:t>(000's)</w:t>
            </w:r>
          </w:p>
        </w:tc>
        <w:tc>
          <w:tcPr>
            <w:tcW w:w="1460" w:type="dxa"/>
            <w:vAlign w:val="bottom"/>
            <w:gridSpan w:val="2"/>
          </w:tcPr>
          <w:p>
            <w:pPr>
              <w:jc w:val="center"/>
              <w:spacing w:after="0"/>
              <w:rPr>
                <w:sz w:val="20"/>
                <w:szCs w:val="20"/>
                <w:color w:val="auto"/>
              </w:rPr>
            </w:pPr>
            <w:r>
              <w:rPr>
                <w:rFonts w:ascii="Arial" w:cs="Arial" w:eastAsia="Arial" w:hAnsi="Arial"/>
                <w:sz w:val="20"/>
                <w:szCs w:val="20"/>
                <w:color w:val="auto"/>
                <w:w w:val="90"/>
              </w:rPr>
              <w:t>Period (000's)</w:t>
            </w:r>
          </w:p>
        </w:tc>
        <w:tc>
          <w:tcPr>
            <w:tcW w:w="1520" w:type="dxa"/>
            <w:vAlign w:val="bottom"/>
          </w:tcPr>
          <w:p>
            <w:pPr>
              <w:jc w:val="center"/>
              <w:ind w:right="40"/>
              <w:spacing w:after="0"/>
              <w:rPr>
                <w:sz w:val="20"/>
                <w:szCs w:val="20"/>
                <w:color w:val="auto"/>
              </w:rPr>
            </w:pPr>
            <w:r>
              <w:rPr>
                <w:rFonts w:ascii="Arial" w:cs="Arial" w:eastAsia="Arial" w:hAnsi="Arial"/>
                <w:sz w:val="20"/>
                <w:szCs w:val="20"/>
                <w:color w:val="auto"/>
                <w:w w:val="89"/>
              </w:rPr>
              <w:t>For the Period</w:t>
            </w:r>
          </w:p>
        </w:tc>
      </w:tr>
      <w:tr>
        <w:trPr>
          <w:trHeight w:val="51"/>
        </w:trPr>
        <w:tc>
          <w:tcPr>
            <w:tcW w:w="1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94"/>
        </w:trPr>
        <w:tc>
          <w:tcPr>
            <w:tcW w:w="1700" w:type="dxa"/>
            <w:vAlign w:val="bottom"/>
            <w:tcBorders>
              <w:bottom w:val="single" w:sz="8" w:color="CFF0FC"/>
            </w:tcBorders>
            <w:shd w:val="clear" w:color="auto" w:fill="CFF0FC"/>
          </w:tcPr>
          <w:p>
            <w:pPr>
              <w:jc w:val="right"/>
              <w:ind w:right="380"/>
              <w:spacing w:after="0"/>
              <w:rPr>
                <w:sz w:val="20"/>
                <w:szCs w:val="20"/>
                <w:color w:val="auto"/>
              </w:rPr>
            </w:pPr>
            <w:r>
              <w:rPr>
                <w:rFonts w:ascii="Arial" w:cs="Arial" w:eastAsia="Arial" w:hAnsi="Arial"/>
                <w:sz w:val="20"/>
                <w:szCs w:val="20"/>
                <w:color w:val="auto"/>
              </w:rPr>
              <w:t>2025</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22,718</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0.87%</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27,218</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26,028</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3.98%</w:t>
            </w:r>
          </w:p>
        </w:tc>
      </w:tr>
      <w:tr>
        <w:trPr>
          <w:trHeight w:val="274"/>
        </w:trPr>
        <w:tc>
          <w:tcPr>
            <w:tcW w:w="1700" w:type="dxa"/>
            <w:vAlign w:val="bottom"/>
          </w:tcPr>
          <w:p>
            <w:pPr>
              <w:jc w:val="right"/>
              <w:ind w:right="380"/>
              <w:spacing w:after="0"/>
              <w:rPr>
                <w:sz w:val="20"/>
                <w:szCs w:val="20"/>
                <w:color w:val="auto"/>
              </w:rPr>
            </w:pPr>
            <w:r>
              <w:rPr>
                <w:rFonts w:ascii="Arial" w:cs="Arial" w:eastAsia="Arial" w:hAnsi="Arial"/>
                <w:sz w:val="20"/>
                <w:szCs w:val="20"/>
                <w:color w:val="auto"/>
              </w:rPr>
              <w:t>2024</w:t>
            </w: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80"/>
              <w:spacing w:after="0"/>
              <w:rPr>
                <w:sz w:val="20"/>
                <w:szCs w:val="20"/>
                <w:color w:val="auto"/>
              </w:rPr>
            </w:pPr>
            <w:r>
              <w:rPr>
                <w:rFonts w:ascii="Arial" w:cs="Arial" w:eastAsia="Arial" w:hAnsi="Arial"/>
                <w:sz w:val="20"/>
                <w:szCs w:val="20"/>
                <w:color w:val="auto"/>
              </w:rPr>
              <w:t>27,218</w:t>
            </w:r>
          </w:p>
        </w:tc>
        <w:tc>
          <w:tcPr>
            <w:tcW w:w="1460" w:type="dxa"/>
            <w:vAlign w:val="bottom"/>
          </w:tcPr>
          <w:p>
            <w:pPr>
              <w:jc w:val="right"/>
              <w:spacing w:after="0"/>
              <w:rPr>
                <w:sz w:val="20"/>
                <w:szCs w:val="20"/>
                <w:color w:val="auto"/>
              </w:rPr>
            </w:pPr>
            <w:r>
              <w:rPr>
                <w:rFonts w:ascii="Arial" w:cs="Arial" w:eastAsia="Arial" w:hAnsi="Arial"/>
                <w:sz w:val="20"/>
                <w:szCs w:val="20"/>
                <w:color w:val="auto"/>
              </w:rPr>
              <w:t>0.99%</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27,218</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0"/>
              <w:spacing w:after="0"/>
              <w:rPr>
                <w:sz w:val="20"/>
                <w:szCs w:val="20"/>
                <w:color w:val="auto"/>
              </w:rPr>
            </w:pPr>
            <w:r>
              <w:rPr>
                <w:rFonts w:ascii="Arial" w:cs="Arial" w:eastAsia="Arial" w:hAnsi="Arial"/>
                <w:sz w:val="20"/>
                <w:szCs w:val="20"/>
                <w:color w:val="auto"/>
              </w:rPr>
              <w:t>27,574</w:t>
            </w:r>
          </w:p>
        </w:tc>
        <w:tc>
          <w:tcPr>
            <w:tcW w:w="1520" w:type="dxa"/>
            <w:vAlign w:val="bottom"/>
          </w:tcPr>
          <w:p>
            <w:pPr>
              <w:jc w:val="right"/>
              <w:spacing w:after="0"/>
              <w:rPr>
                <w:sz w:val="20"/>
                <w:szCs w:val="20"/>
                <w:color w:val="auto"/>
              </w:rPr>
            </w:pPr>
            <w:r>
              <w:rPr>
                <w:rFonts w:ascii="Arial" w:cs="Arial" w:eastAsia="Arial" w:hAnsi="Arial"/>
                <w:sz w:val="20"/>
                <w:szCs w:val="20"/>
                <w:color w:val="auto"/>
              </w:rPr>
              <w:t>4.00%</w:t>
            </w:r>
          </w:p>
        </w:tc>
      </w:tr>
      <w:tr>
        <w:trPr>
          <w:trHeight w:val="840"/>
        </w:trPr>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jc w:val="right"/>
              <w:ind w:right="140"/>
              <w:spacing w:after="0"/>
              <w:rPr>
                <w:sz w:val="20"/>
                <w:szCs w:val="20"/>
                <w:color w:val="auto"/>
              </w:rPr>
            </w:pPr>
            <w:r>
              <w:rPr>
                <w:rFonts w:ascii="Arial" w:cs="Arial" w:eastAsia="Arial" w:hAnsi="Arial"/>
                <w:sz w:val="20"/>
                <w:szCs w:val="20"/>
                <w:color w:val="auto"/>
              </w:rPr>
              <w:t>96</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891"/>
        </w:trPr>
        <w:tc>
          <w:tcPr>
            <w:tcW w:w="170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14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5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6">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7">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1390015</wp:posOffset>
            </wp:positionH>
            <wp:positionV relativeFrom="paragraph">
              <wp:posOffset>-1490980</wp:posOffset>
            </wp:positionV>
            <wp:extent cx="4458970" cy="63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28">
                      <a:extLst>
                        <a:ext uri="{28A0092B-C50C-407E-A947-70E740481C1C}"/>
                      </a:extLst>
                    </a:blip>
                    <a:srcRect/>
                    <a:stretch>
                      <a:fillRect/>
                    </a:stretch>
                  </pic:blipFill>
                  <pic:spPr bwMode="auto">
                    <a:xfrm>
                      <a:off x="0" y="0"/>
                      <a:ext cx="445897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24</w:t>
      </w:r>
    </w:p>
    <w:p>
      <w:pPr>
        <w:sectPr>
          <w:pgSz w:w="11900" w:h="16838" w:orient="portrait"/>
          <w:cols w:equalWidth="0" w:num="1">
            <w:col w:w="9400"/>
          </w:cols>
          <w:pgMar w:left="1260" w:top="1440" w:right="1246" w:bottom="0" w:gutter="0" w:footer="0" w:header="0"/>
          <w:type w:val="continuous"/>
        </w:sectPr>
      </w:pPr>
    </w:p>
    <w:bookmarkStart w:id="204" w:name="page205"/>
    <w:bookmarkEnd w:id="204"/>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20" w:right="60"/>
        <w:spacing w:after="0" w:line="352" w:lineRule="auto"/>
        <w:rPr>
          <w:sz w:val="20"/>
          <w:szCs w:val="20"/>
          <w:color w:val="auto"/>
        </w:rPr>
      </w:pPr>
      <w:r>
        <w:rPr>
          <w:rFonts w:ascii="Arial" w:cs="Arial" w:eastAsia="Arial" w:hAnsi="Arial"/>
          <w:sz w:val="18"/>
          <w:szCs w:val="18"/>
          <w:color w:val="auto"/>
        </w:rPr>
        <w:t>The Company had $15.0 million of federal funds purchased as of December 31, 2025 and no federal funds purchased as of December 31, 2024. The $22.7 million in securities sold under agreements to repurchase were comprised of U.S. Treasuries and government agency securities. The table below shows the remaining contractual maturity in the repurchase agreements and the collateral pledged as of December 31, 2025:</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20"/>
                <w:szCs w:val="20"/>
                <w:color w:val="auto"/>
                <w:w w:val="90"/>
              </w:rPr>
              <w:t>(In Thousands)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24"/>
        </w:trPr>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Arial" w:cs="Arial" w:eastAsia="Arial" w:hAnsi="Arial"/>
                <w:sz w:val="20"/>
                <w:szCs w:val="20"/>
                <w:color w:val="auto"/>
                <w:w w:val="89"/>
              </w:rPr>
              <w:t>December 31, 2025</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60" w:type="dxa"/>
            <w:vAlign w:val="bottom"/>
            <w:gridSpan w:val="7"/>
          </w:tcPr>
          <w:p>
            <w:pPr>
              <w:jc w:val="center"/>
              <w:ind w:left="620"/>
              <w:spacing w:after="0"/>
              <w:rPr>
                <w:sz w:val="20"/>
                <w:szCs w:val="20"/>
                <w:color w:val="auto"/>
              </w:rPr>
            </w:pPr>
            <w:r>
              <w:rPr>
                <w:rFonts w:ascii="Arial" w:cs="Arial" w:eastAsia="Arial" w:hAnsi="Arial"/>
                <w:sz w:val="20"/>
                <w:szCs w:val="20"/>
                <w:color w:val="auto"/>
                <w:w w:val="92"/>
              </w:rPr>
              <w:t>Remaining Contractual Maturity of the Agreements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380"/>
              <w:spacing w:after="0"/>
              <w:rPr>
                <w:sz w:val="20"/>
                <w:szCs w:val="20"/>
                <w:color w:val="auto"/>
              </w:rPr>
            </w:pPr>
            <w:r>
              <w:rPr>
                <w:rFonts w:ascii="Arial" w:cs="Arial" w:eastAsia="Arial" w:hAnsi="Arial"/>
                <w:sz w:val="20"/>
                <w:szCs w:val="20"/>
                <w:color w:val="auto"/>
                <w:w w:val="91"/>
              </w:rPr>
              <w:t>Greater</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288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20"/>
                <w:szCs w:val="20"/>
                <w:color w:val="auto"/>
              </w:rPr>
              <w:t>Overnight &amp;</w:t>
            </w:r>
          </w:p>
        </w:tc>
        <w:tc>
          <w:tcPr>
            <w:tcW w:w="1020" w:type="dxa"/>
            <w:vAlign w:val="bottom"/>
          </w:tcPr>
          <w:p>
            <w:pPr>
              <w:jc w:val="right"/>
              <w:spacing w:after="0"/>
              <w:rPr>
                <w:sz w:val="20"/>
                <w:szCs w:val="20"/>
                <w:color w:val="auto"/>
              </w:rPr>
            </w:pPr>
            <w:r>
              <w:rPr>
                <w:rFonts w:ascii="Arial" w:cs="Arial" w:eastAsia="Arial" w:hAnsi="Arial"/>
                <w:sz w:val="20"/>
                <w:szCs w:val="20"/>
                <w:color w:val="auto"/>
              </w:rPr>
              <w:t>Up to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460"/>
              <w:spacing w:after="0"/>
              <w:rPr>
                <w:sz w:val="20"/>
                <w:szCs w:val="20"/>
                <w:color w:val="auto"/>
              </w:rPr>
            </w:pPr>
            <w:r>
              <w:rPr>
                <w:rFonts w:ascii="Arial" w:cs="Arial" w:eastAsia="Arial" w:hAnsi="Arial"/>
                <w:sz w:val="20"/>
                <w:szCs w:val="20"/>
                <w:color w:val="auto"/>
              </w:rPr>
              <w:t>Than</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2880" w:type="dxa"/>
            <w:vAlign w:val="bottom"/>
          </w:tcPr>
          <w:p>
            <w:pPr>
              <w:spacing w:after="0"/>
              <w:rPr>
                <w:sz w:val="24"/>
                <w:szCs w:val="24"/>
                <w:color w:val="auto"/>
              </w:rPr>
            </w:pPr>
          </w:p>
        </w:tc>
        <w:tc>
          <w:tcPr>
            <w:tcW w:w="1380" w:type="dxa"/>
            <w:vAlign w:val="bottom"/>
            <w:gridSpan w:val="2"/>
          </w:tcPr>
          <w:p>
            <w:pPr>
              <w:ind w:left="260"/>
              <w:spacing w:after="0"/>
              <w:rPr>
                <w:sz w:val="20"/>
                <w:szCs w:val="20"/>
                <w:color w:val="auto"/>
              </w:rPr>
            </w:pPr>
            <w:r>
              <w:rPr>
                <w:rFonts w:ascii="Arial" w:cs="Arial" w:eastAsia="Arial" w:hAnsi="Arial"/>
                <w:sz w:val="20"/>
                <w:szCs w:val="20"/>
                <w:color w:val="auto"/>
              </w:rPr>
              <w:t>Continuous</w:t>
            </w:r>
          </w:p>
        </w:tc>
        <w:tc>
          <w:tcPr>
            <w:tcW w:w="1020" w:type="dxa"/>
            <w:vAlign w:val="bottom"/>
          </w:tcPr>
          <w:p>
            <w:pPr>
              <w:jc w:val="right"/>
              <w:ind w:right="100"/>
              <w:spacing w:after="0"/>
              <w:rPr>
                <w:sz w:val="20"/>
                <w:szCs w:val="20"/>
                <w:color w:val="auto"/>
              </w:rPr>
            </w:pPr>
            <w:r>
              <w:rPr>
                <w:rFonts w:ascii="Arial" w:cs="Arial" w:eastAsia="Arial" w:hAnsi="Arial"/>
                <w:sz w:val="20"/>
                <w:szCs w:val="20"/>
                <w:color w:val="auto"/>
              </w:rPr>
              <w:t>days</w:t>
            </w:r>
          </w:p>
        </w:tc>
        <w:tc>
          <w:tcPr>
            <w:tcW w:w="220" w:type="dxa"/>
            <w:vAlign w:val="bottom"/>
          </w:tcPr>
          <w:p>
            <w:pPr>
              <w:spacing w:after="0"/>
              <w:rPr>
                <w:sz w:val="24"/>
                <w:szCs w:val="24"/>
                <w:color w:val="auto"/>
              </w:rPr>
            </w:pPr>
          </w:p>
        </w:tc>
        <w:tc>
          <w:tcPr>
            <w:tcW w:w="1140" w:type="dxa"/>
            <w:vAlign w:val="bottom"/>
          </w:tcPr>
          <w:p>
            <w:pPr>
              <w:jc w:val="center"/>
              <w:ind w:left="160"/>
              <w:spacing w:after="0"/>
              <w:rPr>
                <w:sz w:val="20"/>
                <w:szCs w:val="20"/>
                <w:color w:val="auto"/>
              </w:rPr>
            </w:pPr>
            <w:r>
              <w:rPr>
                <w:rFonts w:ascii="Arial" w:cs="Arial" w:eastAsia="Arial" w:hAnsi="Arial"/>
                <w:sz w:val="20"/>
                <w:szCs w:val="20"/>
                <w:color w:val="auto"/>
                <w:w w:val="88"/>
              </w:rPr>
              <w:t>30-90 days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340"/>
              <w:spacing w:after="0"/>
              <w:rPr>
                <w:sz w:val="20"/>
                <w:szCs w:val="20"/>
                <w:color w:val="auto"/>
              </w:rPr>
            </w:pPr>
            <w:r>
              <w:rPr>
                <w:rFonts w:ascii="Arial" w:cs="Arial" w:eastAsia="Arial" w:hAnsi="Arial"/>
                <w:sz w:val="20"/>
                <w:szCs w:val="20"/>
                <w:color w:val="auto"/>
                <w:w w:val="94"/>
              </w:rPr>
              <w:t>90 days</w:t>
            </w:r>
          </w:p>
        </w:tc>
        <w:tc>
          <w:tcPr>
            <w:tcW w:w="200" w:type="dxa"/>
            <w:vAlign w:val="bottom"/>
          </w:tcPr>
          <w:p>
            <w:pPr>
              <w:spacing w:after="0"/>
              <w:rPr>
                <w:sz w:val="24"/>
                <w:szCs w:val="24"/>
                <w:color w:val="auto"/>
              </w:rPr>
            </w:pPr>
          </w:p>
        </w:tc>
        <w:tc>
          <w:tcPr>
            <w:tcW w:w="960" w:type="dxa"/>
            <w:vAlign w:val="bottom"/>
          </w:tcPr>
          <w:p>
            <w:pPr>
              <w:jc w:val="right"/>
              <w:ind w:right="320"/>
              <w:spacing w:after="0"/>
              <w:rPr>
                <w:sz w:val="20"/>
                <w:szCs w:val="20"/>
                <w:color w:val="auto"/>
              </w:rPr>
            </w:pPr>
            <w:r>
              <w:rPr>
                <w:rFonts w:ascii="Arial" w:cs="Arial" w:eastAsia="Arial" w:hAnsi="Arial"/>
                <w:sz w:val="20"/>
                <w:szCs w:val="20"/>
                <w:color w:val="auto"/>
              </w:rPr>
              <w:t>Total</w:t>
            </w:r>
          </w:p>
        </w:tc>
      </w:tr>
      <w:tr>
        <w:trPr>
          <w:trHeight w:val="51"/>
        </w:trPr>
        <w:tc>
          <w:tcPr>
            <w:tcW w:w="2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94"/>
        </w:trPr>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Federal funds purchased</w:t>
            </w:r>
          </w:p>
        </w:tc>
        <w:tc>
          <w:tcPr>
            <w:tcW w:w="5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15,000</w:t>
            </w:r>
          </w:p>
        </w:tc>
        <w:tc>
          <w:tcPr>
            <w:tcW w:w="1020" w:type="dxa"/>
            <w:vAlign w:val="bottom"/>
            <w:tcBorders>
              <w:bottom w:val="single" w:sz="8" w:color="CFF0FC"/>
            </w:tcBorders>
            <w:shd w:val="clear" w:color="auto" w:fill="CFF0FC"/>
          </w:tcPr>
          <w:p>
            <w:pPr>
              <w:jc w:val="right"/>
              <w:ind w:right="70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FF0FC"/>
            </w:tcBorders>
            <w:shd w:val="clear" w:color="auto" w:fill="CFF0FC"/>
          </w:tcPr>
          <w:p>
            <w:pPr>
              <w:jc w:val="right"/>
              <w:ind w:right="78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w w:val="89"/>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15,000</w:t>
            </w:r>
          </w:p>
        </w:tc>
      </w:tr>
      <w:tr>
        <w:trPr>
          <w:trHeight w:val="274"/>
        </w:trPr>
        <w:tc>
          <w:tcPr>
            <w:tcW w:w="2880" w:type="dxa"/>
            <w:vAlign w:val="bottom"/>
          </w:tcPr>
          <w:p>
            <w:pPr>
              <w:spacing w:after="0"/>
              <w:rPr>
                <w:sz w:val="20"/>
                <w:szCs w:val="20"/>
                <w:color w:val="auto"/>
              </w:rPr>
            </w:pPr>
            <w:r>
              <w:rPr>
                <w:rFonts w:ascii="Arial" w:cs="Arial" w:eastAsia="Arial" w:hAnsi="Arial"/>
                <w:sz w:val="20"/>
                <w:szCs w:val="20"/>
                <w:color w:val="auto"/>
              </w:rPr>
              <w:t>Repurchase agreements</w:t>
            </w: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41"/>
        </w:trPr>
        <w:tc>
          <w:tcPr>
            <w:tcW w:w="2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04"/>
        </w:trPr>
        <w:tc>
          <w:tcPr>
            <w:tcW w:w="28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w w:val="96"/>
              </w:rPr>
              <w:t>US Treasury &amp; agency securities</w:t>
            </w:r>
          </w:p>
        </w:tc>
        <w:tc>
          <w:tcPr>
            <w:tcW w:w="5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w w:val="89"/>
              </w:rPr>
              <w:t>-</w:t>
            </w:r>
          </w:p>
        </w:tc>
        <w:tc>
          <w:tcPr>
            <w:tcW w:w="1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22,718</w:t>
            </w:r>
          </w:p>
        </w:tc>
        <w:tc>
          <w:tcPr>
            <w:tcW w:w="2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22,718</w:t>
            </w:r>
          </w:p>
        </w:tc>
      </w:tr>
      <w:tr>
        <w:trPr>
          <w:trHeight w:val="274"/>
        </w:trPr>
        <w:tc>
          <w:tcPr>
            <w:tcW w:w="2880" w:type="dxa"/>
            <w:vAlign w:val="bottom"/>
          </w:tcPr>
          <w:p>
            <w:pPr>
              <w:spacing w:after="0"/>
              <w:rPr>
                <w:sz w:val="20"/>
                <w:szCs w:val="20"/>
                <w:color w:val="auto"/>
              </w:rPr>
            </w:pPr>
            <w:r>
              <w:rPr>
                <w:rFonts w:ascii="Arial" w:cs="Arial" w:eastAsia="Arial" w:hAnsi="Arial"/>
                <w:sz w:val="20"/>
                <w:szCs w:val="20"/>
                <w:color w:val="auto"/>
              </w:rPr>
              <w:t>Total</w:t>
            </w:r>
          </w:p>
        </w:tc>
        <w:tc>
          <w:tcPr>
            <w:tcW w:w="500" w:type="dxa"/>
            <w:vAlign w:val="bottom"/>
          </w:tcPr>
          <w:p>
            <w:pPr>
              <w:ind w:left="180"/>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15,000</w:t>
            </w:r>
          </w:p>
        </w:tc>
        <w:tc>
          <w:tcPr>
            <w:tcW w:w="1020" w:type="dxa"/>
            <w:vAlign w:val="bottom"/>
          </w:tcPr>
          <w:p>
            <w:pPr>
              <w:jc w:val="right"/>
              <w:ind w:right="70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780"/>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140"/>
              <w:spacing w:after="0"/>
              <w:rPr>
                <w:sz w:val="20"/>
                <w:szCs w:val="20"/>
                <w:color w:val="auto"/>
              </w:rPr>
            </w:pPr>
            <w:r>
              <w:rPr>
                <w:rFonts w:ascii="Arial" w:cs="Arial" w:eastAsia="Arial" w:hAnsi="Arial"/>
                <w:sz w:val="20"/>
                <w:szCs w:val="20"/>
                <w:color w:val="auto"/>
                <w:w w:val="89"/>
              </w:rPr>
              <w:t>-</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ind w:right="140"/>
              <w:spacing w:after="0"/>
              <w:rPr>
                <w:sz w:val="20"/>
                <w:szCs w:val="20"/>
                <w:color w:val="auto"/>
              </w:rPr>
            </w:pPr>
            <w:r>
              <w:rPr>
                <w:rFonts w:ascii="Arial" w:cs="Arial" w:eastAsia="Arial" w:hAnsi="Arial"/>
                <w:sz w:val="20"/>
                <w:szCs w:val="20"/>
                <w:color w:val="auto"/>
              </w:rPr>
              <w:t>22,718</w:t>
            </w:r>
          </w:p>
        </w:tc>
        <w:tc>
          <w:tcPr>
            <w:tcW w:w="2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37,718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1945005</wp:posOffset>
            </wp:positionH>
            <wp:positionV relativeFrom="paragraph">
              <wp:posOffset>-1783715</wp:posOffset>
            </wp:positionV>
            <wp:extent cx="3959860" cy="63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29">
                      <a:extLst>
                        <a:ext uri="{28A0092B-C50C-407E-A947-70E740481C1C}"/>
                      </a:extLst>
                    </a:blip>
                    <a:srcRect/>
                    <a:stretch>
                      <a:fillRect/>
                    </a:stretch>
                  </pic:blipFill>
                  <pic:spPr bwMode="auto">
                    <a:xfrm>
                      <a:off x="0" y="0"/>
                      <a:ext cx="3959860" cy="635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-1577975</wp:posOffset>
            </wp:positionV>
            <wp:extent cx="3959860" cy="63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0">
                      <a:extLst>
                        <a:ext uri="{28A0092B-C50C-407E-A947-70E740481C1C}"/>
                      </a:extLst>
                    </a:blip>
                    <a:srcRect/>
                    <a:stretch>
                      <a:fillRect/>
                    </a:stretch>
                  </pic:blipFill>
                  <pic:spPr bwMode="auto">
                    <a:xfrm>
                      <a:off x="0" y="0"/>
                      <a:ext cx="3959860" cy="635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-1371600</wp:posOffset>
            </wp:positionV>
            <wp:extent cx="3959860" cy="63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1">
                      <a:extLst>
                        <a:ext uri="{28A0092B-C50C-407E-A947-70E740481C1C}"/>
                      </a:extLst>
                    </a:blip>
                    <a:srcRect/>
                    <a:stretch>
                      <a:fillRect/>
                    </a:stretch>
                  </pic:blipFill>
                  <pic:spPr bwMode="auto">
                    <a:xfrm>
                      <a:off x="0" y="0"/>
                      <a:ext cx="3959860" cy="635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-784860</wp:posOffset>
            </wp:positionV>
            <wp:extent cx="3959860" cy="63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2">
                      <a:extLst>
                        <a:ext uri="{28A0092B-C50C-407E-A947-70E740481C1C}"/>
                      </a:extLst>
                    </a:blip>
                    <a:srcRect/>
                    <a:stretch>
                      <a:fillRect/>
                    </a:stretch>
                  </pic:blipFill>
                  <pic:spPr bwMode="auto">
                    <a:xfrm>
                      <a:off x="0" y="0"/>
                      <a:ext cx="3959860" cy="635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-179705</wp:posOffset>
            </wp:positionV>
            <wp:extent cx="4018915" cy="63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3">
                      <a:extLst>
                        <a:ext uri="{28A0092B-C50C-407E-A947-70E740481C1C}"/>
                      </a:extLst>
                    </a:blip>
                    <a:srcRect/>
                    <a:stretch>
                      <a:fillRect/>
                    </a:stretch>
                  </pic:blipFill>
                  <pic:spPr bwMode="auto">
                    <a:xfrm>
                      <a:off x="0" y="0"/>
                      <a:ext cx="4018915" cy="6350"/>
                    </a:xfrm>
                    <a:prstGeom prst="rect">
                      <a:avLst/>
                    </a:prstGeom>
                    <a:noFill/>
                  </pic:spPr>
                </pic:pic>
              </a:graphicData>
            </a:graphic>
          </wp:anchor>
        </w:drawing>
        <w:drawing>
          <wp:anchor simplePos="0" relativeHeight="251657728" behindDoc="1" locked="0" layoutInCell="0" allowOverlap="1">
            <wp:simplePos x="0" y="0"/>
            <wp:positionH relativeFrom="column">
              <wp:posOffset>1945005</wp:posOffset>
            </wp:positionH>
            <wp:positionV relativeFrom="paragraph">
              <wp:posOffset>26035</wp:posOffset>
            </wp:positionV>
            <wp:extent cx="3959860" cy="285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4">
                      <a:extLst>
                        <a:ext uri="{28A0092B-C50C-407E-A947-70E740481C1C}"/>
                      </a:extLst>
                    </a:blip>
                    <a:srcRect/>
                    <a:stretch>
                      <a:fillRect/>
                    </a:stretch>
                  </pic:blipFill>
                  <pic:spPr bwMode="auto">
                    <a:xfrm>
                      <a:off x="0" y="0"/>
                      <a:ext cx="395986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24</w:t>
      </w:r>
    </w:p>
    <w:p>
      <w:pPr>
        <w:sectPr>
          <w:pgSz w:w="11900" w:h="16838" w:orient="portrait"/>
          <w:cols w:equalWidth="0" w:num="1">
            <w:col w:w="9400"/>
          </w:cols>
          <w:pgMar w:left="1260" w:top="1440" w:right="1246" w:bottom="0" w:gutter="0" w:footer="0" w:header="0"/>
          <w:type w:val="continuous"/>
        </w:sectPr>
      </w:pPr>
    </w:p>
    <w:bookmarkStart w:id="205" w:name="page206"/>
    <w:bookmarkEnd w:id="205"/>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 Borrowings and Subordinated Notes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Federal Home Loan Bank Advances</w:t>
      </w:r>
    </w:p>
    <w:p>
      <w:pPr>
        <w:spacing w:after="0" w:line="200" w:lineRule="exact"/>
        <w:rPr>
          <w:sz w:val="20"/>
          <w:szCs w:val="20"/>
          <w:color w:val="auto"/>
        </w:rPr>
      </w:pPr>
    </w:p>
    <w:p>
      <w:pPr>
        <w:ind w:left="620" w:right="60"/>
        <w:spacing w:after="0" w:line="347" w:lineRule="auto"/>
        <w:rPr>
          <w:sz w:val="20"/>
          <w:szCs w:val="20"/>
          <w:color w:val="auto"/>
        </w:rPr>
      </w:pPr>
      <w:r>
        <w:rPr>
          <w:rFonts w:ascii="Arial" w:cs="Arial" w:eastAsia="Arial" w:hAnsi="Arial"/>
          <w:sz w:val="18"/>
          <w:szCs w:val="18"/>
          <w:color w:val="auto"/>
        </w:rPr>
        <w:t>Long term debt consists of various loans from the Federal Home Loan Banks. Repayment structures vary, ranging from monthly installments, annual payments or upon maturity. Interest payments are due monthly. Total borrowings were $227.4 million excluding an amortizing $26 thousand for fair value related to the acquisitions with a weighted average rate of 4.07% for December 31, 2025 compared to $246.1 million excluding an amortizing $39 thousand for fair value with a weighted average rate of 4.21% for December 31, 2024. In 2024, the Bank entered a $15 million, 10 year, 3 month Bermudan Putable</w:t>
      </w:r>
    </w:p>
    <w:p>
      <w:pPr>
        <w:ind w:left="620"/>
        <w:spacing w:after="0"/>
        <w:tabs>
          <w:tab w:leader="none" w:pos="2380" w:val="left"/>
          <w:tab w:leader="none" w:pos="3880" w:val="left"/>
          <w:tab w:leader="none" w:pos="5100" w:val="left"/>
          <w:tab w:leader="none" w:pos="6640" w:val="left"/>
          <w:tab w:leader="none" w:pos="8080" w:val="left"/>
        </w:tabs>
        <w:rPr>
          <w:sz w:val="20"/>
          <w:szCs w:val="20"/>
          <w:color w:val="auto"/>
        </w:rPr>
      </w:pPr>
      <w:r>
        <w:rPr>
          <w:rFonts w:ascii="Arial" w:cs="Arial" w:eastAsia="Arial" w:hAnsi="Arial"/>
          <w:sz w:val="20"/>
          <w:szCs w:val="20"/>
          <w:color w:val="auto"/>
        </w:rPr>
        <w:t>advance</w:t>
      </w:r>
      <w:r>
        <w:rPr>
          <w:sz w:val="20"/>
          <w:szCs w:val="20"/>
          <w:color w:val="auto"/>
        </w:rPr>
        <w:tab/>
      </w:r>
      <w:r>
        <w:rPr>
          <w:rFonts w:ascii="Arial" w:cs="Arial" w:eastAsia="Arial" w:hAnsi="Arial"/>
          <w:sz w:val="20"/>
          <w:szCs w:val="20"/>
          <w:color w:val="auto"/>
        </w:rPr>
        <w:t>with</w:t>
      </w:r>
      <w:r>
        <w:rPr>
          <w:sz w:val="20"/>
          <w:szCs w:val="20"/>
          <w:color w:val="auto"/>
        </w:rPr>
        <w:tab/>
      </w: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fixed</w:t>
      </w:r>
      <w:r>
        <w:rPr>
          <w:sz w:val="20"/>
          <w:szCs w:val="20"/>
          <w:color w:val="auto"/>
        </w:rPr>
        <w:tab/>
      </w:r>
      <w:r>
        <w:rPr>
          <w:rFonts w:ascii="Arial" w:cs="Arial" w:eastAsia="Arial" w:hAnsi="Arial"/>
          <w:sz w:val="20"/>
          <w:szCs w:val="20"/>
          <w:color w:val="auto"/>
        </w:rPr>
        <w:t>rate</w:t>
      </w:r>
      <w:r>
        <w:rPr>
          <w:sz w:val="20"/>
          <w:szCs w:val="20"/>
          <w:color w:val="auto"/>
        </w:rPr>
        <w:tab/>
      </w:r>
      <w:r>
        <w:rPr>
          <w:rFonts w:ascii="Arial" w:cs="Arial" w:eastAsia="Arial" w:hAnsi="Arial"/>
          <w:sz w:val="19"/>
          <w:szCs w:val="19"/>
          <w:color w:val="auto"/>
        </w:rPr>
        <w:t>of</w:t>
      </w:r>
    </w:p>
    <w:p>
      <w:pPr>
        <w:spacing w:after="0" w:line="80" w:lineRule="exact"/>
        <w:rPr>
          <w:sz w:val="20"/>
          <w:szCs w:val="20"/>
          <w:color w:val="auto"/>
        </w:rPr>
      </w:pPr>
    </w:p>
    <w:p>
      <w:pPr>
        <w:jc w:val="both"/>
        <w:ind w:left="620" w:right="60"/>
        <w:spacing w:after="0" w:line="350" w:lineRule="auto"/>
        <w:rPr>
          <w:sz w:val="20"/>
          <w:szCs w:val="20"/>
          <w:color w:val="auto"/>
        </w:rPr>
      </w:pPr>
      <w:r>
        <w:rPr>
          <w:rFonts w:ascii="Arial" w:cs="Arial" w:eastAsia="Arial" w:hAnsi="Arial"/>
          <w:sz w:val="18"/>
          <w:szCs w:val="18"/>
          <w:color w:val="auto"/>
        </w:rPr>
        <w:t>3.40% and quarterly put options owned by FHLB. The put options have not been exercised to date and the next possible putable exercise date is February 6, 2026. This advance is included with the 2026 maturities in the below table. The advances were secured by a pledge of $191.6 and $202.0 million of 1-4 family real estate and HELOC loans as of December 31, 2025 and 2024, respectively under a blanket collateral agreement. The Bank has also pledged eligible commercial real estate loans of $231.8 and $369.5 million as of December 31, 2025 and December 31, 2024, respectively, to the FHLB. During the second quarter of 2024, the Bank also began pledging eligible multi-family real estate loans to the FHLB which amounted to $29.1 and $47.7 million as of December 31, 2025 and December 31, 2024, respectively.</w:t>
      </w:r>
    </w:p>
    <w:p>
      <w:pPr>
        <w:spacing w:after="0" w:line="225" w:lineRule="exact"/>
        <w:rPr>
          <w:sz w:val="20"/>
          <w:szCs w:val="20"/>
          <w:color w:val="auto"/>
        </w:rPr>
      </w:pPr>
    </w:p>
    <w:p>
      <w:pPr>
        <w:jc w:val="both"/>
        <w:ind w:left="620" w:right="60"/>
        <w:spacing w:after="0" w:line="307" w:lineRule="auto"/>
        <w:rPr>
          <w:sz w:val="20"/>
          <w:szCs w:val="20"/>
          <w:color w:val="auto"/>
        </w:rPr>
      </w:pPr>
      <w:r>
        <w:rPr>
          <w:rFonts w:ascii="Arial" w:cs="Arial" w:eastAsia="Arial" w:hAnsi="Arial"/>
          <w:sz w:val="20"/>
          <w:szCs w:val="20"/>
          <w:color w:val="auto"/>
        </w:rPr>
        <w:t>The advances are subject to pre-payment penalties and the provisions and conditions of the credit policy of the Federal Home Loan Bank. The table below shows the maturities of the borrowings outstanding at December 31, 2025, exclusive of the fair value adjustment.</w:t>
      </w:r>
    </w:p>
    <w:p>
      <w:pPr>
        <w:spacing w:after="0" w:line="352" w:lineRule="exact"/>
        <w:rPr>
          <w:sz w:val="20"/>
          <w:szCs w:val="20"/>
          <w:color w:val="auto"/>
        </w:rPr>
      </w:pPr>
    </w:p>
    <w:tbl>
      <w:tblPr>
        <w:tblLayout w:type="fixed"/>
        <w:tblInd w:w="234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40" w:type="dxa"/>
            <w:vAlign w:val="bottom"/>
          </w:tcPr>
          <w:p>
            <w:pPr>
              <w:jc w:val="right"/>
              <w:ind w:right="380"/>
              <w:spacing w:after="0"/>
              <w:rPr>
                <w:sz w:val="20"/>
                <w:szCs w:val="20"/>
                <w:color w:val="auto"/>
              </w:rPr>
            </w:pPr>
            <w:r>
              <w:rPr>
                <w:rFonts w:ascii="Arial" w:cs="Arial" w:eastAsia="Arial" w:hAnsi="Arial"/>
                <w:sz w:val="20"/>
                <w:szCs w:val="20"/>
                <w:color w:val="auto"/>
                <w:w w:val="99"/>
              </w:rPr>
              <w:t>(In Thousands)</w:t>
            </w:r>
          </w:p>
        </w:tc>
      </w:tr>
      <w:tr>
        <w:trPr>
          <w:trHeight w:val="51"/>
        </w:trPr>
        <w:tc>
          <w:tcPr>
            <w:tcW w:w="15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840" w:type="dxa"/>
            <w:vAlign w:val="bottom"/>
          </w:tcPr>
          <w:p>
            <w:pPr>
              <w:spacing w:after="0"/>
              <w:rPr>
                <w:sz w:val="4"/>
                <w:szCs w:val="4"/>
                <w:color w:val="auto"/>
              </w:rPr>
            </w:pPr>
          </w:p>
        </w:tc>
      </w:tr>
      <w:tr>
        <w:trPr>
          <w:trHeight w:val="294"/>
        </w:trPr>
        <w:tc>
          <w:tcPr>
            <w:tcW w:w="1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2026</w:t>
            </w:r>
          </w:p>
        </w:tc>
        <w:tc>
          <w:tcPr>
            <w:tcW w:w="13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105,000</w:t>
            </w:r>
          </w:p>
        </w:tc>
      </w:tr>
      <w:tr>
        <w:trPr>
          <w:trHeight w:val="274"/>
        </w:trPr>
        <w:tc>
          <w:tcPr>
            <w:tcW w:w="1520" w:type="dxa"/>
            <w:vAlign w:val="bottom"/>
          </w:tcPr>
          <w:p>
            <w:pPr>
              <w:spacing w:after="0"/>
              <w:rPr>
                <w:sz w:val="20"/>
                <w:szCs w:val="20"/>
                <w:color w:val="auto"/>
              </w:rPr>
            </w:pPr>
            <w:r>
              <w:rPr>
                <w:rFonts w:ascii="Arial" w:cs="Arial" w:eastAsia="Arial" w:hAnsi="Arial"/>
                <w:sz w:val="20"/>
                <w:szCs w:val="20"/>
                <w:color w:val="auto"/>
              </w:rPr>
              <w:t>2027</w:t>
            </w:r>
          </w:p>
        </w:tc>
        <w:tc>
          <w:tcPr>
            <w:tcW w:w="134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48,152</w:t>
            </w:r>
          </w:p>
        </w:tc>
      </w:tr>
      <w:tr>
        <w:trPr>
          <w:trHeight w:val="41"/>
        </w:trPr>
        <w:tc>
          <w:tcPr>
            <w:tcW w:w="15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94"/>
        </w:trPr>
        <w:tc>
          <w:tcPr>
            <w:tcW w:w="1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2028</w:t>
            </w:r>
          </w:p>
        </w:tc>
        <w:tc>
          <w:tcPr>
            <w:tcW w:w="1340" w:type="dxa"/>
            <w:vAlign w:val="bottom"/>
            <w:tcBorders>
              <w:bottom w:val="single" w:sz="8" w:color="CFF0FC"/>
            </w:tcBorders>
            <w:shd w:val="clear" w:color="auto" w:fill="CFF0FC"/>
          </w:tcPr>
          <w:p>
            <w:pPr>
              <w:spacing w:after="0"/>
              <w:rPr>
                <w:sz w:val="24"/>
                <w:szCs w:val="24"/>
                <w:color w:val="auto"/>
              </w:rPr>
            </w:pPr>
          </w:p>
        </w:tc>
        <w:tc>
          <w:tcPr>
            <w:tcW w:w="1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74,251</w:t>
            </w:r>
          </w:p>
        </w:tc>
      </w:tr>
      <w:tr>
        <w:trPr>
          <w:trHeight w:val="329"/>
        </w:trPr>
        <w:tc>
          <w:tcPr>
            <w:tcW w:w="1520" w:type="dxa"/>
            <w:vAlign w:val="bottom"/>
          </w:tcPr>
          <w:p>
            <w:pPr>
              <w:spacing w:after="0"/>
              <w:rPr>
                <w:sz w:val="20"/>
                <w:szCs w:val="20"/>
                <w:color w:val="auto"/>
              </w:rPr>
            </w:pPr>
            <w:r>
              <w:rPr>
                <w:rFonts w:ascii="Arial" w:cs="Arial" w:eastAsia="Arial" w:hAnsi="Arial"/>
                <w:sz w:val="20"/>
                <w:szCs w:val="20"/>
                <w:color w:val="auto"/>
              </w:rPr>
              <w:t>Total</w:t>
            </w:r>
          </w:p>
        </w:tc>
        <w:tc>
          <w:tcPr>
            <w:tcW w:w="13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840" w:type="dxa"/>
            <w:vAlign w:val="bottom"/>
          </w:tcPr>
          <w:p>
            <w:pPr>
              <w:jc w:val="right"/>
              <w:spacing w:after="0"/>
              <w:rPr>
                <w:sz w:val="20"/>
                <w:szCs w:val="20"/>
                <w:color w:val="auto"/>
              </w:rPr>
            </w:pPr>
            <w:r>
              <w:rPr>
                <w:rFonts w:ascii="Arial" w:cs="Arial" w:eastAsia="Arial" w:hAnsi="Arial"/>
                <w:sz w:val="20"/>
                <w:szCs w:val="20"/>
                <w:color w:val="auto"/>
              </w:rPr>
              <w:t>227,403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-813435</wp:posOffset>
            </wp:positionV>
            <wp:extent cx="1288415" cy="63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6">
                      <a:extLst>
                        <a:ext uri="{28A0092B-C50C-407E-A947-70E740481C1C}"/>
                      </a:extLst>
                    </a:blip>
                    <a:srcRect/>
                    <a:stretch>
                      <a:fillRect/>
                    </a:stretch>
                  </pic:blipFill>
                  <pic:spPr bwMode="auto">
                    <a:xfrm>
                      <a:off x="0" y="0"/>
                      <a:ext cx="1288415" cy="635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-208280</wp:posOffset>
            </wp:positionV>
            <wp:extent cx="1288415" cy="2343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7">
                      <a:extLst>
                        <a:ext uri="{28A0092B-C50C-407E-A947-70E740481C1C}"/>
                      </a:extLst>
                    </a:blip>
                    <a:srcRect/>
                    <a:stretch>
                      <a:fillRect/>
                    </a:stretch>
                  </pic:blipFill>
                  <pic:spPr bwMode="auto">
                    <a:xfrm>
                      <a:off x="0" y="0"/>
                      <a:ext cx="1288415" cy="234315"/>
                    </a:xfrm>
                    <a:prstGeom prst="rect">
                      <a:avLst/>
                    </a:prstGeom>
                    <a:noFill/>
                  </pic:spPr>
                </pic:pic>
              </a:graphicData>
            </a:graphic>
          </wp:anchor>
        </w:drawing>
      </w:r>
    </w:p>
    <w:p>
      <w:pPr>
        <w:spacing w:after="0" w:line="360" w:lineRule="exact"/>
        <w:rPr>
          <w:sz w:val="20"/>
          <w:szCs w:val="20"/>
          <w:color w:val="auto"/>
        </w:rPr>
      </w:pPr>
    </w:p>
    <w:p>
      <w:pPr>
        <w:jc w:val="both"/>
        <w:ind w:left="620" w:right="60"/>
        <w:spacing w:after="0" w:line="309" w:lineRule="auto"/>
        <w:rPr>
          <w:sz w:val="20"/>
          <w:szCs w:val="20"/>
          <w:color w:val="auto"/>
        </w:rPr>
      </w:pPr>
      <w:r>
        <w:rPr>
          <w:rFonts w:ascii="Arial" w:cs="Arial" w:eastAsia="Arial" w:hAnsi="Arial"/>
          <w:sz w:val="20"/>
          <w:szCs w:val="20"/>
          <w:color w:val="auto"/>
        </w:rPr>
        <w:t>The Bank also had access to $167.9 million and $163.7 million through a Cash Management Advance with the Federal Home Loan Bank as of December 31, 2025 and December 31, 2024, respectively. An additional $103.4 million at December 31, 2025, and $159.5 million at December 31, 2024, were available from the Federal Home Loan Bank based on current pledging.</w:t>
      </w:r>
    </w:p>
    <w:p>
      <w:pPr>
        <w:spacing w:after="0" w:line="246"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Other</w:t>
      </w:r>
    </w:p>
    <w:p>
      <w:pPr>
        <w:spacing w:after="0" w:line="200" w:lineRule="exact"/>
        <w:rPr>
          <w:sz w:val="20"/>
          <w:szCs w:val="20"/>
          <w:color w:val="auto"/>
        </w:rPr>
      </w:pPr>
    </w:p>
    <w:p>
      <w:pPr>
        <w:jc w:val="both"/>
        <w:ind w:left="620" w:right="60"/>
        <w:spacing w:after="0" w:line="350" w:lineRule="auto"/>
        <w:rPr>
          <w:sz w:val="20"/>
          <w:szCs w:val="20"/>
          <w:color w:val="auto"/>
        </w:rPr>
      </w:pPr>
      <w:r>
        <w:rPr>
          <w:rFonts w:ascii="Arial" w:cs="Arial" w:eastAsia="Arial" w:hAnsi="Arial"/>
          <w:sz w:val="18"/>
          <w:szCs w:val="18"/>
          <w:color w:val="auto"/>
        </w:rPr>
        <w:t>The Bank had access to $213 million, which includes a new $50 million line of credit, and $163 million of unsecured borrowings through correspondent banks as of December 31, 2025 and December 31, 2024, respectively. The Bank had a borrowing capacity under the Federal Reserve's Discount Window of $28.3 million and $29.9 million at December 31, 2025 and 2024, respectively. The Company has established a $15 million variable line of credit tied to prime with a correspondent bank that matures on September 27, 2027. As of December 31, 2025, there were no outstanding borrowings on the line of credit.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24</w:t>
      </w:r>
    </w:p>
    <w:p>
      <w:pPr>
        <w:sectPr>
          <w:pgSz w:w="11900" w:h="16838" w:orient="portrait"/>
          <w:cols w:equalWidth="0" w:num="1">
            <w:col w:w="9400"/>
          </w:cols>
          <w:pgMar w:left="1260" w:top="1440" w:right="1246" w:bottom="0" w:gutter="0" w:footer="0" w:header="0"/>
          <w:type w:val="continuous"/>
        </w:sectPr>
      </w:pPr>
    </w:p>
    <w:bookmarkStart w:id="206" w:name="page207"/>
    <w:bookmarkEnd w:id="206"/>
    <w:p>
      <w:pPr>
        <w:jc w:val="center"/>
        <w:ind w:right="-13"/>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3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 / 24</w:t>
      </w:r>
    </w:p>
    <w:p>
      <w:pPr>
        <w:sectPr>
          <w:pgSz w:w="11900" w:h="16838" w:orient="portrait"/>
          <w:cols w:equalWidth="0" w:num="1">
            <w:col w:w="9026"/>
          </w:cols>
          <w:pgMar w:left="1440" w:top="1413" w:right="1440" w:bottom="0" w:gutter="0" w:footer="0" w:header="0"/>
          <w:type w:val="continuous"/>
        </w:sectPr>
      </w:pPr>
    </w:p>
    <w:bookmarkStart w:id="207" w:name="page208"/>
    <w:bookmarkEnd w:id="207"/>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1860" w:type="dxa"/>
            <w:vAlign w:val="bottom"/>
            <w:gridSpan w:val="2"/>
          </w:tcPr>
          <w:p>
            <w:pPr>
              <w:spacing w:after="0"/>
              <w:rPr>
                <w:sz w:val="20"/>
                <w:szCs w:val="20"/>
                <w:color w:val="auto"/>
              </w:rPr>
            </w:pPr>
            <w:r>
              <w:rPr>
                <w:rFonts w:ascii="Arial" w:cs="Arial" w:eastAsia="Arial" w:hAnsi="Arial"/>
                <w:sz w:val="20"/>
                <w:szCs w:val="20"/>
                <w:b w:val="1"/>
                <w:bCs w:val="1"/>
                <w:color w:val="auto"/>
                <w:w w:val="96"/>
              </w:rPr>
              <w:t>Subordinated Notes</w:t>
            </w: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20"/>
        </w:trPr>
        <w:tc>
          <w:tcPr>
            <w:tcW w:w="540" w:type="dxa"/>
            <w:vAlign w:val="bottom"/>
          </w:tcPr>
          <w:p>
            <w:pPr>
              <w:spacing w:after="0"/>
              <w:rPr>
                <w:sz w:val="20"/>
                <w:szCs w:val="20"/>
                <w:color w:val="auto"/>
              </w:rPr>
            </w:pPr>
            <w:r>
              <w:rPr>
                <w:rFonts w:ascii="Arial" w:cs="Arial" w:eastAsia="Arial" w:hAnsi="Arial"/>
                <w:sz w:val="20"/>
                <w:szCs w:val="20"/>
                <w:color w:val="auto"/>
              </w:rPr>
              <w:t>The</w:t>
            </w:r>
          </w:p>
        </w:tc>
        <w:tc>
          <w:tcPr>
            <w:tcW w:w="1320" w:type="dxa"/>
            <w:vAlign w:val="bottom"/>
          </w:tcPr>
          <w:p>
            <w:pPr>
              <w:ind w:left="240"/>
              <w:spacing w:after="0"/>
              <w:rPr>
                <w:sz w:val="20"/>
                <w:szCs w:val="20"/>
                <w:color w:val="auto"/>
              </w:rPr>
            </w:pPr>
            <w:r>
              <w:rPr>
                <w:rFonts w:ascii="Arial" w:cs="Arial" w:eastAsia="Arial" w:hAnsi="Arial"/>
                <w:sz w:val="20"/>
                <w:szCs w:val="20"/>
                <w:color w:val="auto"/>
              </w:rPr>
              <w:t>Company</w:t>
            </w:r>
          </w:p>
        </w:tc>
        <w:tc>
          <w:tcPr>
            <w:tcW w:w="680" w:type="dxa"/>
            <w:vAlign w:val="bottom"/>
          </w:tcPr>
          <w:p>
            <w:pPr>
              <w:ind w:left="180"/>
              <w:spacing w:after="0"/>
              <w:rPr>
                <w:sz w:val="20"/>
                <w:szCs w:val="20"/>
                <w:color w:val="auto"/>
              </w:rPr>
            </w:pPr>
            <w:r>
              <w:rPr>
                <w:rFonts w:ascii="Arial" w:cs="Arial" w:eastAsia="Arial" w:hAnsi="Arial"/>
                <w:sz w:val="20"/>
                <w:szCs w:val="20"/>
                <w:color w:val="auto"/>
              </w:rPr>
              <w:t>has</w:t>
            </w:r>
          </w:p>
        </w:tc>
        <w:tc>
          <w:tcPr>
            <w:tcW w:w="780" w:type="dxa"/>
            <w:vAlign w:val="bottom"/>
          </w:tcPr>
          <w:p>
            <w:pPr>
              <w:jc w:val="right"/>
              <w:ind w:right="140"/>
              <w:spacing w:after="0"/>
              <w:rPr>
                <w:sz w:val="20"/>
                <w:szCs w:val="20"/>
                <w:color w:val="auto"/>
              </w:rPr>
            </w:pPr>
            <w:r>
              <w:rPr>
                <w:rFonts w:ascii="Arial" w:cs="Arial" w:eastAsia="Arial" w:hAnsi="Arial"/>
                <w:sz w:val="20"/>
                <w:szCs w:val="20"/>
                <w:color w:val="auto"/>
              </w:rPr>
              <w:t>$35</w:t>
            </w:r>
          </w:p>
        </w:tc>
        <w:tc>
          <w:tcPr>
            <w:tcW w:w="1060" w:type="dxa"/>
            <w:vAlign w:val="bottom"/>
          </w:tcPr>
          <w:p>
            <w:pPr>
              <w:ind w:left="240"/>
              <w:spacing w:after="0"/>
              <w:rPr>
                <w:sz w:val="20"/>
                <w:szCs w:val="20"/>
                <w:color w:val="auto"/>
              </w:rPr>
            </w:pPr>
            <w:r>
              <w:rPr>
                <w:rFonts w:ascii="Arial" w:cs="Arial" w:eastAsia="Arial" w:hAnsi="Arial"/>
                <w:sz w:val="20"/>
                <w:szCs w:val="20"/>
                <w:color w:val="auto"/>
              </w:rPr>
              <w:t>million</w:t>
            </w:r>
          </w:p>
        </w:tc>
        <w:tc>
          <w:tcPr>
            <w:tcW w:w="1240" w:type="dxa"/>
            <w:vAlign w:val="bottom"/>
          </w:tcPr>
          <w:p>
            <w:pPr>
              <w:ind w:left="240"/>
              <w:spacing w:after="0"/>
              <w:rPr>
                <w:sz w:val="20"/>
                <w:szCs w:val="20"/>
                <w:color w:val="auto"/>
              </w:rPr>
            </w:pPr>
            <w:r>
              <w:rPr>
                <w:rFonts w:ascii="Arial" w:cs="Arial" w:eastAsia="Arial" w:hAnsi="Arial"/>
                <w:sz w:val="20"/>
                <w:szCs w:val="20"/>
                <w:color w:val="auto"/>
              </w:rPr>
              <w:t>aggregate</w:t>
            </w:r>
          </w:p>
        </w:tc>
        <w:tc>
          <w:tcPr>
            <w:tcW w:w="1200" w:type="dxa"/>
            <w:vAlign w:val="bottom"/>
          </w:tcPr>
          <w:p>
            <w:pPr>
              <w:ind w:left="240"/>
              <w:spacing w:after="0"/>
              <w:rPr>
                <w:sz w:val="20"/>
                <w:szCs w:val="20"/>
                <w:color w:val="auto"/>
              </w:rPr>
            </w:pPr>
            <w:r>
              <w:rPr>
                <w:rFonts w:ascii="Arial" w:cs="Arial" w:eastAsia="Arial" w:hAnsi="Arial"/>
                <w:sz w:val="20"/>
                <w:szCs w:val="20"/>
                <w:color w:val="auto"/>
              </w:rPr>
              <w:t>principal</w:t>
            </w:r>
          </w:p>
        </w:tc>
        <w:tc>
          <w:tcPr>
            <w:tcW w:w="1080" w:type="dxa"/>
            <w:vAlign w:val="bottom"/>
          </w:tcPr>
          <w:p>
            <w:pPr>
              <w:ind w:left="240"/>
              <w:spacing w:after="0"/>
              <w:rPr>
                <w:sz w:val="20"/>
                <w:szCs w:val="20"/>
                <w:color w:val="auto"/>
              </w:rPr>
            </w:pPr>
            <w:r>
              <w:rPr>
                <w:rFonts w:ascii="Arial" w:cs="Arial" w:eastAsia="Arial" w:hAnsi="Arial"/>
                <w:sz w:val="20"/>
                <w:szCs w:val="20"/>
                <w:color w:val="auto"/>
              </w:rPr>
              <w:t>amount</w:t>
            </w:r>
          </w:p>
        </w:tc>
        <w:tc>
          <w:tcPr>
            <w:tcW w:w="400" w:type="dxa"/>
            <w:vAlign w:val="bottom"/>
          </w:tcPr>
          <w:p>
            <w:pPr>
              <w:ind w:left="220"/>
              <w:spacing w:after="0"/>
              <w:rPr>
                <w:sz w:val="20"/>
                <w:szCs w:val="20"/>
                <w:color w:val="auto"/>
              </w:rPr>
            </w:pPr>
            <w:r>
              <w:rPr>
                <w:rFonts w:ascii="Arial" w:cs="Arial" w:eastAsia="Arial" w:hAnsi="Arial"/>
                <w:sz w:val="20"/>
                <w:szCs w:val="20"/>
                <w:color w:val="auto"/>
                <w:w w:val="95"/>
              </w:rPr>
              <w:t>of</w:t>
            </w:r>
          </w:p>
        </w:tc>
      </w:tr>
    </w:tbl>
    <w:p>
      <w:pPr>
        <w:spacing w:after="0" w:line="80" w:lineRule="exact"/>
        <w:rPr>
          <w:sz w:val="20"/>
          <w:szCs w:val="20"/>
          <w:color w:val="auto"/>
        </w:rPr>
      </w:pPr>
    </w:p>
    <w:p>
      <w:pPr>
        <w:jc w:val="both"/>
        <w:ind w:left="620" w:right="60"/>
        <w:spacing w:after="0" w:line="307" w:lineRule="auto"/>
        <w:rPr>
          <w:sz w:val="20"/>
          <w:szCs w:val="20"/>
          <w:color w:val="auto"/>
        </w:rPr>
      </w:pPr>
      <w:r>
        <w:rPr>
          <w:rFonts w:ascii="Arial" w:cs="Arial" w:eastAsia="Arial" w:hAnsi="Arial"/>
          <w:sz w:val="20"/>
          <w:szCs w:val="20"/>
          <w:color w:val="auto"/>
        </w:rPr>
        <w:t>3.25% fixed-to-floating rate subordinated notes due July 30, 2031 (the “Notes”). The Notes qualify as Tier 2 capital for regulatory purposes until July 30, 2026. Beginning July 31, 2026, the Note amount that qualifies as Tier 2 capital is reduced in proportionate amounts until July 30, 2031.</w:t>
      </w:r>
    </w:p>
    <w:p>
      <w:pPr>
        <w:spacing w:after="0" w:line="257" w:lineRule="exact"/>
        <w:rPr>
          <w:sz w:val="20"/>
          <w:szCs w:val="20"/>
          <w:color w:val="auto"/>
        </w:rPr>
      </w:pPr>
    </w:p>
    <w:p>
      <w:pPr>
        <w:jc w:val="both"/>
        <w:ind w:left="620"/>
        <w:spacing w:after="0" w:line="311" w:lineRule="auto"/>
        <w:rPr>
          <w:sz w:val="20"/>
          <w:szCs w:val="20"/>
          <w:color w:val="auto"/>
        </w:rPr>
      </w:pPr>
      <w:r>
        <w:rPr>
          <w:rFonts w:ascii="Arial" w:cs="Arial" w:eastAsia="Arial" w:hAnsi="Arial"/>
          <w:sz w:val="20"/>
          <w:szCs w:val="20"/>
          <w:color w:val="auto"/>
        </w:rPr>
        <w:t>Interest on the Notes accrues at a rate equal to (i) 3.25% per annum from the original issue date of July 2021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351"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1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20"/>
                <w:szCs w:val="20"/>
                <w:color w:val="auto"/>
              </w:rPr>
              <w:t>December 31, 2025</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jc w:val="right"/>
              <w:spacing w:after="0"/>
              <w:rPr>
                <w:sz w:val="20"/>
                <w:szCs w:val="20"/>
                <w:color w:val="auto"/>
              </w:rPr>
            </w:pPr>
            <w:r>
              <w:rPr>
                <w:rFonts w:ascii="Arial" w:cs="Arial" w:eastAsia="Arial" w:hAnsi="Arial"/>
                <w:sz w:val="20"/>
                <w:szCs w:val="20"/>
                <w:color w:val="auto"/>
              </w:rPr>
              <w:t>December 31, 2024</w:t>
            </w:r>
          </w:p>
        </w:tc>
        <w:tc>
          <w:tcPr>
            <w:tcW w:w="480" w:type="dxa"/>
            <w:vAlign w:val="bottom"/>
          </w:tcPr>
          <w:p>
            <w:pPr>
              <w:spacing w:after="0"/>
              <w:rPr>
                <w:sz w:val="19"/>
                <w:szCs w:val="19"/>
                <w:color w:val="auto"/>
              </w:rPr>
            </w:pPr>
          </w:p>
        </w:tc>
      </w:tr>
      <w:tr>
        <w:trPr>
          <w:trHeight w:val="324"/>
        </w:trPr>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20"/>
                <w:szCs w:val="20"/>
                <w:color w:val="auto"/>
                <w:w w:val="91"/>
              </w:rPr>
              <w:t>Unamortized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91"/>
              </w:rPr>
              <w:t>Unamortized</w:t>
            </w:r>
          </w:p>
        </w:tc>
      </w:tr>
      <w:tr>
        <w:trPr>
          <w:trHeight w:val="300"/>
        </w:trPr>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20"/>
                <w:szCs w:val="20"/>
                <w:color w:val="auto"/>
                <w:w w:val="87"/>
              </w:rPr>
              <w:t>Note Issuance</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87"/>
              </w:rPr>
              <w:t>Note Issuance</w:t>
            </w:r>
          </w:p>
        </w:tc>
      </w:tr>
      <w:tr>
        <w:trPr>
          <w:trHeight w:val="300"/>
        </w:trPr>
        <w:tc>
          <w:tcPr>
            <w:tcW w:w="1900" w:type="dxa"/>
            <w:vAlign w:val="bottom"/>
          </w:tcPr>
          <w:p>
            <w:pPr>
              <w:spacing w:after="0"/>
              <w:rPr>
                <w:sz w:val="20"/>
                <w:szCs w:val="20"/>
                <w:color w:val="auto"/>
              </w:rPr>
            </w:pPr>
            <w:r>
              <w:rPr>
                <w:rFonts w:ascii="Arial" w:cs="Arial" w:eastAsia="Arial" w:hAnsi="Arial"/>
                <w:sz w:val="20"/>
                <w:szCs w:val="20"/>
                <w:color w:val="auto"/>
              </w:rPr>
              <w:t>(In Thousands)</w:t>
            </w:r>
          </w:p>
        </w:tc>
        <w:tc>
          <w:tcPr>
            <w:tcW w:w="460" w:type="dxa"/>
            <w:vAlign w:val="bottom"/>
          </w:tcPr>
          <w:p>
            <w:pPr>
              <w:spacing w:after="0"/>
              <w:rPr>
                <w:sz w:val="24"/>
                <w:szCs w:val="24"/>
                <w:color w:val="auto"/>
              </w:rPr>
            </w:pPr>
          </w:p>
        </w:tc>
        <w:tc>
          <w:tcPr>
            <w:tcW w:w="1060" w:type="dxa"/>
            <w:vAlign w:val="bottom"/>
          </w:tcPr>
          <w:p>
            <w:pPr>
              <w:jc w:val="right"/>
              <w:ind w:right="180"/>
              <w:spacing w:after="0"/>
              <w:rPr>
                <w:sz w:val="20"/>
                <w:szCs w:val="20"/>
                <w:color w:val="auto"/>
              </w:rPr>
            </w:pPr>
            <w:r>
              <w:rPr>
                <w:rFonts w:ascii="Arial" w:cs="Arial" w:eastAsia="Arial" w:hAnsi="Arial"/>
                <w:sz w:val="20"/>
                <w:szCs w:val="20"/>
                <w:color w:val="auto"/>
                <w:w w:val="99"/>
              </w:rPr>
              <w:t>Principal</w:t>
            </w:r>
          </w:p>
        </w:tc>
        <w:tc>
          <w:tcPr>
            <w:tcW w:w="980" w:type="dxa"/>
            <w:vAlign w:val="bottom"/>
          </w:tcPr>
          <w:p>
            <w:pPr>
              <w:jc w:val="center"/>
              <w:ind w:left="320"/>
              <w:spacing w:after="0"/>
              <w:rPr>
                <w:sz w:val="20"/>
                <w:szCs w:val="20"/>
                <w:color w:val="auto"/>
              </w:rPr>
            </w:pPr>
            <w:r>
              <w:rPr>
                <w:rFonts w:ascii="Arial" w:cs="Arial" w:eastAsia="Arial" w:hAnsi="Arial"/>
                <w:sz w:val="20"/>
                <w:szCs w:val="20"/>
                <w:color w:val="auto"/>
                <w:w w:val="85"/>
              </w:rPr>
              <w:t>Costs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00"/>
              <w:spacing w:after="0"/>
              <w:rPr>
                <w:sz w:val="20"/>
                <w:szCs w:val="20"/>
                <w:color w:val="auto"/>
              </w:rPr>
            </w:pPr>
            <w:r>
              <w:rPr>
                <w:rFonts w:ascii="Arial" w:cs="Arial" w:eastAsia="Arial" w:hAnsi="Arial"/>
                <w:sz w:val="20"/>
                <w:szCs w:val="20"/>
                <w:color w:val="auto"/>
                <w:w w:val="96"/>
              </w:rPr>
              <w:t>Principal</w:t>
            </w:r>
          </w:p>
        </w:tc>
        <w:tc>
          <w:tcPr>
            <w:tcW w:w="900" w:type="dxa"/>
            <w:vAlign w:val="bottom"/>
          </w:tcPr>
          <w:p>
            <w:pPr>
              <w:jc w:val="center"/>
              <w:ind w:left="360"/>
              <w:spacing w:after="0"/>
              <w:rPr>
                <w:sz w:val="20"/>
                <w:szCs w:val="20"/>
                <w:color w:val="auto"/>
              </w:rPr>
            </w:pPr>
            <w:r>
              <w:rPr>
                <w:rFonts w:ascii="Arial" w:cs="Arial" w:eastAsia="Arial" w:hAnsi="Arial"/>
                <w:sz w:val="20"/>
                <w:szCs w:val="20"/>
                <w:color w:val="auto"/>
                <w:w w:val="85"/>
              </w:rPr>
              <w:t>Costs</w:t>
            </w:r>
          </w:p>
        </w:tc>
        <w:tc>
          <w:tcPr>
            <w:tcW w:w="480" w:type="dxa"/>
            <w:vAlign w:val="bottom"/>
          </w:tcPr>
          <w:p>
            <w:pPr>
              <w:spacing w:after="0"/>
              <w:rPr>
                <w:sz w:val="24"/>
                <w:szCs w:val="24"/>
                <w:color w:val="auto"/>
              </w:rPr>
            </w:pPr>
          </w:p>
        </w:tc>
      </w:tr>
      <w:tr>
        <w:trPr>
          <w:trHeight w:val="51"/>
        </w:trPr>
        <w:tc>
          <w:tcPr>
            <w:tcW w:w="19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74"/>
        </w:trPr>
        <w:tc>
          <w:tcPr>
            <w:tcW w:w="1900" w:type="dxa"/>
            <w:vAlign w:val="bottom"/>
            <w:shd w:val="clear" w:color="auto" w:fill="CFF0FC"/>
          </w:tcPr>
          <w:p>
            <w:pPr>
              <w:spacing w:after="0"/>
              <w:rPr>
                <w:sz w:val="20"/>
                <w:szCs w:val="20"/>
                <w:color w:val="auto"/>
              </w:rPr>
            </w:pPr>
            <w:r>
              <w:rPr>
                <w:rFonts w:ascii="Arial" w:cs="Arial" w:eastAsia="Arial" w:hAnsi="Arial"/>
                <w:sz w:val="20"/>
                <w:szCs w:val="20"/>
                <w:color w:val="auto"/>
              </w:rPr>
              <w:t>Subordinated Notes</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35,000</w:t>
            </w:r>
          </w:p>
        </w:tc>
        <w:tc>
          <w:tcPr>
            <w:tcW w:w="980" w:type="dxa"/>
            <w:vAlign w:val="bottom"/>
            <w:shd w:val="clear" w:color="auto" w:fill="CFF0FC"/>
          </w:tcPr>
          <w:p>
            <w:pPr>
              <w:jc w:val="right"/>
              <w:ind w:right="680"/>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35,000</w:t>
            </w:r>
          </w:p>
        </w:tc>
        <w:tc>
          <w:tcPr>
            <w:tcW w:w="900" w:type="dxa"/>
            <w:vAlign w:val="bottom"/>
            <w:shd w:val="clear" w:color="auto" w:fill="CFF0FC"/>
          </w:tcPr>
          <w:p>
            <w:pPr>
              <w:jc w:val="right"/>
              <w:ind w:right="600"/>
              <w:spacing w:after="0"/>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(182)</w:t>
            </w:r>
          </w:p>
        </w:tc>
      </w:tr>
      <w:tr>
        <w:trPr>
          <w:trHeight w:val="41"/>
        </w:trPr>
        <w:tc>
          <w:tcPr>
            <w:tcW w:w="190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48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-792480</wp:posOffset>
            </wp:positionV>
            <wp:extent cx="3308985" cy="63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39">
                      <a:extLst>
                        <a:ext uri="{28A0092B-C50C-407E-A947-70E740481C1C}"/>
                      </a:extLst>
                    </a:blip>
                    <a:srcRect/>
                    <a:stretch>
                      <a:fillRect/>
                    </a:stretch>
                  </pic:blipFill>
                  <pic:spPr bwMode="auto">
                    <a:xfrm>
                      <a:off x="0" y="0"/>
                      <a:ext cx="3308985" cy="6350"/>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-205105</wp:posOffset>
            </wp:positionV>
            <wp:extent cx="4722495" cy="63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0">
                      <a:extLst>
                        <a:ext uri="{28A0092B-C50C-407E-A947-70E740481C1C}"/>
                      </a:extLst>
                    </a:blip>
                    <a:srcRect/>
                    <a:stretch>
                      <a:fillRect/>
                    </a:stretch>
                  </pic:blipFill>
                  <pic:spPr bwMode="auto">
                    <a:xfrm>
                      <a:off x="0" y="0"/>
                      <a:ext cx="47224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24</w:t>
      </w:r>
    </w:p>
    <w:p>
      <w:pPr>
        <w:sectPr>
          <w:pgSz w:w="11900" w:h="16838" w:orient="portrait"/>
          <w:cols w:equalWidth="0" w:num="1">
            <w:col w:w="9400"/>
          </w:cols>
          <w:pgMar w:left="1260" w:top="1440" w:right="1246" w:bottom="0" w:gutter="0" w:footer="0" w:header="0"/>
          <w:type w:val="continuous"/>
        </w:sectPr>
      </w:pPr>
    </w:p>
    <w:bookmarkStart w:id="208" w:name="page209"/>
    <w:bookmarkEnd w:id="208"/>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 Income Taxes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components of income tax expense for the years ended December 31 are as follows:</w:t>
      </w:r>
    </w:p>
    <w:p>
      <w:pPr>
        <w:spacing w:after="0" w:line="200" w:lineRule="exact"/>
        <w:rPr>
          <w:sz w:val="20"/>
          <w:szCs w:val="20"/>
          <w:color w:val="auto"/>
        </w:rPr>
      </w:pP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Arial" w:cs="Arial" w:eastAsia="Arial" w:hAnsi="Arial"/>
                <w:sz w:val="20"/>
                <w:szCs w:val="20"/>
                <w:color w:val="auto"/>
              </w:rPr>
              <w:t>(In Thousands)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24"/>
        </w:trPr>
        <w:tc>
          <w:tcPr>
            <w:tcW w:w="2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60" w:type="dxa"/>
            <w:vAlign w:val="bottom"/>
          </w:tcPr>
          <w:p>
            <w:pPr>
              <w:jc w:val="right"/>
              <w:ind w:right="280"/>
              <w:spacing w:after="0"/>
              <w:rPr>
                <w:sz w:val="20"/>
                <w:szCs w:val="20"/>
                <w:color w:val="auto"/>
              </w:rPr>
            </w:pPr>
            <w:r>
              <w:rPr>
                <w:rFonts w:ascii="Arial" w:cs="Arial" w:eastAsia="Arial" w:hAnsi="Arial"/>
                <w:sz w:val="20"/>
                <w:szCs w:val="20"/>
                <w:color w:val="auto"/>
              </w:rPr>
              <w:t>2025</w:t>
            </w:r>
          </w:p>
        </w:tc>
        <w:tc>
          <w:tcPr>
            <w:tcW w:w="240" w:type="dxa"/>
            <w:vAlign w:val="bottom"/>
          </w:tcPr>
          <w:p>
            <w:pPr>
              <w:spacing w:after="0"/>
              <w:rPr>
                <w:sz w:val="24"/>
                <w:szCs w:val="24"/>
                <w:color w:val="auto"/>
              </w:rPr>
            </w:pPr>
          </w:p>
        </w:tc>
        <w:tc>
          <w:tcPr>
            <w:tcW w:w="900" w:type="dxa"/>
            <w:vAlign w:val="bottom"/>
          </w:tcPr>
          <w:p>
            <w:pPr>
              <w:jc w:val="right"/>
              <w:ind w:right="320"/>
              <w:spacing w:after="0"/>
              <w:rPr>
                <w:sz w:val="20"/>
                <w:szCs w:val="20"/>
                <w:color w:val="auto"/>
              </w:rPr>
            </w:pPr>
            <w:r>
              <w:rPr>
                <w:rFonts w:ascii="Arial" w:cs="Arial" w:eastAsia="Arial" w:hAnsi="Arial"/>
                <w:sz w:val="20"/>
                <w:szCs w:val="20"/>
                <w:color w:val="auto"/>
              </w:rPr>
              <w:t>2024</w:t>
            </w:r>
          </w:p>
        </w:tc>
        <w:tc>
          <w:tcPr>
            <w:tcW w:w="200" w:type="dxa"/>
            <w:vAlign w:val="bottom"/>
          </w:tcPr>
          <w:p>
            <w:pPr>
              <w:spacing w:after="0"/>
              <w:rPr>
                <w:sz w:val="24"/>
                <w:szCs w:val="24"/>
                <w:color w:val="auto"/>
              </w:rPr>
            </w:pPr>
          </w:p>
        </w:tc>
        <w:tc>
          <w:tcPr>
            <w:tcW w:w="820" w:type="dxa"/>
            <w:vAlign w:val="bottom"/>
          </w:tcPr>
          <w:p>
            <w:pPr>
              <w:jc w:val="right"/>
              <w:ind w:right="240"/>
              <w:spacing w:after="0"/>
              <w:rPr>
                <w:sz w:val="20"/>
                <w:szCs w:val="20"/>
                <w:color w:val="auto"/>
              </w:rPr>
            </w:pPr>
            <w:r>
              <w:rPr>
                <w:rFonts w:ascii="Arial" w:cs="Arial" w:eastAsia="Arial" w:hAnsi="Arial"/>
                <w:sz w:val="20"/>
                <w:szCs w:val="20"/>
                <w:color w:val="auto"/>
              </w:rPr>
              <w:t>2023</w:t>
            </w:r>
          </w:p>
        </w:tc>
      </w:tr>
      <w:tr>
        <w:trPr>
          <w:trHeight w:val="51"/>
        </w:trPr>
        <w:tc>
          <w:tcPr>
            <w:tcW w:w="2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94"/>
        </w:trPr>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Current:</w:t>
            </w:r>
          </w:p>
        </w:tc>
        <w:tc>
          <w:tcPr>
            <w:tcW w:w="16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r>
      <w:tr>
        <w:trPr>
          <w:trHeight w:val="274"/>
        </w:trPr>
        <w:tc>
          <w:tcPr>
            <w:tcW w:w="2880" w:type="dxa"/>
            <w:vAlign w:val="bottom"/>
          </w:tcPr>
          <w:p>
            <w:pPr>
              <w:ind w:left="80"/>
              <w:spacing w:after="0"/>
              <w:rPr>
                <w:sz w:val="20"/>
                <w:szCs w:val="20"/>
                <w:color w:val="auto"/>
              </w:rPr>
            </w:pPr>
            <w:r>
              <w:rPr>
                <w:rFonts w:ascii="Arial" w:cs="Arial" w:eastAsia="Arial" w:hAnsi="Arial"/>
                <w:sz w:val="20"/>
                <w:szCs w:val="20"/>
                <w:color w:val="auto"/>
              </w:rPr>
              <w:t>Federal</w:t>
            </w:r>
          </w:p>
        </w:tc>
        <w:tc>
          <w:tcPr>
            <w:tcW w:w="162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40"/>
              <w:spacing w:after="0"/>
              <w:rPr>
                <w:sz w:val="20"/>
                <w:szCs w:val="20"/>
                <w:color w:val="auto"/>
              </w:rPr>
            </w:pPr>
            <w:r>
              <w:rPr>
                <w:rFonts w:ascii="Arial" w:cs="Arial" w:eastAsia="Arial" w:hAnsi="Arial"/>
                <w:sz w:val="20"/>
                <w:szCs w:val="20"/>
                <w:color w:val="auto"/>
              </w:rPr>
              <w:t>8,846</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0"/>
              <w:spacing w:after="0"/>
              <w:rPr>
                <w:sz w:val="20"/>
                <w:szCs w:val="20"/>
                <w:color w:val="auto"/>
              </w:rPr>
            </w:pPr>
            <w:r>
              <w:rPr>
                <w:rFonts w:ascii="Arial" w:cs="Arial" w:eastAsia="Arial" w:hAnsi="Arial"/>
                <w:sz w:val="20"/>
                <w:szCs w:val="20"/>
                <w:color w:val="auto"/>
              </w:rPr>
              <w:t>6,144</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3,052</w:t>
            </w:r>
          </w:p>
        </w:tc>
      </w:tr>
      <w:tr>
        <w:trPr>
          <w:trHeight w:val="41"/>
        </w:trPr>
        <w:tc>
          <w:tcPr>
            <w:tcW w:w="28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304"/>
        </w:trPr>
        <w:tc>
          <w:tcPr>
            <w:tcW w:w="28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State</w:t>
            </w:r>
          </w:p>
        </w:tc>
        <w:tc>
          <w:tcPr>
            <w:tcW w:w="16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496</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184</w:t>
            </w:r>
          </w:p>
        </w:tc>
        <w:tc>
          <w:tcPr>
            <w:tcW w:w="2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287</w:t>
            </w:r>
          </w:p>
        </w:tc>
      </w:tr>
      <w:tr>
        <w:trPr>
          <w:trHeight w:val="274"/>
        </w:trPr>
        <w:tc>
          <w:tcPr>
            <w:tcW w:w="2880" w:type="dxa"/>
            <w:vAlign w:val="bottom"/>
          </w:tcPr>
          <w:p>
            <w:pPr>
              <w:ind w:left="80"/>
              <w:spacing w:after="0"/>
              <w:rPr>
                <w:sz w:val="20"/>
                <w:szCs w:val="20"/>
                <w:color w:val="auto"/>
              </w:rPr>
            </w:pPr>
            <w:r>
              <w:rPr>
                <w:rFonts w:ascii="Arial" w:cs="Arial" w:eastAsia="Arial" w:hAnsi="Arial"/>
                <w:sz w:val="20"/>
                <w:szCs w:val="20"/>
                <w:color w:val="auto"/>
              </w:rPr>
              <w:t>Total current</w:t>
            </w:r>
          </w:p>
        </w:tc>
        <w:tc>
          <w:tcPr>
            <w:tcW w:w="16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20"/>
                <w:szCs w:val="20"/>
                <w:color w:val="auto"/>
              </w:rPr>
              <w:t>9,342</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20"/>
                <w:szCs w:val="20"/>
                <w:color w:val="auto"/>
              </w:rPr>
              <w:t>6,328</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3,339</w:t>
            </w:r>
          </w:p>
        </w:tc>
      </w:tr>
      <w:tr>
        <w:trPr>
          <w:trHeight w:val="41"/>
        </w:trPr>
        <w:tc>
          <w:tcPr>
            <w:tcW w:w="28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94"/>
        </w:trPr>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Deferred:</w:t>
            </w:r>
          </w:p>
        </w:tc>
        <w:tc>
          <w:tcPr>
            <w:tcW w:w="16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r>
      <w:tr>
        <w:trPr>
          <w:trHeight w:val="274"/>
        </w:trPr>
        <w:tc>
          <w:tcPr>
            <w:tcW w:w="2880" w:type="dxa"/>
            <w:vAlign w:val="bottom"/>
          </w:tcPr>
          <w:p>
            <w:pPr>
              <w:ind w:left="80"/>
              <w:spacing w:after="0"/>
              <w:rPr>
                <w:sz w:val="20"/>
                <w:szCs w:val="20"/>
                <w:color w:val="auto"/>
              </w:rPr>
            </w:pPr>
            <w:r>
              <w:rPr>
                <w:rFonts w:ascii="Arial" w:cs="Arial" w:eastAsia="Arial" w:hAnsi="Arial"/>
                <w:sz w:val="20"/>
                <w:szCs w:val="20"/>
                <w:color w:val="auto"/>
              </w:rPr>
              <w:t>Federal</w:t>
            </w:r>
          </w:p>
        </w:tc>
        <w:tc>
          <w:tcPr>
            <w:tcW w:w="1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(119)</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20"/>
                <w:szCs w:val="20"/>
                <w:color w:val="auto"/>
              </w:rPr>
              <w:t>271</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2,182</w:t>
            </w:r>
          </w:p>
        </w:tc>
      </w:tr>
      <w:tr>
        <w:trPr>
          <w:trHeight w:val="41"/>
        </w:trPr>
        <w:tc>
          <w:tcPr>
            <w:tcW w:w="28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304"/>
        </w:trPr>
        <w:tc>
          <w:tcPr>
            <w:tcW w:w="28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State</w:t>
            </w:r>
          </w:p>
        </w:tc>
        <w:tc>
          <w:tcPr>
            <w:tcW w:w="16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36</w:t>
            </w:r>
          </w:p>
        </w:tc>
        <w:tc>
          <w:tcPr>
            <w:tcW w:w="2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46</w:t>
            </w:r>
          </w:p>
        </w:tc>
      </w:tr>
      <w:tr>
        <w:trPr>
          <w:trHeight w:val="279"/>
        </w:trPr>
        <w:tc>
          <w:tcPr>
            <w:tcW w:w="2880" w:type="dxa"/>
            <w:vAlign w:val="bottom"/>
          </w:tcPr>
          <w:p>
            <w:pPr>
              <w:ind w:left="80"/>
              <w:spacing w:after="0"/>
              <w:rPr>
                <w:sz w:val="20"/>
                <w:szCs w:val="20"/>
                <w:color w:val="auto"/>
              </w:rPr>
            </w:pPr>
            <w:r>
              <w:rPr>
                <w:rFonts w:ascii="Arial" w:cs="Arial" w:eastAsia="Arial" w:hAnsi="Arial"/>
                <w:sz w:val="20"/>
                <w:szCs w:val="20"/>
                <w:color w:val="auto"/>
              </w:rPr>
              <w:t>Total deferred</w:t>
            </w:r>
          </w:p>
        </w:tc>
        <w:tc>
          <w:tcPr>
            <w:tcW w:w="1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(126)</w:t>
            </w:r>
          </w:p>
        </w:tc>
        <w:tc>
          <w:tcPr>
            <w:tcW w:w="240" w:type="dxa"/>
            <w:vAlign w:val="bottom"/>
          </w:tcPr>
          <w:p>
            <w:pPr>
              <w:spacing w:after="0"/>
              <w:rPr>
                <w:sz w:val="24"/>
                <w:szCs w:val="24"/>
                <w:color w:val="auto"/>
              </w:rPr>
            </w:pPr>
          </w:p>
        </w:tc>
        <w:tc>
          <w:tcPr>
            <w:tcW w:w="900" w:type="dxa"/>
            <w:vAlign w:val="bottom"/>
          </w:tcPr>
          <w:p>
            <w:pPr>
              <w:jc w:val="right"/>
              <w:ind w:right="80"/>
              <w:spacing w:after="0"/>
              <w:rPr>
                <w:sz w:val="20"/>
                <w:szCs w:val="20"/>
                <w:color w:val="auto"/>
              </w:rPr>
            </w:pPr>
            <w:r>
              <w:rPr>
                <w:rFonts w:ascii="Arial" w:cs="Arial" w:eastAsia="Arial" w:hAnsi="Arial"/>
                <w:sz w:val="20"/>
                <w:szCs w:val="20"/>
                <w:color w:val="auto"/>
              </w:rPr>
              <w:t>307</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2,228</w:t>
            </w:r>
          </w:p>
        </w:tc>
      </w:tr>
      <w:tr>
        <w:trPr>
          <w:trHeight w:val="46"/>
        </w:trPr>
        <w:tc>
          <w:tcPr>
            <w:tcW w:w="28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96"/>
        </w:trPr>
        <w:tc>
          <w:tcPr>
            <w:tcW w:w="2880" w:type="dxa"/>
            <w:vAlign w:val="bottom"/>
            <w:shd w:val="clear" w:color="auto" w:fill="CFF0FC"/>
          </w:tcPr>
          <w:p>
            <w:pPr>
              <w:spacing w:after="0"/>
              <w:rPr>
                <w:sz w:val="20"/>
                <w:szCs w:val="20"/>
                <w:color w:val="auto"/>
              </w:rPr>
            </w:pPr>
            <w:r>
              <w:rPr>
                <w:rFonts w:ascii="Arial" w:cs="Arial" w:eastAsia="Arial" w:hAnsi="Arial"/>
                <w:sz w:val="20"/>
                <w:szCs w:val="20"/>
                <w:color w:val="auto"/>
              </w:rPr>
              <w:t>Total Income Tax</w:t>
            </w:r>
          </w:p>
        </w:tc>
        <w:tc>
          <w:tcPr>
            <w:tcW w:w="1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9,216</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6,635</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5,567</w:t>
            </w:r>
          </w:p>
        </w:tc>
      </w:tr>
      <w:tr>
        <w:trPr>
          <w:trHeight w:val="63"/>
        </w:trPr>
        <w:tc>
          <w:tcPr>
            <w:tcW w:w="2880" w:type="dxa"/>
            <w:vAlign w:val="bottom"/>
            <w:shd w:val="clear" w:color="auto" w:fill="CFF0FC"/>
          </w:tcPr>
          <w:p>
            <w:pPr>
              <w:spacing w:after="0"/>
              <w:rPr>
                <w:sz w:val="5"/>
                <w:szCs w:val="5"/>
                <w:color w:val="auto"/>
              </w:rPr>
            </w:pPr>
          </w:p>
        </w:tc>
        <w:tc>
          <w:tcPr>
            <w:tcW w:w="162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3343910</wp:posOffset>
            </wp:positionH>
            <wp:positionV relativeFrom="paragraph">
              <wp:posOffset>-2056130</wp:posOffset>
            </wp:positionV>
            <wp:extent cx="1975485" cy="63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2">
                      <a:extLst>
                        <a:ext uri="{28A0092B-C50C-407E-A947-70E740481C1C}"/>
                      </a:extLst>
                    </a:blip>
                    <a:srcRect/>
                    <a:stretch>
                      <a:fillRect/>
                    </a:stretch>
                  </pic:blipFill>
                  <pic:spPr bwMode="auto">
                    <a:xfrm>
                      <a:off x="0" y="0"/>
                      <a:ext cx="1975485" cy="6350"/>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-1850390</wp:posOffset>
            </wp:positionV>
            <wp:extent cx="1975485" cy="63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3">
                      <a:extLst>
                        <a:ext uri="{28A0092B-C50C-407E-A947-70E740481C1C}"/>
                      </a:extLst>
                    </a:blip>
                    <a:srcRect/>
                    <a:stretch>
                      <a:fillRect/>
                    </a:stretch>
                  </pic:blipFill>
                  <pic:spPr bwMode="auto">
                    <a:xfrm>
                      <a:off x="0" y="0"/>
                      <a:ext cx="1975485" cy="6350"/>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-1244600</wp:posOffset>
            </wp:positionV>
            <wp:extent cx="2022475" cy="63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4">
                      <a:extLst>
                        <a:ext uri="{28A0092B-C50C-407E-A947-70E740481C1C}"/>
                      </a:extLst>
                    </a:blip>
                    <a:srcRect/>
                    <a:stretch>
                      <a:fillRect/>
                    </a:stretch>
                  </pic:blipFill>
                  <pic:spPr bwMode="auto">
                    <a:xfrm>
                      <a:off x="0" y="0"/>
                      <a:ext cx="2022475" cy="6350"/>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-440055</wp:posOffset>
            </wp:positionV>
            <wp:extent cx="2022475" cy="63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5">
                      <a:extLst>
                        <a:ext uri="{28A0092B-C50C-407E-A947-70E740481C1C}"/>
                      </a:extLst>
                    </a:blip>
                    <a:srcRect/>
                    <a:stretch>
                      <a:fillRect/>
                    </a:stretch>
                  </pic:blipFill>
                  <pic:spPr bwMode="auto">
                    <a:xfrm>
                      <a:off x="0" y="0"/>
                      <a:ext cx="2022475" cy="6350"/>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-233680</wp:posOffset>
            </wp:positionV>
            <wp:extent cx="1975485" cy="63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6">
                      <a:extLst>
                        <a:ext uri="{28A0092B-C50C-407E-A947-70E740481C1C}"/>
                      </a:extLst>
                    </a:blip>
                    <a:srcRect/>
                    <a:stretch>
                      <a:fillRect/>
                    </a:stretch>
                  </pic:blipFill>
                  <pic:spPr bwMode="auto">
                    <a:xfrm>
                      <a:off x="0" y="0"/>
                      <a:ext cx="1975485" cy="6350"/>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-27940</wp:posOffset>
            </wp:positionV>
            <wp:extent cx="2022475" cy="2857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7">
                      <a:extLst>
                        <a:ext uri="{28A0092B-C50C-407E-A947-70E740481C1C}"/>
                      </a:extLst>
                    </a:blip>
                    <a:srcRect/>
                    <a:stretch>
                      <a:fillRect/>
                    </a:stretch>
                  </pic:blipFill>
                  <pic:spPr bwMode="auto">
                    <a:xfrm>
                      <a:off x="0" y="0"/>
                      <a:ext cx="2022475" cy="28575"/>
                    </a:xfrm>
                    <a:prstGeom prst="rect">
                      <a:avLst/>
                    </a:prstGeom>
                    <a:noFill/>
                  </pic:spPr>
                </pic:pic>
              </a:graphicData>
            </a:graphic>
          </wp:anchor>
        </w:drawing>
      </w:r>
    </w:p>
    <w:p>
      <w:pPr>
        <w:spacing w:after="0" w:line="31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following is a reconciliation of the statutory federal income tax rate to the effective tax rate: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line="319" w:lineRule="auto"/>
        <w:rPr>
          <w:sz w:val="20"/>
          <w:szCs w:val="20"/>
          <w:color w:val="auto"/>
        </w:rPr>
      </w:pPr>
      <w:r>
        <w:rPr>
          <w:rFonts w:ascii="Arial" w:cs="Arial" w:eastAsia="Arial" w:hAnsi="Arial"/>
          <w:sz w:val="20"/>
          <w:szCs w:val="20"/>
          <w:color w:val="auto"/>
        </w:rPr>
        <w:t>Federal income tax at statutory rates (Decrease) increase resulting from: State income tax, net of federal benefit</w:t>
      </w:r>
    </w:p>
    <w:p>
      <w:pPr>
        <w:spacing w:after="0" w:line="20" w:lineRule="exact"/>
        <w:rPr>
          <w:sz w:val="20"/>
          <w:szCs w:val="20"/>
          <w:color w:val="auto"/>
        </w:rPr>
      </w:pPr>
    </w:p>
    <w:p>
      <w:pPr>
        <w:ind w:left="520" w:right="660"/>
        <w:spacing w:after="0" w:line="315" w:lineRule="auto"/>
        <w:rPr>
          <w:sz w:val="20"/>
          <w:szCs w:val="20"/>
          <w:color w:val="auto"/>
        </w:rPr>
      </w:pPr>
      <w:r>
        <w:rPr>
          <w:rFonts w:ascii="Arial" w:cs="Arial" w:eastAsia="Arial" w:hAnsi="Arial"/>
          <w:sz w:val="20"/>
          <w:szCs w:val="20"/>
          <w:color w:val="auto"/>
        </w:rPr>
        <w:t>Tax exempt interest Investments reported under proportional</w:t>
      </w:r>
    </w:p>
    <w:p>
      <w:pPr>
        <w:spacing w:after="0" w:line="9" w:lineRule="exact"/>
        <w:rPr>
          <w:sz w:val="20"/>
          <w:szCs w:val="20"/>
          <w:color w:val="auto"/>
        </w:rPr>
      </w:pPr>
    </w:p>
    <w:p>
      <w:pPr>
        <w:jc w:val="both"/>
        <w:ind w:left="520" w:right="1020" w:firstLine="150"/>
        <w:spacing w:after="0" w:line="325" w:lineRule="auto"/>
        <w:rPr>
          <w:sz w:val="20"/>
          <w:szCs w:val="20"/>
          <w:color w:val="auto"/>
        </w:rPr>
      </w:pPr>
      <w:r>
        <w:rPr>
          <w:rFonts w:ascii="Arial" w:cs="Arial" w:eastAsia="Arial" w:hAnsi="Arial"/>
          <w:sz w:val="20"/>
          <w:szCs w:val="20"/>
          <w:color w:val="auto"/>
        </w:rPr>
        <w:t>amortization method Section 831 deduction Other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Total Income Tax</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19"/>
                <w:szCs w:val="19"/>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20"/>
                <w:szCs w:val="20"/>
                <w:color w:val="auto"/>
              </w:rPr>
              <w:t>2025</w:t>
            </w:r>
          </w:p>
        </w:tc>
        <w:tc>
          <w:tcPr>
            <w:tcW w:w="200" w:type="dxa"/>
            <w:vAlign w:val="bottom"/>
          </w:tcPr>
          <w:p>
            <w:pPr>
              <w:spacing w:after="0"/>
              <w:rPr>
                <w:sz w:val="19"/>
                <w:szCs w:val="19"/>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20"/>
                <w:szCs w:val="20"/>
                <w:color w:val="auto"/>
              </w:rPr>
              <w:t>2024</w:t>
            </w:r>
          </w:p>
        </w:tc>
        <w:tc>
          <w:tcPr>
            <w:tcW w:w="200" w:type="dxa"/>
            <w:vAlign w:val="bottom"/>
          </w:tcPr>
          <w:p>
            <w:pPr>
              <w:spacing w:after="0"/>
              <w:rPr>
                <w:sz w:val="19"/>
                <w:szCs w:val="19"/>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20"/>
                <w:szCs w:val="20"/>
                <w:color w:val="auto"/>
              </w:rPr>
              <w:t>2023</w:t>
            </w:r>
          </w:p>
        </w:tc>
        <w:tc>
          <w:tcPr>
            <w:tcW w:w="0" w:type="dxa"/>
            <w:vAlign w:val="bottom"/>
          </w:tcPr>
          <w:p>
            <w:pPr>
              <w:spacing w:after="0"/>
              <w:rPr>
                <w:sz w:val="1"/>
                <w:szCs w:val="1"/>
                <w:color w:val="auto"/>
              </w:rPr>
            </w:pPr>
          </w:p>
        </w:tc>
      </w:tr>
      <w:tr>
        <w:trPr>
          <w:trHeight w:val="324"/>
        </w:trPr>
        <w:tc>
          <w:tcPr>
            <w:tcW w:w="800" w:type="dxa"/>
            <w:vAlign w:val="bottom"/>
            <w:gridSpan w:val="2"/>
            <w:vMerge w:val="restart"/>
          </w:tcPr>
          <w:p>
            <w:pPr>
              <w:spacing w:after="0"/>
              <w:rPr>
                <w:sz w:val="20"/>
                <w:szCs w:val="20"/>
                <w:color w:val="auto"/>
              </w:rPr>
            </w:pPr>
            <w:r>
              <w:rPr>
                <w:rFonts w:ascii="Arial" w:cs="Arial" w:eastAsia="Arial" w:hAnsi="Arial"/>
                <w:sz w:val="20"/>
                <w:szCs w:val="20"/>
                <w:color w:val="auto"/>
              </w:rPr>
              <w:t>Amount</w:t>
            </w:r>
          </w:p>
        </w:tc>
        <w:tc>
          <w:tcPr>
            <w:tcW w:w="940" w:type="dxa"/>
            <w:vAlign w:val="bottom"/>
          </w:tcPr>
          <w:p>
            <w:pPr>
              <w:jc w:val="center"/>
              <w:ind w:right="140"/>
              <w:spacing w:after="0"/>
              <w:rPr>
                <w:sz w:val="20"/>
                <w:szCs w:val="20"/>
                <w:color w:val="auto"/>
              </w:rPr>
            </w:pPr>
            <w:r>
              <w:rPr>
                <w:rFonts w:ascii="Arial" w:cs="Arial" w:eastAsia="Arial" w:hAnsi="Arial"/>
                <w:sz w:val="20"/>
                <w:szCs w:val="20"/>
                <w:color w:val="auto"/>
                <w:w w:val="94"/>
              </w:rPr>
              <w:t>% of</w:t>
            </w:r>
          </w:p>
        </w:tc>
        <w:tc>
          <w:tcPr>
            <w:tcW w:w="860" w:type="dxa"/>
            <w:vAlign w:val="bottom"/>
            <w:gridSpan w:val="2"/>
            <w:vMerge w:val="restart"/>
          </w:tcPr>
          <w:p>
            <w:pPr>
              <w:ind w:left="60"/>
              <w:spacing w:after="0"/>
              <w:rPr>
                <w:sz w:val="20"/>
                <w:szCs w:val="20"/>
                <w:color w:val="auto"/>
              </w:rPr>
            </w:pPr>
            <w:r>
              <w:rPr>
                <w:rFonts w:ascii="Arial" w:cs="Arial" w:eastAsia="Arial" w:hAnsi="Arial"/>
                <w:sz w:val="20"/>
                <w:szCs w:val="20"/>
                <w:color w:val="auto"/>
              </w:rPr>
              <w:t>Amount</w:t>
            </w:r>
          </w:p>
        </w:tc>
        <w:tc>
          <w:tcPr>
            <w:tcW w:w="940" w:type="dxa"/>
            <w:vAlign w:val="bottom"/>
          </w:tcPr>
          <w:p>
            <w:pPr>
              <w:jc w:val="center"/>
              <w:ind w:right="140"/>
              <w:spacing w:after="0"/>
              <w:rPr>
                <w:sz w:val="20"/>
                <w:szCs w:val="20"/>
                <w:color w:val="auto"/>
              </w:rPr>
            </w:pPr>
            <w:r>
              <w:rPr>
                <w:rFonts w:ascii="Arial" w:cs="Arial" w:eastAsia="Arial" w:hAnsi="Arial"/>
                <w:sz w:val="20"/>
                <w:szCs w:val="20"/>
                <w:color w:val="auto"/>
                <w:w w:val="94"/>
              </w:rPr>
              <w:t>% of</w:t>
            </w:r>
          </w:p>
        </w:tc>
        <w:tc>
          <w:tcPr>
            <w:tcW w:w="860" w:type="dxa"/>
            <w:vAlign w:val="bottom"/>
            <w:gridSpan w:val="2"/>
            <w:vMerge w:val="restart"/>
          </w:tcPr>
          <w:p>
            <w:pPr>
              <w:ind w:left="40"/>
              <w:spacing w:after="0"/>
              <w:rPr>
                <w:sz w:val="20"/>
                <w:szCs w:val="20"/>
                <w:color w:val="auto"/>
              </w:rPr>
            </w:pPr>
            <w:r>
              <w:rPr>
                <w:rFonts w:ascii="Arial" w:cs="Arial" w:eastAsia="Arial" w:hAnsi="Arial"/>
                <w:sz w:val="20"/>
                <w:szCs w:val="20"/>
                <w:color w:val="auto"/>
              </w:rPr>
              <w:t>Amount</w:t>
            </w:r>
          </w:p>
        </w:tc>
        <w:tc>
          <w:tcPr>
            <w:tcW w:w="880" w:type="dxa"/>
            <w:vAlign w:val="bottom"/>
          </w:tcPr>
          <w:p>
            <w:pPr>
              <w:jc w:val="center"/>
              <w:ind w:right="100"/>
              <w:spacing w:after="0"/>
              <w:rPr>
                <w:sz w:val="20"/>
                <w:szCs w:val="20"/>
                <w:color w:val="auto"/>
              </w:rPr>
            </w:pPr>
            <w:r>
              <w:rPr>
                <w:rFonts w:ascii="Arial" w:cs="Arial" w:eastAsia="Arial" w:hAnsi="Arial"/>
                <w:sz w:val="20"/>
                <w:szCs w:val="20"/>
                <w:color w:val="auto"/>
                <w:w w:val="99"/>
              </w:rPr>
              <w:t>% of</w:t>
            </w:r>
          </w:p>
        </w:tc>
        <w:tc>
          <w:tcPr>
            <w:tcW w:w="0" w:type="dxa"/>
            <w:vAlign w:val="bottom"/>
          </w:tcPr>
          <w:p>
            <w:pPr>
              <w:spacing w:after="0"/>
              <w:rPr>
                <w:sz w:val="1"/>
                <w:szCs w:val="1"/>
                <w:color w:val="auto"/>
              </w:rPr>
            </w:pPr>
          </w:p>
        </w:tc>
      </w:tr>
      <w:tr>
        <w:trPr>
          <w:trHeight w:val="150"/>
        </w:trPr>
        <w:tc>
          <w:tcPr>
            <w:tcW w:w="800" w:type="dxa"/>
            <w:vAlign w:val="bottom"/>
            <w:gridSpan w:val="2"/>
            <w:vMerge w:val="continue"/>
          </w:tcPr>
          <w:p>
            <w:pPr>
              <w:spacing w:after="0"/>
              <w:rPr>
                <w:sz w:val="13"/>
                <w:szCs w:val="13"/>
                <w:color w:val="auto"/>
              </w:rPr>
            </w:pPr>
          </w:p>
        </w:tc>
        <w:tc>
          <w:tcPr>
            <w:tcW w:w="940" w:type="dxa"/>
            <w:vAlign w:val="bottom"/>
            <w:vMerge w:val="restart"/>
          </w:tcPr>
          <w:p>
            <w:pPr>
              <w:jc w:val="center"/>
              <w:ind w:right="100"/>
              <w:spacing w:after="0"/>
              <w:rPr>
                <w:sz w:val="20"/>
                <w:szCs w:val="20"/>
                <w:color w:val="auto"/>
              </w:rPr>
            </w:pPr>
            <w:r>
              <w:rPr>
                <w:rFonts w:ascii="Arial" w:cs="Arial" w:eastAsia="Arial" w:hAnsi="Arial"/>
                <w:sz w:val="20"/>
                <w:szCs w:val="20"/>
                <w:color w:val="auto"/>
                <w:w w:val="86"/>
              </w:rPr>
              <w:t>Pretax</w:t>
            </w:r>
          </w:p>
        </w:tc>
        <w:tc>
          <w:tcPr>
            <w:tcW w:w="860" w:type="dxa"/>
            <w:vAlign w:val="bottom"/>
            <w:gridSpan w:val="2"/>
            <w:vMerge w:val="continue"/>
          </w:tcPr>
          <w:p>
            <w:pPr>
              <w:spacing w:after="0"/>
              <w:rPr>
                <w:sz w:val="13"/>
                <w:szCs w:val="13"/>
                <w:color w:val="auto"/>
              </w:rPr>
            </w:pPr>
          </w:p>
        </w:tc>
        <w:tc>
          <w:tcPr>
            <w:tcW w:w="940" w:type="dxa"/>
            <w:vAlign w:val="bottom"/>
            <w:vMerge w:val="restart"/>
          </w:tcPr>
          <w:p>
            <w:pPr>
              <w:jc w:val="center"/>
              <w:ind w:right="100"/>
              <w:spacing w:after="0"/>
              <w:rPr>
                <w:sz w:val="20"/>
                <w:szCs w:val="20"/>
                <w:color w:val="auto"/>
              </w:rPr>
            </w:pPr>
            <w:r>
              <w:rPr>
                <w:rFonts w:ascii="Arial" w:cs="Arial" w:eastAsia="Arial" w:hAnsi="Arial"/>
                <w:sz w:val="20"/>
                <w:szCs w:val="20"/>
                <w:color w:val="auto"/>
                <w:w w:val="86"/>
              </w:rPr>
              <w:t>Pretax</w:t>
            </w:r>
          </w:p>
        </w:tc>
        <w:tc>
          <w:tcPr>
            <w:tcW w:w="860" w:type="dxa"/>
            <w:vAlign w:val="bottom"/>
            <w:gridSpan w:val="2"/>
            <w:vMerge w:val="continue"/>
          </w:tcPr>
          <w:p>
            <w:pPr>
              <w:spacing w:after="0"/>
              <w:rPr>
                <w:sz w:val="13"/>
                <w:szCs w:val="13"/>
                <w:color w:val="auto"/>
              </w:rPr>
            </w:pPr>
          </w:p>
        </w:tc>
        <w:tc>
          <w:tcPr>
            <w:tcW w:w="880" w:type="dxa"/>
            <w:vAlign w:val="bottom"/>
            <w:vMerge w:val="restart"/>
          </w:tcPr>
          <w:p>
            <w:pPr>
              <w:jc w:val="center"/>
              <w:ind w:right="60"/>
              <w:spacing w:after="0"/>
              <w:rPr>
                <w:sz w:val="20"/>
                <w:szCs w:val="20"/>
                <w:color w:val="auto"/>
              </w:rPr>
            </w:pPr>
            <w:r>
              <w:rPr>
                <w:rFonts w:ascii="Arial" w:cs="Arial" w:eastAsia="Arial" w:hAnsi="Arial"/>
                <w:sz w:val="20"/>
                <w:szCs w:val="20"/>
                <w:color w:val="auto"/>
                <w:w w:val="89"/>
              </w:rPr>
              <w:t>Pretax</w:t>
            </w:r>
          </w:p>
        </w:tc>
        <w:tc>
          <w:tcPr>
            <w:tcW w:w="0" w:type="dxa"/>
            <w:vAlign w:val="bottom"/>
          </w:tcPr>
          <w:p>
            <w:pPr>
              <w:spacing w:after="0"/>
              <w:rPr>
                <w:sz w:val="1"/>
                <w:szCs w:val="1"/>
                <w:color w:val="auto"/>
              </w:rPr>
            </w:pPr>
          </w:p>
        </w:tc>
      </w:tr>
      <w:tr>
        <w:trPr>
          <w:trHeight w:val="150"/>
        </w:trPr>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w w:val="95"/>
              </w:rPr>
              <w:t>(000's)</w:t>
            </w:r>
          </w:p>
        </w:tc>
        <w:tc>
          <w:tcPr>
            <w:tcW w:w="940" w:type="dxa"/>
            <w:vAlign w:val="bottom"/>
          </w:tcPr>
          <w:p>
            <w:pPr>
              <w:jc w:val="center"/>
              <w:ind w:right="80"/>
              <w:spacing w:after="0"/>
              <w:rPr>
                <w:sz w:val="20"/>
                <w:szCs w:val="20"/>
                <w:color w:val="auto"/>
              </w:rPr>
            </w:pPr>
            <w:r>
              <w:rPr>
                <w:rFonts w:ascii="Arial" w:cs="Arial" w:eastAsia="Arial" w:hAnsi="Arial"/>
                <w:sz w:val="20"/>
                <w:szCs w:val="20"/>
                <w:color w:val="auto"/>
                <w:w w:val="91"/>
              </w:rPr>
              <w:t>Income</w:t>
            </w: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auto"/>
              </w:rPr>
              <w:t>(000's)</w:t>
            </w:r>
          </w:p>
        </w:tc>
        <w:tc>
          <w:tcPr>
            <w:tcW w:w="940" w:type="dxa"/>
            <w:vAlign w:val="bottom"/>
          </w:tcPr>
          <w:p>
            <w:pPr>
              <w:jc w:val="center"/>
              <w:ind w:right="120"/>
              <w:spacing w:after="0"/>
              <w:rPr>
                <w:sz w:val="20"/>
                <w:szCs w:val="20"/>
                <w:color w:val="auto"/>
              </w:rPr>
            </w:pPr>
            <w:r>
              <w:rPr>
                <w:rFonts w:ascii="Arial" w:cs="Arial" w:eastAsia="Arial" w:hAnsi="Arial"/>
                <w:sz w:val="20"/>
                <w:szCs w:val="20"/>
                <w:color w:val="auto"/>
                <w:w w:val="91"/>
              </w:rPr>
              <w:t>Income</w:t>
            </w:r>
          </w:p>
        </w:tc>
        <w:tc>
          <w:tcPr>
            <w:tcW w:w="860" w:type="dxa"/>
            <w:vAlign w:val="bottom"/>
            <w:gridSpan w:val="2"/>
          </w:tcPr>
          <w:p>
            <w:pPr>
              <w:jc w:val="right"/>
              <w:ind w:right="120"/>
              <w:spacing w:after="0"/>
              <w:rPr>
                <w:sz w:val="20"/>
                <w:szCs w:val="20"/>
                <w:color w:val="auto"/>
              </w:rPr>
            </w:pPr>
            <w:r>
              <w:rPr>
                <w:rFonts w:ascii="Arial" w:cs="Arial" w:eastAsia="Arial" w:hAnsi="Arial"/>
                <w:sz w:val="20"/>
                <w:szCs w:val="20"/>
                <w:color w:val="auto"/>
              </w:rPr>
              <w:t>(000's)</w:t>
            </w:r>
          </w:p>
        </w:tc>
        <w:tc>
          <w:tcPr>
            <w:tcW w:w="880" w:type="dxa"/>
            <w:vAlign w:val="bottom"/>
          </w:tcPr>
          <w:p>
            <w:pPr>
              <w:jc w:val="center"/>
              <w:ind w:right="60"/>
              <w:spacing w:after="0"/>
              <w:rPr>
                <w:sz w:val="20"/>
                <w:szCs w:val="20"/>
                <w:color w:val="auto"/>
              </w:rPr>
            </w:pPr>
            <w:r>
              <w:rPr>
                <w:rFonts w:ascii="Arial" w:cs="Arial" w:eastAsia="Arial" w:hAnsi="Arial"/>
                <w:sz w:val="20"/>
                <w:szCs w:val="20"/>
                <w:color w:val="auto"/>
                <w:w w:val="91"/>
              </w:rPr>
              <w:t>Income</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40"/>
              <w:spacing w:after="0"/>
              <w:rPr>
                <w:sz w:val="20"/>
                <w:szCs w:val="20"/>
                <w:color w:val="auto"/>
              </w:rPr>
            </w:pPr>
            <w:r>
              <w:rPr>
                <w:rFonts w:ascii="Arial" w:cs="Arial" w:eastAsia="Arial" w:hAnsi="Arial"/>
                <w:sz w:val="20"/>
                <w:szCs w:val="20"/>
                <w:color w:val="auto"/>
                <w:w w:val="99"/>
              </w:rPr>
              <w:t>8,930</w:t>
            </w:r>
          </w:p>
        </w:tc>
        <w:tc>
          <w:tcPr>
            <w:tcW w:w="940" w:type="dxa"/>
            <w:vAlign w:val="bottom"/>
          </w:tcPr>
          <w:p>
            <w:pPr>
              <w:jc w:val="right"/>
              <w:spacing w:after="0"/>
              <w:rPr>
                <w:sz w:val="20"/>
                <w:szCs w:val="20"/>
                <w:color w:val="auto"/>
              </w:rPr>
            </w:pPr>
            <w:r>
              <w:rPr>
                <w:rFonts w:ascii="Arial" w:cs="Arial" w:eastAsia="Arial" w:hAnsi="Arial"/>
                <w:sz w:val="20"/>
                <w:szCs w:val="20"/>
                <w:color w:val="auto"/>
              </w:rPr>
              <w:t>21.00%</w:t>
            </w:r>
          </w:p>
        </w:tc>
        <w:tc>
          <w:tcPr>
            <w:tcW w:w="200" w:type="dxa"/>
            <w:vAlign w:val="bottom"/>
          </w:tcPr>
          <w:p>
            <w:pPr>
              <w:ind w:left="40"/>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60"/>
              <w:spacing w:after="0"/>
              <w:rPr>
                <w:sz w:val="20"/>
                <w:szCs w:val="20"/>
                <w:color w:val="auto"/>
              </w:rPr>
            </w:pPr>
            <w:r>
              <w:rPr>
                <w:rFonts w:ascii="Arial" w:cs="Arial" w:eastAsia="Arial" w:hAnsi="Arial"/>
                <w:sz w:val="20"/>
                <w:szCs w:val="20"/>
                <w:color w:val="auto"/>
                <w:w w:val="95"/>
              </w:rPr>
              <w:t>6,840</w:t>
            </w:r>
          </w:p>
        </w:tc>
        <w:tc>
          <w:tcPr>
            <w:tcW w:w="940" w:type="dxa"/>
            <w:vAlign w:val="bottom"/>
          </w:tcPr>
          <w:p>
            <w:pPr>
              <w:jc w:val="right"/>
              <w:spacing w:after="0"/>
              <w:rPr>
                <w:sz w:val="20"/>
                <w:szCs w:val="20"/>
                <w:color w:val="auto"/>
              </w:rPr>
            </w:pPr>
            <w:r>
              <w:rPr>
                <w:rFonts w:ascii="Arial" w:cs="Arial" w:eastAsia="Arial" w:hAnsi="Arial"/>
                <w:sz w:val="20"/>
                <w:szCs w:val="20"/>
                <w:color w:val="auto"/>
              </w:rPr>
              <w:t>21.00%</w:t>
            </w:r>
          </w:p>
        </w:tc>
        <w:tc>
          <w:tcPr>
            <w:tcW w:w="200" w:type="dxa"/>
            <w:vAlign w:val="bottom"/>
          </w:tcPr>
          <w:p>
            <w:pPr>
              <w:ind w:left="40"/>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60"/>
              <w:spacing w:after="0"/>
              <w:rPr>
                <w:sz w:val="20"/>
                <w:szCs w:val="20"/>
                <w:color w:val="auto"/>
              </w:rPr>
            </w:pPr>
            <w:r>
              <w:rPr>
                <w:rFonts w:ascii="Arial" w:cs="Arial" w:eastAsia="Arial" w:hAnsi="Arial"/>
                <w:sz w:val="20"/>
                <w:szCs w:val="20"/>
                <w:color w:val="auto"/>
                <w:w w:val="95"/>
              </w:rPr>
              <w:t>5,954</w:t>
            </w:r>
          </w:p>
        </w:tc>
        <w:tc>
          <w:tcPr>
            <w:tcW w:w="880" w:type="dxa"/>
            <w:vAlign w:val="bottom"/>
          </w:tcPr>
          <w:p>
            <w:pPr>
              <w:jc w:val="right"/>
              <w:spacing w:after="0"/>
              <w:rPr>
                <w:sz w:val="20"/>
                <w:szCs w:val="20"/>
                <w:color w:val="auto"/>
              </w:rPr>
            </w:pPr>
            <w:r>
              <w:rPr>
                <w:rFonts w:ascii="Arial" w:cs="Arial" w:eastAsia="Arial" w:hAnsi="Arial"/>
                <w:sz w:val="20"/>
                <w:szCs w:val="20"/>
                <w:color w:val="auto"/>
              </w:rPr>
              <w:t>21.00%</w:t>
            </w:r>
          </w:p>
        </w:tc>
        <w:tc>
          <w:tcPr>
            <w:tcW w:w="0" w:type="dxa"/>
            <w:vAlign w:val="bottom"/>
          </w:tcPr>
          <w:p>
            <w:pPr>
              <w:spacing w:after="0"/>
              <w:rPr>
                <w:sz w:val="1"/>
                <w:szCs w:val="1"/>
                <w:color w:val="auto"/>
              </w:rPr>
            </w:pPr>
          </w:p>
        </w:tc>
      </w:tr>
      <w:tr>
        <w:trPr>
          <w:trHeight w:val="779"/>
        </w:trPr>
        <w:tc>
          <w:tcPr>
            <w:tcW w:w="140" w:type="dxa"/>
            <w:vAlign w:val="bottom"/>
          </w:tcPr>
          <w:p>
            <w:pPr>
              <w:spacing w:after="0"/>
              <w:rPr>
                <w:sz w:val="24"/>
                <w:szCs w:val="24"/>
                <w:color w:val="auto"/>
              </w:rPr>
            </w:pPr>
          </w:p>
        </w:tc>
        <w:tc>
          <w:tcPr>
            <w:tcW w:w="660" w:type="dxa"/>
            <w:vAlign w:val="bottom"/>
          </w:tcPr>
          <w:p>
            <w:pPr>
              <w:jc w:val="right"/>
              <w:ind w:right="40"/>
              <w:spacing w:after="0"/>
              <w:rPr>
                <w:sz w:val="20"/>
                <w:szCs w:val="20"/>
                <w:color w:val="auto"/>
              </w:rPr>
            </w:pPr>
            <w:r>
              <w:rPr>
                <w:rFonts w:ascii="Arial" w:cs="Arial" w:eastAsia="Arial" w:hAnsi="Arial"/>
                <w:sz w:val="20"/>
                <w:szCs w:val="20"/>
                <w:color w:val="auto"/>
              </w:rPr>
              <w:t>386</w:t>
            </w:r>
          </w:p>
        </w:tc>
        <w:tc>
          <w:tcPr>
            <w:tcW w:w="940" w:type="dxa"/>
            <w:vAlign w:val="bottom"/>
          </w:tcPr>
          <w:p>
            <w:pPr>
              <w:jc w:val="right"/>
              <w:spacing w:after="0"/>
              <w:rPr>
                <w:sz w:val="20"/>
                <w:szCs w:val="20"/>
                <w:color w:val="auto"/>
              </w:rPr>
            </w:pPr>
            <w:r>
              <w:rPr>
                <w:rFonts w:ascii="Arial" w:cs="Arial" w:eastAsia="Arial" w:hAnsi="Arial"/>
                <w:sz w:val="20"/>
                <w:szCs w:val="20"/>
                <w:color w:val="auto"/>
              </w:rPr>
              <w:t>0.91%</w:t>
            </w:r>
          </w:p>
        </w:tc>
        <w:tc>
          <w:tcPr>
            <w:tcW w:w="200" w:type="dxa"/>
            <w:vAlign w:val="bottom"/>
          </w:tcPr>
          <w:p>
            <w:pPr>
              <w:spacing w:after="0"/>
              <w:rPr>
                <w:sz w:val="24"/>
                <w:szCs w:val="24"/>
                <w:color w:val="auto"/>
              </w:rPr>
            </w:pPr>
          </w:p>
        </w:tc>
        <w:tc>
          <w:tcPr>
            <w:tcW w:w="660" w:type="dxa"/>
            <w:vAlign w:val="bottom"/>
          </w:tcPr>
          <w:p>
            <w:pPr>
              <w:jc w:val="right"/>
              <w:ind w:right="60"/>
              <w:spacing w:after="0"/>
              <w:rPr>
                <w:sz w:val="20"/>
                <w:szCs w:val="20"/>
                <w:color w:val="auto"/>
              </w:rPr>
            </w:pPr>
            <w:r>
              <w:rPr>
                <w:rFonts w:ascii="Arial" w:cs="Arial" w:eastAsia="Arial" w:hAnsi="Arial"/>
                <w:sz w:val="20"/>
                <w:szCs w:val="20"/>
                <w:color w:val="auto"/>
              </w:rPr>
              <w:t>174</w:t>
            </w:r>
          </w:p>
        </w:tc>
        <w:tc>
          <w:tcPr>
            <w:tcW w:w="940" w:type="dxa"/>
            <w:vAlign w:val="bottom"/>
          </w:tcPr>
          <w:p>
            <w:pPr>
              <w:jc w:val="right"/>
              <w:spacing w:after="0"/>
              <w:rPr>
                <w:sz w:val="20"/>
                <w:szCs w:val="20"/>
                <w:color w:val="auto"/>
              </w:rPr>
            </w:pPr>
            <w:r>
              <w:rPr>
                <w:rFonts w:ascii="Arial" w:cs="Arial" w:eastAsia="Arial" w:hAnsi="Arial"/>
                <w:sz w:val="20"/>
                <w:szCs w:val="20"/>
                <w:color w:val="auto"/>
              </w:rPr>
              <w:t>0.53%</w:t>
            </w:r>
          </w:p>
        </w:tc>
        <w:tc>
          <w:tcPr>
            <w:tcW w:w="200" w:type="dxa"/>
            <w:vAlign w:val="bottom"/>
          </w:tcPr>
          <w:p>
            <w:pPr>
              <w:spacing w:after="0"/>
              <w:rPr>
                <w:sz w:val="24"/>
                <w:szCs w:val="24"/>
                <w:color w:val="auto"/>
              </w:rPr>
            </w:pPr>
          </w:p>
        </w:tc>
        <w:tc>
          <w:tcPr>
            <w:tcW w:w="660" w:type="dxa"/>
            <w:vAlign w:val="bottom"/>
          </w:tcPr>
          <w:p>
            <w:pPr>
              <w:jc w:val="right"/>
              <w:ind w:right="60"/>
              <w:spacing w:after="0"/>
              <w:rPr>
                <w:sz w:val="20"/>
                <w:szCs w:val="20"/>
                <w:color w:val="auto"/>
              </w:rPr>
            </w:pPr>
            <w:r>
              <w:rPr>
                <w:rFonts w:ascii="Arial" w:cs="Arial" w:eastAsia="Arial" w:hAnsi="Arial"/>
                <w:sz w:val="20"/>
                <w:szCs w:val="20"/>
                <w:color w:val="auto"/>
              </w:rPr>
              <w:t>264</w:t>
            </w:r>
          </w:p>
        </w:tc>
        <w:tc>
          <w:tcPr>
            <w:tcW w:w="880" w:type="dxa"/>
            <w:vAlign w:val="bottom"/>
          </w:tcPr>
          <w:p>
            <w:pPr>
              <w:jc w:val="right"/>
              <w:spacing w:after="0"/>
              <w:rPr>
                <w:sz w:val="20"/>
                <w:szCs w:val="20"/>
                <w:color w:val="auto"/>
              </w:rPr>
            </w:pPr>
            <w:r>
              <w:rPr>
                <w:rFonts w:ascii="Arial" w:cs="Arial" w:eastAsia="Arial" w:hAnsi="Arial"/>
                <w:sz w:val="20"/>
                <w:szCs w:val="20"/>
                <w:color w:val="auto"/>
              </w:rPr>
              <w:t>0.93%</w:t>
            </w:r>
          </w:p>
        </w:tc>
        <w:tc>
          <w:tcPr>
            <w:tcW w:w="0" w:type="dxa"/>
            <w:vAlign w:val="bottom"/>
          </w:tcPr>
          <w:p>
            <w:pPr>
              <w:spacing w:after="0"/>
              <w:rPr>
                <w:sz w:val="1"/>
                <w:szCs w:val="1"/>
                <w:color w:val="auto"/>
              </w:rPr>
            </w:pPr>
          </w:p>
        </w:tc>
      </w:tr>
      <w:tr>
        <w:trPr>
          <w:trHeight w:val="464"/>
        </w:trPr>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(121)</w:t>
            </w:r>
          </w:p>
        </w:tc>
        <w:tc>
          <w:tcPr>
            <w:tcW w:w="940" w:type="dxa"/>
            <w:vAlign w:val="bottom"/>
          </w:tcPr>
          <w:p>
            <w:pPr>
              <w:jc w:val="right"/>
              <w:spacing w:after="0"/>
              <w:rPr>
                <w:sz w:val="20"/>
                <w:szCs w:val="20"/>
                <w:color w:val="auto"/>
              </w:rPr>
            </w:pPr>
            <w:r>
              <w:rPr>
                <w:rFonts w:ascii="Arial" w:cs="Arial" w:eastAsia="Arial" w:hAnsi="Arial"/>
                <w:sz w:val="20"/>
                <w:szCs w:val="20"/>
                <w:color w:val="auto"/>
              </w:rPr>
              <w:t>-0.29%</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(106)</w:t>
            </w:r>
          </w:p>
        </w:tc>
        <w:tc>
          <w:tcPr>
            <w:tcW w:w="940" w:type="dxa"/>
            <w:vAlign w:val="bottom"/>
          </w:tcPr>
          <w:p>
            <w:pPr>
              <w:jc w:val="right"/>
              <w:spacing w:after="0"/>
              <w:rPr>
                <w:sz w:val="20"/>
                <w:szCs w:val="20"/>
                <w:color w:val="auto"/>
              </w:rPr>
            </w:pPr>
            <w:r>
              <w:rPr>
                <w:rFonts w:ascii="Arial" w:cs="Arial" w:eastAsia="Arial" w:hAnsi="Arial"/>
                <w:sz w:val="20"/>
                <w:szCs w:val="20"/>
                <w:color w:val="auto"/>
              </w:rPr>
              <w:t>-0.32%</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(129)</w:t>
            </w:r>
          </w:p>
        </w:tc>
        <w:tc>
          <w:tcPr>
            <w:tcW w:w="880" w:type="dxa"/>
            <w:vAlign w:val="bottom"/>
          </w:tcPr>
          <w:p>
            <w:pPr>
              <w:jc w:val="right"/>
              <w:spacing w:after="0"/>
              <w:rPr>
                <w:sz w:val="20"/>
                <w:szCs w:val="20"/>
                <w:color w:val="auto"/>
              </w:rPr>
            </w:pPr>
            <w:r>
              <w:rPr>
                <w:rFonts w:ascii="Arial" w:cs="Arial" w:eastAsia="Arial" w:hAnsi="Arial"/>
                <w:sz w:val="20"/>
                <w:szCs w:val="20"/>
                <w:color w:val="auto"/>
              </w:rPr>
              <w:t>-0.46%</w:t>
            </w:r>
          </w:p>
        </w:tc>
        <w:tc>
          <w:tcPr>
            <w:tcW w:w="0" w:type="dxa"/>
            <w:vAlign w:val="bottom"/>
          </w:tcPr>
          <w:p>
            <w:pPr>
              <w:spacing w:after="0"/>
              <w:rPr>
                <w:sz w:val="1"/>
                <w:szCs w:val="1"/>
                <w:color w:val="auto"/>
              </w:rPr>
            </w:pPr>
          </w:p>
        </w:tc>
      </w:tr>
      <w:tr>
        <w:trPr>
          <w:trHeight w:val="914"/>
        </w:trPr>
        <w:tc>
          <w:tcPr>
            <w:tcW w:w="140" w:type="dxa"/>
            <w:vAlign w:val="bottom"/>
          </w:tcPr>
          <w:p>
            <w:pPr>
              <w:spacing w:after="0"/>
              <w:rPr>
                <w:sz w:val="24"/>
                <w:szCs w:val="24"/>
                <w:color w:val="auto"/>
              </w:rPr>
            </w:pPr>
          </w:p>
        </w:tc>
        <w:tc>
          <w:tcPr>
            <w:tcW w:w="660" w:type="dxa"/>
            <w:vAlign w:val="bottom"/>
          </w:tcPr>
          <w:p>
            <w:pPr>
              <w:jc w:val="right"/>
              <w:ind w:right="40"/>
              <w:spacing w:after="0"/>
              <w:rPr>
                <w:sz w:val="20"/>
                <w:szCs w:val="20"/>
                <w:color w:val="auto"/>
              </w:rPr>
            </w:pPr>
            <w:r>
              <w:rPr>
                <w:rFonts w:ascii="Arial" w:cs="Arial" w:eastAsia="Arial" w:hAnsi="Arial"/>
                <w:sz w:val="20"/>
                <w:szCs w:val="20"/>
                <w:color w:val="auto"/>
              </w:rPr>
              <w:t>46</w:t>
            </w:r>
          </w:p>
        </w:tc>
        <w:tc>
          <w:tcPr>
            <w:tcW w:w="940" w:type="dxa"/>
            <w:vAlign w:val="bottom"/>
          </w:tcPr>
          <w:p>
            <w:pPr>
              <w:jc w:val="right"/>
              <w:spacing w:after="0"/>
              <w:rPr>
                <w:sz w:val="20"/>
                <w:szCs w:val="20"/>
                <w:color w:val="auto"/>
              </w:rPr>
            </w:pPr>
            <w:r>
              <w:rPr>
                <w:rFonts w:ascii="Arial" w:cs="Arial" w:eastAsia="Arial" w:hAnsi="Arial"/>
                <w:sz w:val="20"/>
                <w:szCs w:val="20"/>
                <w:color w:val="auto"/>
              </w:rPr>
              <w:t>0.11%</w:t>
            </w:r>
          </w:p>
        </w:tc>
        <w:tc>
          <w:tcPr>
            <w:tcW w:w="200" w:type="dxa"/>
            <w:vAlign w:val="bottom"/>
          </w:tcPr>
          <w:p>
            <w:pPr>
              <w:spacing w:after="0"/>
              <w:rPr>
                <w:sz w:val="24"/>
                <w:szCs w:val="24"/>
                <w:color w:val="auto"/>
              </w:rPr>
            </w:pPr>
          </w:p>
        </w:tc>
        <w:tc>
          <w:tcPr>
            <w:tcW w:w="660" w:type="dxa"/>
            <w:vAlign w:val="bottom"/>
          </w:tcPr>
          <w:p>
            <w:pPr>
              <w:jc w:val="right"/>
              <w:ind w:right="60"/>
              <w:spacing w:after="0"/>
              <w:rPr>
                <w:sz w:val="20"/>
                <w:szCs w:val="20"/>
                <w:color w:val="auto"/>
              </w:rPr>
            </w:pPr>
            <w:r>
              <w:rPr>
                <w:rFonts w:ascii="Arial" w:cs="Arial" w:eastAsia="Arial" w:hAnsi="Arial"/>
                <w:sz w:val="20"/>
                <w:szCs w:val="20"/>
                <w:color w:val="auto"/>
              </w:rPr>
              <w:t>65</w:t>
            </w:r>
          </w:p>
        </w:tc>
        <w:tc>
          <w:tcPr>
            <w:tcW w:w="940" w:type="dxa"/>
            <w:vAlign w:val="bottom"/>
          </w:tcPr>
          <w:p>
            <w:pPr>
              <w:jc w:val="right"/>
              <w:spacing w:after="0"/>
              <w:rPr>
                <w:sz w:val="20"/>
                <w:szCs w:val="20"/>
                <w:color w:val="auto"/>
              </w:rPr>
            </w:pPr>
            <w:r>
              <w:rPr>
                <w:rFonts w:ascii="Arial" w:cs="Arial" w:eastAsia="Arial" w:hAnsi="Arial"/>
                <w:sz w:val="20"/>
                <w:szCs w:val="20"/>
                <w:color w:val="auto"/>
              </w:rPr>
              <w:t>0.20%</w:t>
            </w:r>
          </w:p>
        </w:tc>
        <w:tc>
          <w:tcPr>
            <w:tcW w:w="200" w:type="dxa"/>
            <w:vAlign w:val="bottom"/>
          </w:tcPr>
          <w:p>
            <w:pPr>
              <w:spacing w:after="0"/>
              <w:rPr>
                <w:sz w:val="24"/>
                <w:szCs w:val="24"/>
                <w:color w:val="auto"/>
              </w:rPr>
            </w:pPr>
          </w:p>
        </w:tc>
        <w:tc>
          <w:tcPr>
            <w:tcW w:w="66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0.00%</w:t>
            </w:r>
          </w:p>
        </w:tc>
        <w:tc>
          <w:tcPr>
            <w:tcW w:w="0" w:type="dxa"/>
            <w:vAlign w:val="bottom"/>
          </w:tcPr>
          <w:p>
            <w:pPr>
              <w:spacing w:after="0"/>
              <w:rPr>
                <w:sz w:val="1"/>
                <w:szCs w:val="1"/>
                <w:color w:val="auto"/>
              </w:rPr>
            </w:pPr>
          </w:p>
        </w:tc>
      </w:tr>
      <w:tr>
        <w:trPr>
          <w:trHeight w:val="314"/>
        </w:trPr>
        <w:tc>
          <w:tcPr>
            <w:tcW w:w="140" w:type="dxa"/>
            <w:vAlign w:val="bottom"/>
          </w:tcPr>
          <w:p>
            <w:pPr>
              <w:spacing w:after="0"/>
              <w:rPr>
                <w:sz w:val="24"/>
                <w:szCs w:val="24"/>
                <w:color w:val="auto"/>
              </w:rPr>
            </w:pPr>
          </w:p>
        </w:tc>
        <w:tc>
          <w:tcPr>
            <w:tcW w:w="6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0.00%</w:t>
            </w:r>
          </w:p>
        </w:tc>
        <w:tc>
          <w:tcPr>
            <w:tcW w:w="200" w:type="dxa"/>
            <w:vAlign w:val="bottom"/>
          </w:tcPr>
          <w:p>
            <w:pPr>
              <w:spacing w:after="0"/>
              <w:rPr>
                <w:sz w:val="24"/>
                <w:szCs w:val="24"/>
                <w:color w:val="auto"/>
              </w:rPr>
            </w:pPr>
          </w:p>
        </w:tc>
        <w:tc>
          <w:tcPr>
            <w:tcW w:w="66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0.00%</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(187)</w:t>
            </w:r>
          </w:p>
        </w:tc>
        <w:tc>
          <w:tcPr>
            <w:tcW w:w="880" w:type="dxa"/>
            <w:vAlign w:val="bottom"/>
          </w:tcPr>
          <w:p>
            <w:pPr>
              <w:jc w:val="right"/>
              <w:spacing w:after="0"/>
              <w:rPr>
                <w:sz w:val="20"/>
                <w:szCs w:val="20"/>
                <w:color w:val="auto"/>
              </w:rPr>
            </w:pPr>
            <w:r>
              <w:rPr>
                <w:rFonts w:ascii="Arial" w:cs="Arial" w:eastAsia="Arial" w:hAnsi="Arial"/>
                <w:sz w:val="20"/>
                <w:szCs w:val="20"/>
                <w:color w:val="auto"/>
              </w:rPr>
              <w:t>-0.66%</w:t>
            </w:r>
          </w:p>
        </w:tc>
        <w:tc>
          <w:tcPr>
            <w:tcW w:w="0" w:type="dxa"/>
            <w:vAlign w:val="bottom"/>
          </w:tcPr>
          <w:p>
            <w:pPr>
              <w:spacing w:after="0"/>
              <w:rPr>
                <w:sz w:val="1"/>
                <w:szCs w:val="1"/>
                <w:color w:val="auto"/>
              </w:rPr>
            </w:pPr>
          </w:p>
        </w:tc>
      </w:tr>
      <w:tr>
        <w:trPr>
          <w:trHeight w:val="314"/>
        </w:trPr>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(25)</w:t>
            </w:r>
          </w:p>
        </w:tc>
        <w:tc>
          <w:tcPr>
            <w:tcW w:w="940" w:type="dxa"/>
            <w:vAlign w:val="bottom"/>
          </w:tcPr>
          <w:p>
            <w:pPr>
              <w:jc w:val="right"/>
              <w:spacing w:after="0"/>
              <w:rPr>
                <w:sz w:val="20"/>
                <w:szCs w:val="20"/>
                <w:color w:val="auto"/>
              </w:rPr>
            </w:pPr>
            <w:r>
              <w:rPr>
                <w:rFonts w:ascii="Arial" w:cs="Arial" w:eastAsia="Arial" w:hAnsi="Arial"/>
                <w:sz w:val="20"/>
                <w:szCs w:val="20"/>
                <w:color w:val="auto"/>
              </w:rPr>
              <w:t>-0.06%</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(338)</w:t>
            </w:r>
          </w:p>
        </w:tc>
        <w:tc>
          <w:tcPr>
            <w:tcW w:w="940" w:type="dxa"/>
            <w:vAlign w:val="bottom"/>
          </w:tcPr>
          <w:p>
            <w:pPr>
              <w:jc w:val="right"/>
              <w:spacing w:after="0"/>
              <w:rPr>
                <w:sz w:val="20"/>
                <w:szCs w:val="20"/>
                <w:color w:val="auto"/>
              </w:rPr>
            </w:pPr>
            <w:r>
              <w:rPr>
                <w:rFonts w:ascii="Arial" w:cs="Arial" w:eastAsia="Arial" w:hAnsi="Arial"/>
                <w:sz w:val="20"/>
                <w:szCs w:val="20"/>
                <w:color w:val="auto"/>
              </w:rPr>
              <w:t>-1.04%</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(335)</w:t>
            </w:r>
          </w:p>
        </w:tc>
        <w:tc>
          <w:tcPr>
            <w:tcW w:w="880" w:type="dxa"/>
            <w:vAlign w:val="bottom"/>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40"/>
              <w:spacing w:after="0"/>
              <w:rPr>
                <w:sz w:val="20"/>
                <w:szCs w:val="20"/>
                <w:color w:val="auto"/>
              </w:rPr>
            </w:pPr>
            <w:r>
              <w:rPr>
                <w:rFonts w:ascii="Arial" w:cs="Arial" w:eastAsia="Arial" w:hAnsi="Arial"/>
                <w:sz w:val="20"/>
                <w:szCs w:val="20"/>
                <w:color w:val="auto"/>
                <w:w w:val="99"/>
              </w:rPr>
              <w:t>9,216</w:t>
            </w:r>
          </w:p>
        </w:tc>
        <w:tc>
          <w:tcPr>
            <w:tcW w:w="940" w:type="dxa"/>
            <w:vAlign w:val="bottom"/>
          </w:tcPr>
          <w:p>
            <w:pPr>
              <w:jc w:val="right"/>
              <w:spacing w:after="0"/>
              <w:rPr>
                <w:sz w:val="20"/>
                <w:szCs w:val="20"/>
                <w:color w:val="auto"/>
              </w:rPr>
            </w:pPr>
            <w:r>
              <w:rPr>
                <w:rFonts w:ascii="Arial" w:cs="Arial" w:eastAsia="Arial" w:hAnsi="Arial"/>
                <w:sz w:val="20"/>
                <w:szCs w:val="20"/>
                <w:color w:val="auto"/>
              </w:rPr>
              <w:t>21.67%</w:t>
            </w:r>
          </w:p>
        </w:tc>
        <w:tc>
          <w:tcPr>
            <w:tcW w:w="200" w:type="dxa"/>
            <w:vAlign w:val="bottom"/>
          </w:tcPr>
          <w:p>
            <w:pPr>
              <w:ind w:left="40"/>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60"/>
              <w:spacing w:after="0"/>
              <w:rPr>
                <w:sz w:val="20"/>
                <w:szCs w:val="20"/>
                <w:color w:val="auto"/>
              </w:rPr>
            </w:pPr>
            <w:r>
              <w:rPr>
                <w:rFonts w:ascii="Arial" w:cs="Arial" w:eastAsia="Arial" w:hAnsi="Arial"/>
                <w:sz w:val="20"/>
                <w:szCs w:val="20"/>
                <w:color w:val="auto"/>
                <w:w w:val="95"/>
              </w:rPr>
              <w:t>6,635</w:t>
            </w:r>
          </w:p>
        </w:tc>
        <w:tc>
          <w:tcPr>
            <w:tcW w:w="940" w:type="dxa"/>
            <w:vAlign w:val="bottom"/>
          </w:tcPr>
          <w:p>
            <w:pPr>
              <w:jc w:val="right"/>
              <w:spacing w:after="0"/>
              <w:rPr>
                <w:sz w:val="20"/>
                <w:szCs w:val="20"/>
                <w:color w:val="auto"/>
              </w:rPr>
            </w:pPr>
            <w:r>
              <w:rPr>
                <w:rFonts w:ascii="Arial" w:cs="Arial" w:eastAsia="Arial" w:hAnsi="Arial"/>
                <w:sz w:val="20"/>
                <w:szCs w:val="20"/>
                <w:color w:val="auto"/>
              </w:rPr>
              <w:t>20.37%</w:t>
            </w:r>
          </w:p>
        </w:tc>
        <w:tc>
          <w:tcPr>
            <w:tcW w:w="200" w:type="dxa"/>
            <w:vAlign w:val="bottom"/>
          </w:tcPr>
          <w:p>
            <w:pPr>
              <w:ind w:left="40"/>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60"/>
              <w:spacing w:after="0"/>
              <w:rPr>
                <w:sz w:val="20"/>
                <w:szCs w:val="20"/>
                <w:color w:val="auto"/>
              </w:rPr>
            </w:pPr>
            <w:r>
              <w:rPr>
                <w:rFonts w:ascii="Arial" w:cs="Arial" w:eastAsia="Arial" w:hAnsi="Arial"/>
                <w:sz w:val="20"/>
                <w:szCs w:val="20"/>
                <w:color w:val="auto"/>
                <w:w w:val="95"/>
              </w:rPr>
              <w:t>5,567</w:t>
            </w:r>
          </w:p>
        </w:tc>
        <w:tc>
          <w:tcPr>
            <w:tcW w:w="880" w:type="dxa"/>
            <w:vAlign w:val="bottom"/>
          </w:tcPr>
          <w:p>
            <w:pPr>
              <w:jc w:val="right"/>
              <w:spacing w:after="0"/>
              <w:rPr>
                <w:sz w:val="20"/>
                <w:szCs w:val="20"/>
                <w:color w:val="auto"/>
              </w:rPr>
            </w:pPr>
            <w:r>
              <w:rPr>
                <w:rFonts w:ascii="Arial" w:cs="Arial" w:eastAsia="Arial" w:hAnsi="Arial"/>
                <w:sz w:val="20"/>
                <w:szCs w:val="20"/>
                <w:color w:val="auto"/>
              </w:rPr>
              <w:t>19.63%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-2750820</wp:posOffset>
            </wp:positionV>
            <wp:extent cx="5370830" cy="280606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48">
                      <a:extLst>
                        <a:ext uri="{28A0092B-C50C-407E-A947-70E740481C1C}"/>
                      </a:extLst>
                    </a:blip>
                    <a:srcRect/>
                    <a:stretch>
                      <a:fillRect/>
                    </a:stretch>
                  </pic:blipFill>
                  <pic:spPr bwMode="auto">
                    <a:xfrm>
                      <a:off x="0" y="0"/>
                      <a:ext cx="5370830" cy="28060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3360" w:space="260"/>
            <w:col w:w="5780"/>
          </w:cols>
          <w:pgMar w:left="1260" w:top="1440" w:right="1246" w:bottom="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5967730" cy="190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4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24</w:t>
      </w:r>
    </w:p>
    <w:p>
      <w:pPr>
        <w:sectPr>
          <w:pgSz w:w="11900" w:h="16838" w:orient="portrait"/>
          <w:cols w:equalWidth="0" w:num="1">
            <w:col w:w="9400"/>
          </w:cols>
          <w:pgMar w:left="1260" w:top="1440" w:right="1246" w:bottom="0" w:gutter="0" w:footer="0" w:header="0"/>
          <w:type w:val="continuous"/>
        </w:sectPr>
      </w:pPr>
    </w:p>
    <w:bookmarkStart w:id="209" w:name="page210"/>
    <w:bookmarkEnd w:id="209"/>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37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Deferred tax assets and liabilities at December 31 are comprised of the following:</w:t>
      </w:r>
    </w:p>
    <w:p>
      <w:pPr>
        <w:spacing w:after="0" w:line="200" w:lineRule="exact"/>
        <w:rPr>
          <w:sz w:val="20"/>
          <w:szCs w:val="20"/>
          <w:color w:val="auto"/>
        </w:rPr>
      </w:pPr>
    </w:p>
    <w:p>
      <w:pPr>
        <w:spacing w:after="0" w:line="214"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gridSpan w:val="3"/>
          </w:tcPr>
          <w:p>
            <w:pPr>
              <w:jc w:val="right"/>
              <w:ind w:right="400"/>
              <w:spacing w:after="0"/>
              <w:rPr>
                <w:sz w:val="20"/>
                <w:szCs w:val="20"/>
                <w:color w:val="auto"/>
              </w:rPr>
            </w:pPr>
            <w:r>
              <w:rPr>
                <w:rFonts w:ascii="Arial" w:cs="Arial" w:eastAsia="Arial" w:hAnsi="Arial"/>
                <w:sz w:val="20"/>
                <w:szCs w:val="20"/>
                <w:color w:val="auto"/>
              </w:rPr>
              <w:t>(In Thousands)</w:t>
            </w:r>
          </w:p>
        </w:tc>
      </w:tr>
      <w:tr>
        <w:trPr>
          <w:trHeight w:val="324"/>
        </w:trPr>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260"/>
              <w:spacing w:after="0"/>
              <w:rPr>
                <w:sz w:val="20"/>
                <w:szCs w:val="20"/>
                <w:color w:val="auto"/>
              </w:rPr>
            </w:pPr>
            <w:r>
              <w:rPr>
                <w:rFonts w:ascii="Arial" w:cs="Arial" w:eastAsia="Arial" w:hAnsi="Arial"/>
                <w:sz w:val="20"/>
                <w:szCs w:val="20"/>
                <w:color w:val="auto"/>
              </w:rPr>
              <w:t>2025</w:t>
            </w:r>
          </w:p>
        </w:tc>
        <w:tc>
          <w:tcPr>
            <w:tcW w:w="280" w:type="dxa"/>
            <w:vAlign w:val="bottom"/>
          </w:tcPr>
          <w:p>
            <w:pPr>
              <w:spacing w:after="0"/>
              <w:rPr>
                <w:sz w:val="24"/>
                <w:szCs w:val="24"/>
                <w:color w:val="auto"/>
              </w:rPr>
            </w:pPr>
          </w:p>
        </w:tc>
        <w:tc>
          <w:tcPr>
            <w:tcW w:w="840" w:type="dxa"/>
            <w:vAlign w:val="bottom"/>
          </w:tcPr>
          <w:p>
            <w:pPr>
              <w:jc w:val="right"/>
              <w:ind w:right="240"/>
              <w:spacing w:after="0"/>
              <w:rPr>
                <w:sz w:val="20"/>
                <w:szCs w:val="20"/>
                <w:color w:val="auto"/>
              </w:rPr>
            </w:pPr>
            <w:r>
              <w:rPr>
                <w:rFonts w:ascii="Arial" w:cs="Arial" w:eastAsia="Arial" w:hAnsi="Arial"/>
                <w:sz w:val="20"/>
                <w:szCs w:val="20"/>
                <w:color w:val="auto"/>
              </w:rPr>
              <w:t>2024</w:t>
            </w:r>
          </w:p>
        </w:tc>
      </w:tr>
      <w:tr>
        <w:trPr>
          <w:trHeight w:val="51"/>
        </w:trPr>
        <w:tc>
          <w:tcPr>
            <w:tcW w:w="4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94"/>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Deferred Tax Assets:</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r>
      <w:tr>
        <w:trPr>
          <w:trHeight w:val="274"/>
        </w:trPr>
        <w:tc>
          <w:tcPr>
            <w:tcW w:w="4280" w:type="dxa"/>
            <w:vAlign w:val="bottom"/>
          </w:tcPr>
          <w:p>
            <w:pPr>
              <w:ind w:left="80"/>
              <w:spacing w:after="0"/>
              <w:rPr>
                <w:sz w:val="20"/>
                <w:szCs w:val="20"/>
                <w:color w:val="auto"/>
              </w:rPr>
            </w:pPr>
            <w:r>
              <w:rPr>
                <w:rFonts w:ascii="Arial" w:cs="Arial" w:eastAsia="Arial" w:hAnsi="Arial"/>
                <w:sz w:val="20"/>
                <w:szCs w:val="20"/>
                <w:color w:val="auto"/>
              </w:rPr>
              <w:t>Allowance for credit losses</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6,332</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6,009</w:t>
            </w:r>
          </w:p>
        </w:tc>
      </w:tr>
      <w:tr>
        <w:trPr>
          <w:trHeight w:val="41"/>
        </w:trPr>
        <w:tc>
          <w:tcPr>
            <w:tcW w:w="4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42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Deferred compensation</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564</w:t>
            </w:r>
          </w:p>
        </w:tc>
        <w:tc>
          <w:tcPr>
            <w:tcW w:w="2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578</w:t>
            </w:r>
          </w:p>
        </w:tc>
      </w:tr>
      <w:tr>
        <w:trPr>
          <w:trHeight w:val="274"/>
        </w:trPr>
        <w:tc>
          <w:tcPr>
            <w:tcW w:w="4280" w:type="dxa"/>
            <w:vAlign w:val="bottom"/>
          </w:tcPr>
          <w:p>
            <w:pPr>
              <w:ind w:left="80"/>
              <w:spacing w:after="0"/>
              <w:rPr>
                <w:sz w:val="20"/>
                <w:szCs w:val="20"/>
                <w:color w:val="auto"/>
              </w:rPr>
            </w:pPr>
            <w:r>
              <w:rPr>
                <w:rFonts w:ascii="Arial" w:cs="Arial" w:eastAsia="Arial" w:hAnsi="Arial"/>
                <w:sz w:val="20"/>
                <w:szCs w:val="20"/>
                <w:color w:val="auto"/>
                <w:w w:val="93"/>
              </w:rPr>
              <w:t>Net unrealized loss on available-for-sale securities</w:t>
            </w: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3,160</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6,705</w:t>
            </w:r>
          </w:p>
        </w:tc>
      </w:tr>
      <w:tr>
        <w:trPr>
          <w:trHeight w:val="41"/>
        </w:trPr>
        <w:tc>
          <w:tcPr>
            <w:tcW w:w="4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42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Fair value adjustments</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127</w:t>
            </w:r>
          </w:p>
        </w:tc>
        <w:tc>
          <w:tcPr>
            <w:tcW w:w="2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623</w:t>
            </w:r>
          </w:p>
        </w:tc>
      </w:tr>
      <w:tr>
        <w:trPr>
          <w:trHeight w:val="279"/>
        </w:trPr>
        <w:tc>
          <w:tcPr>
            <w:tcW w:w="4280" w:type="dxa"/>
            <w:vAlign w:val="bottom"/>
          </w:tcPr>
          <w:p>
            <w:pPr>
              <w:ind w:left="80"/>
              <w:spacing w:after="0"/>
              <w:rPr>
                <w:sz w:val="20"/>
                <w:szCs w:val="20"/>
                <w:color w:val="auto"/>
              </w:rPr>
            </w:pPr>
            <w:r>
              <w:rPr>
                <w:rFonts w:ascii="Arial" w:cs="Arial" w:eastAsia="Arial" w:hAnsi="Arial"/>
                <w:sz w:val="20"/>
                <w:szCs w:val="20"/>
                <w:color w:val="auto"/>
              </w:rPr>
              <w:t>Other</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173</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46"/>
        </w:trPr>
        <w:tc>
          <w:tcPr>
            <w:tcW w:w="4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42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Total deferred tax assets</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10,356</w:t>
            </w:r>
          </w:p>
        </w:tc>
        <w:tc>
          <w:tcPr>
            <w:tcW w:w="2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13,973</w:t>
            </w:r>
          </w:p>
        </w:tc>
      </w:tr>
      <w:tr>
        <w:trPr>
          <w:trHeight w:val="274"/>
        </w:trPr>
        <w:tc>
          <w:tcPr>
            <w:tcW w:w="428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41"/>
        </w:trPr>
        <w:tc>
          <w:tcPr>
            <w:tcW w:w="4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42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Accreted discounts on bonds</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312</w:t>
            </w:r>
          </w:p>
        </w:tc>
        <w:tc>
          <w:tcPr>
            <w:tcW w:w="2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169</w:t>
            </w:r>
          </w:p>
        </w:tc>
      </w:tr>
      <w:tr>
        <w:trPr>
          <w:trHeight w:val="274"/>
        </w:trPr>
        <w:tc>
          <w:tcPr>
            <w:tcW w:w="4280" w:type="dxa"/>
            <w:vAlign w:val="bottom"/>
          </w:tcPr>
          <w:p>
            <w:pPr>
              <w:ind w:left="80"/>
              <w:spacing w:after="0"/>
              <w:rPr>
                <w:sz w:val="20"/>
                <w:szCs w:val="20"/>
                <w:color w:val="auto"/>
              </w:rPr>
            </w:pPr>
            <w:r>
              <w:rPr>
                <w:rFonts w:ascii="Arial" w:cs="Arial" w:eastAsia="Arial" w:hAnsi="Arial"/>
                <w:sz w:val="20"/>
                <w:szCs w:val="20"/>
                <w:color w:val="auto"/>
              </w:rPr>
              <w:t>Depreciation</w:t>
            </w: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1,870</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2,066</w:t>
            </w:r>
          </w:p>
        </w:tc>
      </w:tr>
      <w:tr>
        <w:trPr>
          <w:trHeight w:val="41"/>
        </w:trPr>
        <w:tc>
          <w:tcPr>
            <w:tcW w:w="4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42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FHLB stock dividends</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580</w:t>
            </w:r>
          </w:p>
        </w:tc>
        <w:tc>
          <w:tcPr>
            <w:tcW w:w="2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762</w:t>
            </w:r>
          </w:p>
        </w:tc>
      </w:tr>
      <w:tr>
        <w:trPr>
          <w:trHeight w:val="274"/>
        </w:trPr>
        <w:tc>
          <w:tcPr>
            <w:tcW w:w="4280" w:type="dxa"/>
            <w:vAlign w:val="bottom"/>
          </w:tcPr>
          <w:p>
            <w:pPr>
              <w:ind w:left="80"/>
              <w:spacing w:after="0"/>
              <w:rPr>
                <w:sz w:val="20"/>
                <w:szCs w:val="20"/>
                <w:color w:val="auto"/>
              </w:rPr>
            </w:pPr>
            <w:r>
              <w:rPr>
                <w:rFonts w:ascii="Arial" w:cs="Arial" w:eastAsia="Arial" w:hAnsi="Arial"/>
                <w:sz w:val="20"/>
                <w:szCs w:val="20"/>
                <w:color w:val="auto"/>
              </w:rPr>
              <w:t>Intangible amortization</w:t>
            </w: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1,941</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2,178</w:t>
            </w:r>
          </w:p>
        </w:tc>
      </w:tr>
      <w:tr>
        <w:trPr>
          <w:trHeight w:val="41"/>
        </w:trPr>
        <w:tc>
          <w:tcPr>
            <w:tcW w:w="4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42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Loan servicing rights</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1,141</w:t>
            </w:r>
          </w:p>
        </w:tc>
        <w:tc>
          <w:tcPr>
            <w:tcW w:w="2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1,247</w:t>
            </w:r>
          </w:p>
        </w:tc>
      </w:tr>
      <w:tr>
        <w:trPr>
          <w:trHeight w:val="274"/>
        </w:trPr>
        <w:tc>
          <w:tcPr>
            <w:tcW w:w="4280" w:type="dxa"/>
            <w:vAlign w:val="bottom"/>
          </w:tcPr>
          <w:p>
            <w:pPr>
              <w:ind w:left="80"/>
              <w:spacing w:after="0"/>
              <w:rPr>
                <w:sz w:val="20"/>
                <w:szCs w:val="20"/>
                <w:color w:val="auto"/>
              </w:rPr>
            </w:pPr>
            <w:r>
              <w:rPr>
                <w:rFonts w:ascii="Arial" w:cs="Arial" w:eastAsia="Arial" w:hAnsi="Arial"/>
                <w:sz w:val="20"/>
                <w:szCs w:val="20"/>
                <w:color w:val="auto"/>
              </w:rPr>
              <w:t>Prepaids</w:t>
            </w: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605</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560</w:t>
            </w:r>
          </w:p>
        </w:tc>
      </w:tr>
      <w:tr>
        <w:trPr>
          <w:trHeight w:val="41"/>
        </w:trPr>
        <w:tc>
          <w:tcPr>
            <w:tcW w:w="4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04"/>
        </w:trPr>
        <w:tc>
          <w:tcPr>
            <w:tcW w:w="42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Other</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796</w:t>
            </w:r>
          </w:p>
        </w:tc>
        <w:tc>
          <w:tcPr>
            <w:tcW w:w="2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462</w:t>
            </w:r>
          </w:p>
        </w:tc>
      </w:tr>
      <w:tr>
        <w:trPr>
          <w:trHeight w:val="279"/>
        </w:trPr>
        <w:tc>
          <w:tcPr>
            <w:tcW w:w="4280" w:type="dxa"/>
            <w:vAlign w:val="bottom"/>
          </w:tcPr>
          <w:p>
            <w:pPr>
              <w:ind w:left="80"/>
              <w:spacing w:after="0"/>
              <w:rPr>
                <w:sz w:val="20"/>
                <w:szCs w:val="20"/>
                <w:color w:val="auto"/>
              </w:rPr>
            </w:pPr>
            <w:r>
              <w:rPr>
                <w:rFonts w:ascii="Arial" w:cs="Arial" w:eastAsia="Arial" w:hAnsi="Arial"/>
                <w:sz w:val="20"/>
                <w:szCs w:val="20"/>
                <w:color w:val="auto"/>
              </w:rPr>
              <w:t>Total deferred tax liabilities</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7,245</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7,444</w:t>
            </w:r>
          </w:p>
        </w:tc>
      </w:tr>
      <w:tr>
        <w:trPr>
          <w:trHeight w:val="46"/>
        </w:trPr>
        <w:tc>
          <w:tcPr>
            <w:tcW w:w="4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6"/>
        </w:trPr>
        <w:tc>
          <w:tcPr>
            <w:tcW w:w="42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Net Deferred Tax Asset</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3,111</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6,529</w:t>
            </w:r>
          </w:p>
        </w:tc>
      </w:tr>
      <w:tr>
        <w:trPr>
          <w:trHeight w:val="63"/>
        </w:trPr>
        <w:tc>
          <w:tcPr>
            <w:tcW w:w="428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-3653155</wp:posOffset>
            </wp:positionV>
            <wp:extent cx="1321435" cy="63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0">
                      <a:extLst>
                        <a:ext uri="{28A0092B-C50C-407E-A947-70E740481C1C}"/>
                      </a:extLst>
                    </a:blip>
                    <a:srcRect/>
                    <a:stretch>
                      <a:fillRect/>
                    </a:stretch>
                  </pic:blipFill>
                  <pic:spPr bwMode="auto">
                    <a:xfrm>
                      <a:off x="0" y="0"/>
                      <a:ext cx="1321435" cy="6350"/>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-3447415</wp:posOffset>
            </wp:positionV>
            <wp:extent cx="1321435" cy="63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1">
                      <a:extLst>
                        <a:ext uri="{28A0092B-C50C-407E-A947-70E740481C1C}"/>
                      </a:extLst>
                    </a:blip>
                    <a:srcRect/>
                    <a:stretch>
                      <a:fillRect/>
                    </a:stretch>
                  </pic:blipFill>
                  <pic:spPr bwMode="auto">
                    <a:xfrm>
                      <a:off x="0" y="0"/>
                      <a:ext cx="1321435" cy="6350"/>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-2242820</wp:posOffset>
            </wp:positionV>
            <wp:extent cx="1321435" cy="63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2">
                      <a:extLst>
                        <a:ext uri="{28A0092B-C50C-407E-A947-70E740481C1C}"/>
                      </a:extLst>
                    </a:blip>
                    <a:srcRect/>
                    <a:stretch>
                      <a:fillRect/>
                    </a:stretch>
                  </pic:blipFill>
                  <pic:spPr bwMode="auto">
                    <a:xfrm>
                      <a:off x="0" y="0"/>
                      <a:ext cx="1321435" cy="6350"/>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-440055</wp:posOffset>
            </wp:positionV>
            <wp:extent cx="1363345" cy="63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3">
                      <a:extLst>
                        <a:ext uri="{28A0092B-C50C-407E-A947-70E740481C1C}"/>
                      </a:extLst>
                    </a:blip>
                    <a:srcRect/>
                    <a:stretch>
                      <a:fillRect/>
                    </a:stretch>
                  </pic:blipFill>
                  <pic:spPr bwMode="auto">
                    <a:xfrm>
                      <a:off x="0" y="0"/>
                      <a:ext cx="1363345" cy="6350"/>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-233680</wp:posOffset>
            </wp:positionV>
            <wp:extent cx="1321435" cy="63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4">
                      <a:extLst>
                        <a:ext uri="{28A0092B-C50C-407E-A947-70E740481C1C}"/>
                      </a:extLst>
                    </a:blip>
                    <a:srcRect/>
                    <a:stretch>
                      <a:fillRect/>
                    </a:stretch>
                  </pic:blipFill>
                  <pic:spPr bwMode="auto">
                    <a:xfrm>
                      <a:off x="0" y="0"/>
                      <a:ext cx="1321435" cy="6350"/>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-27940</wp:posOffset>
            </wp:positionV>
            <wp:extent cx="1363345" cy="2857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5">
                      <a:extLst>
                        <a:ext uri="{28A0092B-C50C-407E-A947-70E740481C1C}"/>
                      </a:extLst>
                    </a:blip>
                    <a:srcRect/>
                    <a:stretch>
                      <a:fillRect/>
                    </a:stretch>
                  </pic:blipFill>
                  <pic:spPr bwMode="auto">
                    <a:xfrm>
                      <a:off x="0" y="0"/>
                      <a:ext cx="1363345" cy="28575"/>
                    </a:xfrm>
                    <a:prstGeom prst="rect">
                      <a:avLst/>
                    </a:prstGeom>
                    <a:noFill/>
                  </pic:spPr>
                </pic:pic>
              </a:graphicData>
            </a:graphic>
          </wp:anchor>
        </w:drawing>
      </w:r>
    </w:p>
    <w:p>
      <w:pPr>
        <w:spacing w:after="0" w:line="319" w:lineRule="exact"/>
        <w:rPr>
          <w:sz w:val="20"/>
          <w:szCs w:val="20"/>
          <w:color w:val="auto"/>
        </w:rPr>
      </w:pPr>
    </w:p>
    <w:p>
      <w:pPr>
        <w:ind w:left="620" w:right="80"/>
        <w:spacing w:after="0" w:line="302" w:lineRule="auto"/>
        <w:rPr>
          <w:sz w:val="20"/>
          <w:szCs w:val="20"/>
          <w:color w:val="auto"/>
        </w:rPr>
      </w:pPr>
      <w:r>
        <w:rPr>
          <w:rFonts w:ascii="Arial" w:cs="Arial" w:eastAsia="Arial" w:hAnsi="Arial"/>
          <w:sz w:val="20"/>
          <w:szCs w:val="20"/>
          <w:color w:val="auto"/>
        </w:rPr>
        <w:t>For the years ended December 31, 2025, 2024 and 2023, all state income taxes were paid to the State of Indiana.</w:t>
      </w:r>
    </w:p>
    <w:p>
      <w:pPr>
        <w:spacing w:after="0" w:line="261" w:lineRule="exact"/>
        <w:rPr>
          <w:sz w:val="20"/>
          <w:szCs w:val="20"/>
          <w:color w:val="auto"/>
        </w:rPr>
      </w:pPr>
    </w:p>
    <w:p>
      <w:pPr>
        <w:jc w:val="both"/>
        <w:ind w:left="620" w:right="60"/>
        <w:spacing w:after="0" w:line="330" w:lineRule="auto"/>
        <w:rPr>
          <w:sz w:val="20"/>
          <w:szCs w:val="20"/>
          <w:color w:val="auto"/>
        </w:rPr>
      </w:pPr>
      <w:r>
        <w:rPr>
          <w:rFonts w:ascii="Arial" w:cs="Arial" w:eastAsia="Arial" w:hAnsi="Arial"/>
          <w:sz w:val="19"/>
          <w:szCs w:val="19"/>
          <w:color w:val="auto"/>
        </w:rPr>
        <w:t>The Peoples Federal Savings and Loan acquisition included a net operating loss (NOL) carryforward of approximately $2.8 million that had a remaining balance of $824 thousand and $1.4 million at December 31, 2025 and 2024, respectively. The NOL carryforward will expire in 2027.</w:t>
      </w:r>
    </w:p>
    <w:p>
      <w:pPr>
        <w:spacing w:after="0" w:line="239" w:lineRule="exact"/>
        <w:rPr>
          <w:sz w:val="20"/>
          <w:szCs w:val="20"/>
          <w:color w:val="auto"/>
        </w:rPr>
      </w:pPr>
    </w:p>
    <w:p>
      <w:pPr>
        <w:jc w:val="both"/>
        <w:ind w:left="620" w:right="40"/>
        <w:spacing w:after="0" w:line="329" w:lineRule="auto"/>
        <w:rPr>
          <w:sz w:val="20"/>
          <w:szCs w:val="20"/>
          <w:color w:val="auto"/>
        </w:rPr>
      </w:pPr>
      <w:r>
        <w:rPr>
          <w:rFonts w:ascii="Arial" w:cs="Arial" w:eastAsia="Arial" w:hAnsi="Arial"/>
          <w:sz w:val="19"/>
          <w:szCs w:val="19"/>
          <w:color w:val="auto"/>
        </w:rPr>
        <w:t>The Company has additional paid-in capital that is considered restricted resulting from the acquisition of Perpetual in 2021 of approximately $2.8 million and from the acquisition of Peoples in 2022 of approximately $2.2 million. No deferred tax liability is required to be recorded for the Company’s tax bad debt reserves arising before December 31, 1987, unless it is apparent that the reserves will reverse in the near future. Unrecognized deferred taxes on these reserves would total $1.0 million. If the portion of retained earnings representing these reserves is used for any purpose other than to absorb bad debts, it will be added to future taxable income and the related tax will be recognized as expense.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 Employee Benefit Plans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24</w:t>
      </w:r>
    </w:p>
    <w:p>
      <w:pPr>
        <w:sectPr>
          <w:pgSz w:w="11900" w:h="16838" w:orient="portrait"/>
          <w:cols w:equalWidth="0" w:num="1">
            <w:col w:w="9400"/>
          </w:cols>
          <w:pgMar w:left="1260" w:top="1440" w:right="1246" w:bottom="0" w:gutter="0" w:footer="0" w:header="0"/>
          <w:type w:val="continuous"/>
        </w:sectPr>
      </w:pPr>
    </w:p>
    <w:bookmarkStart w:id="210" w:name="page211"/>
    <w:bookmarkEnd w:id="210"/>
    <w:p>
      <w:pPr>
        <w:jc w:val="both"/>
        <w:ind w:left="440"/>
        <w:spacing w:after="0" w:line="347" w:lineRule="auto"/>
        <w:rPr>
          <w:sz w:val="20"/>
          <w:szCs w:val="20"/>
          <w:color w:val="auto"/>
        </w:rPr>
      </w:pPr>
      <w:r>
        <w:rPr>
          <w:rFonts w:ascii="Arial" w:cs="Arial" w:eastAsia="Arial" w:hAnsi="Arial"/>
          <w:sz w:val="18"/>
          <w:szCs w:val="18"/>
          <w:color w:val="auto"/>
        </w:rPr>
        <w:t>The Bank has established a 401(k) defined contribution plan which allows eligible employees to save at a minimum one percent of eligible compensation on a pre-tax or post-tax basis, subject to certain Internal Revenue Service limitations. The Bank will match 50% of employee 401(k) contributions up to six percent of total eligible compensation. In addition, the Bank may make a discretionary contribution from time to time as is deemed advisable. A participant is 100% vested in the participant’s deferral contributions. Employer matching contributions are funded each payroll period and are immediately vested. Non-elective employer</w:t>
      </w:r>
    </w:p>
    <w:p>
      <w:pPr>
        <w:ind w:left="440"/>
        <w:spacing w:after="0"/>
        <w:tabs>
          <w:tab w:leader="none" w:pos="2640" w:val="left"/>
          <w:tab w:leader="none" w:pos="4040" w:val="left"/>
          <w:tab w:leader="none" w:pos="6200" w:val="left"/>
          <w:tab w:leader="none" w:pos="7880" w:val="left"/>
        </w:tabs>
        <w:rPr>
          <w:sz w:val="20"/>
          <w:szCs w:val="20"/>
          <w:color w:val="auto"/>
        </w:rPr>
      </w:pPr>
      <w:r>
        <w:rPr>
          <w:rFonts w:ascii="Arial" w:cs="Arial" w:eastAsia="Arial" w:hAnsi="Arial"/>
          <w:sz w:val="20"/>
          <w:szCs w:val="20"/>
          <w:color w:val="auto"/>
        </w:rPr>
        <w:t>contributions</w:t>
      </w:r>
      <w:r>
        <w:rPr>
          <w:sz w:val="20"/>
          <w:szCs w:val="20"/>
          <w:color w:val="auto"/>
        </w:rPr>
        <w:tab/>
      </w:r>
      <w:r>
        <w:rPr>
          <w:rFonts w:ascii="Arial" w:cs="Arial" w:eastAsia="Arial" w:hAnsi="Arial"/>
          <w:sz w:val="20"/>
          <w:szCs w:val="20"/>
          <w:color w:val="auto"/>
        </w:rPr>
        <w:t>are</w:t>
      </w:r>
      <w:r>
        <w:rPr>
          <w:sz w:val="20"/>
          <w:szCs w:val="20"/>
          <w:color w:val="auto"/>
        </w:rPr>
        <w:tab/>
      </w:r>
      <w:r>
        <w:rPr>
          <w:rFonts w:ascii="Arial" w:cs="Arial" w:eastAsia="Arial" w:hAnsi="Arial"/>
          <w:sz w:val="20"/>
          <w:szCs w:val="20"/>
          <w:color w:val="auto"/>
        </w:rPr>
        <w:t>immediately</w:t>
      </w:r>
      <w:r>
        <w:rPr>
          <w:sz w:val="20"/>
          <w:szCs w:val="20"/>
          <w:color w:val="auto"/>
        </w:rPr>
        <w:tab/>
      </w:r>
      <w:r>
        <w:rPr>
          <w:rFonts w:ascii="Arial" w:cs="Arial" w:eastAsia="Arial" w:hAnsi="Arial"/>
          <w:sz w:val="20"/>
          <w:szCs w:val="20"/>
          <w:color w:val="auto"/>
        </w:rPr>
        <w:t>vested</w:t>
      </w:r>
      <w:r>
        <w:rPr>
          <w:sz w:val="20"/>
          <w:szCs w:val="20"/>
          <w:color w:val="auto"/>
        </w:rPr>
        <w:tab/>
      </w:r>
      <w:r>
        <w:rPr>
          <w:rFonts w:ascii="Arial" w:cs="Arial" w:eastAsia="Arial" w:hAnsi="Arial"/>
          <w:sz w:val="16"/>
          <w:szCs w:val="16"/>
          <w:color w:val="auto"/>
        </w:rPr>
        <w:t>at</w:t>
      </w:r>
    </w:p>
    <w:p>
      <w:pPr>
        <w:spacing w:after="0" w:line="80" w:lineRule="exact"/>
        <w:rPr>
          <w:sz w:val="20"/>
          <w:szCs w:val="20"/>
          <w:color w:val="auto"/>
        </w:rPr>
      </w:pPr>
    </w:p>
    <w:p>
      <w:pPr>
        <w:jc w:val="both"/>
        <w:ind w:left="440" w:right="40"/>
        <w:spacing w:after="0" w:line="310" w:lineRule="auto"/>
        <w:rPr>
          <w:sz w:val="20"/>
          <w:szCs w:val="20"/>
          <w:color w:val="auto"/>
        </w:rPr>
      </w:pPr>
      <w:r>
        <w:rPr>
          <w:rFonts w:ascii="Arial" w:cs="Arial" w:eastAsia="Arial" w:hAnsi="Arial"/>
          <w:sz w:val="20"/>
          <w:szCs w:val="20"/>
          <w:color w:val="auto"/>
        </w:rPr>
        <w:t>100%. Employees are immediately eligible upon hire to contribute to the plan and receive matching contributions. In order to be eligible for discretionary contributions, employees must work 1,000 hours in the plan year and be employed on the last day of the year. Contributions expensed for the 401(k) profit sharing plan for both the employer matching contribution and the discretionary contribution were $2.1 million, $2.0 million and $1.4 million for 2025, 2024 and 2023, respectively.</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Restricted Stock Awards</w:t>
      </w:r>
    </w:p>
    <w:p>
      <w:pPr>
        <w:spacing w:after="0" w:line="200" w:lineRule="exact"/>
        <w:rPr>
          <w:sz w:val="20"/>
          <w:szCs w:val="20"/>
          <w:color w:val="auto"/>
        </w:rPr>
      </w:pPr>
    </w:p>
    <w:p>
      <w:pPr>
        <w:jc w:val="both"/>
        <w:ind w:left="440" w:right="40"/>
        <w:spacing w:after="0" w:line="309" w:lineRule="auto"/>
        <w:rPr>
          <w:sz w:val="20"/>
          <w:szCs w:val="20"/>
          <w:color w:val="auto"/>
        </w:rPr>
      </w:pPr>
      <w:r>
        <w:rPr>
          <w:rFonts w:ascii="Arial" w:cs="Arial" w:eastAsia="Arial" w:hAnsi="Arial"/>
          <w:sz w:val="20"/>
          <w:szCs w:val="20"/>
          <w:color w:val="auto"/>
        </w:rPr>
        <w:t>The Company has a Long-Term Stock Incentive Plan which provides for shares of the Company's restricted stock to be issued to employees. Under the plan, the shares generally vest 100% in three years. During the 3 year vesting period, the employees receive dividends or dividend equivalent compensation on the shares. Compensation expense</w:t>
      </w:r>
    </w:p>
    <w:p>
      <w:pPr>
        <w:spacing w:after="0" w:line="24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15 / 24</w:t>
      </w:r>
    </w:p>
    <w:p>
      <w:pPr>
        <w:sectPr>
          <w:pgSz w:w="11900" w:h="16838" w:orient="portrait"/>
          <w:cols w:equalWidth="0" w:num="1">
            <w:col w:w="9200"/>
          </w:cols>
          <w:pgMar w:left="1440" w:top="1173" w:right="1266" w:bottom="0" w:gutter="0" w:footer="0" w:header="0"/>
          <w:type w:val="continuous"/>
        </w:sectPr>
      </w:pPr>
    </w:p>
    <w:bookmarkStart w:id="211" w:name="page212"/>
    <w:bookmarkEnd w:id="211"/>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300" w:lineRule="exact"/>
        <w:rPr>
          <w:sz w:val="20"/>
          <w:szCs w:val="20"/>
          <w:color w:val="auto"/>
        </w:rPr>
      </w:pPr>
    </w:p>
    <w:p>
      <w:pPr>
        <w:ind w:left="620" w:right="80"/>
        <w:spacing w:after="0" w:line="302" w:lineRule="auto"/>
        <w:rPr>
          <w:sz w:val="20"/>
          <w:szCs w:val="20"/>
          <w:color w:val="auto"/>
        </w:rPr>
      </w:pPr>
      <w:r>
        <w:rPr>
          <w:rFonts w:ascii="Arial" w:cs="Arial" w:eastAsia="Arial" w:hAnsi="Arial"/>
          <w:sz w:val="20"/>
          <w:szCs w:val="20"/>
          <w:color w:val="auto"/>
        </w:rPr>
        <w:t>applicable to the restricted stock awards totaled $1.4 million, $1.4 million and $1.3 million for the years ending December 31, 2025, 2024, and 2023, respectively.</w:t>
      </w:r>
    </w:p>
    <w:p>
      <w:pPr>
        <w:spacing w:after="0" w:line="261" w:lineRule="exact"/>
        <w:rPr>
          <w:sz w:val="20"/>
          <w:szCs w:val="20"/>
          <w:color w:val="auto"/>
        </w:rPr>
      </w:pPr>
    </w:p>
    <w:p>
      <w:pPr>
        <w:ind w:left="620" w:right="80"/>
        <w:spacing w:after="0" w:line="302" w:lineRule="auto"/>
        <w:rPr>
          <w:sz w:val="20"/>
          <w:szCs w:val="20"/>
          <w:color w:val="auto"/>
        </w:rPr>
      </w:pPr>
      <w:r>
        <w:rPr>
          <w:rFonts w:ascii="Arial" w:cs="Arial" w:eastAsia="Arial" w:hAnsi="Arial"/>
          <w:sz w:val="20"/>
          <w:szCs w:val="20"/>
          <w:color w:val="auto"/>
        </w:rPr>
        <w:t>The table below summarizes the details of the restricted shares issued, vested, and forfeited for the years ending December 31, 2025, 2024 and 2023:</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0" w:type="dxa"/>
            <w:vAlign w:val="bottom"/>
            <w:gridSpan w:val="2"/>
          </w:tcPr>
          <w:p>
            <w:pPr>
              <w:jc w:val="right"/>
              <w:spacing w:after="0"/>
              <w:rPr>
                <w:sz w:val="20"/>
                <w:szCs w:val="20"/>
                <w:color w:val="auto"/>
              </w:rPr>
            </w:pPr>
            <w:r>
              <w:rPr>
                <w:rFonts w:ascii="Arial" w:cs="Arial" w:eastAsia="Arial" w:hAnsi="Arial"/>
                <w:sz w:val="20"/>
                <w:szCs w:val="20"/>
                <w:color w:val="auto"/>
                <w:w w:val="89"/>
              </w:rPr>
              <w:t>Year Ended December 31,</w:t>
            </w: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24"/>
        </w:trPr>
        <w:tc>
          <w:tcPr>
            <w:tcW w:w="3080" w:type="dxa"/>
            <w:vAlign w:val="bottom"/>
          </w:tcPr>
          <w:p>
            <w:pPr>
              <w:spacing w:after="0"/>
              <w:rPr>
                <w:sz w:val="24"/>
                <w:szCs w:val="24"/>
                <w:color w:val="auto"/>
              </w:rPr>
            </w:pPr>
          </w:p>
        </w:tc>
        <w:tc>
          <w:tcPr>
            <w:tcW w:w="2120" w:type="dxa"/>
            <w:vAlign w:val="bottom"/>
            <w:gridSpan w:val="2"/>
          </w:tcPr>
          <w:p>
            <w:pPr>
              <w:jc w:val="right"/>
              <w:ind w:right="680"/>
              <w:spacing w:after="0"/>
              <w:rPr>
                <w:sz w:val="20"/>
                <w:szCs w:val="20"/>
                <w:color w:val="auto"/>
              </w:rPr>
            </w:pPr>
            <w:r>
              <w:rPr>
                <w:rFonts w:ascii="Arial" w:cs="Arial" w:eastAsia="Arial" w:hAnsi="Arial"/>
                <w:sz w:val="20"/>
                <w:szCs w:val="20"/>
                <w:color w:val="auto"/>
              </w:rPr>
              <w:t>2025</w:t>
            </w:r>
          </w:p>
        </w:tc>
        <w:tc>
          <w:tcPr>
            <w:tcW w:w="2200" w:type="dxa"/>
            <w:vAlign w:val="bottom"/>
            <w:gridSpan w:val="2"/>
          </w:tcPr>
          <w:p>
            <w:pPr>
              <w:jc w:val="right"/>
              <w:ind w:right="820"/>
              <w:spacing w:after="0"/>
              <w:rPr>
                <w:sz w:val="20"/>
                <w:szCs w:val="20"/>
                <w:color w:val="auto"/>
              </w:rPr>
            </w:pPr>
            <w:r>
              <w:rPr>
                <w:rFonts w:ascii="Arial" w:cs="Arial" w:eastAsia="Arial" w:hAnsi="Arial"/>
                <w:sz w:val="20"/>
                <w:szCs w:val="20"/>
                <w:color w:val="auto"/>
              </w:rPr>
              <w:t>2024</w:t>
            </w:r>
          </w:p>
        </w:tc>
        <w:tc>
          <w:tcPr>
            <w:tcW w:w="2000" w:type="dxa"/>
            <w:vAlign w:val="bottom"/>
            <w:gridSpan w:val="2"/>
          </w:tcPr>
          <w:p>
            <w:pPr>
              <w:jc w:val="right"/>
              <w:ind w:right="740"/>
              <w:spacing w:after="0"/>
              <w:rPr>
                <w:sz w:val="20"/>
                <w:szCs w:val="20"/>
                <w:color w:val="auto"/>
              </w:rPr>
            </w:pPr>
            <w:r>
              <w:rPr>
                <w:rFonts w:ascii="Arial" w:cs="Arial" w:eastAsia="Arial" w:hAnsi="Arial"/>
                <w:sz w:val="20"/>
                <w:szCs w:val="20"/>
                <w:color w:val="auto"/>
              </w:rPr>
              <w:t>2023</w:t>
            </w:r>
          </w:p>
        </w:tc>
      </w:tr>
      <w:tr>
        <w:trPr>
          <w:trHeight w:val="324"/>
        </w:trPr>
        <w:tc>
          <w:tcPr>
            <w:tcW w:w="30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20"/>
                <w:szCs w:val="20"/>
                <w:color w:val="auto"/>
                <w:w w:val="92"/>
              </w:rPr>
              <w:t>Number</w:t>
            </w:r>
          </w:p>
        </w:tc>
        <w:tc>
          <w:tcPr>
            <w:tcW w:w="10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89"/>
              </w:rPr>
              <w:t>Number</w:t>
            </w:r>
          </w:p>
        </w:tc>
        <w:tc>
          <w:tcPr>
            <w:tcW w:w="1160" w:type="dxa"/>
            <w:vAlign w:val="bottom"/>
          </w:tcPr>
          <w:p>
            <w:pPr>
              <w:spacing w:after="0"/>
              <w:rPr>
                <w:sz w:val="24"/>
                <w:szCs w:val="24"/>
                <w:color w:val="auto"/>
              </w:rPr>
            </w:pPr>
          </w:p>
        </w:tc>
        <w:tc>
          <w:tcPr>
            <w:tcW w:w="900" w:type="dxa"/>
            <w:vAlign w:val="bottom"/>
          </w:tcPr>
          <w:p>
            <w:pPr>
              <w:jc w:val="center"/>
              <w:ind w:right="20"/>
              <w:spacing w:after="0"/>
              <w:rPr>
                <w:sz w:val="20"/>
                <w:szCs w:val="20"/>
                <w:color w:val="auto"/>
              </w:rPr>
            </w:pPr>
            <w:r>
              <w:rPr>
                <w:rFonts w:ascii="Arial" w:cs="Arial" w:eastAsia="Arial" w:hAnsi="Arial"/>
                <w:sz w:val="20"/>
                <w:szCs w:val="20"/>
                <w:color w:val="auto"/>
                <w:w w:val="92"/>
              </w:rPr>
              <w:t>Number</w:t>
            </w:r>
          </w:p>
        </w:tc>
        <w:tc>
          <w:tcPr>
            <w:tcW w:w="1100" w:type="dxa"/>
            <w:vAlign w:val="bottom"/>
          </w:tcPr>
          <w:p>
            <w:pPr>
              <w:spacing w:after="0"/>
              <w:rPr>
                <w:sz w:val="24"/>
                <w:szCs w:val="24"/>
                <w:color w:val="auto"/>
              </w:rPr>
            </w:pPr>
          </w:p>
        </w:tc>
      </w:tr>
      <w:tr>
        <w:trPr>
          <w:trHeight w:val="300"/>
        </w:trPr>
        <w:tc>
          <w:tcPr>
            <w:tcW w:w="3080" w:type="dxa"/>
            <w:vAlign w:val="bottom"/>
          </w:tcPr>
          <w:p>
            <w:pPr>
              <w:spacing w:after="0"/>
              <w:rPr>
                <w:sz w:val="24"/>
                <w:szCs w:val="24"/>
                <w:color w:val="auto"/>
              </w:rPr>
            </w:pPr>
          </w:p>
        </w:tc>
        <w:tc>
          <w:tcPr>
            <w:tcW w:w="1080" w:type="dxa"/>
            <w:vAlign w:val="bottom"/>
          </w:tcPr>
          <w:p>
            <w:pPr>
              <w:jc w:val="center"/>
              <w:ind w:left="20"/>
              <w:spacing w:after="0"/>
              <w:rPr>
                <w:sz w:val="20"/>
                <w:szCs w:val="20"/>
                <w:color w:val="auto"/>
              </w:rPr>
            </w:pPr>
            <w:r>
              <w:rPr>
                <w:rFonts w:ascii="Arial" w:cs="Arial" w:eastAsia="Arial" w:hAnsi="Arial"/>
                <w:sz w:val="20"/>
                <w:szCs w:val="20"/>
                <w:color w:val="auto"/>
                <w:w w:val="95"/>
              </w:rPr>
              <w:t>of</w:t>
            </w:r>
          </w:p>
        </w:tc>
        <w:tc>
          <w:tcPr>
            <w:tcW w:w="1040" w:type="dxa"/>
            <w:vAlign w:val="bottom"/>
          </w:tcPr>
          <w:p>
            <w:pPr>
              <w:jc w:val="right"/>
              <w:spacing w:after="0"/>
              <w:rPr>
                <w:sz w:val="20"/>
                <w:szCs w:val="20"/>
                <w:color w:val="auto"/>
              </w:rPr>
            </w:pPr>
            <w:r>
              <w:rPr>
                <w:rFonts w:ascii="Arial" w:cs="Arial" w:eastAsia="Arial" w:hAnsi="Arial"/>
                <w:sz w:val="20"/>
                <w:szCs w:val="20"/>
                <w:color w:val="auto"/>
              </w:rPr>
              <w:t>Number of</w:t>
            </w:r>
          </w:p>
        </w:tc>
        <w:tc>
          <w:tcPr>
            <w:tcW w:w="1040" w:type="dxa"/>
            <w:vAlign w:val="bottom"/>
          </w:tcPr>
          <w:p>
            <w:pPr>
              <w:jc w:val="center"/>
              <w:spacing w:after="0"/>
              <w:rPr>
                <w:sz w:val="20"/>
                <w:szCs w:val="20"/>
                <w:color w:val="auto"/>
              </w:rPr>
            </w:pPr>
            <w:r>
              <w:rPr>
                <w:rFonts w:ascii="Arial" w:cs="Arial" w:eastAsia="Arial" w:hAnsi="Arial"/>
                <w:sz w:val="20"/>
                <w:szCs w:val="20"/>
                <w:color w:val="auto"/>
                <w:w w:val="95"/>
              </w:rPr>
              <w:t>of</w:t>
            </w:r>
          </w:p>
        </w:tc>
        <w:tc>
          <w:tcPr>
            <w:tcW w:w="1160" w:type="dxa"/>
            <w:vAlign w:val="bottom"/>
          </w:tcPr>
          <w:p>
            <w:pPr>
              <w:ind w:left="100"/>
              <w:spacing w:after="0"/>
              <w:rPr>
                <w:sz w:val="20"/>
                <w:szCs w:val="20"/>
                <w:color w:val="auto"/>
              </w:rPr>
            </w:pPr>
            <w:r>
              <w:rPr>
                <w:rFonts w:ascii="Arial" w:cs="Arial" w:eastAsia="Arial" w:hAnsi="Arial"/>
                <w:sz w:val="20"/>
                <w:szCs w:val="20"/>
                <w:color w:val="auto"/>
              </w:rPr>
              <w:t>Number of</w:t>
            </w:r>
          </w:p>
        </w:tc>
        <w:tc>
          <w:tcPr>
            <w:tcW w:w="900" w:type="dxa"/>
            <w:vAlign w:val="bottom"/>
          </w:tcPr>
          <w:p>
            <w:pPr>
              <w:jc w:val="center"/>
              <w:spacing w:after="0"/>
              <w:rPr>
                <w:sz w:val="20"/>
                <w:szCs w:val="20"/>
                <w:color w:val="auto"/>
              </w:rPr>
            </w:pPr>
            <w:r>
              <w:rPr>
                <w:rFonts w:ascii="Arial" w:cs="Arial" w:eastAsia="Arial" w:hAnsi="Arial"/>
                <w:sz w:val="20"/>
                <w:szCs w:val="20"/>
                <w:color w:val="auto"/>
              </w:rPr>
              <w:t>of</w:t>
            </w:r>
          </w:p>
        </w:tc>
        <w:tc>
          <w:tcPr>
            <w:tcW w:w="1100" w:type="dxa"/>
            <w:vAlign w:val="bottom"/>
          </w:tcPr>
          <w:p>
            <w:pPr>
              <w:ind w:left="100"/>
              <w:spacing w:after="0"/>
              <w:rPr>
                <w:sz w:val="20"/>
                <w:szCs w:val="20"/>
                <w:color w:val="auto"/>
              </w:rPr>
            </w:pPr>
            <w:r>
              <w:rPr>
                <w:rFonts w:ascii="Arial" w:cs="Arial" w:eastAsia="Arial" w:hAnsi="Arial"/>
                <w:sz w:val="20"/>
                <w:szCs w:val="20"/>
                <w:color w:val="auto"/>
              </w:rPr>
              <w:t>Number of</w:t>
            </w:r>
          </w:p>
        </w:tc>
      </w:tr>
      <w:tr>
        <w:trPr>
          <w:trHeight w:val="300"/>
        </w:trPr>
        <w:tc>
          <w:tcPr>
            <w:tcW w:w="3080" w:type="dxa"/>
            <w:vAlign w:val="bottom"/>
          </w:tcPr>
          <w:p>
            <w:pPr>
              <w:spacing w:after="0"/>
              <w:rPr>
                <w:sz w:val="24"/>
                <w:szCs w:val="24"/>
                <w:color w:val="auto"/>
              </w:rPr>
            </w:pPr>
          </w:p>
        </w:tc>
        <w:tc>
          <w:tcPr>
            <w:tcW w:w="1080" w:type="dxa"/>
            <w:vAlign w:val="bottom"/>
          </w:tcPr>
          <w:p>
            <w:pPr>
              <w:jc w:val="center"/>
              <w:ind w:left="20"/>
              <w:spacing w:after="0"/>
              <w:rPr>
                <w:sz w:val="20"/>
                <w:szCs w:val="20"/>
                <w:color w:val="auto"/>
              </w:rPr>
            </w:pPr>
            <w:r>
              <w:rPr>
                <w:rFonts w:ascii="Arial" w:cs="Arial" w:eastAsia="Arial" w:hAnsi="Arial"/>
                <w:sz w:val="20"/>
                <w:szCs w:val="20"/>
                <w:color w:val="auto"/>
                <w:w w:val="81"/>
              </w:rPr>
              <w:t>Shares</w:t>
            </w:r>
          </w:p>
        </w:tc>
        <w:tc>
          <w:tcPr>
            <w:tcW w:w="1040" w:type="dxa"/>
            <w:vAlign w:val="bottom"/>
          </w:tcPr>
          <w:p>
            <w:pPr>
              <w:jc w:val="right"/>
              <w:spacing w:after="0"/>
              <w:rPr>
                <w:sz w:val="20"/>
                <w:szCs w:val="20"/>
                <w:color w:val="auto"/>
              </w:rPr>
            </w:pPr>
            <w:r>
              <w:rPr>
                <w:rFonts w:ascii="Arial" w:cs="Arial" w:eastAsia="Arial" w:hAnsi="Arial"/>
                <w:sz w:val="20"/>
                <w:szCs w:val="20"/>
                <w:color w:val="auto"/>
                <w:w w:val="99"/>
              </w:rPr>
              <w:t>Employees</w:t>
            </w:r>
          </w:p>
        </w:tc>
        <w:tc>
          <w:tcPr>
            <w:tcW w:w="1040" w:type="dxa"/>
            <w:vAlign w:val="bottom"/>
          </w:tcPr>
          <w:p>
            <w:pPr>
              <w:jc w:val="center"/>
              <w:spacing w:after="0"/>
              <w:rPr>
                <w:sz w:val="20"/>
                <w:szCs w:val="20"/>
                <w:color w:val="auto"/>
              </w:rPr>
            </w:pPr>
            <w:r>
              <w:rPr>
                <w:rFonts w:ascii="Arial" w:cs="Arial" w:eastAsia="Arial" w:hAnsi="Arial"/>
                <w:sz w:val="20"/>
                <w:szCs w:val="20"/>
                <w:color w:val="auto"/>
                <w:w w:val="85"/>
              </w:rPr>
              <w:t>Shares</w:t>
            </w:r>
          </w:p>
        </w:tc>
        <w:tc>
          <w:tcPr>
            <w:tcW w:w="1160" w:type="dxa"/>
            <w:vAlign w:val="bottom"/>
          </w:tcPr>
          <w:p>
            <w:pPr>
              <w:ind w:left="100"/>
              <w:spacing w:after="0"/>
              <w:rPr>
                <w:sz w:val="20"/>
                <w:szCs w:val="20"/>
                <w:color w:val="auto"/>
              </w:rPr>
            </w:pPr>
            <w:r>
              <w:rPr>
                <w:rFonts w:ascii="Arial" w:cs="Arial" w:eastAsia="Arial" w:hAnsi="Arial"/>
                <w:sz w:val="20"/>
                <w:szCs w:val="20"/>
                <w:color w:val="auto"/>
              </w:rPr>
              <w:t>Employees</w:t>
            </w:r>
          </w:p>
        </w:tc>
        <w:tc>
          <w:tcPr>
            <w:tcW w:w="900" w:type="dxa"/>
            <w:vAlign w:val="bottom"/>
          </w:tcPr>
          <w:p>
            <w:pPr>
              <w:jc w:val="center"/>
              <w:spacing w:after="0"/>
              <w:rPr>
                <w:sz w:val="20"/>
                <w:szCs w:val="20"/>
                <w:color w:val="auto"/>
              </w:rPr>
            </w:pPr>
            <w:r>
              <w:rPr>
                <w:rFonts w:ascii="Arial" w:cs="Arial" w:eastAsia="Arial" w:hAnsi="Arial"/>
                <w:sz w:val="20"/>
                <w:szCs w:val="20"/>
                <w:color w:val="auto"/>
                <w:w w:val="85"/>
              </w:rPr>
              <w:t>Shares</w:t>
            </w:r>
          </w:p>
        </w:tc>
        <w:tc>
          <w:tcPr>
            <w:tcW w:w="1100" w:type="dxa"/>
            <w:vAlign w:val="bottom"/>
          </w:tcPr>
          <w:p>
            <w:pPr>
              <w:ind w:left="100"/>
              <w:spacing w:after="0"/>
              <w:rPr>
                <w:sz w:val="20"/>
                <w:szCs w:val="20"/>
                <w:color w:val="auto"/>
              </w:rPr>
            </w:pPr>
            <w:r>
              <w:rPr>
                <w:rFonts w:ascii="Arial" w:cs="Arial" w:eastAsia="Arial" w:hAnsi="Arial"/>
                <w:sz w:val="20"/>
                <w:szCs w:val="20"/>
                <w:color w:val="auto"/>
                <w:w w:val="99"/>
              </w:rPr>
              <w:t>Employees</w:t>
            </w:r>
          </w:p>
        </w:tc>
      </w:tr>
      <w:tr>
        <w:trPr>
          <w:trHeight w:val="51"/>
        </w:trPr>
        <w:tc>
          <w:tcPr>
            <w:tcW w:w="3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94"/>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Restricted shares issued</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60,673</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131</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60,169</w:t>
            </w:r>
          </w:p>
        </w:tc>
        <w:tc>
          <w:tcPr>
            <w:tcW w:w="11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111</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64,225</w:t>
            </w: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113</w:t>
            </w:r>
          </w:p>
        </w:tc>
      </w:tr>
      <w:tr>
        <w:trPr>
          <w:trHeight w:val="274"/>
        </w:trPr>
        <w:tc>
          <w:tcPr>
            <w:tcW w:w="3080" w:type="dxa"/>
            <w:vAlign w:val="bottom"/>
          </w:tcPr>
          <w:p>
            <w:pPr>
              <w:spacing w:after="0"/>
              <w:rPr>
                <w:sz w:val="20"/>
                <w:szCs w:val="20"/>
                <w:color w:val="auto"/>
              </w:rPr>
            </w:pPr>
            <w:r>
              <w:rPr>
                <w:rFonts w:ascii="Arial" w:cs="Arial" w:eastAsia="Arial" w:hAnsi="Arial"/>
                <w:sz w:val="20"/>
                <w:szCs w:val="20"/>
                <w:color w:val="auto"/>
              </w:rPr>
              <w:t>Restricted shares vested</w:t>
            </w:r>
          </w:p>
        </w:tc>
        <w:tc>
          <w:tcPr>
            <w:tcW w:w="1080" w:type="dxa"/>
            <w:vAlign w:val="bottom"/>
          </w:tcPr>
          <w:p>
            <w:pPr>
              <w:jc w:val="right"/>
              <w:spacing w:after="0"/>
              <w:rPr>
                <w:sz w:val="20"/>
                <w:szCs w:val="20"/>
                <w:color w:val="auto"/>
              </w:rPr>
            </w:pPr>
            <w:r>
              <w:rPr>
                <w:rFonts w:ascii="Arial" w:cs="Arial" w:eastAsia="Arial" w:hAnsi="Arial"/>
                <w:sz w:val="20"/>
                <w:szCs w:val="20"/>
                <w:color w:val="auto"/>
              </w:rPr>
              <w:t>41,800</w:t>
            </w:r>
          </w:p>
        </w:tc>
        <w:tc>
          <w:tcPr>
            <w:tcW w:w="1040" w:type="dxa"/>
            <w:vAlign w:val="bottom"/>
          </w:tcPr>
          <w:p>
            <w:pPr>
              <w:jc w:val="right"/>
              <w:spacing w:after="0"/>
              <w:rPr>
                <w:sz w:val="20"/>
                <w:szCs w:val="20"/>
                <w:color w:val="auto"/>
              </w:rPr>
            </w:pPr>
            <w:r>
              <w:rPr>
                <w:rFonts w:ascii="Arial" w:cs="Arial" w:eastAsia="Arial" w:hAnsi="Arial"/>
                <w:sz w:val="20"/>
                <w:szCs w:val="20"/>
                <w:color w:val="auto"/>
              </w:rPr>
              <w:t>81</w:t>
            </w:r>
          </w:p>
        </w:tc>
        <w:tc>
          <w:tcPr>
            <w:tcW w:w="1040" w:type="dxa"/>
            <w:vAlign w:val="bottom"/>
          </w:tcPr>
          <w:p>
            <w:pPr>
              <w:jc w:val="right"/>
              <w:spacing w:after="0"/>
              <w:rPr>
                <w:sz w:val="20"/>
                <w:szCs w:val="20"/>
                <w:color w:val="auto"/>
              </w:rPr>
            </w:pPr>
            <w:r>
              <w:rPr>
                <w:rFonts w:ascii="Arial" w:cs="Arial" w:eastAsia="Arial" w:hAnsi="Arial"/>
                <w:sz w:val="20"/>
                <w:szCs w:val="20"/>
                <w:color w:val="auto"/>
              </w:rPr>
              <w:t>38,825</w:t>
            </w:r>
          </w:p>
        </w:tc>
        <w:tc>
          <w:tcPr>
            <w:tcW w:w="1160" w:type="dxa"/>
            <w:vAlign w:val="bottom"/>
          </w:tcPr>
          <w:p>
            <w:pPr>
              <w:jc w:val="right"/>
              <w:ind w:right="80"/>
              <w:spacing w:after="0"/>
              <w:rPr>
                <w:sz w:val="20"/>
                <w:szCs w:val="20"/>
                <w:color w:val="auto"/>
              </w:rPr>
            </w:pPr>
            <w:r>
              <w:rPr>
                <w:rFonts w:ascii="Arial" w:cs="Arial" w:eastAsia="Arial" w:hAnsi="Arial"/>
                <w:sz w:val="20"/>
                <w:szCs w:val="20"/>
                <w:color w:val="auto"/>
              </w:rPr>
              <w:t>74</w:t>
            </w:r>
          </w:p>
        </w:tc>
        <w:tc>
          <w:tcPr>
            <w:tcW w:w="900" w:type="dxa"/>
            <w:vAlign w:val="bottom"/>
          </w:tcPr>
          <w:p>
            <w:pPr>
              <w:jc w:val="right"/>
              <w:spacing w:after="0"/>
              <w:rPr>
                <w:sz w:val="20"/>
                <w:szCs w:val="20"/>
                <w:color w:val="auto"/>
              </w:rPr>
            </w:pPr>
            <w:r>
              <w:rPr>
                <w:rFonts w:ascii="Arial" w:cs="Arial" w:eastAsia="Arial" w:hAnsi="Arial"/>
                <w:sz w:val="20"/>
                <w:szCs w:val="20"/>
                <w:color w:val="auto"/>
              </w:rPr>
              <w:t>32,427</w:t>
            </w: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69</w:t>
            </w:r>
          </w:p>
        </w:tc>
      </w:tr>
      <w:tr>
        <w:trPr>
          <w:trHeight w:val="41"/>
        </w:trPr>
        <w:tc>
          <w:tcPr>
            <w:tcW w:w="3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4"/>
        </w:trPr>
        <w:tc>
          <w:tcPr>
            <w:tcW w:w="3080" w:type="dxa"/>
            <w:vAlign w:val="bottom"/>
            <w:shd w:val="clear" w:color="auto" w:fill="CFF0FC"/>
          </w:tcPr>
          <w:p>
            <w:pPr>
              <w:spacing w:after="0"/>
              <w:rPr>
                <w:sz w:val="20"/>
                <w:szCs w:val="20"/>
                <w:color w:val="auto"/>
              </w:rPr>
            </w:pPr>
            <w:r>
              <w:rPr>
                <w:rFonts w:ascii="Arial" w:cs="Arial" w:eastAsia="Arial" w:hAnsi="Arial"/>
                <w:sz w:val="20"/>
                <w:szCs w:val="20"/>
                <w:color w:val="auto"/>
              </w:rPr>
              <w:t>Restricted shares awarded due to</w:t>
            </w:r>
          </w:p>
        </w:tc>
        <w:tc>
          <w:tcPr>
            <w:tcW w:w="108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90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r>
      <w:tr>
        <w:trPr>
          <w:trHeight w:val="321"/>
        </w:trPr>
        <w:tc>
          <w:tcPr>
            <w:tcW w:w="30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retirement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5,682</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8,700</w:t>
            </w:r>
          </w:p>
        </w:tc>
        <w:tc>
          <w:tcPr>
            <w:tcW w:w="11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2,350</w:t>
            </w:r>
          </w:p>
        </w:tc>
        <w:tc>
          <w:tcPr>
            <w:tcW w:w="11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w:t>
            </w:r>
          </w:p>
        </w:tc>
      </w:tr>
      <w:tr>
        <w:trPr>
          <w:trHeight w:val="274"/>
        </w:trPr>
        <w:tc>
          <w:tcPr>
            <w:tcW w:w="3080" w:type="dxa"/>
            <w:vAlign w:val="bottom"/>
          </w:tcPr>
          <w:p>
            <w:pPr>
              <w:spacing w:after="0"/>
              <w:rPr>
                <w:sz w:val="20"/>
                <w:szCs w:val="20"/>
                <w:color w:val="auto"/>
              </w:rPr>
            </w:pPr>
            <w:r>
              <w:rPr>
                <w:rFonts w:ascii="Arial" w:cs="Arial" w:eastAsia="Arial" w:hAnsi="Arial"/>
                <w:sz w:val="20"/>
                <w:szCs w:val="20"/>
                <w:color w:val="auto"/>
                <w:w w:val="96"/>
              </w:rPr>
              <w:t>Restricted shares awarded for other</w:t>
            </w: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700</w:t>
            </w:r>
          </w:p>
        </w:tc>
        <w:tc>
          <w:tcPr>
            <w:tcW w:w="1100" w:type="dxa"/>
            <w:vAlign w:val="bottom"/>
          </w:tcPr>
          <w:p>
            <w:pPr>
              <w:jc w:val="right"/>
              <w:ind w:right="20"/>
              <w:spacing w:after="0"/>
              <w:rPr>
                <w:sz w:val="20"/>
                <w:szCs w:val="20"/>
                <w:color w:val="auto"/>
              </w:rPr>
            </w:pPr>
            <w:r>
              <w:rPr>
                <w:rFonts w:ascii="Arial" w:cs="Arial" w:eastAsia="Arial" w:hAnsi="Arial"/>
                <w:sz w:val="20"/>
                <w:szCs w:val="20"/>
                <w:color w:val="auto"/>
              </w:rPr>
              <w:t>1</w:t>
            </w:r>
          </w:p>
        </w:tc>
      </w:tr>
      <w:tr>
        <w:trPr>
          <w:trHeight w:val="41"/>
        </w:trPr>
        <w:tc>
          <w:tcPr>
            <w:tcW w:w="3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4"/>
        </w:trPr>
        <w:tc>
          <w:tcPr>
            <w:tcW w:w="3080" w:type="dxa"/>
            <w:vAlign w:val="bottom"/>
            <w:shd w:val="clear" w:color="auto" w:fill="CFF0FC"/>
          </w:tcPr>
          <w:p>
            <w:pPr>
              <w:spacing w:after="0"/>
              <w:rPr>
                <w:sz w:val="20"/>
                <w:szCs w:val="20"/>
                <w:color w:val="auto"/>
              </w:rPr>
            </w:pPr>
            <w:r>
              <w:rPr>
                <w:rFonts w:ascii="Arial" w:cs="Arial" w:eastAsia="Arial" w:hAnsi="Arial"/>
                <w:sz w:val="20"/>
                <w:szCs w:val="20"/>
                <w:color w:val="auto"/>
              </w:rPr>
              <w:t>Restricted shares forfeited</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6,707</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5,811</w:t>
            </w:r>
          </w:p>
        </w:tc>
        <w:tc>
          <w:tcPr>
            <w:tcW w:w="116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7</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6,350</w:t>
            </w:r>
          </w:p>
        </w:tc>
        <w:tc>
          <w:tcPr>
            <w:tcW w:w="11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8</w:t>
            </w:r>
          </w:p>
        </w:tc>
      </w:tr>
      <w:tr>
        <w:trPr>
          <w:trHeight w:val="41"/>
        </w:trPr>
        <w:tc>
          <w:tcPr>
            <w:tcW w:w="308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2088515</wp:posOffset>
            </wp:positionH>
            <wp:positionV relativeFrom="paragraph">
              <wp:posOffset>-1987550</wp:posOffset>
            </wp:positionV>
            <wp:extent cx="3816985" cy="63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7">
                      <a:extLst>
                        <a:ext uri="{28A0092B-C50C-407E-A947-70E740481C1C}"/>
                      </a:extLst>
                    </a:blip>
                    <a:srcRect/>
                    <a:stretch>
                      <a:fillRect/>
                    </a:stretch>
                  </pic:blipFill>
                  <pic:spPr bwMode="auto">
                    <a:xfrm>
                      <a:off x="0" y="0"/>
                      <a:ext cx="3816985" cy="6350"/>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-1781175</wp:posOffset>
            </wp:positionV>
            <wp:extent cx="3816985" cy="63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58">
                      <a:extLst>
                        <a:ext uri="{28A0092B-C50C-407E-A947-70E740481C1C}"/>
                      </a:extLst>
                    </a:blip>
                    <a:srcRect/>
                    <a:stretch>
                      <a:fillRect/>
                    </a:stretch>
                  </pic:blipFill>
                  <pic:spPr bwMode="auto">
                    <a:xfrm>
                      <a:off x="0" y="0"/>
                      <a:ext cx="3816985" cy="6350"/>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-1194435</wp:posOffset>
            </wp:positionV>
            <wp:extent cx="3816985" cy="63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59">
                      <a:extLst>
                        <a:ext uri="{28A0092B-C50C-407E-A947-70E740481C1C}"/>
                      </a:extLst>
                    </a:blip>
                    <a:srcRect/>
                    <a:stretch>
                      <a:fillRect/>
                    </a:stretch>
                  </pic:blipFill>
                  <pic:spPr bwMode="auto">
                    <a:xfrm>
                      <a:off x="0" y="0"/>
                      <a:ext cx="3816985" cy="6350"/>
                    </a:xfrm>
                    <a:prstGeom prst="rect">
                      <a:avLst/>
                    </a:prstGeom>
                    <a:noFill/>
                  </pic:spPr>
                </pic:pic>
              </a:graphicData>
            </a:graphic>
          </wp:anchor>
        </w:drawing>
      </w:r>
    </w:p>
    <w:p>
      <w:pPr>
        <w:spacing w:after="0" w:line="31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following table summarizes the activity of restricted stock awards as of December 31:</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0" w:type="dxa"/>
            <w:vAlign w:val="bottom"/>
            <w:gridSpan w:val="3"/>
          </w:tcPr>
          <w:p>
            <w:pPr>
              <w:jc w:val="right"/>
              <w:spacing w:after="0"/>
              <w:rPr>
                <w:sz w:val="20"/>
                <w:szCs w:val="20"/>
                <w:color w:val="auto"/>
              </w:rPr>
            </w:pPr>
            <w:r>
              <w:rPr>
                <w:rFonts w:ascii="Arial" w:cs="Arial" w:eastAsia="Arial" w:hAnsi="Arial"/>
                <w:sz w:val="20"/>
                <w:szCs w:val="20"/>
                <w:color w:val="auto"/>
                <w:w w:val="90"/>
              </w:rPr>
              <w:t>Year Ended December 31,</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24"/>
        </w:trPr>
        <w:tc>
          <w:tcPr>
            <w:tcW w:w="274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Arial" w:cs="Arial" w:eastAsia="Arial" w:hAnsi="Arial"/>
                <w:sz w:val="20"/>
                <w:szCs w:val="20"/>
                <w:color w:val="auto"/>
              </w:rPr>
              <w:t>2025</w:t>
            </w:r>
          </w:p>
        </w:tc>
        <w:tc>
          <w:tcPr>
            <w:tcW w:w="70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2024</w:t>
            </w:r>
          </w:p>
        </w:tc>
        <w:tc>
          <w:tcPr>
            <w:tcW w:w="8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2023</w:t>
            </w:r>
          </w:p>
        </w:tc>
        <w:tc>
          <w:tcPr>
            <w:tcW w:w="840" w:type="dxa"/>
            <w:vAlign w:val="bottom"/>
          </w:tcPr>
          <w:p>
            <w:pPr>
              <w:spacing w:after="0"/>
              <w:rPr>
                <w:sz w:val="24"/>
                <w:szCs w:val="24"/>
                <w:color w:val="auto"/>
              </w:rPr>
            </w:pPr>
          </w:p>
        </w:tc>
      </w:tr>
      <w:tr>
        <w:trPr>
          <w:trHeight w:val="324"/>
        </w:trPr>
        <w:tc>
          <w:tcPr>
            <w:tcW w:w="2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color w:val="auto"/>
                <w:w w:val="97"/>
              </w:rPr>
              <w:t>Weighted</w:t>
            </w:r>
          </w:p>
        </w:tc>
        <w:tc>
          <w:tcPr>
            <w:tcW w:w="11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0"/>
                <w:szCs w:val="20"/>
                <w:color w:val="auto"/>
                <w:w w:val="97"/>
              </w:rPr>
              <w:t>Weighted</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0"/>
        </w:trPr>
        <w:tc>
          <w:tcPr>
            <w:tcW w:w="2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20"/>
                <w:szCs w:val="20"/>
                <w:color w:val="auto"/>
              </w:rPr>
              <w:t>average</w:t>
            </w:r>
          </w:p>
        </w:tc>
        <w:tc>
          <w:tcPr>
            <w:tcW w:w="114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20"/>
                <w:szCs w:val="20"/>
                <w:color w:val="auto"/>
              </w:rPr>
              <w:t>average</w:t>
            </w:r>
          </w:p>
        </w:tc>
        <w:tc>
          <w:tcPr>
            <w:tcW w:w="96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20"/>
                <w:szCs w:val="20"/>
                <w:color w:val="auto"/>
                <w:w w:val="92"/>
              </w:rPr>
              <w:t>Weighted</w:t>
            </w:r>
          </w:p>
        </w:tc>
      </w:tr>
      <w:tr>
        <w:trPr>
          <w:trHeight w:val="300"/>
        </w:trPr>
        <w:tc>
          <w:tcPr>
            <w:tcW w:w="2740" w:type="dxa"/>
            <w:vAlign w:val="bottom"/>
          </w:tcPr>
          <w:p>
            <w:pPr>
              <w:spacing w:after="0"/>
              <w:rPr>
                <w:sz w:val="24"/>
                <w:szCs w:val="24"/>
                <w:color w:val="auto"/>
              </w:rPr>
            </w:pPr>
          </w:p>
        </w:tc>
        <w:tc>
          <w:tcPr>
            <w:tcW w:w="1620" w:type="dxa"/>
            <w:vAlign w:val="bottom"/>
          </w:tcPr>
          <w:p>
            <w:pPr>
              <w:jc w:val="center"/>
              <w:ind w:left="360"/>
              <w:spacing w:after="0"/>
              <w:rPr>
                <w:sz w:val="20"/>
                <w:szCs w:val="20"/>
                <w:color w:val="auto"/>
              </w:rPr>
            </w:pPr>
            <w:r>
              <w:rPr>
                <w:rFonts w:ascii="Arial" w:cs="Arial" w:eastAsia="Arial" w:hAnsi="Arial"/>
                <w:sz w:val="20"/>
                <w:szCs w:val="20"/>
                <w:color w:val="auto"/>
                <w:w w:val="89"/>
              </w:rPr>
              <w:t>Number</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fair value</w:t>
            </w:r>
          </w:p>
        </w:tc>
        <w:tc>
          <w:tcPr>
            <w:tcW w:w="1140" w:type="dxa"/>
            <w:vAlign w:val="bottom"/>
          </w:tcPr>
          <w:p>
            <w:pPr>
              <w:jc w:val="center"/>
              <w:spacing w:after="0"/>
              <w:rPr>
                <w:sz w:val="20"/>
                <w:szCs w:val="20"/>
                <w:color w:val="auto"/>
              </w:rPr>
            </w:pPr>
            <w:r>
              <w:rPr>
                <w:rFonts w:ascii="Arial" w:cs="Arial" w:eastAsia="Arial" w:hAnsi="Arial"/>
                <w:sz w:val="20"/>
                <w:szCs w:val="20"/>
                <w:color w:val="auto"/>
                <w:w w:val="92"/>
              </w:rPr>
              <w:t>Number</w:t>
            </w:r>
          </w:p>
        </w:tc>
        <w:tc>
          <w:tcPr>
            <w:tcW w:w="1060" w:type="dxa"/>
            <w:vAlign w:val="bottom"/>
            <w:gridSpan w:val="2"/>
          </w:tcPr>
          <w:p>
            <w:pPr>
              <w:jc w:val="right"/>
              <w:ind w:right="120"/>
              <w:spacing w:after="0"/>
              <w:rPr>
                <w:sz w:val="20"/>
                <w:szCs w:val="20"/>
                <w:color w:val="auto"/>
              </w:rPr>
            </w:pPr>
            <w:r>
              <w:rPr>
                <w:rFonts w:ascii="Arial" w:cs="Arial" w:eastAsia="Arial" w:hAnsi="Arial"/>
                <w:sz w:val="20"/>
                <w:szCs w:val="20"/>
                <w:color w:val="auto"/>
              </w:rPr>
              <w:t>fair value</w:t>
            </w:r>
          </w:p>
        </w:tc>
        <w:tc>
          <w:tcPr>
            <w:tcW w:w="960" w:type="dxa"/>
            <w:vAlign w:val="bottom"/>
          </w:tcPr>
          <w:p>
            <w:pPr>
              <w:jc w:val="center"/>
              <w:ind w:right="120"/>
              <w:spacing w:after="0"/>
              <w:rPr>
                <w:sz w:val="20"/>
                <w:szCs w:val="20"/>
                <w:color w:val="auto"/>
              </w:rPr>
            </w:pPr>
            <w:r>
              <w:rPr>
                <w:rFonts w:ascii="Arial" w:cs="Arial" w:eastAsia="Arial" w:hAnsi="Arial"/>
                <w:sz w:val="20"/>
                <w:szCs w:val="20"/>
                <w:color w:val="auto"/>
                <w:w w:val="92"/>
              </w:rPr>
              <w:t>Number</w:t>
            </w:r>
          </w:p>
        </w:tc>
        <w:tc>
          <w:tcPr>
            <w:tcW w:w="160" w:type="dxa"/>
            <w:vAlign w:val="bottom"/>
          </w:tcPr>
          <w:p>
            <w:pPr>
              <w:spacing w:after="0"/>
              <w:rPr>
                <w:sz w:val="24"/>
                <w:szCs w:val="24"/>
                <w:color w:val="auto"/>
              </w:rPr>
            </w:pPr>
          </w:p>
        </w:tc>
        <w:tc>
          <w:tcPr>
            <w:tcW w:w="840" w:type="dxa"/>
            <w:vAlign w:val="bottom"/>
          </w:tcPr>
          <w:p>
            <w:pPr>
              <w:jc w:val="center"/>
              <w:ind w:right="120"/>
              <w:spacing w:after="0"/>
              <w:rPr>
                <w:sz w:val="20"/>
                <w:szCs w:val="20"/>
                <w:color w:val="auto"/>
              </w:rPr>
            </w:pPr>
            <w:r>
              <w:rPr>
                <w:rFonts w:ascii="Arial" w:cs="Arial" w:eastAsia="Arial" w:hAnsi="Arial"/>
                <w:sz w:val="20"/>
                <w:szCs w:val="20"/>
                <w:color w:val="auto"/>
                <w:w w:val="85"/>
              </w:rPr>
              <w:t>average</w:t>
            </w:r>
          </w:p>
        </w:tc>
      </w:tr>
      <w:tr>
        <w:trPr>
          <w:trHeight w:val="300"/>
        </w:trPr>
        <w:tc>
          <w:tcPr>
            <w:tcW w:w="2740" w:type="dxa"/>
            <w:vAlign w:val="bottom"/>
          </w:tcPr>
          <w:p>
            <w:pPr>
              <w:spacing w:after="0"/>
              <w:rPr>
                <w:sz w:val="24"/>
                <w:szCs w:val="24"/>
                <w:color w:val="auto"/>
              </w:rPr>
            </w:pPr>
          </w:p>
        </w:tc>
        <w:tc>
          <w:tcPr>
            <w:tcW w:w="1620" w:type="dxa"/>
            <w:vAlign w:val="bottom"/>
          </w:tcPr>
          <w:p>
            <w:pPr>
              <w:jc w:val="center"/>
              <w:ind w:left="400"/>
              <w:spacing w:after="0"/>
              <w:rPr>
                <w:sz w:val="20"/>
                <w:szCs w:val="20"/>
                <w:color w:val="auto"/>
              </w:rPr>
            </w:pPr>
            <w:r>
              <w:rPr>
                <w:rFonts w:ascii="Arial" w:cs="Arial" w:eastAsia="Arial" w:hAnsi="Arial"/>
                <w:sz w:val="20"/>
                <w:szCs w:val="20"/>
                <w:color w:val="auto"/>
                <w:w w:val="95"/>
              </w:rPr>
              <w:t>of</w:t>
            </w:r>
          </w:p>
        </w:tc>
        <w:tc>
          <w:tcPr>
            <w:tcW w:w="180" w:type="dxa"/>
            <w:vAlign w:val="bottom"/>
          </w:tcPr>
          <w:p>
            <w:pPr>
              <w:spacing w:after="0"/>
              <w:rPr>
                <w:sz w:val="24"/>
                <w:szCs w:val="24"/>
                <w:color w:val="auto"/>
              </w:rPr>
            </w:pPr>
          </w:p>
        </w:tc>
        <w:tc>
          <w:tcPr>
            <w:tcW w:w="700" w:type="dxa"/>
            <w:vAlign w:val="bottom"/>
          </w:tcPr>
          <w:p>
            <w:pPr>
              <w:jc w:val="right"/>
              <w:ind w:right="220"/>
              <w:spacing w:after="0"/>
              <w:rPr>
                <w:sz w:val="20"/>
                <w:szCs w:val="20"/>
                <w:color w:val="auto"/>
              </w:rPr>
            </w:pPr>
            <w:r>
              <w:rPr>
                <w:rFonts w:ascii="Arial" w:cs="Arial" w:eastAsia="Arial" w:hAnsi="Arial"/>
                <w:sz w:val="20"/>
                <w:szCs w:val="20"/>
                <w:color w:val="auto"/>
              </w:rPr>
              <w:t>per</w:t>
            </w:r>
          </w:p>
        </w:tc>
        <w:tc>
          <w:tcPr>
            <w:tcW w:w="1140" w:type="dxa"/>
            <w:vAlign w:val="bottom"/>
          </w:tcPr>
          <w:p>
            <w:pPr>
              <w:jc w:val="center"/>
              <w:spacing w:after="0"/>
              <w:rPr>
                <w:sz w:val="20"/>
                <w:szCs w:val="20"/>
                <w:color w:val="auto"/>
              </w:rPr>
            </w:pPr>
            <w:r>
              <w:rPr>
                <w:rFonts w:ascii="Arial" w:cs="Arial" w:eastAsia="Arial" w:hAnsi="Arial"/>
                <w:sz w:val="20"/>
                <w:szCs w:val="20"/>
                <w:color w:val="auto"/>
                <w:w w:val="95"/>
              </w:rPr>
              <w:t>of</w:t>
            </w:r>
          </w:p>
        </w:tc>
        <w:tc>
          <w:tcPr>
            <w:tcW w:w="180" w:type="dxa"/>
            <w:vAlign w:val="bottom"/>
          </w:tcPr>
          <w:p>
            <w:pPr>
              <w:spacing w:after="0"/>
              <w:rPr>
                <w:sz w:val="24"/>
                <w:szCs w:val="24"/>
                <w:color w:val="auto"/>
              </w:rPr>
            </w:pPr>
          </w:p>
        </w:tc>
        <w:tc>
          <w:tcPr>
            <w:tcW w:w="880" w:type="dxa"/>
            <w:vAlign w:val="bottom"/>
          </w:tcPr>
          <w:p>
            <w:pPr>
              <w:jc w:val="right"/>
              <w:ind w:right="400"/>
              <w:spacing w:after="0"/>
              <w:rPr>
                <w:sz w:val="20"/>
                <w:szCs w:val="20"/>
                <w:color w:val="auto"/>
              </w:rPr>
            </w:pPr>
            <w:r>
              <w:rPr>
                <w:rFonts w:ascii="Arial" w:cs="Arial" w:eastAsia="Arial" w:hAnsi="Arial"/>
                <w:sz w:val="20"/>
                <w:szCs w:val="20"/>
                <w:color w:val="auto"/>
              </w:rPr>
              <w:t>per</w:t>
            </w:r>
          </w:p>
        </w:tc>
        <w:tc>
          <w:tcPr>
            <w:tcW w:w="960" w:type="dxa"/>
            <w:vAlign w:val="bottom"/>
          </w:tcPr>
          <w:p>
            <w:pPr>
              <w:jc w:val="center"/>
              <w:ind w:right="60"/>
              <w:spacing w:after="0"/>
              <w:rPr>
                <w:sz w:val="20"/>
                <w:szCs w:val="20"/>
                <w:color w:val="auto"/>
              </w:rPr>
            </w:pPr>
            <w:r>
              <w:rPr>
                <w:rFonts w:ascii="Arial" w:cs="Arial" w:eastAsia="Arial" w:hAnsi="Arial"/>
                <w:sz w:val="20"/>
                <w:szCs w:val="20"/>
                <w:color w:val="auto"/>
                <w:w w:val="95"/>
              </w:rPr>
              <w:t>of</w:t>
            </w:r>
          </w:p>
        </w:tc>
        <w:tc>
          <w:tcPr>
            <w:tcW w:w="1000" w:type="dxa"/>
            <w:vAlign w:val="bottom"/>
            <w:gridSpan w:val="2"/>
          </w:tcPr>
          <w:p>
            <w:pPr>
              <w:jc w:val="center"/>
              <w:spacing w:after="0"/>
              <w:rPr>
                <w:sz w:val="20"/>
                <w:szCs w:val="20"/>
                <w:color w:val="auto"/>
              </w:rPr>
            </w:pPr>
            <w:r>
              <w:rPr>
                <w:rFonts w:ascii="Arial" w:cs="Arial" w:eastAsia="Arial" w:hAnsi="Arial"/>
                <w:sz w:val="20"/>
                <w:szCs w:val="20"/>
                <w:color w:val="auto"/>
                <w:w w:val="93"/>
              </w:rPr>
              <w:t>fair value</w:t>
            </w:r>
          </w:p>
        </w:tc>
      </w:tr>
      <w:tr>
        <w:trPr>
          <w:trHeight w:val="300"/>
        </w:trPr>
        <w:tc>
          <w:tcPr>
            <w:tcW w:w="2740" w:type="dxa"/>
            <w:vAlign w:val="bottom"/>
          </w:tcPr>
          <w:p>
            <w:pPr>
              <w:spacing w:after="0"/>
              <w:rPr>
                <w:sz w:val="24"/>
                <w:szCs w:val="24"/>
                <w:color w:val="auto"/>
              </w:rPr>
            </w:pPr>
          </w:p>
        </w:tc>
        <w:tc>
          <w:tcPr>
            <w:tcW w:w="1620" w:type="dxa"/>
            <w:vAlign w:val="bottom"/>
          </w:tcPr>
          <w:p>
            <w:pPr>
              <w:jc w:val="center"/>
              <w:ind w:left="400"/>
              <w:spacing w:after="0"/>
              <w:rPr>
                <w:sz w:val="20"/>
                <w:szCs w:val="20"/>
                <w:color w:val="auto"/>
              </w:rPr>
            </w:pPr>
            <w:r>
              <w:rPr>
                <w:rFonts w:ascii="Arial" w:cs="Arial" w:eastAsia="Arial" w:hAnsi="Arial"/>
                <w:sz w:val="20"/>
                <w:szCs w:val="20"/>
                <w:color w:val="auto"/>
                <w:w w:val="81"/>
              </w:rPr>
              <w:t>Shares</w:t>
            </w:r>
          </w:p>
        </w:tc>
        <w:tc>
          <w:tcPr>
            <w:tcW w:w="180" w:type="dxa"/>
            <w:vAlign w:val="bottom"/>
          </w:tcPr>
          <w:p>
            <w:pPr>
              <w:spacing w:after="0"/>
              <w:rPr>
                <w:sz w:val="24"/>
                <w:szCs w:val="24"/>
                <w:color w:val="auto"/>
              </w:rPr>
            </w:pPr>
          </w:p>
        </w:tc>
        <w:tc>
          <w:tcPr>
            <w:tcW w:w="700" w:type="dxa"/>
            <w:vAlign w:val="bottom"/>
          </w:tcPr>
          <w:p>
            <w:pPr>
              <w:jc w:val="right"/>
              <w:ind w:right="80"/>
              <w:spacing w:after="0"/>
              <w:rPr>
                <w:sz w:val="20"/>
                <w:szCs w:val="20"/>
                <w:color w:val="auto"/>
              </w:rPr>
            </w:pPr>
            <w:r>
              <w:rPr>
                <w:rFonts w:ascii="Arial" w:cs="Arial" w:eastAsia="Arial" w:hAnsi="Arial"/>
                <w:sz w:val="20"/>
                <w:szCs w:val="20"/>
                <w:color w:val="auto"/>
                <w:w w:val="91"/>
              </w:rPr>
              <w:t>award</w:t>
            </w:r>
          </w:p>
        </w:tc>
        <w:tc>
          <w:tcPr>
            <w:tcW w:w="1140" w:type="dxa"/>
            <w:vAlign w:val="bottom"/>
          </w:tcPr>
          <w:p>
            <w:pPr>
              <w:jc w:val="center"/>
              <w:spacing w:after="0"/>
              <w:rPr>
                <w:sz w:val="20"/>
                <w:szCs w:val="20"/>
                <w:color w:val="auto"/>
              </w:rPr>
            </w:pPr>
            <w:r>
              <w:rPr>
                <w:rFonts w:ascii="Arial" w:cs="Arial" w:eastAsia="Arial" w:hAnsi="Arial"/>
                <w:sz w:val="20"/>
                <w:szCs w:val="20"/>
                <w:color w:val="auto"/>
                <w:w w:val="81"/>
              </w:rPr>
              <w:t>Shares</w:t>
            </w:r>
          </w:p>
        </w:tc>
        <w:tc>
          <w:tcPr>
            <w:tcW w:w="180" w:type="dxa"/>
            <w:vAlign w:val="bottom"/>
          </w:tcPr>
          <w:p>
            <w:pPr>
              <w:spacing w:after="0"/>
              <w:rPr>
                <w:sz w:val="24"/>
                <w:szCs w:val="24"/>
                <w:color w:val="auto"/>
              </w:rPr>
            </w:pPr>
          </w:p>
        </w:tc>
        <w:tc>
          <w:tcPr>
            <w:tcW w:w="880" w:type="dxa"/>
            <w:vAlign w:val="bottom"/>
          </w:tcPr>
          <w:p>
            <w:pPr>
              <w:jc w:val="right"/>
              <w:ind w:right="260"/>
              <w:spacing w:after="0"/>
              <w:rPr>
                <w:sz w:val="20"/>
                <w:szCs w:val="20"/>
                <w:color w:val="auto"/>
              </w:rPr>
            </w:pPr>
            <w:r>
              <w:rPr>
                <w:rFonts w:ascii="Arial" w:cs="Arial" w:eastAsia="Arial" w:hAnsi="Arial"/>
                <w:sz w:val="20"/>
                <w:szCs w:val="20"/>
                <w:color w:val="auto"/>
                <w:w w:val="91"/>
              </w:rPr>
              <w:t>award</w:t>
            </w:r>
          </w:p>
        </w:tc>
        <w:tc>
          <w:tcPr>
            <w:tcW w:w="960" w:type="dxa"/>
            <w:vAlign w:val="bottom"/>
          </w:tcPr>
          <w:p>
            <w:pPr>
              <w:jc w:val="center"/>
              <w:ind w:right="60"/>
              <w:spacing w:after="0"/>
              <w:rPr>
                <w:sz w:val="20"/>
                <w:szCs w:val="20"/>
                <w:color w:val="auto"/>
              </w:rPr>
            </w:pPr>
            <w:r>
              <w:rPr>
                <w:rFonts w:ascii="Arial" w:cs="Arial" w:eastAsia="Arial" w:hAnsi="Arial"/>
                <w:sz w:val="20"/>
                <w:szCs w:val="20"/>
                <w:color w:val="auto"/>
                <w:w w:val="81"/>
              </w:rPr>
              <w:t>Shares</w:t>
            </w:r>
          </w:p>
        </w:tc>
        <w:tc>
          <w:tcPr>
            <w:tcW w:w="1000" w:type="dxa"/>
            <w:vAlign w:val="bottom"/>
            <w:gridSpan w:val="2"/>
          </w:tcPr>
          <w:p>
            <w:pPr>
              <w:jc w:val="center"/>
              <w:spacing w:after="0"/>
              <w:rPr>
                <w:sz w:val="20"/>
                <w:szCs w:val="20"/>
                <w:color w:val="auto"/>
              </w:rPr>
            </w:pPr>
            <w:r>
              <w:rPr>
                <w:rFonts w:ascii="Arial" w:cs="Arial" w:eastAsia="Arial" w:hAnsi="Arial"/>
                <w:sz w:val="20"/>
                <w:szCs w:val="20"/>
                <w:color w:val="auto"/>
                <w:w w:val="87"/>
              </w:rPr>
              <w:t>per award</w:t>
            </w:r>
          </w:p>
        </w:tc>
      </w:tr>
      <w:tr>
        <w:trPr>
          <w:trHeight w:val="51"/>
        </w:trPr>
        <w:tc>
          <w:tcPr>
            <w:tcW w:w="27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94"/>
        </w:trPr>
        <w:tc>
          <w:tcPr>
            <w:tcW w:w="2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Beginning of period</w:t>
            </w:r>
          </w:p>
        </w:tc>
        <w:tc>
          <w:tcPr>
            <w:tcW w:w="16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158,183</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25.17</w:t>
            </w:r>
          </w:p>
        </w:tc>
        <w:tc>
          <w:tcPr>
            <w:tcW w:w="11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151,350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25.00</w:t>
            </w:r>
          </w:p>
        </w:tc>
        <w:tc>
          <w:tcPr>
            <w:tcW w:w="9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128,952</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25.75</w:t>
            </w:r>
          </w:p>
        </w:tc>
      </w:tr>
      <w:tr>
        <w:trPr>
          <w:trHeight w:val="274"/>
        </w:trPr>
        <w:tc>
          <w:tcPr>
            <w:tcW w:w="2740" w:type="dxa"/>
            <w:vAlign w:val="bottom"/>
          </w:tcPr>
          <w:p>
            <w:pPr>
              <w:spacing w:after="0"/>
              <w:rPr>
                <w:sz w:val="20"/>
                <w:szCs w:val="20"/>
                <w:color w:val="auto"/>
              </w:rPr>
            </w:pPr>
            <w:r>
              <w:rPr>
                <w:rFonts w:ascii="Arial" w:cs="Arial" w:eastAsia="Arial" w:hAnsi="Arial"/>
                <w:sz w:val="20"/>
                <w:szCs w:val="20"/>
                <w:color w:val="auto"/>
              </w:rPr>
              <w:t>Granted</w:t>
            </w:r>
          </w:p>
        </w:tc>
        <w:tc>
          <w:tcPr>
            <w:tcW w:w="1620" w:type="dxa"/>
            <w:vAlign w:val="bottom"/>
          </w:tcPr>
          <w:p>
            <w:pPr>
              <w:jc w:val="right"/>
              <w:ind w:right="40"/>
              <w:spacing w:after="0"/>
              <w:rPr>
                <w:sz w:val="20"/>
                <w:szCs w:val="20"/>
                <w:color w:val="auto"/>
              </w:rPr>
            </w:pPr>
            <w:r>
              <w:rPr>
                <w:rFonts w:ascii="Arial" w:cs="Arial" w:eastAsia="Arial" w:hAnsi="Arial"/>
                <w:sz w:val="20"/>
                <w:szCs w:val="20"/>
                <w:color w:val="auto"/>
              </w:rPr>
              <w:t>60,673</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26.09</w:t>
            </w:r>
          </w:p>
        </w:tc>
        <w:tc>
          <w:tcPr>
            <w:tcW w:w="1140" w:type="dxa"/>
            <w:vAlign w:val="bottom"/>
          </w:tcPr>
          <w:p>
            <w:pPr>
              <w:jc w:val="right"/>
              <w:ind w:right="40"/>
              <w:spacing w:after="0"/>
              <w:rPr>
                <w:sz w:val="20"/>
                <w:szCs w:val="20"/>
                <w:color w:val="auto"/>
              </w:rPr>
            </w:pPr>
            <w:r>
              <w:rPr>
                <w:rFonts w:ascii="Arial" w:cs="Arial" w:eastAsia="Arial" w:hAnsi="Arial"/>
                <w:sz w:val="20"/>
                <w:szCs w:val="20"/>
                <w:color w:val="auto"/>
              </w:rPr>
              <w:t>60,169</w:t>
            </w:r>
          </w:p>
        </w:tc>
        <w:tc>
          <w:tcPr>
            <w:tcW w:w="180" w:type="dxa"/>
            <w:vAlign w:val="bottom"/>
          </w:tcPr>
          <w:p>
            <w:pPr>
              <w:spacing w:after="0"/>
              <w:rPr>
                <w:sz w:val="23"/>
                <w:szCs w:val="23"/>
                <w:color w:val="auto"/>
              </w:rPr>
            </w:pPr>
          </w:p>
        </w:tc>
        <w:tc>
          <w:tcPr>
            <w:tcW w:w="880" w:type="dxa"/>
            <w:vAlign w:val="bottom"/>
          </w:tcPr>
          <w:p>
            <w:pPr>
              <w:jc w:val="right"/>
              <w:ind w:right="120"/>
              <w:spacing w:after="0"/>
              <w:rPr>
                <w:sz w:val="20"/>
                <w:szCs w:val="20"/>
                <w:color w:val="auto"/>
              </w:rPr>
            </w:pPr>
            <w:r>
              <w:rPr>
                <w:rFonts w:ascii="Arial" w:cs="Arial" w:eastAsia="Arial" w:hAnsi="Arial"/>
                <w:sz w:val="20"/>
                <w:szCs w:val="20"/>
                <w:color w:val="auto"/>
              </w:rPr>
              <w:t>24.13</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64,225</w:t>
            </w:r>
          </w:p>
        </w:tc>
        <w:tc>
          <w:tcPr>
            <w:tcW w:w="1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22.24</w:t>
            </w:r>
          </w:p>
        </w:tc>
      </w:tr>
      <w:tr>
        <w:trPr>
          <w:trHeight w:val="41"/>
        </w:trPr>
        <w:tc>
          <w:tcPr>
            <w:tcW w:w="27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4"/>
        </w:trPr>
        <w:tc>
          <w:tcPr>
            <w:tcW w:w="2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Vested</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(47,482)</w:t>
            </w:r>
          </w:p>
        </w:tc>
        <w:tc>
          <w:tcPr>
            <w:tcW w:w="1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30.00</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(47,525)</w:t>
            </w:r>
          </w:p>
        </w:tc>
        <w:tc>
          <w:tcPr>
            <w:tcW w:w="1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23.42</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(35,477)</w:t>
            </w:r>
          </w:p>
        </w:tc>
        <w:tc>
          <w:tcPr>
            <w:tcW w:w="1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22.54</w:t>
            </w:r>
          </w:p>
        </w:tc>
      </w:tr>
      <w:tr>
        <w:trPr>
          <w:trHeight w:val="284"/>
        </w:trPr>
        <w:tc>
          <w:tcPr>
            <w:tcW w:w="2740" w:type="dxa"/>
            <w:vAlign w:val="bottom"/>
          </w:tcPr>
          <w:p>
            <w:pPr>
              <w:spacing w:after="0"/>
              <w:rPr>
                <w:sz w:val="20"/>
                <w:szCs w:val="20"/>
                <w:color w:val="auto"/>
              </w:rPr>
            </w:pPr>
            <w:r>
              <w:rPr>
                <w:rFonts w:ascii="Arial" w:cs="Arial" w:eastAsia="Arial" w:hAnsi="Arial"/>
                <w:sz w:val="20"/>
                <w:szCs w:val="20"/>
                <w:color w:val="auto"/>
              </w:rPr>
              <w:t>Forfeited</w:t>
            </w:r>
          </w:p>
        </w:tc>
        <w:tc>
          <w:tcPr>
            <w:tcW w:w="1620" w:type="dxa"/>
            <w:vAlign w:val="bottom"/>
          </w:tcPr>
          <w:p>
            <w:pPr>
              <w:jc w:val="right"/>
              <w:spacing w:after="0"/>
              <w:rPr>
                <w:sz w:val="20"/>
                <w:szCs w:val="20"/>
                <w:color w:val="auto"/>
              </w:rPr>
            </w:pPr>
            <w:r>
              <w:rPr>
                <w:rFonts w:ascii="Arial" w:cs="Arial" w:eastAsia="Arial" w:hAnsi="Arial"/>
                <w:sz w:val="20"/>
                <w:szCs w:val="20"/>
                <w:color w:val="auto"/>
              </w:rPr>
              <w:t>(6,707)</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25.94</w:t>
            </w:r>
          </w:p>
        </w:tc>
        <w:tc>
          <w:tcPr>
            <w:tcW w:w="1140" w:type="dxa"/>
            <w:vAlign w:val="bottom"/>
          </w:tcPr>
          <w:p>
            <w:pPr>
              <w:jc w:val="right"/>
              <w:spacing w:after="0"/>
              <w:rPr>
                <w:sz w:val="20"/>
                <w:szCs w:val="20"/>
                <w:color w:val="auto"/>
              </w:rPr>
            </w:pPr>
            <w:r>
              <w:rPr>
                <w:rFonts w:ascii="Arial" w:cs="Arial" w:eastAsia="Arial" w:hAnsi="Arial"/>
                <w:sz w:val="20"/>
                <w:szCs w:val="20"/>
                <w:color w:val="auto"/>
              </w:rPr>
              <w:t>(5,811)</w:t>
            </w:r>
          </w:p>
        </w:tc>
        <w:tc>
          <w:tcPr>
            <w:tcW w:w="180" w:type="dxa"/>
            <w:vAlign w:val="bottom"/>
          </w:tcPr>
          <w:p>
            <w:pPr>
              <w:spacing w:after="0"/>
              <w:rPr>
                <w:sz w:val="24"/>
                <w:szCs w:val="24"/>
                <w:color w:val="auto"/>
              </w:rPr>
            </w:pPr>
          </w:p>
        </w:tc>
        <w:tc>
          <w:tcPr>
            <w:tcW w:w="880" w:type="dxa"/>
            <w:vAlign w:val="bottom"/>
          </w:tcPr>
          <w:p>
            <w:pPr>
              <w:jc w:val="right"/>
              <w:ind w:right="120"/>
              <w:spacing w:after="0"/>
              <w:rPr>
                <w:sz w:val="20"/>
                <w:szCs w:val="20"/>
                <w:color w:val="auto"/>
              </w:rPr>
            </w:pPr>
            <w:r>
              <w:rPr>
                <w:rFonts w:ascii="Arial" w:cs="Arial" w:eastAsia="Arial" w:hAnsi="Arial"/>
                <w:sz w:val="20"/>
                <w:szCs w:val="20"/>
                <w:color w:val="auto"/>
              </w:rPr>
              <w:t>24.89</w:t>
            </w:r>
          </w:p>
        </w:tc>
        <w:tc>
          <w:tcPr>
            <w:tcW w:w="960" w:type="dxa"/>
            <w:vAlign w:val="bottom"/>
          </w:tcPr>
          <w:p>
            <w:pPr>
              <w:jc w:val="right"/>
              <w:spacing w:after="0"/>
              <w:rPr>
                <w:sz w:val="20"/>
                <w:szCs w:val="20"/>
                <w:color w:val="auto"/>
              </w:rPr>
            </w:pPr>
            <w:r>
              <w:rPr>
                <w:rFonts w:ascii="Arial" w:cs="Arial" w:eastAsia="Arial" w:hAnsi="Arial"/>
                <w:sz w:val="20"/>
                <w:szCs w:val="20"/>
                <w:color w:val="auto"/>
              </w:rPr>
              <w:t>(6,350)</w:t>
            </w:r>
          </w:p>
        </w:tc>
        <w:tc>
          <w:tcPr>
            <w:tcW w:w="16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21.72</w:t>
            </w:r>
          </w:p>
        </w:tc>
      </w:tr>
      <w:tr>
        <w:trPr>
          <w:trHeight w:val="41"/>
        </w:trPr>
        <w:tc>
          <w:tcPr>
            <w:tcW w:w="27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19"/>
        </w:trPr>
        <w:tc>
          <w:tcPr>
            <w:tcW w:w="2740" w:type="dxa"/>
            <w:vAlign w:val="bottom"/>
            <w:shd w:val="clear" w:color="auto" w:fill="CFF0FC"/>
          </w:tcPr>
          <w:p>
            <w:pPr>
              <w:spacing w:after="0"/>
              <w:rPr>
                <w:sz w:val="20"/>
                <w:szCs w:val="20"/>
                <w:color w:val="auto"/>
              </w:rPr>
            </w:pPr>
            <w:r>
              <w:rPr>
                <w:rFonts w:ascii="Arial" w:cs="Arial" w:eastAsia="Arial" w:hAnsi="Arial"/>
                <w:sz w:val="20"/>
                <w:szCs w:val="20"/>
                <w:color w:val="auto"/>
              </w:rPr>
              <w:t>Nonvested, end of period</w:t>
            </w:r>
          </w:p>
        </w:tc>
        <w:tc>
          <w:tcPr>
            <w:tcW w:w="162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164,667</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24.13</w:t>
            </w: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158,183</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25.17</w:t>
            </w:r>
          </w:p>
        </w:tc>
        <w:tc>
          <w:tcPr>
            <w:tcW w:w="9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151,350</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25.00</w:t>
            </w:r>
          </w:p>
        </w:tc>
      </w:tr>
      <w:tr>
        <w:trPr>
          <w:trHeight w:val="41"/>
        </w:trPr>
        <w:tc>
          <w:tcPr>
            <w:tcW w:w="2740" w:type="dxa"/>
            <w:vAlign w:val="bottom"/>
            <w:shd w:val="clear" w:color="auto" w:fill="CFF0FC"/>
          </w:tcPr>
          <w:p>
            <w:pPr>
              <w:spacing w:after="0"/>
              <w:rPr>
                <w:sz w:val="3"/>
                <w:szCs w:val="3"/>
                <w:color w:val="auto"/>
              </w:rPr>
            </w:pPr>
          </w:p>
        </w:tc>
        <w:tc>
          <w:tcPr>
            <w:tcW w:w="162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-2212975</wp:posOffset>
            </wp:positionV>
            <wp:extent cx="3752215" cy="63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0">
                      <a:extLst>
                        <a:ext uri="{28A0092B-C50C-407E-A947-70E740481C1C}"/>
                      </a:extLst>
                    </a:blip>
                    <a:srcRect/>
                    <a:stretch>
                      <a:fillRect/>
                    </a:stretch>
                  </pic:blipFill>
                  <pic:spPr bwMode="auto">
                    <a:xfrm>
                      <a:off x="0" y="0"/>
                      <a:ext cx="3752215" cy="63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-2006600</wp:posOffset>
            </wp:positionV>
            <wp:extent cx="3752215" cy="63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1">
                      <a:extLst>
                        <a:ext uri="{28A0092B-C50C-407E-A947-70E740481C1C}"/>
                      </a:extLst>
                    </a:blip>
                    <a:srcRect/>
                    <a:stretch>
                      <a:fillRect/>
                    </a:stretch>
                  </pic:blipFill>
                  <pic:spPr bwMode="auto">
                    <a:xfrm>
                      <a:off x="0" y="0"/>
                      <a:ext cx="3752215" cy="63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-1038860</wp:posOffset>
            </wp:positionV>
            <wp:extent cx="3752215" cy="63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2">
                      <a:extLst>
                        <a:ext uri="{28A0092B-C50C-407E-A947-70E740481C1C}"/>
                      </a:extLst>
                    </a:blip>
                    <a:srcRect/>
                    <a:stretch>
                      <a:fillRect/>
                    </a:stretch>
                  </pic:blipFill>
                  <pic:spPr bwMode="auto">
                    <a:xfrm>
                      <a:off x="0" y="0"/>
                      <a:ext cx="3752215" cy="63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-233680</wp:posOffset>
            </wp:positionV>
            <wp:extent cx="532765" cy="63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3">
                      <a:extLst>
                        <a:ext uri="{28A0092B-C50C-407E-A947-70E740481C1C}"/>
                      </a:extLst>
                    </a:blip>
                    <a:srcRect/>
                    <a:stretch>
                      <a:fillRect/>
                    </a:stretch>
                  </pic:blipFill>
                  <pic:spPr bwMode="auto">
                    <a:xfrm>
                      <a:off x="0" y="0"/>
                      <a:ext cx="532765" cy="635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-233680</wp:posOffset>
            </wp:positionV>
            <wp:extent cx="532765" cy="63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4">
                      <a:extLst>
                        <a:ext uri="{28A0092B-C50C-407E-A947-70E740481C1C}"/>
                      </a:extLst>
                    </a:blip>
                    <a:srcRect/>
                    <a:stretch>
                      <a:fillRect/>
                    </a:stretch>
                  </pic:blipFill>
                  <pic:spPr bwMode="auto">
                    <a:xfrm>
                      <a:off x="0" y="0"/>
                      <a:ext cx="532765" cy="635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-233680</wp:posOffset>
            </wp:positionV>
            <wp:extent cx="532765" cy="63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5">
                      <a:extLst>
                        <a:ext uri="{28A0092B-C50C-407E-A947-70E740481C1C}"/>
                      </a:extLst>
                    </a:blip>
                    <a:srcRect/>
                    <a:stretch>
                      <a:fillRect/>
                    </a:stretch>
                  </pic:blipFill>
                  <pic:spPr bwMode="auto">
                    <a:xfrm>
                      <a:off x="0" y="0"/>
                      <a:ext cx="532765" cy="63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-27940</wp:posOffset>
            </wp:positionV>
            <wp:extent cx="591820" cy="2857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6">
                      <a:extLst>
                        <a:ext uri="{28A0092B-C50C-407E-A947-70E740481C1C}"/>
                      </a:extLst>
                    </a:blip>
                    <a:srcRect/>
                    <a:stretch>
                      <a:fillRect/>
                    </a:stretch>
                  </pic:blipFill>
                  <pic:spPr bwMode="auto">
                    <a:xfrm>
                      <a:off x="0" y="0"/>
                      <a:ext cx="591820" cy="2857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-27940</wp:posOffset>
            </wp:positionV>
            <wp:extent cx="591820" cy="285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7">
                      <a:extLst>
                        <a:ext uri="{28A0092B-C50C-407E-A947-70E740481C1C}"/>
                      </a:extLst>
                    </a:blip>
                    <a:srcRect/>
                    <a:stretch>
                      <a:fillRect/>
                    </a:stretch>
                  </pic:blipFill>
                  <pic:spPr bwMode="auto">
                    <a:xfrm>
                      <a:off x="0" y="0"/>
                      <a:ext cx="591820" cy="2857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-27940</wp:posOffset>
            </wp:positionV>
            <wp:extent cx="591820" cy="285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68">
                      <a:extLst>
                        <a:ext uri="{28A0092B-C50C-407E-A947-70E740481C1C}"/>
                      </a:extLst>
                    </a:blip>
                    <a:srcRect/>
                    <a:stretch>
                      <a:fillRect/>
                    </a:stretch>
                  </pic:blipFill>
                  <pic:spPr bwMode="auto">
                    <a:xfrm>
                      <a:off x="0" y="0"/>
                      <a:ext cx="59182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20" w:right="100"/>
        <w:spacing w:after="0" w:line="331" w:lineRule="auto"/>
        <w:rPr>
          <w:sz w:val="20"/>
          <w:szCs w:val="20"/>
          <w:color w:val="auto"/>
        </w:rPr>
      </w:pPr>
      <w:r>
        <w:rPr>
          <w:rFonts w:ascii="Arial" w:cs="Arial" w:eastAsia="Arial" w:hAnsi="Arial"/>
          <w:sz w:val="19"/>
          <w:szCs w:val="19"/>
          <w:color w:val="auto"/>
        </w:rPr>
        <w:t>As of December 31, 2025, there was $2.1 million of unrecognized compensation cost related to the nonvested portion of restricted stock awards under the plan to be recognized over the next three years.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 Earnings Per Share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24</w:t>
      </w:r>
    </w:p>
    <w:p>
      <w:pPr>
        <w:sectPr>
          <w:pgSz w:w="11900" w:h="16838" w:orient="portrait"/>
          <w:cols w:equalWidth="0" w:num="1">
            <w:col w:w="9400"/>
          </w:cols>
          <w:pgMar w:left="1260" w:top="1440" w:right="1246" w:bottom="0" w:gutter="0" w:footer="0" w:header="0"/>
          <w:type w:val="continuous"/>
        </w:sectPr>
      </w:pPr>
    </w:p>
    <w:bookmarkStart w:id="212" w:name="page213"/>
    <w:bookmarkEnd w:id="212"/>
    <w:p>
      <w:pPr>
        <w:jc w:val="both"/>
        <w:ind w:left="440"/>
        <w:spacing w:after="0" w:line="349" w:lineRule="auto"/>
        <w:rPr>
          <w:sz w:val="20"/>
          <w:szCs w:val="20"/>
          <w:color w:val="auto"/>
        </w:rPr>
      </w:pPr>
      <w:r>
        <w:rPr>
          <w:rFonts w:ascii="Arial" w:cs="Arial" w:eastAsia="Arial" w:hAnsi="Arial"/>
          <w:sz w:val="18"/>
          <w:szCs w:val="18"/>
          <w:color w:val="auto"/>
        </w:rPr>
        <w:t>The Compensation Committee of the Company has determined that it is appropriate to award shares of the common stock of the Company to Directors, whether outside or also an officer of the Company or the Bank, as a portion of their retainer for services rendered. The Committee believes that it is appropriate to award the Directors shares equal to a specific dollar amount, rounded to the nearest whole share on an annual basis commencing on June 5, 2020 and thereafter on the first Thursday of June. Directors receive a prorated dollar value of shares for a partial year of service. The value for the shares is to be based upon the prior day closing price. On June 5, 2025, ten Directors each received $17,496 which equated to 762 shares and one Director received $6,704 which equated to 292 shares. On July 29, 2025, one new Director received 288 prorated shares worth $7,436. On June 7, 2024, twelve Directors each received $15,007 worth of shares which equated to 716 shares while one Director received a prorated dollar amount of $5,911 which equated to 282 shares. On December 5, 2024, one new Director received 54 prorated shares worth approximately</w:t>
      </w:r>
    </w:p>
    <w:p>
      <w:pPr>
        <w:spacing w:after="0" w:line="219"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6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17 / 24</w:t>
      </w:r>
    </w:p>
    <w:p>
      <w:pPr>
        <w:sectPr>
          <w:pgSz w:w="11900" w:h="16838" w:orient="portrait"/>
          <w:cols w:equalWidth="0" w:num="1">
            <w:col w:w="9160"/>
          </w:cols>
          <w:pgMar w:left="1440" w:top="1173" w:right="1306" w:bottom="0" w:gutter="0" w:footer="0" w:header="0"/>
          <w:type w:val="continuous"/>
        </w:sectPr>
      </w:pPr>
    </w:p>
    <w:bookmarkStart w:id="213" w:name="page214"/>
    <w:bookmarkEnd w:id="213"/>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300" w:lineRule="exact"/>
        <w:rPr>
          <w:sz w:val="20"/>
          <w:szCs w:val="20"/>
          <w:color w:val="auto"/>
        </w:rPr>
      </w:pPr>
    </w:p>
    <w:p>
      <w:pPr>
        <w:jc w:val="both"/>
        <w:ind w:left="620" w:right="60"/>
        <w:spacing w:after="0" w:line="307" w:lineRule="auto"/>
        <w:rPr>
          <w:sz w:val="20"/>
          <w:szCs w:val="20"/>
          <w:color w:val="auto"/>
        </w:rPr>
      </w:pPr>
      <w:r>
        <w:rPr>
          <w:rFonts w:ascii="Arial" w:cs="Arial" w:eastAsia="Arial" w:hAnsi="Arial"/>
          <w:sz w:val="20"/>
          <w:szCs w:val="20"/>
          <w:color w:val="auto"/>
        </w:rPr>
        <w:t>$1,730. On June 2, 2023, twelve Directors each received $14,997 worth of shares which equated to 754 shares. The use of stock for Directors' retainer, does not have an effect on diluted earnings per share as it is immediately vested.</w:t>
      </w:r>
    </w:p>
    <w:p>
      <w:pPr>
        <w:spacing w:after="0" w:line="257" w:lineRule="exact"/>
        <w:rPr>
          <w:sz w:val="20"/>
          <w:szCs w:val="20"/>
          <w:color w:val="auto"/>
        </w:rPr>
      </w:pPr>
    </w:p>
    <w:p>
      <w:pPr>
        <w:jc w:val="both"/>
        <w:ind w:left="620" w:right="60"/>
        <w:spacing w:after="0" w:line="302" w:lineRule="auto"/>
        <w:rPr>
          <w:sz w:val="20"/>
          <w:szCs w:val="20"/>
          <w:color w:val="auto"/>
        </w:rPr>
      </w:pPr>
      <w:r>
        <w:rPr>
          <w:rFonts w:ascii="Arial" w:cs="Arial" w:eastAsia="Arial" w:hAnsi="Arial"/>
          <w:sz w:val="20"/>
          <w:szCs w:val="20"/>
          <w:color w:val="auto"/>
        </w:rPr>
        <w:t>The table below presents basic and diluted earnings per share for the years ended December 31, 2025, 2024, and 2023:</w:t>
      </w:r>
    </w:p>
    <w:p>
      <w:pPr>
        <w:spacing w:after="0" w:line="356"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40" w:type="dxa"/>
            <w:vAlign w:val="bottom"/>
            <w:gridSpan w:val="5"/>
          </w:tcPr>
          <w:p>
            <w:pPr>
              <w:jc w:val="right"/>
              <w:ind w:right="160"/>
              <w:spacing w:after="0"/>
              <w:rPr>
                <w:sz w:val="20"/>
                <w:szCs w:val="20"/>
                <w:color w:val="auto"/>
              </w:rPr>
            </w:pPr>
            <w:r>
              <w:rPr>
                <w:rFonts w:ascii="Arial" w:cs="Arial" w:eastAsia="Arial" w:hAnsi="Arial"/>
                <w:sz w:val="20"/>
                <w:szCs w:val="20"/>
                <w:color w:val="auto"/>
                <w:w w:val="90"/>
              </w:rPr>
              <w:t>(In Thousands, Except Per Share Data)</w:t>
            </w:r>
          </w:p>
        </w:tc>
      </w:tr>
      <w:tr>
        <w:trPr>
          <w:trHeight w:val="324"/>
        </w:trPr>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20"/>
                <w:szCs w:val="20"/>
                <w:color w:val="auto"/>
                <w:w w:val="96"/>
              </w:rPr>
              <w:t>Year Ended</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4"/>
        </w:trPr>
        <w:tc>
          <w:tcPr>
            <w:tcW w:w="38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20"/>
                <w:szCs w:val="20"/>
                <w:color w:val="auto"/>
              </w:rPr>
              <w:t>December</w:t>
            </w:r>
          </w:p>
        </w:tc>
        <w:tc>
          <w:tcPr>
            <w:tcW w:w="1220" w:type="dxa"/>
            <w:vAlign w:val="bottom"/>
            <w:gridSpan w:val="2"/>
          </w:tcPr>
          <w:p>
            <w:pPr>
              <w:jc w:val="right"/>
              <w:ind w:right="160"/>
              <w:spacing w:after="0"/>
              <w:rPr>
                <w:sz w:val="20"/>
                <w:szCs w:val="20"/>
                <w:color w:val="auto"/>
              </w:rPr>
            </w:pPr>
            <w:r>
              <w:rPr>
                <w:rFonts w:ascii="Arial" w:cs="Arial" w:eastAsia="Arial" w:hAnsi="Arial"/>
                <w:sz w:val="20"/>
                <w:szCs w:val="20"/>
                <w:color w:val="auto"/>
              </w:rPr>
              <w:t>December</w:t>
            </w:r>
          </w:p>
        </w:tc>
        <w:tc>
          <w:tcPr>
            <w:tcW w:w="1180" w:type="dxa"/>
            <w:vAlign w:val="bottom"/>
            <w:gridSpan w:val="2"/>
          </w:tcPr>
          <w:p>
            <w:pPr>
              <w:jc w:val="right"/>
              <w:ind w:right="120"/>
              <w:spacing w:after="0"/>
              <w:rPr>
                <w:sz w:val="20"/>
                <w:szCs w:val="20"/>
                <w:color w:val="auto"/>
              </w:rPr>
            </w:pPr>
            <w:r>
              <w:rPr>
                <w:rFonts w:ascii="Arial" w:cs="Arial" w:eastAsia="Arial" w:hAnsi="Arial"/>
                <w:sz w:val="20"/>
                <w:szCs w:val="20"/>
                <w:color w:val="auto"/>
              </w:rPr>
              <w:t>December</w:t>
            </w:r>
          </w:p>
        </w:tc>
      </w:tr>
      <w:tr>
        <w:trPr>
          <w:trHeight w:val="300"/>
        </w:trPr>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420"/>
              <w:spacing w:after="0"/>
              <w:rPr>
                <w:sz w:val="20"/>
                <w:szCs w:val="20"/>
                <w:color w:val="auto"/>
              </w:rPr>
            </w:pPr>
            <w:r>
              <w:rPr>
                <w:rFonts w:ascii="Arial" w:cs="Arial" w:eastAsia="Arial" w:hAnsi="Arial"/>
                <w:sz w:val="20"/>
                <w:szCs w:val="20"/>
                <w:color w:val="auto"/>
              </w:rPr>
              <w:t>31,</w:t>
            </w:r>
          </w:p>
        </w:tc>
        <w:tc>
          <w:tcPr>
            <w:tcW w:w="180" w:type="dxa"/>
            <w:vAlign w:val="bottom"/>
          </w:tcPr>
          <w:p>
            <w:pPr>
              <w:spacing w:after="0"/>
              <w:rPr>
                <w:sz w:val="24"/>
                <w:szCs w:val="24"/>
                <w:color w:val="auto"/>
              </w:rPr>
            </w:pPr>
          </w:p>
        </w:tc>
        <w:tc>
          <w:tcPr>
            <w:tcW w:w="1040" w:type="dxa"/>
            <w:vAlign w:val="bottom"/>
          </w:tcPr>
          <w:p>
            <w:pPr>
              <w:jc w:val="right"/>
              <w:ind w:right="420"/>
              <w:spacing w:after="0"/>
              <w:rPr>
                <w:sz w:val="20"/>
                <w:szCs w:val="20"/>
                <w:color w:val="auto"/>
              </w:rPr>
            </w:pPr>
            <w:r>
              <w:rPr>
                <w:rFonts w:ascii="Arial" w:cs="Arial" w:eastAsia="Arial" w:hAnsi="Arial"/>
                <w:sz w:val="20"/>
                <w:szCs w:val="20"/>
                <w:color w:val="auto"/>
              </w:rPr>
              <w:t>31,</w:t>
            </w:r>
          </w:p>
        </w:tc>
        <w:tc>
          <w:tcPr>
            <w:tcW w:w="160" w:type="dxa"/>
            <w:vAlign w:val="bottom"/>
          </w:tcPr>
          <w:p>
            <w:pPr>
              <w:spacing w:after="0"/>
              <w:rPr>
                <w:sz w:val="24"/>
                <w:szCs w:val="24"/>
                <w:color w:val="auto"/>
              </w:rPr>
            </w:pPr>
          </w:p>
        </w:tc>
        <w:tc>
          <w:tcPr>
            <w:tcW w:w="1020" w:type="dxa"/>
            <w:vAlign w:val="bottom"/>
          </w:tcPr>
          <w:p>
            <w:pPr>
              <w:jc w:val="right"/>
              <w:ind w:right="380"/>
              <w:spacing w:after="0"/>
              <w:rPr>
                <w:sz w:val="20"/>
                <w:szCs w:val="20"/>
                <w:color w:val="auto"/>
              </w:rPr>
            </w:pPr>
            <w:r>
              <w:rPr>
                <w:rFonts w:ascii="Arial" w:cs="Arial" w:eastAsia="Arial" w:hAnsi="Arial"/>
                <w:sz w:val="20"/>
                <w:szCs w:val="20"/>
                <w:color w:val="auto"/>
              </w:rPr>
              <w:t>31,</w:t>
            </w:r>
          </w:p>
        </w:tc>
      </w:tr>
      <w:tr>
        <w:trPr>
          <w:trHeight w:val="314"/>
        </w:trPr>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340"/>
              <w:spacing w:after="0"/>
              <w:rPr>
                <w:sz w:val="20"/>
                <w:szCs w:val="20"/>
                <w:color w:val="auto"/>
              </w:rPr>
            </w:pPr>
            <w:r>
              <w:rPr>
                <w:rFonts w:ascii="Arial" w:cs="Arial" w:eastAsia="Arial" w:hAnsi="Arial"/>
                <w:sz w:val="20"/>
                <w:szCs w:val="20"/>
                <w:color w:val="auto"/>
              </w:rPr>
              <w:t>2025</w:t>
            </w:r>
          </w:p>
        </w:tc>
        <w:tc>
          <w:tcPr>
            <w:tcW w:w="180" w:type="dxa"/>
            <w:vAlign w:val="bottom"/>
          </w:tcPr>
          <w:p>
            <w:pPr>
              <w:spacing w:after="0"/>
              <w:rPr>
                <w:sz w:val="24"/>
                <w:szCs w:val="24"/>
                <w:color w:val="auto"/>
              </w:rPr>
            </w:pPr>
          </w:p>
        </w:tc>
        <w:tc>
          <w:tcPr>
            <w:tcW w:w="1040" w:type="dxa"/>
            <w:vAlign w:val="bottom"/>
          </w:tcPr>
          <w:p>
            <w:pPr>
              <w:jc w:val="right"/>
              <w:ind w:right="340"/>
              <w:spacing w:after="0"/>
              <w:rPr>
                <w:sz w:val="20"/>
                <w:szCs w:val="20"/>
                <w:color w:val="auto"/>
              </w:rPr>
            </w:pPr>
            <w:r>
              <w:rPr>
                <w:rFonts w:ascii="Arial" w:cs="Arial" w:eastAsia="Arial" w:hAnsi="Arial"/>
                <w:sz w:val="20"/>
                <w:szCs w:val="20"/>
                <w:color w:val="auto"/>
              </w:rPr>
              <w:t>2024</w:t>
            </w:r>
          </w:p>
        </w:tc>
        <w:tc>
          <w:tcPr>
            <w:tcW w:w="160" w:type="dxa"/>
            <w:vAlign w:val="bottom"/>
          </w:tcPr>
          <w:p>
            <w:pPr>
              <w:spacing w:after="0"/>
              <w:rPr>
                <w:sz w:val="24"/>
                <w:szCs w:val="24"/>
                <w:color w:val="auto"/>
              </w:rPr>
            </w:pPr>
          </w:p>
        </w:tc>
        <w:tc>
          <w:tcPr>
            <w:tcW w:w="1020" w:type="dxa"/>
            <w:vAlign w:val="bottom"/>
          </w:tcPr>
          <w:p>
            <w:pPr>
              <w:jc w:val="right"/>
              <w:ind w:right="320"/>
              <w:spacing w:after="0"/>
              <w:rPr>
                <w:sz w:val="20"/>
                <w:szCs w:val="20"/>
                <w:color w:val="auto"/>
              </w:rPr>
            </w:pPr>
            <w:r>
              <w:rPr>
                <w:rFonts w:ascii="Arial" w:cs="Arial" w:eastAsia="Arial" w:hAnsi="Arial"/>
                <w:sz w:val="20"/>
                <w:szCs w:val="20"/>
                <w:color w:val="auto"/>
              </w:rPr>
              <w:t>2023</w:t>
            </w:r>
          </w:p>
        </w:tc>
      </w:tr>
      <w:tr>
        <w:trPr>
          <w:trHeight w:val="51"/>
        </w:trPr>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94"/>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Earnings per share</w:t>
            </w:r>
          </w:p>
        </w:tc>
        <w:tc>
          <w:tcPr>
            <w:tcW w:w="2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r>
      <w:tr>
        <w:trPr>
          <w:trHeight w:val="274"/>
        </w:trPr>
        <w:tc>
          <w:tcPr>
            <w:tcW w:w="3840" w:type="dxa"/>
            <w:vAlign w:val="bottom"/>
          </w:tcPr>
          <w:p>
            <w:pPr>
              <w:spacing w:after="0"/>
              <w:rPr>
                <w:sz w:val="20"/>
                <w:szCs w:val="20"/>
                <w:color w:val="auto"/>
              </w:rPr>
            </w:pPr>
            <w:r>
              <w:rPr>
                <w:rFonts w:ascii="Arial" w:cs="Arial" w:eastAsia="Arial" w:hAnsi="Arial"/>
                <w:sz w:val="20"/>
                <w:szCs w:val="20"/>
                <w:color w:val="auto"/>
              </w:rPr>
              <w:t>Net income</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0"/>
              <w:spacing w:after="0"/>
              <w:rPr>
                <w:sz w:val="20"/>
                <w:szCs w:val="20"/>
                <w:color w:val="auto"/>
              </w:rPr>
            </w:pPr>
            <w:r>
              <w:rPr>
                <w:rFonts w:ascii="Arial" w:cs="Arial" w:eastAsia="Arial" w:hAnsi="Arial"/>
                <w:sz w:val="20"/>
                <w:szCs w:val="20"/>
                <w:color w:val="auto"/>
              </w:rPr>
              <w:t>33,309</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0"/>
              <w:spacing w:after="0"/>
              <w:rPr>
                <w:sz w:val="20"/>
                <w:szCs w:val="20"/>
                <w:color w:val="auto"/>
              </w:rPr>
            </w:pPr>
            <w:r>
              <w:rPr>
                <w:rFonts w:ascii="Arial" w:cs="Arial" w:eastAsia="Arial" w:hAnsi="Arial"/>
                <w:sz w:val="20"/>
                <w:szCs w:val="20"/>
                <w:color w:val="auto"/>
              </w:rPr>
              <w:t>25,938</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22,787</w:t>
            </w:r>
          </w:p>
        </w:tc>
      </w:tr>
      <w:tr>
        <w:trPr>
          <w:trHeight w:val="41"/>
        </w:trPr>
        <w:tc>
          <w:tcPr>
            <w:tcW w:w="3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4"/>
        </w:trPr>
        <w:tc>
          <w:tcPr>
            <w:tcW w:w="3840" w:type="dxa"/>
            <w:vAlign w:val="bottom"/>
            <w:shd w:val="clear" w:color="auto" w:fill="CFF0FC"/>
          </w:tcPr>
          <w:p>
            <w:pPr>
              <w:spacing w:after="0"/>
              <w:rPr>
                <w:sz w:val="20"/>
                <w:szCs w:val="20"/>
                <w:color w:val="auto"/>
              </w:rPr>
            </w:pPr>
            <w:r>
              <w:rPr>
                <w:rFonts w:ascii="Arial" w:cs="Arial" w:eastAsia="Arial" w:hAnsi="Arial"/>
                <w:sz w:val="20"/>
                <w:szCs w:val="20"/>
                <w:color w:val="auto"/>
              </w:rPr>
              <w:t>Less: distributed earnings allocated to</w:t>
            </w:r>
          </w:p>
        </w:tc>
        <w:tc>
          <w:tcPr>
            <w:tcW w:w="24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r>
      <w:tr>
        <w:trPr>
          <w:trHeight w:val="321"/>
        </w:trPr>
        <w:tc>
          <w:tcPr>
            <w:tcW w:w="3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participating securities</w:t>
            </w:r>
          </w:p>
        </w:tc>
        <w:tc>
          <w:tcPr>
            <w:tcW w:w="2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(153)</w:t>
            </w:r>
          </w:p>
        </w:tc>
        <w:tc>
          <w:tcPr>
            <w:tcW w:w="1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(143)</w:t>
            </w:r>
          </w:p>
        </w:tc>
        <w:tc>
          <w:tcPr>
            <w:tcW w:w="1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(128)</w:t>
            </w:r>
          </w:p>
        </w:tc>
      </w:tr>
      <w:tr>
        <w:trPr>
          <w:trHeight w:val="274"/>
        </w:trPr>
        <w:tc>
          <w:tcPr>
            <w:tcW w:w="3840" w:type="dxa"/>
            <w:vAlign w:val="bottom"/>
          </w:tcPr>
          <w:p>
            <w:pPr>
              <w:spacing w:after="0"/>
              <w:rPr>
                <w:sz w:val="20"/>
                <w:szCs w:val="20"/>
                <w:color w:val="auto"/>
              </w:rPr>
            </w:pPr>
            <w:r>
              <w:rPr>
                <w:rFonts w:ascii="Arial" w:cs="Arial" w:eastAsia="Arial" w:hAnsi="Arial"/>
                <w:sz w:val="20"/>
                <w:szCs w:val="20"/>
                <w:color w:val="auto"/>
              </w:rPr>
              <w:t>Less: undistributed earnings allocated to</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00"/>
        </w:trPr>
        <w:tc>
          <w:tcPr>
            <w:tcW w:w="3840" w:type="dxa"/>
            <w:vAlign w:val="bottom"/>
          </w:tcPr>
          <w:p>
            <w:pPr>
              <w:ind w:left="140"/>
              <w:spacing w:after="0"/>
              <w:rPr>
                <w:sz w:val="20"/>
                <w:szCs w:val="20"/>
                <w:color w:val="auto"/>
              </w:rPr>
            </w:pPr>
            <w:r>
              <w:rPr>
                <w:rFonts w:ascii="Arial" w:cs="Arial" w:eastAsia="Arial" w:hAnsi="Arial"/>
                <w:sz w:val="20"/>
                <w:szCs w:val="20"/>
                <w:color w:val="auto"/>
              </w:rPr>
              <w:t>participating securities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(254)</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(362)</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41"/>
        </w:trPr>
        <w:tc>
          <w:tcPr>
            <w:tcW w:w="3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4"/>
        </w:trPr>
        <w:tc>
          <w:tcPr>
            <w:tcW w:w="3840" w:type="dxa"/>
            <w:vAlign w:val="bottom"/>
            <w:shd w:val="clear" w:color="auto" w:fill="CFF0FC"/>
          </w:tcPr>
          <w:p>
            <w:pPr>
              <w:spacing w:after="0"/>
              <w:rPr>
                <w:sz w:val="20"/>
                <w:szCs w:val="20"/>
                <w:color w:val="auto"/>
              </w:rPr>
            </w:pPr>
            <w:r>
              <w:rPr>
                <w:rFonts w:ascii="Arial" w:cs="Arial" w:eastAsia="Arial" w:hAnsi="Arial"/>
                <w:sz w:val="20"/>
                <w:szCs w:val="20"/>
                <w:color w:val="auto"/>
              </w:rPr>
              <w:t>Net earnings available to common</w:t>
            </w:r>
          </w:p>
        </w:tc>
        <w:tc>
          <w:tcPr>
            <w:tcW w:w="24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r>
      <w:tr>
        <w:trPr>
          <w:trHeight w:val="321"/>
        </w:trPr>
        <w:tc>
          <w:tcPr>
            <w:tcW w:w="3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shareholders</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32,902</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25,433</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22,539</w:t>
            </w:r>
          </w:p>
        </w:tc>
      </w:tr>
      <w:tr>
        <w:trPr>
          <w:trHeight w:val="274"/>
        </w:trPr>
        <w:tc>
          <w:tcPr>
            <w:tcW w:w="3840" w:type="dxa"/>
            <w:vAlign w:val="bottom"/>
          </w:tcPr>
          <w:p>
            <w:pPr>
              <w:spacing w:after="0"/>
              <w:rPr>
                <w:sz w:val="20"/>
                <w:szCs w:val="20"/>
                <w:color w:val="auto"/>
              </w:rPr>
            </w:pPr>
            <w:r>
              <w:rPr>
                <w:rFonts w:ascii="Arial" w:cs="Arial" w:eastAsia="Arial" w:hAnsi="Arial"/>
                <w:sz w:val="20"/>
                <w:szCs w:val="20"/>
                <w:color w:val="auto"/>
                <w:w w:val="91"/>
              </w:rPr>
              <w:t>Weighted average common shares outstanding</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00"/>
        </w:trPr>
        <w:tc>
          <w:tcPr>
            <w:tcW w:w="3840" w:type="dxa"/>
            <w:vAlign w:val="bottom"/>
          </w:tcPr>
          <w:p>
            <w:pPr>
              <w:ind w:left="140"/>
              <w:spacing w:after="0"/>
              <w:rPr>
                <w:sz w:val="20"/>
                <w:szCs w:val="20"/>
                <w:color w:val="auto"/>
              </w:rPr>
            </w:pPr>
            <w:r>
              <w:rPr>
                <w:rFonts w:ascii="Arial" w:cs="Arial" w:eastAsia="Arial" w:hAnsi="Arial"/>
                <w:sz w:val="20"/>
                <w:szCs w:val="20"/>
                <w:color w:val="auto"/>
              </w:rPr>
              <w:t>including participating securities</w:t>
            </w:r>
          </w:p>
        </w:tc>
        <w:tc>
          <w:tcPr>
            <w:tcW w:w="240" w:type="dxa"/>
            <w:vAlign w:val="bottom"/>
          </w:tcPr>
          <w:p>
            <w:pPr>
              <w:spacing w:after="0"/>
              <w:rPr>
                <w:sz w:val="24"/>
                <w:szCs w:val="24"/>
                <w:color w:val="auto"/>
              </w:rPr>
            </w:pPr>
          </w:p>
        </w:tc>
        <w:tc>
          <w:tcPr>
            <w:tcW w:w="1040" w:type="dxa"/>
            <w:vAlign w:val="bottom"/>
          </w:tcPr>
          <w:p>
            <w:pPr>
              <w:jc w:val="right"/>
              <w:ind w:right="40"/>
              <w:spacing w:after="0"/>
              <w:rPr>
                <w:sz w:val="20"/>
                <w:szCs w:val="20"/>
                <w:color w:val="auto"/>
              </w:rPr>
            </w:pPr>
            <w:r>
              <w:rPr>
                <w:rFonts w:ascii="Arial" w:cs="Arial" w:eastAsia="Arial" w:hAnsi="Arial"/>
                <w:sz w:val="20"/>
                <w:szCs w:val="20"/>
                <w:color w:val="auto"/>
                <w:w w:val="87"/>
              </w:rPr>
              <w:t>13,727,541</w:t>
            </w:r>
          </w:p>
        </w:tc>
        <w:tc>
          <w:tcPr>
            <w:tcW w:w="180" w:type="dxa"/>
            <w:vAlign w:val="bottom"/>
          </w:tcPr>
          <w:p>
            <w:pPr>
              <w:spacing w:after="0"/>
              <w:rPr>
                <w:sz w:val="24"/>
                <w:szCs w:val="24"/>
                <w:color w:val="auto"/>
              </w:rPr>
            </w:pPr>
          </w:p>
        </w:tc>
        <w:tc>
          <w:tcPr>
            <w:tcW w:w="1040" w:type="dxa"/>
            <w:vAlign w:val="bottom"/>
          </w:tcPr>
          <w:p>
            <w:pPr>
              <w:jc w:val="right"/>
              <w:ind w:right="40"/>
              <w:spacing w:after="0"/>
              <w:rPr>
                <w:sz w:val="20"/>
                <w:szCs w:val="20"/>
                <w:color w:val="auto"/>
              </w:rPr>
            </w:pPr>
            <w:r>
              <w:rPr>
                <w:rFonts w:ascii="Arial" w:cs="Arial" w:eastAsia="Arial" w:hAnsi="Arial"/>
                <w:sz w:val="20"/>
                <w:szCs w:val="20"/>
                <w:color w:val="auto"/>
                <w:w w:val="87"/>
              </w:rPr>
              <w:t>13,684,961</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w w:val="89"/>
              </w:rPr>
              <w:t>13,641,336</w:t>
            </w:r>
          </w:p>
        </w:tc>
      </w:tr>
      <w:tr>
        <w:trPr>
          <w:trHeight w:val="41"/>
        </w:trPr>
        <w:tc>
          <w:tcPr>
            <w:tcW w:w="3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304"/>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Less: average unvested restricted shares</w:t>
            </w:r>
          </w:p>
        </w:tc>
        <w:tc>
          <w:tcPr>
            <w:tcW w:w="2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(167,668)</w:t>
            </w:r>
          </w:p>
        </w:tc>
        <w:tc>
          <w:tcPr>
            <w:tcW w:w="1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(266,232)</w:t>
            </w:r>
          </w:p>
        </w:tc>
        <w:tc>
          <w:tcPr>
            <w:tcW w:w="1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(148,433)</w:t>
            </w:r>
          </w:p>
        </w:tc>
      </w:tr>
      <w:tr>
        <w:trPr>
          <w:trHeight w:val="274"/>
        </w:trPr>
        <w:tc>
          <w:tcPr>
            <w:tcW w:w="3840" w:type="dxa"/>
            <w:vAlign w:val="bottom"/>
          </w:tcPr>
          <w:p>
            <w:pPr>
              <w:spacing w:after="0"/>
              <w:rPr>
                <w:sz w:val="20"/>
                <w:szCs w:val="20"/>
                <w:color w:val="auto"/>
              </w:rPr>
            </w:pPr>
            <w:r>
              <w:rPr>
                <w:rFonts w:ascii="Arial" w:cs="Arial" w:eastAsia="Arial" w:hAnsi="Arial"/>
                <w:sz w:val="20"/>
                <w:szCs w:val="20"/>
                <w:color w:val="auto"/>
                <w:w w:val="91"/>
              </w:rPr>
              <w:t>Weighted average common shares outstanding</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20"/>
                <w:szCs w:val="20"/>
                <w:color w:val="auto"/>
                <w:w w:val="87"/>
              </w:rPr>
              <w:t>13,559,873</w:t>
            </w:r>
          </w:p>
        </w:tc>
        <w:tc>
          <w:tcPr>
            <w:tcW w:w="18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20"/>
                <w:szCs w:val="20"/>
                <w:color w:val="auto"/>
                <w:w w:val="87"/>
              </w:rPr>
              <w:t>13,418,729</w:t>
            </w: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w w:val="89"/>
              </w:rPr>
              <w:t>13,492,903</w:t>
            </w:r>
          </w:p>
        </w:tc>
      </w:tr>
      <w:tr>
        <w:trPr>
          <w:trHeight w:val="86"/>
        </w:trPr>
        <w:tc>
          <w:tcPr>
            <w:tcW w:w="3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74"/>
        </w:trPr>
        <w:tc>
          <w:tcPr>
            <w:tcW w:w="3840" w:type="dxa"/>
            <w:vAlign w:val="bottom"/>
            <w:shd w:val="clear" w:color="auto" w:fill="CFF0FC"/>
          </w:tcPr>
          <w:p>
            <w:pPr>
              <w:spacing w:after="0"/>
              <w:rPr>
                <w:sz w:val="20"/>
                <w:szCs w:val="20"/>
                <w:color w:val="auto"/>
              </w:rPr>
            </w:pPr>
            <w:r>
              <w:rPr>
                <w:rFonts w:ascii="Arial" w:cs="Arial" w:eastAsia="Arial" w:hAnsi="Arial"/>
                <w:sz w:val="20"/>
                <w:szCs w:val="20"/>
                <w:color w:val="auto"/>
              </w:rPr>
              <w:t>Basic and diluted earnings per share</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2.43</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1.90</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1.67</w:t>
            </w:r>
          </w:p>
        </w:tc>
      </w:tr>
      <w:tr>
        <w:trPr>
          <w:trHeight w:val="86"/>
        </w:trPr>
        <w:tc>
          <w:tcPr>
            <w:tcW w:w="384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3119755</wp:posOffset>
            </wp:positionH>
            <wp:positionV relativeFrom="paragraph">
              <wp:posOffset>-3430270</wp:posOffset>
            </wp:positionV>
            <wp:extent cx="2195830" cy="63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0">
                      <a:extLst>
                        <a:ext uri="{28A0092B-C50C-407E-A947-70E740481C1C}"/>
                      </a:extLst>
                    </a:blip>
                    <a:srcRect/>
                    <a:stretch>
                      <a:fillRect/>
                    </a:stretch>
                  </pic:blipFill>
                  <pic:spPr bwMode="auto">
                    <a:xfrm>
                      <a:off x="0" y="0"/>
                      <a:ext cx="2195830" cy="6350"/>
                    </a:xfrm>
                    <a:prstGeom prst="rect">
                      <a:avLst/>
                    </a:prstGeom>
                    <a:noFill/>
                  </pic:spPr>
                </pic:pic>
              </a:graphicData>
            </a:graphic>
          </wp:anchor>
        </w:drawing>
        <w:drawing>
          <wp:anchor simplePos="0" relativeHeight="251657728" behindDoc="1" locked="0" layoutInCell="0" allowOverlap="1">
            <wp:simplePos x="0" y="0"/>
            <wp:positionH relativeFrom="column">
              <wp:posOffset>3119755</wp:posOffset>
            </wp:positionH>
            <wp:positionV relativeFrom="paragraph">
              <wp:posOffset>-3223895</wp:posOffset>
            </wp:positionV>
            <wp:extent cx="2195830" cy="63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1">
                      <a:extLst>
                        <a:ext uri="{28A0092B-C50C-407E-A947-70E740481C1C}"/>
                      </a:extLst>
                    </a:blip>
                    <a:srcRect/>
                    <a:stretch>
                      <a:fillRect/>
                    </a:stretch>
                  </pic:blipFill>
                  <pic:spPr bwMode="auto">
                    <a:xfrm>
                      <a:off x="0" y="0"/>
                      <a:ext cx="2195830" cy="6350"/>
                    </a:xfrm>
                    <a:prstGeom prst="rect">
                      <a:avLst/>
                    </a:prstGeom>
                    <a:noFill/>
                  </pic:spPr>
                </pic:pic>
              </a:graphicData>
            </a:graphic>
          </wp:anchor>
        </w:drawing>
        <w:drawing>
          <wp:anchor simplePos="0" relativeHeight="251657728" behindDoc="1" locked="0" layoutInCell="0" allowOverlap="1">
            <wp:simplePos x="0" y="0"/>
            <wp:positionH relativeFrom="column">
              <wp:posOffset>3119755</wp:posOffset>
            </wp:positionH>
            <wp:positionV relativeFrom="paragraph">
              <wp:posOffset>-2628265</wp:posOffset>
            </wp:positionV>
            <wp:extent cx="2195830" cy="63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2">
                      <a:extLst>
                        <a:ext uri="{28A0092B-C50C-407E-A947-70E740481C1C}"/>
                      </a:extLst>
                    </a:blip>
                    <a:srcRect/>
                    <a:stretch>
                      <a:fillRect/>
                    </a:stretch>
                  </pic:blipFill>
                  <pic:spPr bwMode="auto">
                    <a:xfrm>
                      <a:off x="0" y="0"/>
                      <a:ext cx="2195830" cy="6350"/>
                    </a:xfrm>
                    <a:prstGeom prst="rect">
                      <a:avLst/>
                    </a:prstGeom>
                    <a:noFill/>
                  </pic:spPr>
                </pic:pic>
              </a:graphicData>
            </a:graphic>
          </wp:anchor>
        </w:drawing>
        <w:drawing>
          <wp:anchor simplePos="0" relativeHeight="251657728" behindDoc="1" locked="0" layoutInCell="0" allowOverlap="1">
            <wp:simplePos x="0" y="0"/>
            <wp:positionH relativeFrom="column">
              <wp:posOffset>3119755</wp:posOffset>
            </wp:positionH>
            <wp:positionV relativeFrom="paragraph">
              <wp:posOffset>-1448435</wp:posOffset>
            </wp:positionV>
            <wp:extent cx="2195830" cy="63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3">
                      <a:extLst>
                        <a:ext uri="{28A0092B-C50C-407E-A947-70E740481C1C}"/>
                      </a:extLst>
                    </a:blip>
                    <a:srcRect/>
                    <a:stretch>
                      <a:fillRect/>
                    </a:stretch>
                  </pic:blipFill>
                  <pic:spPr bwMode="auto">
                    <a:xfrm>
                      <a:off x="0" y="0"/>
                      <a:ext cx="2195830" cy="6350"/>
                    </a:xfrm>
                    <a:prstGeom prst="rect">
                      <a:avLst/>
                    </a:prstGeom>
                    <a:noFill/>
                  </pic:spPr>
                </pic:pic>
              </a:graphicData>
            </a:graphic>
          </wp:anchor>
        </w:drawing>
        <w:drawing>
          <wp:anchor simplePos="0" relativeHeight="251657728" behindDoc="1" locked="0" layoutInCell="0" allowOverlap="1">
            <wp:simplePos x="0" y="0"/>
            <wp:positionH relativeFrom="column">
              <wp:posOffset>3119755</wp:posOffset>
            </wp:positionH>
            <wp:positionV relativeFrom="paragraph">
              <wp:posOffset>-1080770</wp:posOffset>
            </wp:positionV>
            <wp:extent cx="2247265" cy="2857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4">
                      <a:extLst>
                        <a:ext uri="{28A0092B-C50C-407E-A947-70E740481C1C}"/>
                      </a:extLst>
                    </a:blip>
                    <a:srcRect/>
                    <a:stretch>
                      <a:fillRect/>
                    </a:stretch>
                  </pic:blipFill>
                  <pic:spPr bwMode="auto">
                    <a:xfrm>
                      <a:off x="0" y="0"/>
                      <a:ext cx="2247265" cy="28575"/>
                    </a:xfrm>
                    <a:prstGeom prst="rect">
                      <a:avLst/>
                    </a:prstGeom>
                    <a:noFill/>
                  </pic:spPr>
                </pic:pic>
              </a:graphicData>
            </a:graphic>
          </wp:anchor>
        </w:drawing>
        <w:drawing>
          <wp:anchor simplePos="0" relativeHeight="251657728" behindDoc="1" locked="0" layoutInCell="0" allowOverlap="1">
            <wp:simplePos x="0" y="0"/>
            <wp:positionH relativeFrom="column">
              <wp:posOffset>3119755</wp:posOffset>
            </wp:positionH>
            <wp:positionV relativeFrom="paragraph">
              <wp:posOffset>-462280</wp:posOffset>
            </wp:positionV>
            <wp:extent cx="2247265" cy="63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5">
                      <a:extLst>
                        <a:ext uri="{28A0092B-C50C-407E-A947-70E740481C1C}"/>
                      </a:extLst>
                    </a:blip>
                    <a:srcRect/>
                    <a:stretch>
                      <a:fillRect/>
                    </a:stretch>
                  </pic:blipFill>
                  <pic:spPr bwMode="auto">
                    <a:xfrm>
                      <a:off x="0" y="0"/>
                      <a:ext cx="2247265" cy="6350"/>
                    </a:xfrm>
                    <a:prstGeom prst="rect">
                      <a:avLst/>
                    </a:prstGeom>
                    <a:noFill/>
                  </pic:spPr>
                </pic:pic>
              </a:graphicData>
            </a:graphic>
          </wp:anchor>
        </w:drawing>
        <w:drawing>
          <wp:anchor simplePos="0" relativeHeight="251657728" behindDoc="1" locked="0" layoutInCell="0" allowOverlap="1">
            <wp:simplePos x="0" y="0"/>
            <wp:positionH relativeFrom="column">
              <wp:posOffset>3119755</wp:posOffset>
            </wp:positionH>
            <wp:positionV relativeFrom="paragraph">
              <wp:posOffset>-255905</wp:posOffset>
            </wp:positionV>
            <wp:extent cx="2195830" cy="2857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6">
                      <a:extLst>
                        <a:ext uri="{28A0092B-C50C-407E-A947-70E740481C1C}"/>
                      </a:extLst>
                    </a:blip>
                    <a:srcRect/>
                    <a:stretch>
                      <a:fillRect/>
                    </a:stretch>
                  </pic:blipFill>
                  <pic:spPr bwMode="auto">
                    <a:xfrm>
                      <a:off x="0" y="0"/>
                      <a:ext cx="2195830" cy="28575"/>
                    </a:xfrm>
                    <a:prstGeom prst="rect">
                      <a:avLst/>
                    </a:prstGeom>
                    <a:noFill/>
                  </pic:spPr>
                </pic:pic>
              </a:graphicData>
            </a:graphic>
          </wp:anchor>
        </w:drawing>
        <w:drawing>
          <wp:anchor simplePos="0" relativeHeight="251657728" behindDoc="1" locked="0" layoutInCell="0" allowOverlap="1">
            <wp:simplePos x="0" y="0"/>
            <wp:positionH relativeFrom="column">
              <wp:posOffset>3119755</wp:posOffset>
            </wp:positionH>
            <wp:positionV relativeFrom="paragraph">
              <wp:posOffset>-27940</wp:posOffset>
            </wp:positionV>
            <wp:extent cx="2247265" cy="2857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7">
                      <a:extLst>
                        <a:ext uri="{28A0092B-C50C-407E-A947-70E740481C1C}"/>
                      </a:extLst>
                    </a:blip>
                    <a:srcRect/>
                    <a:stretch>
                      <a:fillRect/>
                    </a:stretch>
                  </pic:blipFill>
                  <pic:spPr bwMode="auto">
                    <a:xfrm>
                      <a:off x="0" y="0"/>
                      <a:ext cx="2247265" cy="285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 Related Party Transactions</w:t>
      </w:r>
    </w:p>
    <w:p>
      <w:pPr>
        <w:spacing w:after="0" w:line="200" w:lineRule="exact"/>
        <w:rPr>
          <w:sz w:val="20"/>
          <w:szCs w:val="20"/>
          <w:color w:val="auto"/>
        </w:rPr>
      </w:pPr>
    </w:p>
    <w:p>
      <w:pPr>
        <w:ind w:left="620" w:right="60"/>
        <w:spacing w:after="0" w:line="311" w:lineRule="auto"/>
        <w:rPr>
          <w:sz w:val="20"/>
          <w:szCs w:val="20"/>
          <w:color w:val="auto"/>
        </w:rPr>
      </w:pPr>
      <w:r>
        <w:rPr>
          <w:rFonts w:ascii="Arial" w:cs="Arial" w:eastAsia="Arial" w:hAnsi="Arial"/>
          <w:sz w:val="20"/>
          <w:szCs w:val="20"/>
          <w:color w:val="auto"/>
        </w:rPr>
        <w:t>In the ordinary course of business, the Bank has granted loans to senior officers and directors and their affiliated companies amounting to $2.4 million and $56.2 million at December 31, 2025 and 2024, respectively. Two new loans were approved during 2025 for $416 thousand. During 2025, subsequent advances totaled $130 thousand and payments of $19.5 million were received. Loans of $34.8 million at December 31, 2024 were no longer reportable in 2025 due to changes in the Board composition and/or their outside related responsibilities. The difference in related borrowings amounted to $53.8 million, net decrease. Deposits of directors, executive officers and companies in which they have a direct or indirect ownership as of December 31, 2025 and 2024, amounted to $8.3 million and $43.2 million, respectively.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 Off Balance Sheet Activities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24</w:t>
      </w:r>
    </w:p>
    <w:p>
      <w:pPr>
        <w:sectPr>
          <w:pgSz w:w="11900" w:h="16838" w:orient="portrait"/>
          <w:cols w:equalWidth="0" w:num="1">
            <w:col w:w="9400"/>
          </w:cols>
          <w:pgMar w:left="1260" w:top="1440" w:right="1246" w:bottom="0" w:gutter="0" w:footer="0" w:header="0"/>
          <w:type w:val="continuous"/>
        </w:sectPr>
      </w:pPr>
    </w:p>
    <w:bookmarkStart w:id="214" w:name="page215"/>
    <w:bookmarkEnd w:id="214"/>
    <w:p>
      <w:pPr>
        <w:ind w:left="620"/>
        <w:spacing w:after="0"/>
        <w:rPr>
          <w:sz w:val="20"/>
          <w:szCs w:val="20"/>
          <w:color w:val="auto"/>
        </w:rPr>
      </w:pPr>
      <w:r>
        <w:rPr>
          <w:rFonts w:ascii="Arial" w:cs="Arial" w:eastAsia="Arial" w:hAnsi="Arial"/>
          <w:sz w:val="20"/>
          <w:szCs w:val="20"/>
          <w:b w:val="1"/>
          <w:bCs w:val="1"/>
          <w:color w:val="auto"/>
        </w:rPr>
        <w:t>Credit Related Financial Instruments</w:t>
      </w:r>
    </w:p>
    <w:p>
      <w:pPr>
        <w:spacing w:after="0" w:line="200" w:lineRule="exact"/>
        <w:rPr>
          <w:sz w:val="20"/>
          <w:szCs w:val="20"/>
          <w:color w:val="auto"/>
        </w:rPr>
      </w:pPr>
    </w:p>
    <w:p>
      <w:pPr>
        <w:jc w:val="both"/>
        <w:ind w:left="620" w:right="60"/>
        <w:spacing w:after="0" w:line="309" w:lineRule="auto"/>
        <w:rPr>
          <w:sz w:val="20"/>
          <w:szCs w:val="20"/>
          <w:color w:val="auto"/>
        </w:rPr>
      </w:pPr>
      <w:r>
        <w:rPr>
          <w:rFonts w:ascii="Arial" w:cs="Arial" w:eastAsia="Arial" w:hAnsi="Arial"/>
          <w:sz w:val="20"/>
          <w:szCs w:val="20"/>
          <w:color w:val="auto"/>
        </w:rPr>
        <w:t>The Bank is a party to credit related financial instruments with off balance sheet risk in the normal course of business to meet the financing need of its customers. Such commitments involve, to varying degrees, elements of credit and interest rate risk in excess of the amount recognized in the Company's consolidated balance sheets.</w:t>
      </w:r>
    </w:p>
    <w:p>
      <w:pPr>
        <w:spacing w:after="0" w:line="256" w:lineRule="exact"/>
        <w:rPr>
          <w:sz w:val="20"/>
          <w:szCs w:val="20"/>
          <w:color w:val="auto"/>
        </w:rPr>
      </w:pPr>
    </w:p>
    <w:p>
      <w:pPr>
        <w:jc w:val="both"/>
        <w:ind w:left="620" w:right="60"/>
        <w:spacing w:after="0" w:line="309" w:lineRule="auto"/>
        <w:rPr>
          <w:sz w:val="20"/>
          <w:szCs w:val="20"/>
          <w:color w:val="auto"/>
        </w:rPr>
      </w:pPr>
      <w:r>
        <w:rPr>
          <w:rFonts w:ascii="Arial" w:cs="Arial" w:eastAsia="Arial" w:hAnsi="Arial"/>
          <w:sz w:val="20"/>
          <w:szCs w:val="20"/>
          <w:color w:val="auto"/>
        </w:rPr>
        <w:t>The Bank's exposure to credit loss is represented by the contractual amount of these commitments. The Bank follows the same credit policies in making commitments as it does for on-balance sheet instruments. The allowance for credit losses as it relates to unfunded loan commitments (AULC) is included under other liabilities (see Note 4).</w:t>
      </w:r>
    </w:p>
    <w:p>
      <w:pPr>
        <w:spacing w:after="0" w:line="256" w:lineRule="exact"/>
        <w:rPr>
          <w:sz w:val="20"/>
          <w:szCs w:val="20"/>
          <w:color w:val="auto"/>
        </w:rPr>
      </w:pPr>
    </w:p>
    <w:p>
      <w:pPr>
        <w:ind w:left="620" w:right="100"/>
        <w:spacing w:after="0" w:line="302" w:lineRule="auto"/>
        <w:rPr>
          <w:sz w:val="20"/>
          <w:szCs w:val="20"/>
          <w:color w:val="auto"/>
        </w:rPr>
      </w:pPr>
      <w:r>
        <w:rPr>
          <w:rFonts w:ascii="Arial" w:cs="Arial" w:eastAsia="Arial" w:hAnsi="Arial"/>
          <w:sz w:val="20"/>
          <w:szCs w:val="20"/>
          <w:color w:val="auto"/>
        </w:rPr>
        <w:t>At December 31, 2025 and 2024, the following financial instruments were outstanding whose contract amounts represent credit risk:</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220" w:type="dxa"/>
            <w:vAlign w:val="bottom"/>
            <w:gridSpan w:val="3"/>
          </w:tcPr>
          <w:p>
            <w:pPr>
              <w:ind w:left="2080"/>
              <w:spacing w:after="0"/>
              <w:rPr>
                <w:sz w:val="20"/>
                <w:szCs w:val="20"/>
                <w:color w:val="auto"/>
              </w:rPr>
            </w:pPr>
            <w:r>
              <w:rPr>
                <w:rFonts w:ascii="Arial" w:cs="Arial" w:eastAsia="Arial" w:hAnsi="Arial"/>
                <w:sz w:val="20"/>
                <w:szCs w:val="20"/>
                <w:color w:val="auto"/>
              </w:rPr>
              <w:t>(In Thousands)</w:t>
            </w:r>
          </w:p>
        </w:tc>
      </w:tr>
      <w:tr>
        <w:trPr>
          <w:trHeight w:val="324"/>
        </w:trPr>
        <w:tc>
          <w:tcPr>
            <w:tcW w:w="14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80" w:type="dxa"/>
            <w:vAlign w:val="bottom"/>
          </w:tcPr>
          <w:p>
            <w:pPr>
              <w:jc w:val="right"/>
              <w:ind w:right="260"/>
              <w:spacing w:after="0"/>
              <w:rPr>
                <w:sz w:val="20"/>
                <w:szCs w:val="20"/>
                <w:color w:val="auto"/>
              </w:rPr>
            </w:pPr>
            <w:r>
              <w:rPr>
                <w:rFonts w:ascii="Arial" w:cs="Arial" w:eastAsia="Arial" w:hAnsi="Arial"/>
                <w:sz w:val="20"/>
                <w:szCs w:val="20"/>
                <w:color w:val="auto"/>
              </w:rPr>
              <w:t>2025</w:t>
            </w:r>
          </w:p>
        </w:tc>
        <w:tc>
          <w:tcPr>
            <w:tcW w:w="1120" w:type="dxa"/>
            <w:vAlign w:val="bottom"/>
          </w:tcPr>
          <w:p>
            <w:pPr>
              <w:jc w:val="right"/>
              <w:ind w:right="240"/>
              <w:spacing w:after="0"/>
              <w:rPr>
                <w:sz w:val="20"/>
                <w:szCs w:val="20"/>
                <w:color w:val="auto"/>
              </w:rPr>
            </w:pPr>
            <w:r>
              <w:rPr>
                <w:rFonts w:ascii="Arial" w:cs="Arial" w:eastAsia="Arial" w:hAnsi="Arial"/>
                <w:sz w:val="20"/>
                <w:szCs w:val="20"/>
                <w:color w:val="auto"/>
              </w:rPr>
              <w:t>2024</w:t>
            </w:r>
          </w:p>
        </w:tc>
        <w:tc>
          <w:tcPr>
            <w:tcW w:w="1420" w:type="dxa"/>
            <w:vAlign w:val="bottom"/>
          </w:tcPr>
          <w:p>
            <w:pPr>
              <w:spacing w:after="0"/>
              <w:rPr>
                <w:sz w:val="24"/>
                <w:szCs w:val="24"/>
                <w:color w:val="auto"/>
              </w:rPr>
            </w:pPr>
          </w:p>
        </w:tc>
      </w:tr>
      <w:tr>
        <w:trPr>
          <w:trHeight w:val="51"/>
        </w:trPr>
        <w:tc>
          <w:tcPr>
            <w:tcW w:w="14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94"/>
        </w:trPr>
        <w:tc>
          <w:tcPr>
            <w:tcW w:w="1400" w:type="dxa"/>
            <w:vAlign w:val="bottom"/>
          </w:tcPr>
          <w:p>
            <w:pPr>
              <w:spacing w:after="0"/>
              <w:rPr>
                <w:sz w:val="24"/>
                <w:szCs w:val="24"/>
                <w:color w:val="auto"/>
              </w:rPr>
            </w:pPr>
          </w:p>
        </w:tc>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Commitments to extend credit</w:t>
            </w:r>
          </w:p>
        </w:tc>
        <w:tc>
          <w:tcPr>
            <w:tcW w:w="2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  635,100</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  594,419</w:t>
            </w:r>
          </w:p>
        </w:tc>
        <w:tc>
          <w:tcPr>
            <w:tcW w:w="1420" w:type="dxa"/>
            <w:vAlign w:val="bottom"/>
          </w:tcPr>
          <w:p>
            <w:pPr>
              <w:spacing w:after="0"/>
              <w:rPr>
                <w:sz w:val="24"/>
                <w:szCs w:val="24"/>
                <w:color w:val="auto"/>
              </w:rPr>
            </w:pPr>
          </w:p>
        </w:tc>
      </w:tr>
      <w:tr>
        <w:trPr>
          <w:trHeight w:val="274"/>
        </w:trPr>
        <w:tc>
          <w:tcPr>
            <w:tcW w:w="1400" w:type="dxa"/>
            <w:vAlign w:val="bottom"/>
          </w:tcPr>
          <w:p>
            <w:pPr>
              <w:spacing w:after="0"/>
              <w:rPr>
                <w:sz w:val="23"/>
                <w:szCs w:val="23"/>
                <w:color w:val="auto"/>
              </w:rPr>
            </w:pPr>
          </w:p>
        </w:tc>
        <w:tc>
          <w:tcPr>
            <w:tcW w:w="2780" w:type="dxa"/>
            <w:vAlign w:val="bottom"/>
          </w:tcPr>
          <w:p>
            <w:pPr>
              <w:spacing w:after="0"/>
              <w:rPr>
                <w:sz w:val="20"/>
                <w:szCs w:val="20"/>
                <w:color w:val="auto"/>
              </w:rPr>
            </w:pPr>
            <w:r>
              <w:rPr>
                <w:rFonts w:ascii="Arial" w:cs="Arial" w:eastAsia="Arial" w:hAnsi="Arial"/>
                <w:sz w:val="20"/>
                <w:szCs w:val="20"/>
                <w:color w:val="auto"/>
              </w:rPr>
              <w:t>Standby letters of credit</w:t>
            </w:r>
          </w:p>
        </w:tc>
        <w:tc>
          <w:tcPr>
            <w:tcW w:w="2680" w:type="dxa"/>
            <w:vAlign w:val="bottom"/>
          </w:tcPr>
          <w:p>
            <w:pPr>
              <w:jc w:val="right"/>
              <w:spacing w:after="0"/>
              <w:rPr>
                <w:sz w:val="20"/>
                <w:szCs w:val="20"/>
                <w:color w:val="auto"/>
              </w:rPr>
            </w:pPr>
            <w:r>
              <w:rPr>
                <w:rFonts w:ascii="Arial" w:cs="Arial" w:eastAsia="Arial" w:hAnsi="Arial"/>
                <w:sz w:val="20"/>
                <w:szCs w:val="20"/>
                <w:color w:val="auto"/>
              </w:rPr>
              <w:t>2,517</w:t>
            </w:r>
          </w:p>
        </w:tc>
        <w:tc>
          <w:tcPr>
            <w:tcW w:w="1120" w:type="dxa"/>
            <w:vAlign w:val="bottom"/>
          </w:tcPr>
          <w:p>
            <w:pPr>
              <w:jc w:val="right"/>
              <w:spacing w:after="0"/>
              <w:rPr>
                <w:sz w:val="20"/>
                <w:szCs w:val="20"/>
                <w:color w:val="auto"/>
              </w:rPr>
            </w:pPr>
            <w:r>
              <w:rPr>
                <w:rFonts w:ascii="Arial" w:cs="Arial" w:eastAsia="Arial" w:hAnsi="Arial"/>
                <w:sz w:val="20"/>
                <w:szCs w:val="20"/>
                <w:color w:val="auto"/>
              </w:rPr>
              <w:t>184</w:t>
            </w:r>
          </w:p>
        </w:tc>
        <w:tc>
          <w:tcPr>
            <w:tcW w:w="1420" w:type="dxa"/>
            <w:vAlign w:val="bottom"/>
          </w:tcPr>
          <w:p>
            <w:pPr>
              <w:spacing w:after="0"/>
              <w:rPr>
                <w:sz w:val="23"/>
                <w:szCs w:val="23"/>
                <w:color w:val="auto"/>
              </w:rPr>
            </w:pPr>
          </w:p>
        </w:tc>
      </w:tr>
      <w:tr>
        <w:trPr>
          <w:trHeight w:val="840"/>
        </w:trPr>
        <w:tc>
          <w:tcPr>
            <w:tcW w:w="14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80" w:type="dxa"/>
            <w:vAlign w:val="bottom"/>
          </w:tcPr>
          <w:p>
            <w:pPr>
              <w:jc w:val="right"/>
              <w:ind w:right="1920"/>
              <w:spacing w:after="0"/>
              <w:rPr>
                <w:sz w:val="20"/>
                <w:szCs w:val="20"/>
                <w:color w:val="auto"/>
              </w:rPr>
            </w:pPr>
            <w:r>
              <w:rPr>
                <w:rFonts w:ascii="Arial" w:cs="Arial" w:eastAsia="Arial" w:hAnsi="Arial"/>
                <w:sz w:val="20"/>
                <w:szCs w:val="20"/>
                <w:color w:val="auto"/>
              </w:rPr>
              <w:t>103</w:t>
            </w: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91"/>
        </w:trPr>
        <w:tc>
          <w:tcPr>
            <w:tcW w:w="1400" w:type="dxa"/>
            <w:vAlign w:val="bottom"/>
            <w:tcBorders>
              <w:bottom w:val="single" w:sz="8" w:color="010101"/>
            </w:tcBorders>
          </w:tcPr>
          <w:p>
            <w:pPr>
              <w:spacing w:after="0"/>
              <w:rPr>
                <w:sz w:val="24"/>
                <w:szCs w:val="24"/>
                <w:color w:val="auto"/>
              </w:rPr>
            </w:pPr>
          </w:p>
        </w:tc>
        <w:tc>
          <w:tcPr>
            <w:tcW w:w="2780" w:type="dxa"/>
            <w:vAlign w:val="bottom"/>
            <w:tcBorders>
              <w:bottom w:val="single" w:sz="8" w:color="010101"/>
            </w:tcBorders>
          </w:tcPr>
          <w:p>
            <w:pPr>
              <w:spacing w:after="0"/>
              <w:rPr>
                <w:sz w:val="24"/>
                <w:szCs w:val="24"/>
                <w:color w:val="auto"/>
              </w:rPr>
            </w:pPr>
          </w:p>
        </w:tc>
        <w:tc>
          <w:tcPr>
            <w:tcW w:w="268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14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7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7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-1696720</wp:posOffset>
            </wp:positionV>
            <wp:extent cx="1323975" cy="63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0">
                      <a:extLst>
                        <a:ext uri="{28A0092B-C50C-407E-A947-70E740481C1C}"/>
                      </a:extLst>
                    </a:blip>
                    <a:srcRect/>
                    <a:stretch>
                      <a:fillRect/>
                    </a:stretch>
                  </pic:blipFill>
                  <pic:spPr bwMode="auto">
                    <a:xfrm>
                      <a:off x="0" y="0"/>
                      <a:ext cx="1323975" cy="63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-1490980</wp:posOffset>
            </wp:positionV>
            <wp:extent cx="1323975" cy="63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1">
                      <a:extLst>
                        <a:ext uri="{28A0092B-C50C-407E-A947-70E740481C1C}"/>
                      </a:extLst>
                    </a:blip>
                    <a:srcRect/>
                    <a:stretch>
                      <a:fillRect/>
                    </a:stretch>
                  </pic:blipFill>
                  <pic:spPr bwMode="auto">
                    <a:xfrm>
                      <a:off x="0" y="0"/>
                      <a:ext cx="1323975" cy="6350"/>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24</w:t>
      </w:r>
    </w:p>
    <w:p>
      <w:pPr>
        <w:sectPr>
          <w:pgSz w:w="11900" w:h="16838" w:orient="portrait"/>
          <w:cols w:equalWidth="0" w:num="1">
            <w:col w:w="9400"/>
          </w:cols>
          <w:pgMar w:left="1260" w:top="1163" w:right="1246" w:bottom="0" w:gutter="0" w:footer="0" w:header="0"/>
          <w:type w:val="continuous"/>
        </w:sectPr>
      </w:pPr>
    </w:p>
    <w:bookmarkStart w:id="215" w:name="page216"/>
    <w:bookmarkEnd w:id="215"/>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380" w:lineRule="exact"/>
        <w:rPr>
          <w:sz w:val="20"/>
          <w:szCs w:val="20"/>
          <w:color w:val="auto"/>
        </w:rPr>
      </w:pPr>
    </w:p>
    <w:p>
      <w:pPr>
        <w:jc w:val="both"/>
        <w:ind w:left="620" w:right="60"/>
        <w:spacing w:after="0" w:line="351" w:lineRule="auto"/>
        <w:rPr>
          <w:sz w:val="20"/>
          <w:szCs w:val="20"/>
          <w:color w:val="auto"/>
        </w:rPr>
      </w:pPr>
      <w:r>
        <w:rPr>
          <w:rFonts w:ascii="Arial" w:cs="Arial" w:eastAsia="Arial" w:hAnsi="Arial"/>
          <w:sz w:val="18"/>
          <w:szCs w:val="18"/>
          <w:color w:val="auto"/>
        </w:rPr>
        <w:t>Commitments to extend credit and Standby Letters of Credit all include exposure to some credit loss in the event of nonperformance of the customer. The Bank’s credit policies and procedures for credit commitments and financial guarantees are the same as those for extensions of credit that are recorded in the financial statements. Due to the fact that these instruments have fixed maturity dates, and because many of them expire without being drawn upon, they generally do not present any significant liquidity risk to the Bank.</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Collateral Requirements</w:t>
      </w:r>
    </w:p>
    <w:p>
      <w:pPr>
        <w:spacing w:after="0" w:line="200" w:lineRule="exact"/>
        <w:rPr>
          <w:sz w:val="20"/>
          <w:szCs w:val="20"/>
          <w:color w:val="auto"/>
        </w:rPr>
      </w:pPr>
    </w:p>
    <w:p>
      <w:pPr>
        <w:jc w:val="both"/>
        <w:ind w:left="620" w:right="60"/>
        <w:spacing w:after="0" w:line="309" w:lineRule="auto"/>
        <w:rPr>
          <w:sz w:val="20"/>
          <w:szCs w:val="20"/>
          <w:color w:val="auto"/>
        </w:rPr>
      </w:pPr>
      <w:r>
        <w:rPr>
          <w:rFonts w:ascii="Arial" w:cs="Arial" w:eastAsia="Arial" w:hAnsi="Arial"/>
          <w:sz w:val="20"/>
          <w:szCs w:val="20"/>
          <w:color w:val="auto"/>
        </w:rPr>
        <w:t>To reduce credit risk related to the use of credit-related financial instruments, the Bank might deem it necessary to obtain collateral. The amount and nature of the collateral obtained is based on the Bank's credit evaluation of the customer. Collateral held varies but may include cash, securities, accounts receivable, inventory, property, plant, and real estate.</w:t>
      </w:r>
    </w:p>
    <w:p>
      <w:pPr>
        <w:spacing w:after="0" w:line="246"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Legal Contingencies</w:t>
      </w:r>
    </w:p>
    <w:p>
      <w:pPr>
        <w:spacing w:after="0" w:line="200" w:lineRule="exact"/>
        <w:rPr>
          <w:sz w:val="20"/>
          <w:szCs w:val="20"/>
          <w:color w:val="auto"/>
        </w:rPr>
      </w:pPr>
    </w:p>
    <w:p>
      <w:pPr>
        <w:jc w:val="both"/>
        <w:ind w:left="620" w:right="60"/>
        <w:spacing w:after="0" w:line="331" w:lineRule="auto"/>
        <w:rPr>
          <w:sz w:val="20"/>
          <w:szCs w:val="20"/>
          <w:color w:val="auto"/>
        </w:rPr>
      </w:pPr>
      <w:r>
        <w:rPr>
          <w:rFonts w:ascii="Arial" w:cs="Arial" w:eastAsia="Arial" w:hAnsi="Arial"/>
          <w:sz w:val="19"/>
          <w:szCs w:val="19"/>
          <w:color w:val="auto"/>
        </w:rPr>
        <w:t>Various legal claims also arise from time to time in the normal course of business, which, in the opinion of management, will have no material effect on the Company’s consolidated financial statements.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 Minimum Regulatory Capital Requirements</w:t>
      </w:r>
    </w:p>
    <w:p>
      <w:pPr>
        <w:spacing w:after="0" w:line="200" w:lineRule="exact"/>
        <w:rPr>
          <w:sz w:val="20"/>
          <w:szCs w:val="20"/>
          <w:color w:val="auto"/>
        </w:rPr>
      </w:pPr>
    </w:p>
    <w:p>
      <w:pPr>
        <w:jc w:val="both"/>
        <w:ind w:left="620" w:right="60"/>
        <w:spacing w:after="0" w:line="350" w:lineRule="auto"/>
        <w:rPr>
          <w:sz w:val="20"/>
          <w:szCs w:val="20"/>
          <w:color w:val="auto"/>
        </w:rPr>
      </w:pPr>
      <w:r>
        <w:rPr>
          <w:rFonts w:ascii="Arial" w:cs="Arial" w:eastAsia="Arial" w:hAnsi="Arial"/>
          <w:sz w:val="18"/>
          <w:szCs w:val="18"/>
          <w:color w:val="auto"/>
        </w:rPr>
        <w:t>The Company (on a consolidated basis) and 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and Bank's financial statements. Under capital adequacy guidelines and the regulatory framework for prompt corrective action, the Company and Bank must meet specific capital guidelines that involve quantitative measures of their assets, liabilities and certain off balance sheet items as calculated under regulatory accounting practices.</w:t>
      </w:r>
    </w:p>
    <w:p>
      <w:pPr>
        <w:spacing w:after="0" w:line="227" w:lineRule="exact"/>
        <w:rPr>
          <w:sz w:val="20"/>
          <w:szCs w:val="20"/>
          <w:color w:val="auto"/>
        </w:rPr>
      </w:pPr>
    </w:p>
    <w:p>
      <w:pPr>
        <w:jc w:val="both"/>
        <w:ind w:left="620" w:right="80"/>
        <w:spacing w:after="0" w:line="307" w:lineRule="auto"/>
        <w:rPr>
          <w:sz w:val="20"/>
          <w:szCs w:val="20"/>
          <w:color w:val="auto"/>
        </w:rPr>
      </w:pPr>
      <w:r>
        <w:rPr>
          <w:rFonts w:ascii="Arial" w:cs="Arial" w:eastAsia="Arial" w:hAnsi="Arial"/>
          <w:sz w:val="20"/>
          <w:szCs w:val="20"/>
          <w:color w:val="auto"/>
        </w:rPr>
        <w:t>The capital amounts and classification are also subject to qualitative judgments by the regulators about components, risk weightings, and other factors. Prompt corrective action provisions are not applicable to bank holding companies.</w:t>
      </w:r>
    </w:p>
    <w:p>
      <w:pPr>
        <w:spacing w:after="0" w:line="257" w:lineRule="exact"/>
        <w:rPr>
          <w:sz w:val="20"/>
          <w:szCs w:val="20"/>
          <w:color w:val="auto"/>
        </w:rPr>
      </w:pPr>
    </w:p>
    <w:p>
      <w:pPr>
        <w:jc w:val="both"/>
        <w:ind w:left="620" w:right="80"/>
        <w:spacing w:after="0" w:line="310" w:lineRule="auto"/>
        <w:rPr>
          <w:sz w:val="20"/>
          <w:szCs w:val="20"/>
          <w:color w:val="auto"/>
        </w:rPr>
      </w:pPr>
      <w:r>
        <w:rPr>
          <w:rFonts w:ascii="Arial" w:cs="Arial" w:eastAsia="Arial" w:hAnsi="Arial"/>
          <w:sz w:val="20"/>
          <w:szCs w:val="20"/>
          <w:color w:val="auto"/>
        </w:rPr>
        <w:t>Quantitative measures established by the Basel III Capital Rules, the comprehensive capital framework for U.S. banking organizations, to ensure capital adequacy require the maintenance of minimum amounts and ratios (set forth in the table below) of Common Equity Tier 1 capital, Tier 1 capital and Total capital (as defined in the regulations) to risk-weighted assets (as defined), and of Tier 1 capital to adjusted quarterly average assets (as defined).</w:t>
      </w:r>
    </w:p>
    <w:p>
      <w:pPr>
        <w:spacing w:after="0" w:line="255" w:lineRule="exact"/>
        <w:rPr>
          <w:sz w:val="20"/>
          <w:szCs w:val="20"/>
          <w:color w:val="auto"/>
        </w:rPr>
      </w:pPr>
    </w:p>
    <w:p>
      <w:pPr>
        <w:jc w:val="both"/>
        <w:ind w:left="620" w:right="80"/>
        <w:spacing w:after="0" w:line="331" w:lineRule="auto"/>
        <w:rPr>
          <w:sz w:val="20"/>
          <w:szCs w:val="20"/>
          <w:color w:val="auto"/>
        </w:rPr>
      </w:pPr>
      <w:r>
        <w:rPr>
          <w:rFonts w:ascii="Arial" w:cs="Arial" w:eastAsia="Arial" w:hAnsi="Arial"/>
          <w:sz w:val="19"/>
          <w:szCs w:val="19"/>
          <w:color w:val="auto"/>
        </w:rPr>
        <w:t>In connection with the adoption of the Basel III Capital Rules, we elected to opt-out of the requirement to include most components of accumulated other comprehensive income in Common Equity Tier 1.</w:t>
      </w:r>
    </w:p>
    <w:p>
      <w:pPr>
        <w:spacing w:after="0" w:line="237" w:lineRule="exact"/>
        <w:rPr>
          <w:sz w:val="20"/>
          <w:szCs w:val="20"/>
          <w:color w:val="auto"/>
        </w:rPr>
      </w:pPr>
    </w:p>
    <w:p>
      <w:pPr>
        <w:jc w:val="both"/>
        <w:ind w:left="620" w:right="80"/>
        <w:spacing w:after="0" w:line="302" w:lineRule="auto"/>
        <w:rPr>
          <w:sz w:val="20"/>
          <w:szCs w:val="20"/>
          <w:color w:val="auto"/>
        </w:rPr>
      </w:pPr>
      <w:r>
        <w:rPr>
          <w:rFonts w:ascii="Arial" w:cs="Arial" w:eastAsia="Arial" w:hAnsi="Arial"/>
          <w:sz w:val="20"/>
          <w:szCs w:val="20"/>
          <w:color w:val="auto"/>
        </w:rPr>
        <w:t>Common Equity Tier 1 is reduced by goodwill and other intangible assets, net of associated deferred tax liabilities, and subject to transition provisions.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24</w:t>
      </w:r>
    </w:p>
    <w:p>
      <w:pPr>
        <w:sectPr>
          <w:pgSz w:w="11900" w:h="16838" w:orient="portrait"/>
          <w:cols w:equalWidth="0" w:num="1">
            <w:col w:w="9400"/>
          </w:cols>
          <w:pgMar w:left="1260" w:top="1440" w:right="1246" w:bottom="0" w:gutter="0" w:footer="0" w:header="0"/>
          <w:type w:val="continuous"/>
        </w:sectPr>
      </w:pPr>
    </w:p>
    <w:bookmarkStart w:id="216" w:name="page217"/>
    <w:bookmarkEnd w:id="216"/>
    <w:p>
      <w:pPr>
        <w:jc w:val="both"/>
        <w:ind w:left="440"/>
        <w:spacing w:after="0" w:line="351" w:lineRule="auto"/>
        <w:rPr>
          <w:sz w:val="20"/>
          <w:szCs w:val="20"/>
          <w:color w:val="auto"/>
        </w:rPr>
      </w:pPr>
      <w:r>
        <w:rPr>
          <w:rFonts w:ascii="Arial" w:cs="Arial" w:eastAsia="Arial" w:hAnsi="Arial"/>
          <w:sz w:val="18"/>
          <w:szCs w:val="18"/>
          <w:color w:val="auto"/>
        </w:rPr>
        <w:t>The Common Equity Tier 1, Tier 1 and Total capital ratios are calculated by dividing the respective capital amounts by risk-weighted assets. Risk-weighted assets are calculated based on regulatory requirements and include total assets, with certain exclusions, allocated by risk weight category, and certain off balance sheet items, among other things. The leverage ratio is calculated by dividing Tier 1 capital by adjusted quarterly average total assets, which exclude goodwill and other intangible assets, among other things.</w:t>
      </w:r>
    </w:p>
    <w:p>
      <w:pPr>
        <w:spacing w:after="0" w:line="226" w:lineRule="exact"/>
        <w:rPr>
          <w:sz w:val="20"/>
          <w:szCs w:val="20"/>
          <w:color w:val="auto"/>
        </w:rPr>
      </w:pPr>
    </w:p>
    <w:p>
      <w:pPr>
        <w:jc w:val="both"/>
        <w:ind w:left="440"/>
        <w:spacing w:after="0" w:line="329" w:lineRule="auto"/>
        <w:rPr>
          <w:sz w:val="20"/>
          <w:szCs w:val="20"/>
          <w:color w:val="auto"/>
        </w:rPr>
      </w:pPr>
      <w:r>
        <w:rPr>
          <w:rFonts w:ascii="Arial" w:cs="Arial" w:eastAsia="Arial" w:hAnsi="Arial"/>
          <w:sz w:val="19"/>
          <w:szCs w:val="19"/>
          <w:color w:val="auto"/>
        </w:rPr>
        <w:t>The Basel III Capital Rules require the Company and Bank to maintain (i) a minimum ratio of Common Equity Tier 1 capital to risk-weighted assets of at least 4.5%, plus a 2.5% “capital conservation buffer” (which is added to the 4.5% Common Equity Tier 1 capital ratio, effectively resulting in a minimum ratio of Common Equity Tier 1 capital to risk-weighted assets of at least 7.0%), (ii) a minimum ratio of Tier 1 capital to risk-weighted assets of at least 6.0%, plus the capital conservation buffer (which is added to the 6.0% Tier 1 capital ratio, effectively resulting in a minimum Tier 1 capital ratio of 8.5%), (iii) a minimum ratio of Total capital (that is, Tier 1 plus Tier 2) to risk-weighted assets of at least 8.0%, plus the capital conservation buffer (which is added to the 8.0% total capital ratio, effectively resulting</w:t>
      </w: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21 / 24</w:t>
      </w:r>
    </w:p>
    <w:p>
      <w:pPr>
        <w:sectPr>
          <w:pgSz w:w="11900" w:h="16838" w:orient="portrait"/>
          <w:cols w:equalWidth="0" w:num="1">
            <w:col w:w="9160"/>
          </w:cols>
          <w:pgMar w:left="1440" w:top="1173" w:right="1306" w:bottom="0" w:gutter="0" w:footer="0" w:header="0"/>
          <w:type w:val="continuous"/>
        </w:sectPr>
      </w:pPr>
    </w:p>
    <w:bookmarkStart w:id="217" w:name="page218"/>
    <w:bookmarkEnd w:id="217"/>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620" w:right="60"/>
        <w:spacing w:after="0" w:line="302" w:lineRule="auto"/>
        <w:rPr>
          <w:sz w:val="20"/>
          <w:szCs w:val="20"/>
          <w:color w:val="auto"/>
        </w:rPr>
      </w:pPr>
      <w:r>
        <w:rPr>
          <w:rFonts w:ascii="Arial" w:cs="Arial" w:eastAsia="Arial" w:hAnsi="Arial"/>
          <w:sz w:val="20"/>
          <w:szCs w:val="20"/>
          <w:color w:val="auto"/>
        </w:rPr>
        <w:t>in a minimum total capital ratio of 10.5%) and (iv) a minimum leverage ratio of 4.0%, calculated as the ratio of Tier 1 capital to average quarterly assets.</w:t>
      </w:r>
    </w:p>
    <w:p>
      <w:pPr>
        <w:spacing w:after="0" w:line="261" w:lineRule="exact"/>
        <w:rPr>
          <w:sz w:val="20"/>
          <w:szCs w:val="20"/>
          <w:color w:val="auto"/>
        </w:rPr>
      </w:pPr>
    </w:p>
    <w:p>
      <w:pPr>
        <w:jc w:val="both"/>
        <w:ind w:left="620" w:right="60"/>
        <w:spacing w:after="0" w:line="310" w:lineRule="auto"/>
        <w:rPr>
          <w:sz w:val="20"/>
          <w:szCs w:val="20"/>
          <w:color w:val="auto"/>
        </w:rPr>
      </w:pPr>
      <w:r>
        <w:rPr>
          <w:rFonts w:ascii="Arial" w:cs="Arial" w:eastAsia="Arial" w:hAnsi="Arial"/>
          <w:sz w:val="20"/>
          <w:szCs w:val="20"/>
          <w:color w:val="auto"/>
        </w:rPr>
        <w:t>The capital conservation buffer is designed to absorb losses during periods of economic stress and, as detailed above, effectively increases the minimum required risk-weighted capital ratios. Banking institutions with a ratio of Common Equity Tier 1 capital to risk-weighted assets below the effective minimum (4.5% plus the capital conservation buffer) will face constraints on dividends, equity repurchases and compensation based on the amount of the shortfall.</w:t>
      </w:r>
    </w:p>
    <w:p>
      <w:pPr>
        <w:spacing w:after="0" w:line="255" w:lineRule="exact"/>
        <w:rPr>
          <w:sz w:val="20"/>
          <w:szCs w:val="20"/>
          <w:color w:val="auto"/>
        </w:rPr>
      </w:pPr>
    </w:p>
    <w:p>
      <w:pPr>
        <w:jc w:val="both"/>
        <w:ind w:left="620"/>
        <w:spacing w:after="0" w:line="302" w:lineRule="auto"/>
        <w:rPr>
          <w:sz w:val="20"/>
          <w:szCs w:val="20"/>
          <w:color w:val="auto"/>
        </w:rPr>
      </w:pPr>
      <w:r>
        <w:rPr>
          <w:rFonts w:ascii="Arial" w:cs="Arial" w:eastAsia="Arial" w:hAnsi="Arial"/>
          <w:sz w:val="20"/>
          <w:szCs w:val="20"/>
          <w:color w:val="auto"/>
        </w:rPr>
        <w:t>Management believes, as of December 31, 2025, that the Bank meets all the capital adequacy requirements to which it is subject.</w:t>
      </w:r>
    </w:p>
    <w:p>
      <w:pPr>
        <w:spacing w:after="0" w:line="261" w:lineRule="exact"/>
        <w:rPr>
          <w:sz w:val="20"/>
          <w:szCs w:val="20"/>
          <w:color w:val="auto"/>
        </w:rPr>
      </w:pPr>
    </w:p>
    <w:p>
      <w:pPr>
        <w:jc w:val="both"/>
        <w:ind w:left="620" w:right="20"/>
        <w:spacing w:after="0" w:line="311" w:lineRule="auto"/>
        <w:rPr>
          <w:sz w:val="20"/>
          <w:szCs w:val="20"/>
          <w:color w:val="auto"/>
        </w:rPr>
      </w:pPr>
      <w:r>
        <w:rPr>
          <w:rFonts w:ascii="Arial" w:cs="Arial" w:eastAsia="Arial" w:hAnsi="Arial"/>
          <w:sz w:val="20"/>
          <w:szCs w:val="20"/>
          <w:color w:val="auto"/>
        </w:rPr>
        <w:t>As of December 31, 2025, the most recent notification from the FDIC indicated the Bank was categorized as well capitalized under the regulatory framework for prompt corrective action. To remain categorized as well capitalized, the Bank will have to maintain minimum total risk-based, Tier I risk-based, Common Equity Tier 1 and Tier I leverage ratios as disclosed in the table to follow. There are no conditions or events since the most recent notification that management believes have changed the Bank’s prompt corrective action category.</w:t>
      </w:r>
    </w:p>
    <w:p>
      <w:pPr>
        <w:spacing w:after="0" w:line="252" w:lineRule="exact"/>
        <w:rPr>
          <w:sz w:val="20"/>
          <w:szCs w:val="20"/>
          <w:color w:val="auto"/>
        </w:rPr>
      </w:pPr>
    </w:p>
    <w:p>
      <w:pPr>
        <w:jc w:val="both"/>
        <w:ind w:left="620" w:right="80"/>
        <w:spacing w:after="0" w:line="309" w:lineRule="auto"/>
        <w:rPr>
          <w:sz w:val="20"/>
          <w:szCs w:val="20"/>
          <w:color w:val="auto"/>
        </w:rPr>
      </w:pPr>
      <w:r>
        <w:rPr>
          <w:rFonts w:ascii="Arial" w:cs="Arial" w:eastAsia="Arial" w:hAnsi="Arial"/>
          <w:sz w:val="20"/>
          <w:szCs w:val="20"/>
          <w:color w:val="auto"/>
        </w:rPr>
        <w:t>The following tables present actual and required capital ratios as of December 31, 2025 and December 31, 2024 under the Basel III Capital Rules. Capital levels required to be considered well capitalized are based upon prompt corrective action regulations, as amended to reflect the changes under the Basel III Capital Rules.</w:t>
      </w:r>
    </w:p>
    <w:p>
      <w:pPr>
        <w:spacing w:after="0" w:line="256" w:lineRule="exact"/>
        <w:rPr>
          <w:sz w:val="20"/>
          <w:szCs w:val="20"/>
          <w:color w:val="auto"/>
        </w:rPr>
      </w:pPr>
    </w:p>
    <w:p>
      <w:pPr>
        <w:jc w:val="both"/>
        <w:ind w:left="620" w:right="60"/>
        <w:spacing w:after="0" w:line="302" w:lineRule="auto"/>
        <w:rPr>
          <w:sz w:val="20"/>
          <w:szCs w:val="20"/>
          <w:color w:val="auto"/>
        </w:rPr>
      </w:pPr>
      <w:r>
        <w:rPr>
          <w:rFonts w:ascii="Arial" w:cs="Arial" w:eastAsia="Arial" w:hAnsi="Arial"/>
          <w:sz w:val="20"/>
          <w:szCs w:val="20"/>
          <w:color w:val="auto"/>
        </w:rPr>
        <w:t>The Company and Bank's actual and required capital amounts and ratios as of December 31, 2025 and 2024 are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20"/>
                <w:szCs w:val="20"/>
                <w:color w:val="auto"/>
                <w:w w:val="89"/>
              </w:rPr>
              <w:t>Required to be</w:t>
            </w:r>
          </w:p>
        </w:tc>
        <w:tc>
          <w:tcPr>
            <w:tcW w:w="900" w:type="dxa"/>
            <w:vAlign w:val="bottom"/>
          </w:tcPr>
          <w:p>
            <w:pPr>
              <w:spacing w:after="0"/>
              <w:rPr>
                <w:sz w:val="19"/>
                <w:szCs w:val="19"/>
                <w:color w:val="auto"/>
              </w:rPr>
            </w:pPr>
          </w:p>
        </w:tc>
      </w:tr>
      <w:tr>
        <w:trPr>
          <w:trHeight w:val="300"/>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jc w:val="center"/>
              <w:ind w:right="220"/>
              <w:spacing w:after="0"/>
              <w:rPr>
                <w:sz w:val="20"/>
                <w:szCs w:val="20"/>
                <w:color w:val="auto"/>
              </w:rPr>
            </w:pPr>
            <w:r>
              <w:rPr>
                <w:rFonts w:ascii="Arial" w:cs="Arial" w:eastAsia="Arial" w:hAnsi="Arial"/>
                <w:sz w:val="20"/>
                <w:szCs w:val="20"/>
                <w:color w:val="auto"/>
                <w:w w:val="98"/>
              </w:rPr>
              <w:t>Minimum</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220"/>
              <w:spacing w:after="0"/>
              <w:rPr>
                <w:sz w:val="20"/>
                <w:szCs w:val="20"/>
                <w:color w:val="auto"/>
              </w:rPr>
            </w:pPr>
            <w:r>
              <w:rPr>
                <w:rFonts w:ascii="Arial" w:cs="Arial" w:eastAsia="Arial" w:hAnsi="Arial"/>
                <w:sz w:val="20"/>
                <w:szCs w:val="20"/>
                <w:color w:val="auto"/>
                <w:w w:val="87"/>
              </w:rPr>
              <w:t>Considered</w:t>
            </w:r>
          </w:p>
        </w:tc>
        <w:tc>
          <w:tcPr>
            <w:tcW w:w="900" w:type="dxa"/>
            <w:vAlign w:val="bottom"/>
          </w:tcPr>
          <w:p>
            <w:pPr>
              <w:spacing w:after="0"/>
              <w:rPr>
                <w:sz w:val="24"/>
                <w:szCs w:val="24"/>
                <w:color w:val="auto"/>
              </w:rPr>
            </w:pPr>
          </w:p>
        </w:tc>
      </w:tr>
      <w:tr>
        <w:trPr>
          <w:trHeight w:val="300"/>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jc w:val="center"/>
              <w:ind w:right="240"/>
              <w:spacing w:after="0"/>
              <w:rPr>
                <w:sz w:val="20"/>
                <w:szCs w:val="20"/>
                <w:color w:val="auto"/>
              </w:rPr>
            </w:pPr>
            <w:r>
              <w:rPr>
                <w:rFonts w:ascii="Arial" w:cs="Arial" w:eastAsia="Arial" w:hAnsi="Arial"/>
                <w:sz w:val="20"/>
                <w:szCs w:val="20"/>
                <w:color w:val="auto"/>
                <w:w w:val="93"/>
              </w:rPr>
              <w:t>Capital</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180"/>
              <w:spacing w:after="0"/>
              <w:rPr>
                <w:sz w:val="20"/>
                <w:szCs w:val="20"/>
                <w:color w:val="auto"/>
              </w:rPr>
            </w:pPr>
            <w:r>
              <w:rPr>
                <w:rFonts w:ascii="Arial" w:cs="Arial" w:eastAsia="Arial" w:hAnsi="Arial"/>
                <w:sz w:val="20"/>
                <w:szCs w:val="20"/>
                <w:color w:val="auto"/>
              </w:rPr>
              <w:t>Well-</w:t>
            </w:r>
          </w:p>
        </w:tc>
        <w:tc>
          <w:tcPr>
            <w:tcW w:w="900" w:type="dxa"/>
            <w:vAlign w:val="bottom"/>
          </w:tcPr>
          <w:p>
            <w:pPr>
              <w:spacing w:after="0"/>
              <w:rPr>
                <w:sz w:val="24"/>
                <w:szCs w:val="24"/>
                <w:color w:val="auto"/>
              </w:rPr>
            </w:pPr>
          </w:p>
        </w:tc>
      </w:tr>
      <w:tr>
        <w:trPr>
          <w:trHeight w:val="300"/>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center"/>
              <w:ind w:right="220"/>
              <w:spacing w:after="0"/>
              <w:rPr>
                <w:sz w:val="20"/>
                <w:szCs w:val="20"/>
                <w:color w:val="auto"/>
              </w:rPr>
            </w:pPr>
            <w:r>
              <w:rPr>
                <w:rFonts w:ascii="Arial" w:cs="Arial" w:eastAsia="Arial" w:hAnsi="Arial"/>
                <w:sz w:val="20"/>
                <w:szCs w:val="20"/>
                <w:color w:val="auto"/>
                <w:w w:val="97"/>
              </w:rPr>
              <w:t>Actual</w:t>
            </w:r>
          </w:p>
        </w:tc>
        <w:tc>
          <w:tcPr>
            <w:tcW w:w="1140" w:type="dxa"/>
            <w:vAlign w:val="bottom"/>
          </w:tcPr>
          <w:p>
            <w:pPr>
              <w:spacing w:after="0"/>
              <w:rPr>
                <w:sz w:val="24"/>
                <w:szCs w:val="24"/>
                <w:color w:val="auto"/>
              </w:rPr>
            </w:pPr>
          </w:p>
        </w:tc>
        <w:tc>
          <w:tcPr>
            <w:tcW w:w="1200" w:type="dxa"/>
            <w:vAlign w:val="bottom"/>
          </w:tcPr>
          <w:p>
            <w:pPr>
              <w:jc w:val="center"/>
              <w:ind w:right="180"/>
              <w:spacing w:after="0"/>
              <w:rPr>
                <w:sz w:val="20"/>
                <w:szCs w:val="20"/>
                <w:color w:val="auto"/>
              </w:rPr>
            </w:pPr>
            <w:r>
              <w:rPr>
                <w:rFonts w:ascii="Arial" w:cs="Arial" w:eastAsia="Arial" w:hAnsi="Arial"/>
                <w:sz w:val="20"/>
                <w:szCs w:val="20"/>
                <w:color w:val="auto"/>
                <w:w w:val="88"/>
              </w:rPr>
              <w:t>Required</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160"/>
              <w:spacing w:after="0"/>
              <w:rPr>
                <w:sz w:val="20"/>
                <w:szCs w:val="20"/>
                <w:color w:val="auto"/>
              </w:rPr>
            </w:pPr>
            <w:r>
              <w:rPr>
                <w:rFonts w:ascii="Arial" w:cs="Arial" w:eastAsia="Arial" w:hAnsi="Arial"/>
                <w:sz w:val="20"/>
                <w:szCs w:val="20"/>
                <w:color w:val="auto"/>
                <w:w w:val="92"/>
              </w:rPr>
              <w:t>Capitalized</w:t>
            </w:r>
          </w:p>
        </w:tc>
        <w:tc>
          <w:tcPr>
            <w:tcW w:w="900" w:type="dxa"/>
            <w:vAlign w:val="bottom"/>
          </w:tcPr>
          <w:p>
            <w:pPr>
              <w:spacing w:after="0"/>
              <w:rPr>
                <w:sz w:val="24"/>
                <w:szCs w:val="24"/>
                <w:color w:val="auto"/>
              </w:rPr>
            </w:pPr>
          </w:p>
        </w:tc>
      </w:tr>
      <w:tr>
        <w:trPr>
          <w:trHeight w:val="324"/>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center"/>
              <w:ind w:right="220"/>
              <w:spacing w:after="0"/>
              <w:rPr>
                <w:sz w:val="20"/>
                <w:szCs w:val="20"/>
                <w:color w:val="auto"/>
              </w:rPr>
            </w:pPr>
            <w:r>
              <w:rPr>
                <w:rFonts w:ascii="Arial" w:cs="Arial" w:eastAsia="Arial" w:hAnsi="Arial"/>
                <w:sz w:val="20"/>
                <w:szCs w:val="20"/>
                <w:color w:val="auto"/>
                <w:w w:val="89"/>
              </w:rPr>
              <w:t>(000's)</w:t>
            </w:r>
          </w:p>
        </w:tc>
        <w:tc>
          <w:tcPr>
            <w:tcW w:w="1140" w:type="dxa"/>
            <w:vAlign w:val="bottom"/>
          </w:tcPr>
          <w:p>
            <w:pPr>
              <w:spacing w:after="0"/>
              <w:rPr>
                <w:sz w:val="24"/>
                <w:szCs w:val="24"/>
                <w:color w:val="auto"/>
              </w:rPr>
            </w:pPr>
          </w:p>
        </w:tc>
        <w:tc>
          <w:tcPr>
            <w:tcW w:w="1200" w:type="dxa"/>
            <w:vAlign w:val="bottom"/>
          </w:tcPr>
          <w:p>
            <w:pPr>
              <w:jc w:val="center"/>
              <w:ind w:right="180"/>
              <w:spacing w:after="0"/>
              <w:rPr>
                <w:sz w:val="20"/>
                <w:szCs w:val="20"/>
                <w:color w:val="auto"/>
              </w:rPr>
            </w:pPr>
            <w:r>
              <w:rPr>
                <w:rFonts w:ascii="Arial" w:cs="Arial" w:eastAsia="Arial" w:hAnsi="Arial"/>
                <w:sz w:val="20"/>
                <w:szCs w:val="20"/>
                <w:color w:val="auto"/>
                <w:w w:val="92"/>
              </w:rPr>
              <w:t>(000's)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160"/>
              <w:spacing w:after="0"/>
              <w:rPr>
                <w:sz w:val="20"/>
                <w:szCs w:val="20"/>
                <w:color w:val="auto"/>
              </w:rPr>
            </w:pPr>
            <w:r>
              <w:rPr>
                <w:rFonts w:ascii="Arial" w:cs="Arial" w:eastAsia="Arial" w:hAnsi="Arial"/>
                <w:sz w:val="20"/>
                <w:szCs w:val="20"/>
                <w:color w:val="auto"/>
                <w:w w:val="92"/>
              </w:rPr>
              <w:t>(000's)</w:t>
            </w:r>
          </w:p>
        </w:tc>
        <w:tc>
          <w:tcPr>
            <w:tcW w:w="900" w:type="dxa"/>
            <w:vAlign w:val="bottom"/>
          </w:tcPr>
          <w:p>
            <w:pPr>
              <w:spacing w:after="0"/>
              <w:rPr>
                <w:sz w:val="24"/>
                <w:szCs w:val="24"/>
                <w:color w:val="auto"/>
              </w:rPr>
            </w:pPr>
          </w:p>
        </w:tc>
      </w:tr>
      <w:tr>
        <w:trPr>
          <w:trHeight w:val="324"/>
        </w:trPr>
        <w:tc>
          <w:tcPr>
            <w:tcW w:w="2400" w:type="dxa"/>
            <w:vAlign w:val="bottom"/>
          </w:tcPr>
          <w:p>
            <w:pPr>
              <w:spacing w:after="0"/>
              <w:rPr>
                <w:sz w:val="20"/>
                <w:szCs w:val="20"/>
                <w:color w:val="auto"/>
              </w:rPr>
            </w:pPr>
            <w:r>
              <w:rPr>
                <w:rFonts w:ascii="Arial" w:cs="Arial" w:eastAsia="Arial" w:hAnsi="Arial"/>
                <w:sz w:val="20"/>
                <w:szCs w:val="20"/>
                <w:color w:val="auto"/>
              </w:rPr>
              <w:t>As of December 31, 2025</w:t>
            </w:r>
          </w:p>
        </w:tc>
        <w:tc>
          <w:tcPr>
            <w:tcW w:w="260" w:type="dxa"/>
            <w:vAlign w:val="bottom"/>
          </w:tcPr>
          <w:p>
            <w:pPr>
              <w:spacing w:after="0"/>
              <w:rPr>
                <w:sz w:val="24"/>
                <w:szCs w:val="24"/>
                <w:color w:val="auto"/>
              </w:rPr>
            </w:pPr>
          </w:p>
        </w:tc>
        <w:tc>
          <w:tcPr>
            <w:tcW w:w="1140" w:type="dxa"/>
            <w:vAlign w:val="bottom"/>
          </w:tcPr>
          <w:p>
            <w:pPr>
              <w:jc w:val="center"/>
              <w:ind w:right="220"/>
              <w:spacing w:after="0"/>
              <w:rPr>
                <w:sz w:val="20"/>
                <w:szCs w:val="20"/>
                <w:color w:val="auto"/>
              </w:rPr>
            </w:pPr>
            <w:r>
              <w:rPr>
                <w:rFonts w:ascii="Arial" w:cs="Arial" w:eastAsia="Arial" w:hAnsi="Arial"/>
                <w:sz w:val="20"/>
                <w:szCs w:val="20"/>
                <w:color w:val="auto"/>
                <w:w w:val="95"/>
              </w:rPr>
              <w:t>Amount</w:t>
            </w:r>
          </w:p>
        </w:tc>
        <w:tc>
          <w:tcPr>
            <w:tcW w:w="1140" w:type="dxa"/>
            <w:vAlign w:val="bottom"/>
          </w:tcPr>
          <w:p>
            <w:pPr>
              <w:ind w:left="160"/>
              <w:spacing w:after="0"/>
              <w:rPr>
                <w:sz w:val="20"/>
                <w:szCs w:val="20"/>
                <w:color w:val="auto"/>
              </w:rPr>
            </w:pPr>
            <w:r>
              <w:rPr>
                <w:rFonts w:ascii="Arial" w:cs="Arial" w:eastAsia="Arial" w:hAnsi="Arial"/>
                <w:sz w:val="20"/>
                <w:szCs w:val="20"/>
                <w:color w:val="auto"/>
              </w:rPr>
              <w:t>Ratio</w:t>
            </w:r>
          </w:p>
        </w:tc>
        <w:tc>
          <w:tcPr>
            <w:tcW w:w="1200" w:type="dxa"/>
            <w:vAlign w:val="bottom"/>
          </w:tcPr>
          <w:p>
            <w:pPr>
              <w:jc w:val="center"/>
              <w:ind w:right="200"/>
              <w:spacing w:after="0"/>
              <w:rPr>
                <w:sz w:val="20"/>
                <w:szCs w:val="20"/>
                <w:color w:val="auto"/>
              </w:rPr>
            </w:pPr>
            <w:r>
              <w:rPr>
                <w:rFonts w:ascii="Arial" w:cs="Arial" w:eastAsia="Arial" w:hAnsi="Arial"/>
                <w:sz w:val="20"/>
                <w:szCs w:val="20"/>
                <w:color w:val="auto"/>
                <w:w w:val="95"/>
              </w:rPr>
              <w:t>Amount</w:t>
            </w:r>
          </w:p>
        </w:tc>
        <w:tc>
          <w:tcPr>
            <w:tcW w:w="940" w:type="dxa"/>
            <w:vAlign w:val="bottom"/>
          </w:tcPr>
          <w:p>
            <w:pPr>
              <w:jc w:val="right"/>
              <w:ind w:right="260"/>
              <w:spacing w:after="0"/>
              <w:rPr>
                <w:sz w:val="20"/>
                <w:szCs w:val="20"/>
                <w:color w:val="auto"/>
              </w:rPr>
            </w:pPr>
            <w:r>
              <w:rPr>
                <w:rFonts w:ascii="Arial" w:cs="Arial" w:eastAsia="Arial" w:hAnsi="Arial"/>
                <w:sz w:val="20"/>
                <w:szCs w:val="20"/>
                <w:color w:val="auto"/>
              </w:rPr>
              <w:t>Ratio</w:t>
            </w:r>
          </w:p>
        </w:tc>
        <w:tc>
          <w:tcPr>
            <w:tcW w:w="160" w:type="dxa"/>
            <w:vAlign w:val="bottom"/>
          </w:tcPr>
          <w:p>
            <w:pPr>
              <w:spacing w:after="0"/>
              <w:rPr>
                <w:sz w:val="24"/>
                <w:szCs w:val="24"/>
                <w:color w:val="auto"/>
              </w:rPr>
            </w:pPr>
          </w:p>
        </w:tc>
        <w:tc>
          <w:tcPr>
            <w:tcW w:w="1260" w:type="dxa"/>
            <w:vAlign w:val="bottom"/>
          </w:tcPr>
          <w:p>
            <w:pPr>
              <w:jc w:val="center"/>
              <w:ind w:right="180"/>
              <w:spacing w:after="0"/>
              <w:rPr>
                <w:sz w:val="20"/>
                <w:szCs w:val="20"/>
                <w:color w:val="auto"/>
              </w:rPr>
            </w:pPr>
            <w:r>
              <w:rPr>
                <w:rFonts w:ascii="Arial" w:cs="Arial" w:eastAsia="Arial" w:hAnsi="Arial"/>
                <w:sz w:val="20"/>
                <w:szCs w:val="20"/>
                <w:color w:val="auto"/>
                <w:w w:val="95"/>
              </w:rPr>
              <w:t>Amount</w:t>
            </w:r>
          </w:p>
        </w:tc>
        <w:tc>
          <w:tcPr>
            <w:tcW w:w="900" w:type="dxa"/>
            <w:vAlign w:val="bottom"/>
          </w:tcPr>
          <w:p>
            <w:pPr>
              <w:jc w:val="right"/>
              <w:ind w:right="220"/>
              <w:spacing w:after="0"/>
              <w:rPr>
                <w:sz w:val="20"/>
                <w:szCs w:val="20"/>
                <w:color w:val="auto"/>
              </w:rPr>
            </w:pPr>
            <w:r>
              <w:rPr>
                <w:rFonts w:ascii="Arial" w:cs="Arial" w:eastAsia="Arial" w:hAnsi="Arial"/>
                <w:sz w:val="20"/>
                <w:szCs w:val="20"/>
                <w:color w:val="auto"/>
              </w:rPr>
              <w:t>Ratio</w:t>
            </w:r>
          </w:p>
        </w:tc>
      </w:tr>
      <w:tr>
        <w:trPr>
          <w:trHeight w:val="41"/>
        </w:trPr>
        <w:tc>
          <w:tcPr>
            <w:tcW w:w="2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74"/>
        </w:trPr>
        <w:tc>
          <w:tcPr>
            <w:tcW w:w="2400" w:type="dxa"/>
            <w:vAlign w:val="bottom"/>
            <w:shd w:val="clear" w:color="auto" w:fill="CFF0FC"/>
          </w:tcPr>
          <w:p>
            <w:pPr>
              <w:spacing w:after="0"/>
              <w:rPr>
                <w:sz w:val="20"/>
                <w:szCs w:val="20"/>
                <w:color w:val="auto"/>
              </w:rPr>
            </w:pPr>
            <w:r>
              <w:rPr>
                <w:rFonts w:ascii="Arial" w:cs="Arial" w:eastAsia="Arial" w:hAnsi="Arial"/>
                <w:sz w:val="20"/>
                <w:szCs w:val="20"/>
                <w:color w:val="auto"/>
              </w:rPr>
              <w:t>Common Equity Tier 1</w:t>
            </w:r>
          </w:p>
        </w:tc>
        <w:tc>
          <w:tcPr>
            <w:tcW w:w="26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900" w:type="dxa"/>
            <w:vAlign w:val="bottom"/>
            <w:shd w:val="clear" w:color="auto" w:fill="CFF0FC"/>
          </w:tcPr>
          <w:p>
            <w:pPr>
              <w:spacing w:after="0"/>
              <w:rPr>
                <w:sz w:val="23"/>
                <w:szCs w:val="23"/>
                <w:color w:val="auto"/>
              </w:rPr>
            </w:pPr>
          </w:p>
        </w:tc>
      </w:tr>
      <w:tr>
        <w:trPr>
          <w:trHeight w:val="300"/>
        </w:trPr>
        <w:tc>
          <w:tcPr>
            <w:tcW w:w="2400" w:type="dxa"/>
            <w:vAlign w:val="bottom"/>
            <w:shd w:val="clear" w:color="auto" w:fill="CFF0FC"/>
          </w:tcPr>
          <w:p>
            <w:pPr>
              <w:spacing w:after="0"/>
              <w:rPr>
                <w:sz w:val="20"/>
                <w:szCs w:val="20"/>
                <w:color w:val="auto"/>
              </w:rPr>
            </w:pPr>
            <w:r>
              <w:rPr>
                <w:rFonts w:ascii="Arial" w:cs="Arial" w:eastAsia="Arial" w:hAnsi="Arial"/>
                <w:sz w:val="20"/>
                <w:szCs w:val="20"/>
                <w:color w:val="auto"/>
              </w:rPr>
              <w:t>Capital</w:t>
            </w:r>
          </w:p>
        </w:tc>
        <w:tc>
          <w:tcPr>
            <w:tcW w:w="26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r>
      <w:tr>
        <w:trPr>
          <w:trHeight w:val="321"/>
        </w:trPr>
        <w:tc>
          <w:tcPr>
            <w:tcW w:w="2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w w:val="95"/>
              </w:rPr>
              <w:t>(to Risk Weighted Assets):</w:t>
            </w: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20"/>
                <w:szCs w:val="20"/>
                <w:color w:val="auto"/>
              </w:rPr>
              <w:t>Consolidated</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60"/>
              <w:spacing w:after="0"/>
              <w:rPr>
                <w:sz w:val="20"/>
                <w:szCs w:val="20"/>
                <w:color w:val="auto"/>
              </w:rPr>
            </w:pPr>
            <w:r>
              <w:rPr>
                <w:rFonts w:ascii="Arial" w:cs="Arial" w:eastAsia="Arial" w:hAnsi="Arial"/>
                <w:sz w:val="20"/>
                <w:szCs w:val="20"/>
                <w:color w:val="auto"/>
              </w:rPr>
              <w:t>292,403</w:t>
            </w:r>
          </w:p>
        </w:tc>
        <w:tc>
          <w:tcPr>
            <w:tcW w:w="1140" w:type="dxa"/>
            <w:vAlign w:val="bottom"/>
          </w:tcPr>
          <w:p>
            <w:pPr>
              <w:ind w:left="260"/>
              <w:spacing w:after="0"/>
              <w:rPr>
                <w:sz w:val="20"/>
                <w:szCs w:val="20"/>
                <w:color w:val="auto"/>
              </w:rPr>
            </w:pPr>
            <w:r>
              <w:rPr>
                <w:rFonts w:ascii="Arial" w:cs="Arial" w:eastAsia="Arial" w:hAnsi="Arial"/>
                <w:sz w:val="20"/>
                <w:szCs w:val="20"/>
                <w:color w:val="auto"/>
              </w:rPr>
              <w:t>10.68% $</w:t>
            </w:r>
          </w:p>
        </w:tc>
        <w:tc>
          <w:tcPr>
            <w:tcW w:w="1200" w:type="dxa"/>
            <w:vAlign w:val="bottom"/>
          </w:tcPr>
          <w:p>
            <w:pPr>
              <w:jc w:val="right"/>
              <w:ind w:right="60"/>
              <w:spacing w:after="0"/>
              <w:rPr>
                <w:sz w:val="20"/>
                <w:szCs w:val="20"/>
                <w:color w:val="auto"/>
              </w:rPr>
            </w:pPr>
            <w:r>
              <w:rPr>
                <w:rFonts w:ascii="Arial" w:cs="Arial" w:eastAsia="Arial" w:hAnsi="Arial"/>
                <w:sz w:val="20"/>
                <w:szCs w:val="20"/>
                <w:color w:val="auto"/>
              </w:rPr>
              <w:t>123,226</w:t>
            </w:r>
          </w:p>
        </w:tc>
        <w:tc>
          <w:tcPr>
            <w:tcW w:w="940" w:type="dxa"/>
            <w:vAlign w:val="bottom"/>
          </w:tcPr>
          <w:p>
            <w:pPr>
              <w:jc w:val="right"/>
              <w:spacing w:after="0"/>
              <w:rPr>
                <w:sz w:val="20"/>
                <w:szCs w:val="20"/>
                <w:color w:val="auto"/>
              </w:rPr>
            </w:pPr>
            <w:r>
              <w:rPr>
                <w:rFonts w:ascii="Arial" w:cs="Arial" w:eastAsia="Arial" w:hAnsi="Arial"/>
                <w:sz w:val="20"/>
                <w:szCs w:val="20"/>
                <w:color w:val="auto"/>
              </w:rPr>
              <w:t>4.50%</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60"/>
              <w:spacing w:after="0"/>
              <w:rPr>
                <w:sz w:val="20"/>
                <w:szCs w:val="20"/>
                <w:color w:val="auto"/>
              </w:rPr>
            </w:pPr>
            <w:r>
              <w:rPr>
                <w:rFonts w:ascii="Arial" w:cs="Arial" w:eastAsia="Arial" w:hAnsi="Arial"/>
                <w:sz w:val="20"/>
                <w:szCs w:val="20"/>
                <w:color w:val="auto"/>
              </w:rPr>
              <w:t>177,992</w:t>
            </w:r>
          </w:p>
        </w:tc>
        <w:tc>
          <w:tcPr>
            <w:tcW w:w="900" w:type="dxa"/>
            <w:vAlign w:val="bottom"/>
          </w:tcPr>
          <w:p>
            <w:pPr>
              <w:jc w:val="right"/>
              <w:spacing w:after="0"/>
              <w:rPr>
                <w:sz w:val="20"/>
                <w:szCs w:val="20"/>
                <w:color w:val="auto"/>
              </w:rPr>
            </w:pPr>
            <w:r>
              <w:rPr>
                <w:rFonts w:ascii="Arial" w:cs="Arial" w:eastAsia="Arial" w:hAnsi="Arial"/>
                <w:sz w:val="20"/>
                <w:szCs w:val="20"/>
                <w:color w:val="auto"/>
              </w:rPr>
              <w:t>6.50%</w:t>
            </w:r>
          </w:p>
        </w:tc>
      </w:tr>
      <w:tr>
        <w:trPr>
          <w:trHeight w:val="41"/>
        </w:trPr>
        <w:tc>
          <w:tcPr>
            <w:tcW w:w="2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74"/>
        </w:trPr>
        <w:tc>
          <w:tcPr>
            <w:tcW w:w="2400" w:type="dxa"/>
            <w:vAlign w:val="bottom"/>
            <w:shd w:val="clear" w:color="auto" w:fill="CFF0FC"/>
          </w:tcPr>
          <w:p>
            <w:pPr>
              <w:spacing w:after="0"/>
              <w:rPr>
                <w:sz w:val="20"/>
                <w:szCs w:val="20"/>
                <w:color w:val="auto"/>
              </w:rPr>
            </w:pPr>
            <w:r>
              <w:rPr>
                <w:rFonts w:ascii="Arial" w:cs="Arial" w:eastAsia="Arial" w:hAnsi="Arial"/>
                <w:sz w:val="20"/>
                <w:szCs w:val="20"/>
                <w:color w:val="auto"/>
                <w:w w:val="97"/>
              </w:rPr>
              <w:t>Farmers &amp; Merchants State</w:t>
            </w:r>
          </w:p>
        </w:tc>
        <w:tc>
          <w:tcPr>
            <w:tcW w:w="26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900" w:type="dxa"/>
            <w:vAlign w:val="bottom"/>
            <w:shd w:val="clear" w:color="auto" w:fill="CFF0FC"/>
          </w:tcPr>
          <w:p>
            <w:pPr>
              <w:spacing w:after="0"/>
              <w:rPr>
                <w:sz w:val="23"/>
                <w:szCs w:val="23"/>
                <w:color w:val="auto"/>
              </w:rPr>
            </w:pPr>
          </w:p>
        </w:tc>
      </w:tr>
      <w:tr>
        <w:trPr>
          <w:trHeight w:val="300"/>
        </w:trPr>
        <w:tc>
          <w:tcPr>
            <w:tcW w:w="24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Bank</w:t>
            </w:r>
          </w:p>
        </w:tc>
        <w:tc>
          <w:tcPr>
            <w:tcW w:w="26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315,009</w:t>
            </w:r>
          </w:p>
        </w:tc>
        <w:tc>
          <w:tcPr>
            <w:tcW w:w="11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11.51%</w:t>
            </w: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123,176</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4.50%</w:t>
            </w:r>
          </w:p>
        </w:tc>
        <w:tc>
          <w:tcPr>
            <w:tcW w:w="16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177,921</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6.50%</w:t>
            </w:r>
          </w:p>
        </w:tc>
      </w:tr>
      <w:tr>
        <w:trPr>
          <w:trHeight w:val="41"/>
        </w:trPr>
        <w:tc>
          <w:tcPr>
            <w:tcW w:w="240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-1581785</wp:posOffset>
            </wp:positionV>
            <wp:extent cx="746125" cy="63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3">
                      <a:extLst>
                        <a:ext uri="{28A0092B-C50C-407E-A947-70E740481C1C}"/>
                      </a:extLst>
                    </a:blip>
                    <a:srcRect/>
                    <a:stretch>
                      <a:fillRect/>
                    </a:stretch>
                  </pic:blipFill>
                  <pic:spPr bwMode="auto">
                    <a:xfrm>
                      <a:off x="0" y="0"/>
                      <a:ext cx="746125" cy="6350"/>
                    </a:xfrm>
                    <a:prstGeom prst="rect">
                      <a:avLst/>
                    </a:prstGeom>
                    <a:noFill/>
                  </pic:spPr>
                </pic:pic>
              </a:graphicData>
            </a:graphic>
          </wp:anchor>
        </w:drawing>
        <w:drawing>
          <wp:anchor simplePos="0" relativeHeight="251657728" behindDoc="1" locked="0" layoutInCell="0" allowOverlap="1">
            <wp:simplePos x="0" y="0"/>
            <wp:positionH relativeFrom="column">
              <wp:posOffset>3053715</wp:posOffset>
            </wp:positionH>
            <wp:positionV relativeFrom="paragraph">
              <wp:posOffset>-1581785</wp:posOffset>
            </wp:positionV>
            <wp:extent cx="755650" cy="63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4">
                      <a:extLst>
                        <a:ext uri="{28A0092B-C50C-407E-A947-70E740481C1C}"/>
                      </a:extLst>
                    </a:blip>
                    <a:srcRect/>
                    <a:stretch>
                      <a:fillRect/>
                    </a:stretch>
                  </pic:blipFill>
                  <pic:spPr bwMode="auto">
                    <a:xfrm>
                      <a:off x="0" y="0"/>
                      <a:ext cx="755650" cy="635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-1581785</wp:posOffset>
            </wp:positionV>
            <wp:extent cx="767715" cy="63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5">
                      <a:extLst>
                        <a:ext uri="{28A0092B-C50C-407E-A947-70E740481C1C}"/>
                      </a:extLst>
                    </a:blip>
                    <a:srcRect/>
                    <a:stretch>
                      <a:fillRect/>
                    </a:stretch>
                  </pic:blipFill>
                  <pic:spPr bwMode="auto">
                    <a:xfrm>
                      <a:off x="0" y="0"/>
                      <a:ext cx="767715" cy="6350"/>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-1176020</wp:posOffset>
            </wp:positionV>
            <wp:extent cx="4270375" cy="63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6">
                      <a:extLst>
                        <a:ext uri="{28A0092B-C50C-407E-A947-70E740481C1C}"/>
                      </a:extLst>
                    </a:blip>
                    <a:srcRect/>
                    <a:stretch>
                      <a:fillRect/>
                    </a:stretch>
                  </pic:blipFill>
                  <pic:spPr bwMode="auto">
                    <a:xfrm>
                      <a:off x="0" y="0"/>
                      <a:ext cx="427037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24</w:t>
      </w:r>
    </w:p>
    <w:p>
      <w:pPr>
        <w:sectPr>
          <w:pgSz w:w="11900" w:h="16838" w:orient="portrait"/>
          <w:cols w:equalWidth="0" w:num="1">
            <w:col w:w="9400"/>
          </w:cols>
          <w:pgMar w:left="1260" w:top="1440" w:right="1246" w:bottom="0" w:gutter="0" w:footer="0" w:header="0"/>
          <w:type w:val="continuous"/>
        </w:sectPr>
      </w:pPr>
    </w:p>
    <w:bookmarkStart w:id="218" w:name="page219"/>
    <w:bookmarkEnd w:id="218"/>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389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7">
                      <a:extLst>
                        <a:ext uri="{28A0092B-C50C-407E-A947-70E740481C1C}"/>
                      </a:extLst>
                    </a:blip>
                    <a:srcRect/>
                    <a:stretch>
                      <a:fillRect/>
                    </a:stretch>
                  </pic:blipFill>
                  <pic:spPr bwMode="auto">
                    <a:xfrm>
                      <a:off x="0" y="0"/>
                      <a:ext cx="5967730" cy="389890"/>
                    </a:xfrm>
                    <a:prstGeom prst="rect">
                      <a:avLst/>
                    </a:prstGeom>
                    <a:noFill/>
                  </pic:spPr>
                </pic:pic>
              </a:graphicData>
            </a:graphic>
          </wp:anchor>
        </w:drawing>
        <w:t>Total Risk-Based Capital</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(to Risk Weighted Assets):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20"/>
                <w:szCs w:val="20"/>
                <w:color w:val="auto"/>
              </w:rPr>
              <w:t>Consolidated</w:t>
            </w:r>
          </w:p>
        </w:tc>
        <w:tc>
          <w:tcPr>
            <w:tcW w:w="1200" w:type="dxa"/>
            <w:vAlign w:val="bottom"/>
          </w:tcPr>
          <w:p>
            <w:pPr>
              <w:jc w:val="right"/>
              <w:ind w:right="120"/>
              <w:spacing w:after="0"/>
              <w:rPr>
                <w:sz w:val="20"/>
                <w:szCs w:val="20"/>
                <w:color w:val="auto"/>
              </w:rPr>
            </w:pPr>
            <w:r>
              <w:rPr>
                <w:rFonts w:ascii="Arial" w:cs="Arial" w:eastAsia="Arial" w:hAnsi="Arial"/>
                <w:sz w:val="20"/>
                <w:szCs w:val="20"/>
                <w:color w:val="auto"/>
              </w:rPr>
              <w:t>355,216</w:t>
            </w:r>
          </w:p>
        </w:tc>
        <w:tc>
          <w:tcPr>
            <w:tcW w:w="1220" w:type="dxa"/>
            <w:vAlign w:val="bottom"/>
          </w:tcPr>
          <w:p>
            <w:pPr>
              <w:jc w:val="right"/>
              <w:ind w:right="280"/>
              <w:spacing w:after="0"/>
              <w:rPr>
                <w:sz w:val="20"/>
                <w:szCs w:val="20"/>
                <w:color w:val="auto"/>
              </w:rPr>
            </w:pPr>
            <w:r>
              <w:rPr>
                <w:rFonts w:ascii="Arial" w:cs="Arial" w:eastAsia="Arial" w:hAnsi="Arial"/>
                <w:sz w:val="20"/>
                <w:szCs w:val="20"/>
                <w:color w:val="auto"/>
              </w:rPr>
              <w:t>12.97%</w:t>
            </w:r>
          </w:p>
        </w:tc>
        <w:tc>
          <w:tcPr>
            <w:tcW w:w="1160" w:type="dxa"/>
            <w:vAlign w:val="bottom"/>
          </w:tcPr>
          <w:p>
            <w:pPr>
              <w:jc w:val="right"/>
              <w:ind w:right="160"/>
              <w:spacing w:after="0"/>
              <w:rPr>
                <w:sz w:val="20"/>
                <w:szCs w:val="20"/>
                <w:color w:val="auto"/>
              </w:rPr>
            </w:pPr>
            <w:r>
              <w:rPr>
                <w:rFonts w:ascii="Arial" w:cs="Arial" w:eastAsia="Arial" w:hAnsi="Arial"/>
                <w:sz w:val="20"/>
                <w:szCs w:val="20"/>
                <w:color w:val="auto"/>
              </w:rPr>
              <w:t>219,068</w:t>
            </w:r>
          </w:p>
        </w:tc>
        <w:tc>
          <w:tcPr>
            <w:tcW w:w="1120" w:type="dxa"/>
            <w:vAlign w:val="bottom"/>
          </w:tcPr>
          <w:p>
            <w:pPr>
              <w:jc w:val="right"/>
              <w:ind w:right="240"/>
              <w:spacing w:after="0"/>
              <w:rPr>
                <w:sz w:val="20"/>
                <w:szCs w:val="20"/>
                <w:color w:val="auto"/>
              </w:rPr>
            </w:pPr>
            <w:r>
              <w:rPr>
                <w:rFonts w:ascii="Arial" w:cs="Arial" w:eastAsia="Arial" w:hAnsi="Arial"/>
                <w:sz w:val="20"/>
                <w:szCs w:val="20"/>
                <w:color w:val="auto"/>
              </w:rPr>
              <w:t>8.00%</w:t>
            </w:r>
          </w:p>
        </w:tc>
        <w:tc>
          <w:tcPr>
            <w:tcW w:w="1180" w:type="dxa"/>
            <w:vAlign w:val="bottom"/>
          </w:tcPr>
          <w:p>
            <w:pPr>
              <w:jc w:val="right"/>
              <w:ind w:right="100"/>
              <w:spacing w:after="0"/>
              <w:rPr>
                <w:sz w:val="20"/>
                <w:szCs w:val="20"/>
                <w:color w:val="auto"/>
              </w:rPr>
            </w:pPr>
            <w:r>
              <w:rPr>
                <w:rFonts w:ascii="Arial" w:cs="Arial" w:eastAsia="Arial" w:hAnsi="Arial"/>
                <w:sz w:val="20"/>
                <w:szCs w:val="20"/>
                <w:color w:val="auto"/>
              </w:rPr>
              <w:t>273,835</w:t>
            </w:r>
          </w:p>
        </w:tc>
        <w:tc>
          <w:tcPr>
            <w:tcW w:w="860" w:type="dxa"/>
            <w:vAlign w:val="bottom"/>
          </w:tcPr>
          <w:p>
            <w:pPr>
              <w:jc w:val="right"/>
              <w:spacing w:after="0"/>
              <w:rPr>
                <w:sz w:val="20"/>
                <w:szCs w:val="20"/>
                <w:color w:val="auto"/>
              </w:rPr>
            </w:pPr>
            <w:r>
              <w:rPr>
                <w:rFonts w:ascii="Arial" w:cs="Arial" w:eastAsia="Arial" w:hAnsi="Arial"/>
                <w:sz w:val="20"/>
                <w:szCs w:val="20"/>
                <w:color w:val="auto"/>
              </w:rPr>
              <w:t>10.00%</w:t>
            </w:r>
          </w:p>
        </w:tc>
      </w:tr>
      <w:tr>
        <w:trPr>
          <w:trHeight w:val="41"/>
        </w:trPr>
        <w:tc>
          <w:tcPr>
            <w:tcW w:w="2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74"/>
        </w:trPr>
        <w:tc>
          <w:tcPr>
            <w:tcW w:w="2660" w:type="dxa"/>
            <w:vAlign w:val="bottom"/>
            <w:shd w:val="clear" w:color="auto" w:fill="CFF0FC"/>
          </w:tcPr>
          <w:p>
            <w:pPr>
              <w:spacing w:after="0"/>
              <w:rPr>
                <w:sz w:val="20"/>
                <w:szCs w:val="20"/>
                <w:color w:val="auto"/>
              </w:rPr>
            </w:pPr>
            <w:r>
              <w:rPr>
                <w:rFonts w:ascii="Arial" w:cs="Arial" w:eastAsia="Arial" w:hAnsi="Arial"/>
                <w:sz w:val="20"/>
                <w:szCs w:val="20"/>
                <w:color w:val="auto"/>
              </w:rPr>
              <w:t>Farmers &amp; Merchants State</w:t>
            </w:r>
          </w:p>
        </w:tc>
        <w:tc>
          <w:tcPr>
            <w:tcW w:w="120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r>
      <w:tr>
        <w:trPr>
          <w:trHeight w:val="321"/>
        </w:trPr>
        <w:tc>
          <w:tcPr>
            <w:tcW w:w="2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Bank</w:t>
            </w:r>
          </w:p>
        </w:tc>
        <w:tc>
          <w:tcPr>
            <w:tcW w:w="120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342,889</w:t>
            </w:r>
          </w:p>
        </w:tc>
        <w:tc>
          <w:tcPr>
            <w:tcW w:w="1220" w:type="dxa"/>
            <w:vAlign w:val="bottom"/>
            <w:tcBorders>
              <w:bottom w:val="single" w:sz="8" w:color="CFF0FC"/>
            </w:tcBorders>
            <w:shd w:val="clear" w:color="auto" w:fill="CFF0FC"/>
          </w:tcPr>
          <w:p>
            <w:pPr>
              <w:jc w:val="right"/>
              <w:ind w:right="280"/>
              <w:spacing w:after="0"/>
              <w:rPr>
                <w:sz w:val="20"/>
                <w:szCs w:val="20"/>
                <w:color w:val="auto"/>
              </w:rPr>
            </w:pPr>
            <w:r>
              <w:rPr>
                <w:rFonts w:ascii="Arial" w:cs="Arial" w:eastAsia="Arial" w:hAnsi="Arial"/>
                <w:sz w:val="20"/>
                <w:szCs w:val="20"/>
                <w:color w:val="auto"/>
              </w:rPr>
              <w:t>12.53%</w:t>
            </w:r>
          </w:p>
        </w:tc>
        <w:tc>
          <w:tcPr>
            <w:tcW w:w="116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218,979</w:t>
            </w:r>
          </w:p>
        </w:tc>
        <w:tc>
          <w:tcPr>
            <w:tcW w:w="1120" w:type="dxa"/>
            <w:vAlign w:val="bottom"/>
            <w:tcBorders>
              <w:bottom w:val="single" w:sz="8" w:color="CFF0FC"/>
            </w:tcBorders>
            <w:shd w:val="clear" w:color="auto" w:fill="CFF0FC"/>
          </w:tcPr>
          <w:p>
            <w:pPr>
              <w:jc w:val="right"/>
              <w:ind w:right="240"/>
              <w:spacing w:after="0"/>
              <w:rPr>
                <w:sz w:val="20"/>
                <w:szCs w:val="20"/>
                <w:color w:val="auto"/>
              </w:rPr>
            </w:pPr>
            <w:r>
              <w:rPr>
                <w:rFonts w:ascii="Arial" w:cs="Arial" w:eastAsia="Arial" w:hAnsi="Arial"/>
                <w:sz w:val="20"/>
                <w:szCs w:val="20"/>
                <w:color w:val="auto"/>
              </w:rPr>
              <w:t>8.00%</w:t>
            </w:r>
          </w:p>
        </w:tc>
        <w:tc>
          <w:tcPr>
            <w:tcW w:w="11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273,724</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r>
      <w:tr>
        <w:trPr>
          <w:trHeight w:val="314"/>
        </w:trPr>
        <w:tc>
          <w:tcPr>
            <w:tcW w:w="2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4"/>
        </w:trPr>
        <w:tc>
          <w:tcPr>
            <w:tcW w:w="2660" w:type="dxa"/>
            <w:vAlign w:val="bottom"/>
            <w:shd w:val="clear" w:color="auto" w:fill="CFF0FC"/>
          </w:tcPr>
          <w:p>
            <w:pPr>
              <w:spacing w:after="0"/>
              <w:rPr>
                <w:sz w:val="20"/>
                <w:szCs w:val="20"/>
                <w:color w:val="auto"/>
              </w:rPr>
            </w:pPr>
            <w:r>
              <w:rPr>
                <w:rFonts w:ascii="Arial" w:cs="Arial" w:eastAsia="Arial" w:hAnsi="Arial"/>
                <w:sz w:val="20"/>
                <w:szCs w:val="20"/>
                <w:color w:val="auto"/>
              </w:rPr>
              <w:t>Tier 1 Capital</w:t>
            </w:r>
          </w:p>
        </w:tc>
        <w:tc>
          <w:tcPr>
            <w:tcW w:w="120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r>
      <w:tr>
        <w:trPr>
          <w:trHeight w:val="321"/>
        </w:trPr>
        <w:tc>
          <w:tcPr>
            <w:tcW w:w="2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(to Risk Weighted Assets):</w:t>
            </w:r>
          </w:p>
        </w:tc>
        <w:tc>
          <w:tcPr>
            <w:tcW w:w="12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r>
      <w:tr>
        <w:trPr>
          <w:trHeight w:val="274"/>
        </w:trPr>
        <w:tc>
          <w:tcPr>
            <w:tcW w:w="2660" w:type="dxa"/>
            <w:vAlign w:val="bottom"/>
          </w:tcPr>
          <w:p>
            <w:pPr>
              <w:spacing w:after="0"/>
              <w:rPr>
                <w:sz w:val="20"/>
                <w:szCs w:val="20"/>
                <w:color w:val="auto"/>
              </w:rPr>
            </w:pPr>
            <w:r>
              <w:rPr>
                <w:rFonts w:ascii="Arial" w:cs="Arial" w:eastAsia="Arial" w:hAnsi="Arial"/>
                <w:sz w:val="20"/>
                <w:szCs w:val="20"/>
                <w:color w:val="auto"/>
              </w:rPr>
              <w:t>Consolidated</w:t>
            </w:r>
          </w:p>
        </w:tc>
        <w:tc>
          <w:tcPr>
            <w:tcW w:w="1200" w:type="dxa"/>
            <w:vAlign w:val="bottom"/>
          </w:tcPr>
          <w:p>
            <w:pPr>
              <w:jc w:val="right"/>
              <w:ind w:right="120"/>
              <w:spacing w:after="0"/>
              <w:rPr>
                <w:sz w:val="20"/>
                <w:szCs w:val="20"/>
                <w:color w:val="auto"/>
              </w:rPr>
            </w:pPr>
            <w:r>
              <w:rPr>
                <w:rFonts w:ascii="Arial" w:cs="Arial" w:eastAsia="Arial" w:hAnsi="Arial"/>
                <w:sz w:val="20"/>
                <w:szCs w:val="20"/>
                <w:color w:val="auto"/>
              </w:rPr>
              <w:t>292,403</w:t>
            </w:r>
          </w:p>
        </w:tc>
        <w:tc>
          <w:tcPr>
            <w:tcW w:w="1220" w:type="dxa"/>
            <w:vAlign w:val="bottom"/>
          </w:tcPr>
          <w:p>
            <w:pPr>
              <w:jc w:val="right"/>
              <w:ind w:right="280"/>
              <w:spacing w:after="0"/>
              <w:rPr>
                <w:sz w:val="20"/>
                <w:szCs w:val="20"/>
                <w:color w:val="auto"/>
              </w:rPr>
            </w:pPr>
            <w:r>
              <w:rPr>
                <w:rFonts w:ascii="Arial" w:cs="Arial" w:eastAsia="Arial" w:hAnsi="Arial"/>
                <w:sz w:val="20"/>
                <w:szCs w:val="20"/>
                <w:color w:val="auto"/>
              </w:rPr>
              <w:t>10.68%</w:t>
            </w:r>
          </w:p>
        </w:tc>
        <w:tc>
          <w:tcPr>
            <w:tcW w:w="1160" w:type="dxa"/>
            <w:vAlign w:val="bottom"/>
          </w:tcPr>
          <w:p>
            <w:pPr>
              <w:jc w:val="right"/>
              <w:ind w:right="160"/>
              <w:spacing w:after="0"/>
              <w:rPr>
                <w:sz w:val="20"/>
                <w:szCs w:val="20"/>
                <w:color w:val="auto"/>
              </w:rPr>
            </w:pPr>
            <w:r>
              <w:rPr>
                <w:rFonts w:ascii="Arial" w:cs="Arial" w:eastAsia="Arial" w:hAnsi="Arial"/>
                <w:sz w:val="20"/>
                <w:szCs w:val="20"/>
                <w:color w:val="auto"/>
              </w:rPr>
              <w:t>164,301</w:t>
            </w:r>
          </w:p>
        </w:tc>
        <w:tc>
          <w:tcPr>
            <w:tcW w:w="1120" w:type="dxa"/>
            <w:vAlign w:val="bottom"/>
          </w:tcPr>
          <w:p>
            <w:pPr>
              <w:jc w:val="right"/>
              <w:ind w:right="240"/>
              <w:spacing w:after="0"/>
              <w:rPr>
                <w:sz w:val="20"/>
                <w:szCs w:val="20"/>
                <w:color w:val="auto"/>
              </w:rPr>
            </w:pPr>
            <w:r>
              <w:rPr>
                <w:rFonts w:ascii="Arial" w:cs="Arial" w:eastAsia="Arial" w:hAnsi="Arial"/>
                <w:sz w:val="20"/>
                <w:szCs w:val="20"/>
                <w:color w:val="auto"/>
              </w:rPr>
              <w:t>6.00%</w:t>
            </w:r>
          </w:p>
        </w:tc>
        <w:tc>
          <w:tcPr>
            <w:tcW w:w="1180" w:type="dxa"/>
            <w:vAlign w:val="bottom"/>
          </w:tcPr>
          <w:p>
            <w:pPr>
              <w:jc w:val="right"/>
              <w:ind w:right="100"/>
              <w:spacing w:after="0"/>
              <w:rPr>
                <w:sz w:val="20"/>
                <w:szCs w:val="20"/>
                <w:color w:val="auto"/>
              </w:rPr>
            </w:pPr>
            <w:r>
              <w:rPr>
                <w:rFonts w:ascii="Arial" w:cs="Arial" w:eastAsia="Arial" w:hAnsi="Arial"/>
                <w:sz w:val="20"/>
                <w:szCs w:val="20"/>
                <w:color w:val="auto"/>
              </w:rPr>
              <w:t>219,068</w:t>
            </w:r>
          </w:p>
        </w:tc>
        <w:tc>
          <w:tcPr>
            <w:tcW w:w="860" w:type="dxa"/>
            <w:vAlign w:val="bottom"/>
          </w:tcPr>
          <w:p>
            <w:pPr>
              <w:jc w:val="right"/>
              <w:spacing w:after="0"/>
              <w:rPr>
                <w:sz w:val="20"/>
                <w:szCs w:val="20"/>
                <w:color w:val="auto"/>
              </w:rPr>
            </w:pPr>
            <w:r>
              <w:rPr>
                <w:rFonts w:ascii="Arial" w:cs="Arial" w:eastAsia="Arial" w:hAnsi="Arial"/>
                <w:sz w:val="20"/>
                <w:szCs w:val="20"/>
                <w:color w:val="auto"/>
              </w:rPr>
              <w:t>8.00%</w:t>
            </w:r>
          </w:p>
        </w:tc>
      </w:tr>
      <w:tr>
        <w:trPr>
          <w:trHeight w:val="41"/>
        </w:trPr>
        <w:tc>
          <w:tcPr>
            <w:tcW w:w="2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74"/>
        </w:trPr>
        <w:tc>
          <w:tcPr>
            <w:tcW w:w="2660" w:type="dxa"/>
            <w:vAlign w:val="bottom"/>
            <w:shd w:val="clear" w:color="auto" w:fill="CFF0FC"/>
          </w:tcPr>
          <w:p>
            <w:pPr>
              <w:spacing w:after="0"/>
              <w:rPr>
                <w:sz w:val="20"/>
                <w:szCs w:val="20"/>
                <w:color w:val="auto"/>
              </w:rPr>
            </w:pPr>
            <w:r>
              <w:rPr>
                <w:rFonts w:ascii="Arial" w:cs="Arial" w:eastAsia="Arial" w:hAnsi="Arial"/>
                <w:sz w:val="20"/>
                <w:szCs w:val="20"/>
                <w:color w:val="auto"/>
              </w:rPr>
              <w:t>Farmers &amp; Merchants State</w:t>
            </w:r>
          </w:p>
        </w:tc>
        <w:tc>
          <w:tcPr>
            <w:tcW w:w="120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r>
      <w:tr>
        <w:trPr>
          <w:trHeight w:val="321"/>
        </w:trPr>
        <w:tc>
          <w:tcPr>
            <w:tcW w:w="2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Bank</w:t>
            </w:r>
          </w:p>
        </w:tc>
        <w:tc>
          <w:tcPr>
            <w:tcW w:w="120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315,009</w:t>
            </w:r>
          </w:p>
        </w:tc>
        <w:tc>
          <w:tcPr>
            <w:tcW w:w="1220" w:type="dxa"/>
            <w:vAlign w:val="bottom"/>
            <w:tcBorders>
              <w:bottom w:val="single" w:sz="8" w:color="CFF0FC"/>
            </w:tcBorders>
            <w:shd w:val="clear" w:color="auto" w:fill="CFF0FC"/>
          </w:tcPr>
          <w:p>
            <w:pPr>
              <w:jc w:val="right"/>
              <w:ind w:right="280"/>
              <w:spacing w:after="0"/>
              <w:rPr>
                <w:sz w:val="20"/>
                <w:szCs w:val="20"/>
                <w:color w:val="auto"/>
              </w:rPr>
            </w:pPr>
            <w:r>
              <w:rPr>
                <w:rFonts w:ascii="Arial" w:cs="Arial" w:eastAsia="Arial" w:hAnsi="Arial"/>
                <w:sz w:val="20"/>
                <w:szCs w:val="20"/>
                <w:color w:val="auto"/>
              </w:rPr>
              <w:t>11.51%</w:t>
            </w:r>
          </w:p>
        </w:tc>
        <w:tc>
          <w:tcPr>
            <w:tcW w:w="116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164,234</w:t>
            </w:r>
          </w:p>
        </w:tc>
        <w:tc>
          <w:tcPr>
            <w:tcW w:w="1120" w:type="dxa"/>
            <w:vAlign w:val="bottom"/>
            <w:tcBorders>
              <w:bottom w:val="single" w:sz="8" w:color="CFF0FC"/>
            </w:tcBorders>
            <w:shd w:val="clear" w:color="auto" w:fill="CFF0FC"/>
          </w:tcPr>
          <w:p>
            <w:pPr>
              <w:jc w:val="right"/>
              <w:ind w:right="240"/>
              <w:spacing w:after="0"/>
              <w:rPr>
                <w:sz w:val="20"/>
                <w:szCs w:val="20"/>
                <w:color w:val="auto"/>
              </w:rPr>
            </w:pPr>
            <w:r>
              <w:rPr>
                <w:rFonts w:ascii="Arial" w:cs="Arial" w:eastAsia="Arial" w:hAnsi="Arial"/>
                <w:sz w:val="20"/>
                <w:szCs w:val="20"/>
                <w:color w:val="auto"/>
              </w:rPr>
              <w:t>6.00%</w:t>
            </w:r>
          </w:p>
        </w:tc>
        <w:tc>
          <w:tcPr>
            <w:tcW w:w="11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218,979</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8.00%</w:t>
            </w:r>
          </w:p>
        </w:tc>
      </w:tr>
      <w:tr>
        <w:trPr>
          <w:trHeight w:val="314"/>
        </w:trPr>
        <w:tc>
          <w:tcPr>
            <w:tcW w:w="2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4"/>
        </w:trPr>
        <w:tc>
          <w:tcPr>
            <w:tcW w:w="2660" w:type="dxa"/>
            <w:vAlign w:val="bottom"/>
            <w:shd w:val="clear" w:color="auto" w:fill="CFF0FC"/>
          </w:tcPr>
          <w:p>
            <w:pPr>
              <w:spacing w:after="0"/>
              <w:rPr>
                <w:sz w:val="20"/>
                <w:szCs w:val="20"/>
                <w:color w:val="auto"/>
              </w:rPr>
            </w:pPr>
            <w:r>
              <w:rPr>
                <w:rFonts w:ascii="Arial" w:cs="Arial" w:eastAsia="Arial" w:hAnsi="Arial"/>
                <w:sz w:val="20"/>
                <w:szCs w:val="20"/>
                <w:color w:val="auto"/>
              </w:rPr>
              <w:t>Tier 1 Leverage Capital</w:t>
            </w:r>
          </w:p>
        </w:tc>
        <w:tc>
          <w:tcPr>
            <w:tcW w:w="120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r>
      <w:tr>
        <w:trPr>
          <w:trHeight w:val="321"/>
        </w:trPr>
        <w:tc>
          <w:tcPr>
            <w:tcW w:w="2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(to Adjusted Total Assets):</w:t>
            </w:r>
          </w:p>
        </w:tc>
        <w:tc>
          <w:tcPr>
            <w:tcW w:w="12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r>
      <w:tr>
        <w:trPr>
          <w:trHeight w:val="274"/>
        </w:trPr>
        <w:tc>
          <w:tcPr>
            <w:tcW w:w="2660" w:type="dxa"/>
            <w:vAlign w:val="bottom"/>
          </w:tcPr>
          <w:p>
            <w:pPr>
              <w:spacing w:after="0"/>
              <w:rPr>
                <w:sz w:val="20"/>
                <w:szCs w:val="20"/>
                <w:color w:val="auto"/>
              </w:rPr>
            </w:pPr>
            <w:r>
              <w:rPr>
                <w:rFonts w:ascii="Arial" w:cs="Arial" w:eastAsia="Arial" w:hAnsi="Arial"/>
                <w:sz w:val="20"/>
                <w:szCs w:val="20"/>
                <w:color w:val="auto"/>
              </w:rPr>
              <w:t>Consolidated</w:t>
            </w:r>
          </w:p>
        </w:tc>
        <w:tc>
          <w:tcPr>
            <w:tcW w:w="1200" w:type="dxa"/>
            <w:vAlign w:val="bottom"/>
          </w:tcPr>
          <w:p>
            <w:pPr>
              <w:jc w:val="right"/>
              <w:ind w:right="120"/>
              <w:spacing w:after="0"/>
              <w:rPr>
                <w:sz w:val="20"/>
                <w:szCs w:val="20"/>
                <w:color w:val="auto"/>
              </w:rPr>
            </w:pPr>
            <w:r>
              <w:rPr>
                <w:rFonts w:ascii="Arial" w:cs="Arial" w:eastAsia="Arial" w:hAnsi="Arial"/>
                <w:sz w:val="20"/>
                <w:szCs w:val="20"/>
                <w:color w:val="auto"/>
              </w:rPr>
              <w:t>292,403</w:t>
            </w:r>
          </w:p>
        </w:tc>
        <w:tc>
          <w:tcPr>
            <w:tcW w:w="1220" w:type="dxa"/>
            <w:vAlign w:val="bottom"/>
          </w:tcPr>
          <w:p>
            <w:pPr>
              <w:jc w:val="right"/>
              <w:ind w:right="280"/>
              <w:spacing w:after="0"/>
              <w:rPr>
                <w:sz w:val="20"/>
                <w:szCs w:val="20"/>
                <w:color w:val="auto"/>
              </w:rPr>
            </w:pPr>
            <w:r>
              <w:rPr>
                <w:rFonts w:ascii="Arial" w:cs="Arial" w:eastAsia="Arial" w:hAnsi="Arial"/>
                <w:sz w:val="20"/>
                <w:szCs w:val="20"/>
                <w:color w:val="auto"/>
              </w:rPr>
              <w:t>8.81%</w:t>
            </w:r>
          </w:p>
        </w:tc>
        <w:tc>
          <w:tcPr>
            <w:tcW w:w="1160" w:type="dxa"/>
            <w:vAlign w:val="bottom"/>
          </w:tcPr>
          <w:p>
            <w:pPr>
              <w:jc w:val="right"/>
              <w:ind w:right="160"/>
              <w:spacing w:after="0"/>
              <w:rPr>
                <w:sz w:val="20"/>
                <w:szCs w:val="20"/>
                <w:color w:val="auto"/>
              </w:rPr>
            </w:pPr>
            <w:r>
              <w:rPr>
                <w:rFonts w:ascii="Arial" w:cs="Arial" w:eastAsia="Arial" w:hAnsi="Arial"/>
                <w:sz w:val="20"/>
                <w:szCs w:val="20"/>
                <w:color w:val="auto"/>
              </w:rPr>
              <w:t>132,799</w:t>
            </w:r>
          </w:p>
        </w:tc>
        <w:tc>
          <w:tcPr>
            <w:tcW w:w="1120" w:type="dxa"/>
            <w:vAlign w:val="bottom"/>
          </w:tcPr>
          <w:p>
            <w:pPr>
              <w:jc w:val="right"/>
              <w:ind w:right="240"/>
              <w:spacing w:after="0"/>
              <w:rPr>
                <w:sz w:val="20"/>
                <w:szCs w:val="20"/>
                <w:color w:val="auto"/>
              </w:rPr>
            </w:pPr>
            <w:r>
              <w:rPr>
                <w:rFonts w:ascii="Arial" w:cs="Arial" w:eastAsia="Arial" w:hAnsi="Arial"/>
                <w:sz w:val="20"/>
                <w:szCs w:val="20"/>
                <w:color w:val="auto"/>
              </w:rPr>
              <w:t>4.00%</w:t>
            </w:r>
          </w:p>
        </w:tc>
        <w:tc>
          <w:tcPr>
            <w:tcW w:w="1180" w:type="dxa"/>
            <w:vAlign w:val="bottom"/>
          </w:tcPr>
          <w:p>
            <w:pPr>
              <w:jc w:val="right"/>
              <w:ind w:right="100"/>
              <w:spacing w:after="0"/>
              <w:rPr>
                <w:sz w:val="20"/>
                <w:szCs w:val="20"/>
                <w:color w:val="auto"/>
              </w:rPr>
            </w:pPr>
            <w:r>
              <w:rPr>
                <w:rFonts w:ascii="Arial" w:cs="Arial" w:eastAsia="Arial" w:hAnsi="Arial"/>
                <w:sz w:val="20"/>
                <w:szCs w:val="20"/>
                <w:color w:val="auto"/>
              </w:rPr>
              <w:t>165,999</w:t>
            </w:r>
          </w:p>
        </w:tc>
        <w:tc>
          <w:tcPr>
            <w:tcW w:w="860" w:type="dxa"/>
            <w:vAlign w:val="bottom"/>
          </w:tcPr>
          <w:p>
            <w:pPr>
              <w:jc w:val="right"/>
              <w:spacing w:after="0"/>
              <w:rPr>
                <w:sz w:val="20"/>
                <w:szCs w:val="20"/>
                <w:color w:val="auto"/>
              </w:rPr>
            </w:pPr>
            <w:r>
              <w:rPr>
                <w:rFonts w:ascii="Arial" w:cs="Arial" w:eastAsia="Arial" w:hAnsi="Arial"/>
                <w:sz w:val="20"/>
                <w:szCs w:val="20"/>
                <w:color w:val="auto"/>
              </w:rPr>
              <w:t>5.00%</w:t>
            </w:r>
          </w:p>
        </w:tc>
      </w:tr>
      <w:tr>
        <w:trPr>
          <w:trHeight w:val="41"/>
        </w:trPr>
        <w:tc>
          <w:tcPr>
            <w:tcW w:w="2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74"/>
        </w:trPr>
        <w:tc>
          <w:tcPr>
            <w:tcW w:w="2660" w:type="dxa"/>
            <w:vAlign w:val="bottom"/>
            <w:shd w:val="clear" w:color="auto" w:fill="CFF0FC"/>
          </w:tcPr>
          <w:p>
            <w:pPr>
              <w:spacing w:after="0"/>
              <w:rPr>
                <w:sz w:val="20"/>
                <w:szCs w:val="20"/>
                <w:color w:val="auto"/>
              </w:rPr>
            </w:pPr>
            <w:r>
              <w:rPr>
                <w:rFonts w:ascii="Arial" w:cs="Arial" w:eastAsia="Arial" w:hAnsi="Arial"/>
                <w:sz w:val="20"/>
                <w:szCs w:val="20"/>
                <w:color w:val="auto"/>
              </w:rPr>
              <w:t>Farmers &amp; Merchants State</w:t>
            </w:r>
          </w:p>
        </w:tc>
        <w:tc>
          <w:tcPr>
            <w:tcW w:w="120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r>
      <w:tr>
        <w:trPr>
          <w:trHeight w:val="321"/>
        </w:trPr>
        <w:tc>
          <w:tcPr>
            <w:tcW w:w="2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Bank</w:t>
            </w:r>
          </w:p>
        </w:tc>
        <w:tc>
          <w:tcPr>
            <w:tcW w:w="120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315,009</w:t>
            </w:r>
          </w:p>
        </w:tc>
        <w:tc>
          <w:tcPr>
            <w:tcW w:w="1220" w:type="dxa"/>
            <w:vAlign w:val="bottom"/>
            <w:tcBorders>
              <w:bottom w:val="single" w:sz="8" w:color="CFF0FC"/>
            </w:tcBorders>
            <w:shd w:val="clear" w:color="auto" w:fill="CFF0FC"/>
          </w:tcPr>
          <w:p>
            <w:pPr>
              <w:jc w:val="right"/>
              <w:ind w:right="280"/>
              <w:spacing w:after="0"/>
              <w:rPr>
                <w:sz w:val="20"/>
                <w:szCs w:val="20"/>
                <w:color w:val="auto"/>
              </w:rPr>
            </w:pPr>
            <w:r>
              <w:rPr>
                <w:rFonts w:ascii="Arial" w:cs="Arial" w:eastAsia="Arial" w:hAnsi="Arial"/>
                <w:sz w:val="20"/>
                <w:szCs w:val="20"/>
                <w:color w:val="auto"/>
              </w:rPr>
              <w:t>9.47%</w:t>
            </w:r>
          </w:p>
        </w:tc>
        <w:tc>
          <w:tcPr>
            <w:tcW w:w="116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133,119</w:t>
            </w:r>
          </w:p>
        </w:tc>
        <w:tc>
          <w:tcPr>
            <w:tcW w:w="1120" w:type="dxa"/>
            <w:vAlign w:val="bottom"/>
            <w:tcBorders>
              <w:bottom w:val="single" w:sz="8" w:color="CFF0FC"/>
            </w:tcBorders>
            <w:shd w:val="clear" w:color="auto" w:fill="CFF0FC"/>
          </w:tcPr>
          <w:p>
            <w:pPr>
              <w:jc w:val="right"/>
              <w:ind w:right="240"/>
              <w:spacing w:after="0"/>
              <w:rPr>
                <w:sz w:val="20"/>
                <w:szCs w:val="20"/>
                <w:color w:val="auto"/>
              </w:rPr>
            </w:pPr>
            <w:r>
              <w:rPr>
                <w:rFonts w:ascii="Arial" w:cs="Arial" w:eastAsia="Arial" w:hAnsi="Arial"/>
                <w:sz w:val="20"/>
                <w:szCs w:val="20"/>
                <w:color w:val="auto"/>
              </w:rPr>
              <w:t>4.00%</w:t>
            </w:r>
          </w:p>
        </w:tc>
        <w:tc>
          <w:tcPr>
            <w:tcW w:w="11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166,399</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5.00%</w:t>
            </w:r>
          </w:p>
        </w:tc>
      </w:tr>
      <w:tr>
        <w:trPr>
          <w:trHeight w:val="799"/>
        </w:trPr>
        <w:tc>
          <w:tcPr>
            <w:tcW w:w="2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jc w:val="right"/>
              <w:ind w:right="140"/>
              <w:spacing w:after="0"/>
              <w:rPr>
                <w:sz w:val="20"/>
                <w:szCs w:val="20"/>
                <w:color w:val="auto"/>
              </w:rPr>
            </w:pPr>
            <w:r>
              <w:rPr>
                <w:rFonts w:ascii="Arial" w:cs="Arial" w:eastAsia="Arial" w:hAnsi="Arial"/>
                <w:sz w:val="20"/>
                <w:szCs w:val="20"/>
                <w:color w:val="auto"/>
              </w:rPr>
              <w:t>105</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891"/>
        </w:trPr>
        <w:tc>
          <w:tcPr>
            <w:tcW w:w="266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8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89">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24</w:t>
      </w:r>
    </w:p>
    <w:p>
      <w:pPr>
        <w:sectPr>
          <w:pgSz w:w="11900" w:h="16838" w:orient="portrait"/>
          <w:cols w:equalWidth="0" w:num="1">
            <w:col w:w="9400"/>
          </w:cols>
          <w:pgMar w:left="1260" w:top="1177" w:right="1246" w:bottom="0" w:gutter="0" w:footer="0" w:header="0"/>
          <w:type w:val="continuous"/>
        </w:sectPr>
      </w:pPr>
    </w:p>
    <w:bookmarkStart w:id="219" w:name="page220"/>
    <w:bookmarkEnd w:id="219"/>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24</w:t>
      </w:r>
    </w:p>
    <w:p>
      <w:pPr>
        <w:sectPr>
          <w:pgSz w:w="11900" w:h="16838" w:orient="portrait"/>
          <w:cols w:equalWidth="0" w:num="1">
            <w:col w:w="9400"/>
          </w:cols>
          <w:pgMar w:left="1260" w:top="1440" w:right="1246" w:bottom="0" w:gutter="0" w:footer="0" w:header="0"/>
          <w:type w:val="continuous"/>
        </w:sectPr>
      </w:pPr>
    </w:p>
    <w:bookmarkStart w:id="220" w:name="page221"/>
    <w:bookmarkEnd w:id="220"/>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60" w:type="dxa"/>
            <w:vAlign w:val="bottom"/>
            <w:gridSpan w:val="4"/>
          </w:tcPr>
          <w:p>
            <w:pPr>
              <w:jc w:val="right"/>
              <w:spacing w:after="0"/>
              <w:rPr>
                <w:sz w:val="20"/>
                <w:szCs w:val="20"/>
                <w:color w:val="auto"/>
              </w:rPr>
            </w:pPr>
            <w:r>
              <w:rPr>
                <w:rFonts w:ascii="Arial" w:cs="Arial" w:eastAsia="Arial" w:hAnsi="Arial"/>
                <w:sz w:val="20"/>
                <w:szCs w:val="20"/>
                <w:b w:val="1"/>
                <w:bCs w:val="1"/>
                <w:color w:val="auto"/>
              </w:rPr>
              <w:t>December 31, 2025, 2024, 2023</w:t>
            </w:r>
          </w:p>
        </w:tc>
      </w:tr>
      <w:tr>
        <w:trPr>
          <w:trHeight w:val="944"/>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20"/>
                <w:szCs w:val="20"/>
                <w:color w:val="auto"/>
                <w:w w:val="89"/>
              </w:rPr>
              <w:t>Required to be</w:t>
            </w:r>
          </w:p>
        </w:tc>
        <w:tc>
          <w:tcPr>
            <w:tcW w:w="900" w:type="dxa"/>
            <w:vAlign w:val="bottom"/>
          </w:tcPr>
          <w:p>
            <w:pPr>
              <w:spacing w:after="0"/>
              <w:rPr>
                <w:sz w:val="24"/>
                <w:szCs w:val="24"/>
                <w:color w:val="auto"/>
              </w:rPr>
            </w:pPr>
          </w:p>
        </w:tc>
      </w:tr>
      <w:tr>
        <w:trPr>
          <w:trHeight w:val="300"/>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center"/>
              <w:ind w:right="220"/>
              <w:spacing w:after="0"/>
              <w:rPr>
                <w:sz w:val="20"/>
                <w:szCs w:val="20"/>
                <w:color w:val="auto"/>
              </w:rPr>
            </w:pPr>
            <w:r>
              <w:rPr>
                <w:rFonts w:ascii="Arial" w:cs="Arial" w:eastAsia="Arial" w:hAnsi="Arial"/>
                <w:sz w:val="20"/>
                <w:szCs w:val="20"/>
                <w:color w:val="auto"/>
                <w:w w:val="98"/>
              </w:rPr>
              <w:t>Minimum</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220"/>
              <w:spacing w:after="0"/>
              <w:rPr>
                <w:sz w:val="20"/>
                <w:szCs w:val="20"/>
                <w:color w:val="auto"/>
              </w:rPr>
            </w:pPr>
            <w:r>
              <w:rPr>
                <w:rFonts w:ascii="Arial" w:cs="Arial" w:eastAsia="Arial" w:hAnsi="Arial"/>
                <w:sz w:val="20"/>
                <w:szCs w:val="20"/>
                <w:color w:val="auto"/>
                <w:w w:val="87"/>
              </w:rPr>
              <w:t>Considered</w:t>
            </w:r>
          </w:p>
        </w:tc>
        <w:tc>
          <w:tcPr>
            <w:tcW w:w="900" w:type="dxa"/>
            <w:vAlign w:val="bottom"/>
          </w:tcPr>
          <w:p>
            <w:pPr>
              <w:spacing w:after="0"/>
              <w:rPr>
                <w:sz w:val="24"/>
                <w:szCs w:val="24"/>
                <w:color w:val="auto"/>
              </w:rPr>
            </w:pPr>
          </w:p>
        </w:tc>
      </w:tr>
      <w:tr>
        <w:trPr>
          <w:trHeight w:val="300"/>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center"/>
              <w:ind w:right="240"/>
              <w:spacing w:after="0"/>
              <w:rPr>
                <w:sz w:val="20"/>
                <w:szCs w:val="20"/>
                <w:color w:val="auto"/>
              </w:rPr>
            </w:pPr>
            <w:r>
              <w:rPr>
                <w:rFonts w:ascii="Arial" w:cs="Arial" w:eastAsia="Arial" w:hAnsi="Arial"/>
                <w:sz w:val="20"/>
                <w:szCs w:val="20"/>
                <w:color w:val="auto"/>
                <w:w w:val="93"/>
              </w:rPr>
              <w:t>Capital</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180"/>
              <w:spacing w:after="0"/>
              <w:rPr>
                <w:sz w:val="20"/>
                <w:szCs w:val="20"/>
                <w:color w:val="auto"/>
              </w:rPr>
            </w:pPr>
            <w:r>
              <w:rPr>
                <w:rFonts w:ascii="Arial" w:cs="Arial" w:eastAsia="Arial" w:hAnsi="Arial"/>
                <w:sz w:val="20"/>
                <w:szCs w:val="20"/>
                <w:color w:val="auto"/>
              </w:rPr>
              <w:t>Well-</w:t>
            </w:r>
          </w:p>
        </w:tc>
        <w:tc>
          <w:tcPr>
            <w:tcW w:w="900" w:type="dxa"/>
            <w:vAlign w:val="bottom"/>
          </w:tcPr>
          <w:p>
            <w:pPr>
              <w:spacing w:after="0"/>
              <w:rPr>
                <w:sz w:val="24"/>
                <w:szCs w:val="24"/>
                <w:color w:val="auto"/>
              </w:rPr>
            </w:pPr>
          </w:p>
        </w:tc>
      </w:tr>
      <w:tr>
        <w:trPr>
          <w:trHeight w:val="300"/>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center"/>
              <w:ind w:right="220"/>
              <w:spacing w:after="0"/>
              <w:rPr>
                <w:sz w:val="20"/>
                <w:szCs w:val="20"/>
                <w:color w:val="auto"/>
              </w:rPr>
            </w:pPr>
            <w:r>
              <w:rPr>
                <w:rFonts w:ascii="Arial" w:cs="Arial" w:eastAsia="Arial" w:hAnsi="Arial"/>
                <w:sz w:val="20"/>
                <w:szCs w:val="20"/>
                <w:color w:val="auto"/>
                <w:w w:val="97"/>
              </w:rPr>
              <w:t>Actual</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center"/>
              <w:ind w:right="180"/>
              <w:spacing w:after="0"/>
              <w:rPr>
                <w:sz w:val="20"/>
                <w:szCs w:val="20"/>
                <w:color w:val="auto"/>
              </w:rPr>
            </w:pPr>
            <w:r>
              <w:rPr>
                <w:rFonts w:ascii="Arial" w:cs="Arial" w:eastAsia="Arial" w:hAnsi="Arial"/>
                <w:sz w:val="20"/>
                <w:szCs w:val="20"/>
                <w:color w:val="auto"/>
                <w:w w:val="88"/>
              </w:rPr>
              <w:t>Required</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160"/>
              <w:spacing w:after="0"/>
              <w:rPr>
                <w:sz w:val="20"/>
                <w:szCs w:val="20"/>
                <w:color w:val="auto"/>
              </w:rPr>
            </w:pPr>
            <w:r>
              <w:rPr>
                <w:rFonts w:ascii="Arial" w:cs="Arial" w:eastAsia="Arial" w:hAnsi="Arial"/>
                <w:sz w:val="20"/>
                <w:szCs w:val="20"/>
                <w:color w:val="auto"/>
                <w:w w:val="92"/>
              </w:rPr>
              <w:t>Capitalized</w:t>
            </w:r>
          </w:p>
        </w:tc>
        <w:tc>
          <w:tcPr>
            <w:tcW w:w="900" w:type="dxa"/>
            <w:vAlign w:val="bottom"/>
          </w:tcPr>
          <w:p>
            <w:pPr>
              <w:spacing w:after="0"/>
              <w:rPr>
                <w:sz w:val="24"/>
                <w:szCs w:val="24"/>
                <w:color w:val="auto"/>
              </w:rPr>
            </w:pPr>
          </w:p>
        </w:tc>
      </w:tr>
      <w:tr>
        <w:trPr>
          <w:trHeight w:val="324"/>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center"/>
              <w:ind w:right="220"/>
              <w:spacing w:after="0"/>
              <w:rPr>
                <w:sz w:val="20"/>
                <w:szCs w:val="20"/>
                <w:color w:val="auto"/>
              </w:rPr>
            </w:pPr>
            <w:r>
              <w:rPr>
                <w:rFonts w:ascii="Arial" w:cs="Arial" w:eastAsia="Arial" w:hAnsi="Arial"/>
                <w:sz w:val="20"/>
                <w:szCs w:val="20"/>
                <w:color w:val="auto"/>
                <w:w w:val="89"/>
              </w:rPr>
              <w:t>(000's)</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center"/>
              <w:ind w:right="180"/>
              <w:spacing w:after="0"/>
              <w:rPr>
                <w:sz w:val="20"/>
                <w:szCs w:val="20"/>
                <w:color w:val="auto"/>
              </w:rPr>
            </w:pPr>
            <w:r>
              <w:rPr>
                <w:rFonts w:ascii="Arial" w:cs="Arial" w:eastAsia="Arial" w:hAnsi="Arial"/>
                <w:sz w:val="20"/>
                <w:szCs w:val="20"/>
                <w:color w:val="auto"/>
                <w:w w:val="92"/>
              </w:rPr>
              <w:t>(000's)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160"/>
              <w:spacing w:after="0"/>
              <w:rPr>
                <w:sz w:val="20"/>
                <w:szCs w:val="20"/>
                <w:color w:val="auto"/>
              </w:rPr>
            </w:pPr>
            <w:r>
              <w:rPr>
                <w:rFonts w:ascii="Arial" w:cs="Arial" w:eastAsia="Arial" w:hAnsi="Arial"/>
                <w:sz w:val="20"/>
                <w:szCs w:val="20"/>
                <w:color w:val="auto"/>
                <w:w w:val="92"/>
              </w:rPr>
              <w:t>(000's)</w:t>
            </w:r>
          </w:p>
        </w:tc>
        <w:tc>
          <w:tcPr>
            <w:tcW w:w="900" w:type="dxa"/>
            <w:vAlign w:val="bottom"/>
          </w:tcPr>
          <w:p>
            <w:pPr>
              <w:spacing w:after="0"/>
              <w:rPr>
                <w:sz w:val="24"/>
                <w:szCs w:val="24"/>
                <w:color w:val="auto"/>
              </w:rPr>
            </w:pPr>
          </w:p>
        </w:tc>
      </w:tr>
      <w:tr>
        <w:trPr>
          <w:trHeight w:val="324"/>
        </w:trPr>
        <w:tc>
          <w:tcPr>
            <w:tcW w:w="2400" w:type="dxa"/>
            <w:vAlign w:val="bottom"/>
          </w:tcPr>
          <w:p>
            <w:pPr>
              <w:spacing w:after="0"/>
              <w:rPr>
                <w:sz w:val="20"/>
                <w:szCs w:val="20"/>
                <w:color w:val="auto"/>
              </w:rPr>
            </w:pPr>
            <w:r>
              <w:rPr>
                <w:rFonts w:ascii="Arial" w:cs="Arial" w:eastAsia="Arial" w:hAnsi="Arial"/>
                <w:sz w:val="20"/>
                <w:szCs w:val="20"/>
                <w:color w:val="auto"/>
              </w:rPr>
              <w:t>As of December 31, 2024</w:t>
            </w:r>
          </w:p>
        </w:tc>
        <w:tc>
          <w:tcPr>
            <w:tcW w:w="260" w:type="dxa"/>
            <w:vAlign w:val="bottom"/>
          </w:tcPr>
          <w:p>
            <w:pPr>
              <w:spacing w:after="0"/>
              <w:rPr>
                <w:sz w:val="24"/>
                <w:szCs w:val="24"/>
                <w:color w:val="auto"/>
              </w:rPr>
            </w:pPr>
          </w:p>
        </w:tc>
        <w:tc>
          <w:tcPr>
            <w:tcW w:w="1140" w:type="dxa"/>
            <w:vAlign w:val="bottom"/>
          </w:tcPr>
          <w:p>
            <w:pPr>
              <w:jc w:val="center"/>
              <w:ind w:right="220"/>
              <w:spacing w:after="0"/>
              <w:rPr>
                <w:sz w:val="20"/>
                <w:szCs w:val="20"/>
                <w:color w:val="auto"/>
              </w:rPr>
            </w:pPr>
            <w:r>
              <w:rPr>
                <w:rFonts w:ascii="Arial" w:cs="Arial" w:eastAsia="Arial" w:hAnsi="Arial"/>
                <w:sz w:val="20"/>
                <w:szCs w:val="20"/>
                <w:color w:val="auto"/>
                <w:w w:val="95"/>
              </w:rPr>
              <w:t>Amount</w:t>
            </w:r>
          </w:p>
        </w:tc>
        <w:tc>
          <w:tcPr>
            <w:tcW w:w="940" w:type="dxa"/>
            <w:vAlign w:val="bottom"/>
          </w:tcPr>
          <w:p>
            <w:pPr>
              <w:jc w:val="right"/>
              <w:ind w:right="240"/>
              <w:spacing w:after="0"/>
              <w:rPr>
                <w:sz w:val="20"/>
                <w:szCs w:val="20"/>
                <w:color w:val="auto"/>
              </w:rPr>
            </w:pPr>
            <w:r>
              <w:rPr>
                <w:rFonts w:ascii="Arial" w:cs="Arial" w:eastAsia="Arial" w:hAnsi="Arial"/>
                <w:sz w:val="20"/>
                <w:szCs w:val="20"/>
                <w:color w:val="auto"/>
              </w:rPr>
              <w:t>Ratio</w:t>
            </w:r>
          </w:p>
        </w:tc>
        <w:tc>
          <w:tcPr>
            <w:tcW w:w="200" w:type="dxa"/>
            <w:vAlign w:val="bottom"/>
          </w:tcPr>
          <w:p>
            <w:pPr>
              <w:spacing w:after="0"/>
              <w:rPr>
                <w:sz w:val="24"/>
                <w:szCs w:val="24"/>
                <w:color w:val="auto"/>
              </w:rPr>
            </w:pPr>
          </w:p>
        </w:tc>
        <w:tc>
          <w:tcPr>
            <w:tcW w:w="1200" w:type="dxa"/>
            <w:vAlign w:val="bottom"/>
          </w:tcPr>
          <w:p>
            <w:pPr>
              <w:jc w:val="center"/>
              <w:ind w:right="200"/>
              <w:spacing w:after="0"/>
              <w:rPr>
                <w:sz w:val="20"/>
                <w:szCs w:val="20"/>
                <w:color w:val="auto"/>
              </w:rPr>
            </w:pPr>
            <w:r>
              <w:rPr>
                <w:rFonts w:ascii="Arial" w:cs="Arial" w:eastAsia="Arial" w:hAnsi="Arial"/>
                <w:sz w:val="20"/>
                <w:szCs w:val="20"/>
                <w:color w:val="auto"/>
                <w:w w:val="95"/>
              </w:rPr>
              <w:t>Amount</w:t>
            </w:r>
          </w:p>
        </w:tc>
        <w:tc>
          <w:tcPr>
            <w:tcW w:w="940" w:type="dxa"/>
            <w:vAlign w:val="bottom"/>
          </w:tcPr>
          <w:p>
            <w:pPr>
              <w:jc w:val="right"/>
              <w:ind w:right="260"/>
              <w:spacing w:after="0"/>
              <w:rPr>
                <w:sz w:val="20"/>
                <w:szCs w:val="20"/>
                <w:color w:val="auto"/>
              </w:rPr>
            </w:pPr>
            <w:r>
              <w:rPr>
                <w:rFonts w:ascii="Arial" w:cs="Arial" w:eastAsia="Arial" w:hAnsi="Arial"/>
                <w:sz w:val="20"/>
                <w:szCs w:val="20"/>
                <w:color w:val="auto"/>
              </w:rPr>
              <w:t>Ratio</w:t>
            </w:r>
          </w:p>
        </w:tc>
        <w:tc>
          <w:tcPr>
            <w:tcW w:w="160" w:type="dxa"/>
            <w:vAlign w:val="bottom"/>
          </w:tcPr>
          <w:p>
            <w:pPr>
              <w:spacing w:after="0"/>
              <w:rPr>
                <w:sz w:val="24"/>
                <w:szCs w:val="24"/>
                <w:color w:val="auto"/>
              </w:rPr>
            </w:pPr>
          </w:p>
        </w:tc>
        <w:tc>
          <w:tcPr>
            <w:tcW w:w="1260" w:type="dxa"/>
            <w:vAlign w:val="bottom"/>
          </w:tcPr>
          <w:p>
            <w:pPr>
              <w:jc w:val="center"/>
              <w:ind w:right="180"/>
              <w:spacing w:after="0"/>
              <w:rPr>
                <w:sz w:val="20"/>
                <w:szCs w:val="20"/>
                <w:color w:val="auto"/>
              </w:rPr>
            </w:pPr>
            <w:r>
              <w:rPr>
                <w:rFonts w:ascii="Arial" w:cs="Arial" w:eastAsia="Arial" w:hAnsi="Arial"/>
                <w:sz w:val="20"/>
                <w:szCs w:val="20"/>
                <w:color w:val="auto"/>
                <w:w w:val="95"/>
              </w:rPr>
              <w:t>Amount</w:t>
            </w:r>
          </w:p>
        </w:tc>
        <w:tc>
          <w:tcPr>
            <w:tcW w:w="900" w:type="dxa"/>
            <w:vAlign w:val="bottom"/>
          </w:tcPr>
          <w:p>
            <w:pPr>
              <w:jc w:val="right"/>
              <w:ind w:right="220"/>
              <w:spacing w:after="0"/>
              <w:rPr>
                <w:sz w:val="20"/>
                <w:szCs w:val="20"/>
                <w:color w:val="auto"/>
              </w:rPr>
            </w:pPr>
            <w:r>
              <w:rPr>
                <w:rFonts w:ascii="Arial" w:cs="Arial" w:eastAsia="Arial" w:hAnsi="Arial"/>
                <w:sz w:val="20"/>
                <w:szCs w:val="20"/>
                <w:color w:val="auto"/>
              </w:rPr>
              <w:t>Ratio</w:t>
            </w:r>
          </w:p>
        </w:tc>
      </w:tr>
      <w:tr>
        <w:trPr>
          <w:trHeight w:val="41"/>
        </w:trPr>
        <w:tc>
          <w:tcPr>
            <w:tcW w:w="2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74"/>
        </w:trPr>
        <w:tc>
          <w:tcPr>
            <w:tcW w:w="2400" w:type="dxa"/>
            <w:vAlign w:val="bottom"/>
            <w:shd w:val="clear" w:color="auto" w:fill="CFF0FC"/>
          </w:tcPr>
          <w:p>
            <w:pPr>
              <w:spacing w:after="0"/>
              <w:rPr>
                <w:sz w:val="20"/>
                <w:szCs w:val="20"/>
                <w:color w:val="auto"/>
              </w:rPr>
            </w:pPr>
            <w:r>
              <w:rPr>
                <w:rFonts w:ascii="Arial" w:cs="Arial" w:eastAsia="Arial" w:hAnsi="Arial"/>
                <w:sz w:val="20"/>
                <w:szCs w:val="20"/>
                <w:color w:val="auto"/>
              </w:rPr>
              <w:t>Common Equity Tier 1</w:t>
            </w:r>
          </w:p>
        </w:tc>
        <w:tc>
          <w:tcPr>
            <w:tcW w:w="26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900" w:type="dxa"/>
            <w:vAlign w:val="bottom"/>
            <w:shd w:val="clear" w:color="auto" w:fill="CFF0FC"/>
          </w:tcPr>
          <w:p>
            <w:pPr>
              <w:spacing w:after="0"/>
              <w:rPr>
                <w:sz w:val="23"/>
                <w:szCs w:val="23"/>
                <w:color w:val="auto"/>
              </w:rPr>
            </w:pPr>
          </w:p>
        </w:tc>
      </w:tr>
      <w:tr>
        <w:trPr>
          <w:trHeight w:val="300"/>
        </w:trPr>
        <w:tc>
          <w:tcPr>
            <w:tcW w:w="2400" w:type="dxa"/>
            <w:vAlign w:val="bottom"/>
            <w:shd w:val="clear" w:color="auto" w:fill="CFF0FC"/>
          </w:tcPr>
          <w:p>
            <w:pPr>
              <w:spacing w:after="0"/>
              <w:rPr>
                <w:sz w:val="20"/>
                <w:szCs w:val="20"/>
                <w:color w:val="auto"/>
              </w:rPr>
            </w:pPr>
            <w:r>
              <w:rPr>
                <w:rFonts w:ascii="Arial" w:cs="Arial" w:eastAsia="Arial" w:hAnsi="Arial"/>
                <w:sz w:val="20"/>
                <w:szCs w:val="20"/>
                <w:color w:val="auto"/>
              </w:rPr>
              <w:t>Capital</w:t>
            </w:r>
          </w:p>
        </w:tc>
        <w:tc>
          <w:tcPr>
            <w:tcW w:w="26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r>
      <w:tr>
        <w:trPr>
          <w:trHeight w:val="321"/>
        </w:trPr>
        <w:tc>
          <w:tcPr>
            <w:tcW w:w="2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w w:val="95"/>
              </w:rPr>
              <w:t>(to Risk Weighted Assets):</w:t>
            </w: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20"/>
                <w:szCs w:val="20"/>
                <w:color w:val="auto"/>
              </w:rPr>
              <w:t>Consolidated</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60"/>
              <w:spacing w:after="0"/>
              <w:rPr>
                <w:sz w:val="20"/>
                <w:szCs w:val="20"/>
                <w:color w:val="auto"/>
              </w:rPr>
            </w:pPr>
            <w:r>
              <w:rPr>
                <w:rFonts w:ascii="Arial" w:cs="Arial" w:eastAsia="Arial" w:hAnsi="Arial"/>
                <w:sz w:val="20"/>
                <w:szCs w:val="20"/>
                <w:color w:val="auto"/>
              </w:rPr>
              <w:t>268,308</w:t>
            </w:r>
          </w:p>
        </w:tc>
        <w:tc>
          <w:tcPr>
            <w:tcW w:w="940" w:type="dxa"/>
            <w:vAlign w:val="bottom"/>
          </w:tcPr>
          <w:p>
            <w:pPr>
              <w:jc w:val="right"/>
              <w:spacing w:after="0"/>
              <w:rPr>
                <w:sz w:val="20"/>
                <w:szCs w:val="20"/>
                <w:color w:val="auto"/>
              </w:rPr>
            </w:pPr>
            <w:r>
              <w:rPr>
                <w:rFonts w:ascii="Arial" w:cs="Arial" w:eastAsia="Arial" w:hAnsi="Arial"/>
                <w:sz w:val="20"/>
                <w:szCs w:val="20"/>
                <w:color w:val="auto"/>
              </w:rPr>
              <w:t>10.44%</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60"/>
              <w:spacing w:after="0"/>
              <w:rPr>
                <w:sz w:val="20"/>
                <w:szCs w:val="20"/>
                <w:color w:val="auto"/>
              </w:rPr>
            </w:pPr>
            <w:r>
              <w:rPr>
                <w:rFonts w:ascii="Arial" w:cs="Arial" w:eastAsia="Arial" w:hAnsi="Arial"/>
                <w:sz w:val="20"/>
                <w:szCs w:val="20"/>
                <w:color w:val="auto"/>
              </w:rPr>
              <w:t>115,611</w:t>
            </w:r>
          </w:p>
        </w:tc>
        <w:tc>
          <w:tcPr>
            <w:tcW w:w="940" w:type="dxa"/>
            <w:vAlign w:val="bottom"/>
          </w:tcPr>
          <w:p>
            <w:pPr>
              <w:jc w:val="right"/>
              <w:spacing w:after="0"/>
              <w:rPr>
                <w:sz w:val="20"/>
                <w:szCs w:val="20"/>
                <w:color w:val="auto"/>
              </w:rPr>
            </w:pPr>
            <w:r>
              <w:rPr>
                <w:rFonts w:ascii="Arial" w:cs="Arial" w:eastAsia="Arial" w:hAnsi="Arial"/>
                <w:sz w:val="20"/>
                <w:szCs w:val="20"/>
                <w:color w:val="auto"/>
              </w:rPr>
              <w:t>4.50%</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60"/>
              <w:spacing w:after="0"/>
              <w:rPr>
                <w:sz w:val="20"/>
                <w:szCs w:val="20"/>
                <w:color w:val="auto"/>
              </w:rPr>
            </w:pPr>
            <w:r>
              <w:rPr>
                <w:rFonts w:ascii="Arial" w:cs="Arial" w:eastAsia="Arial" w:hAnsi="Arial"/>
                <w:sz w:val="20"/>
                <w:szCs w:val="20"/>
                <w:color w:val="auto"/>
              </w:rPr>
              <w:t>166,993</w:t>
            </w:r>
          </w:p>
        </w:tc>
        <w:tc>
          <w:tcPr>
            <w:tcW w:w="900" w:type="dxa"/>
            <w:vAlign w:val="bottom"/>
          </w:tcPr>
          <w:p>
            <w:pPr>
              <w:jc w:val="right"/>
              <w:spacing w:after="0"/>
              <w:rPr>
                <w:sz w:val="20"/>
                <w:szCs w:val="20"/>
                <w:color w:val="auto"/>
              </w:rPr>
            </w:pPr>
            <w:r>
              <w:rPr>
                <w:rFonts w:ascii="Arial" w:cs="Arial" w:eastAsia="Arial" w:hAnsi="Arial"/>
                <w:sz w:val="20"/>
                <w:szCs w:val="20"/>
                <w:color w:val="auto"/>
              </w:rPr>
              <w:t>6.50%</w:t>
            </w:r>
          </w:p>
        </w:tc>
      </w:tr>
      <w:tr>
        <w:trPr>
          <w:trHeight w:val="41"/>
        </w:trPr>
        <w:tc>
          <w:tcPr>
            <w:tcW w:w="2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74"/>
        </w:trPr>
        <w:tc>
          <w:tcPr>
            <w:tcW w:w="2400" w:type="dxa"/>
            <w:vAlign w:val="bottom"/>
            <w:shd w:val="clear" w:color="auto" w:fill="CFF0FC"/>
          </w:tcPr>
          <w:p>
            <w:pPr>
              <w:spacing w:after="0"/>
              <w:rPr>
                <w:sz w:val="20"/>
                <w:szCs w:val="20"/>
                <w:color w:val="auto"/>
              </w:rPr>
            </w:pPr>
            <w:r>
              <w:rPr>
                <w:rFonts w:ascii="Arial" w:cs="Arial" w:eastAsia="Arial" w:hAnsi="Arial"/>
                <w:sz w:val="20"/>
                <w:szCs w:val="20"/>
                <w:color w:val="auto"/>
                <w:w w:val="97"/>
              </w:rPr>
              <w:t>Farmers &amp; Merchants State</w:t>
            </w:r>
          </w:p>
        </w:tc>
        <w:tc>
          <w:tcPr>
            <w:tcW w:w="26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900" w:type="dxa"/>
            <w:vAlign w:val="bottom"/>
            <w:shd w:val="clear" w:color="auto" w:fill="CFF0FC"/>
          </w:tcPr>
          <w:p>
            <w:pPr>
              <w:spacing w:after="0"/>
              <w:rPr>
                <w:sz w:val="23"/>
                <w:szCs w:val="23"/>
                <w:color w:val="auto"/>
              </w:rPr>
            </w:pPr>
          </w:p>
        </w:tc>
      </w:tr>
      <w:tr>
        <w:trPr>
          <w:trHeight w:val="321"/>
        </w:trPr>
        <w:tc>
          <w:tcPr>
            <w:tcW w:w="2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Bank</w:t>
            </w: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292,845</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11.40%</w:t>
            </w: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115,583</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4.50%</w:t>
            </w:r>
          </w:p>
        </w:tc>
        <w:tc>
          <w:tcPr>
            <w:tcW w:w="1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166,954</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6.50%</w:t>
            </w:r>
          </w:p>
        </w:tc>
      </w:tr>
      <w:tr>
        <w:trPr>
          <w:trHeight w:val="314"/>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4"/>
        </w:trPr>
        <w:tc>
          <w:tcPr>
            <w:tcW w:w="2400" w:type="dxa"/>
            <w:vAlign w:val="bottom"/>
            <w:shd w:val="clear" w:color="auto" w:fill="CFF0FC"/>
          </w:tcPr>
          <w:p>
            <w:pPr>
              <w:spacing w:after="0"/>
              <w:rPr>
                <w:sz w:val="20"/>
                <w:szCs w:val="20"/>
                <w:color w:val="auto"/>
              </w:rPr>
            </w:pPr>
            <w:r>
              <w:rPr>
                <w:rFonts w:ascii="Arial" w:cs="Arial" w:eastAsia="Arial" w:hAnsi="Arial"/>
                <w:sz w:val="20"/>
                <w:szCs w:val="20"/>
                <w:color w:val="auto"/>
              </w:rPr>
              <w:t>Total Risk-Based Capital</w:t>
            </w:r>
          </w:p>
        </w:tc>
        <w:tc>
          <w:tcPr>
            <w:tcW w:w="26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900" w:type="dxa"/>
            <w:vAlign w:val="bottom"/>
            <w:shd w:val="clear" w:color="auto" w:fill="CFF0FC"/>
          </w:tcPr>
          <w:p>
            <w:pPr>
              <w:spacing w:after="0"/>
              <w:rPr>
                <w:sz w:val="23"/>
                <w:szCs w:val="23"/>
                <w:color w:val="auto"/>
              </w:rPr>
            </w:pPr>
          </w:p>
        </w:tc>
      </w:tr>
      <w:tr>
        <w:trPr>
          <w:trHeight w:val="321"/>
        </w:trPr>
        <w:tc>
          <w:tcPr>
            <w:tcW w:w="2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w w:val="95"/>
              </w:rPr>
              <w:t>(to Risk Weighted Assets):</w:t>
            </w: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20"/>
                <w:szCs w:val="20"/>
                <w:color w:val="auto"/>
              </w:rPr>
              <w:t>Consolidated</w:t>
            </w:r>
          </w:p>
        </w:tc>
        <w:tc>
          <w:tcPr>
            <w:tcW w:w="260" w:type="dxa"/>
            <w:vAlign w:val="bottom"/>
          </w:tcPr>
          <w:p>
            <w:pPr>
              <w:spacing w:after="0"/>
              <w:rPr>
                <w:sz w:val="23"/>
                <w:szCs w:val="23"/>
                <w:color w:val="auto"/>
              </w:rPr>
            </w:pPr>
          </w:p>
        </w:tc>
        <w:tc>
          <w:tcPr>
            <w:tcW w:w="1140" w:type="dxa"/>
            <w:vAlign w:val="bottom"/>
          </w:tcPr>
          <w:p>
            <w:pPr>
              <w:jc w:val="right"/>
              <w:ind w:right="60"/>
              <w:spacing w:after="0"/>
              <w:rPr>
                <w:sz w:val="20"/>
                <w:szCs w:val="20"/>
                <w:color w:val="auto"/>
              </w:rPr>
            </w:pPr>
            <w:r>
              <w:rPr>
                <w:rFonts w:ascii="Arial" w:cs="Arial" w:eastAsia="Arial" w:hAnsi="Arial"/>
                <w:sz w:val="20"/>
                <w:szCs w:val="20"/>
                <w:color w:val="auto"/>
              </w:rPr>
              <w:t>328,808</w:t>
            </w:r>
          </w:p>
        </w:tc>
        <w:tc>
          <w:tcPr>
            <w:tcW w:w="940" w:type="dxa"/>
            <w:vAlign w:val="bottom"/>
          </w:tcPr>
          <w:p>
            <w:pPr>
              <w:jc w:val="right"/>
              <w:spacing w:after="0"/>
              <w:rPr>
                <w:sz w:val="20"/>
                <w:szCs w:val="20"/>
                <w:color w:val="auto"/>
              </w:rPr>
            </w:pPr>
            <w:r>
              <w:rPr>
                <w:rFonts w:ascii="Arial" w:cs="Arial" w:eastAsia="Arial" w:hAnsi="Arial"/>
                <w:sz w:val="20"/>
                <w:szCs w:val="20"/>
                <w:color w:val="auto"/>
              </w:rPr>
              <w:t>12.80%</w:t>
            </w:r>
          </w:p>
        </w:tc>
        <w:tc>
          <w:tcPr>
            <w:tcW w:w="20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20"/>
                <w:szCs w:val="20"/>
                <w:color w:val="auto"/>
              </w:rPr>
              <w:t>205,530</w:t>
            </w:r>
          </w:p>
        </w:tc>
        <w:tc>
          <w:tcPr>
            <w:tcW w:w="940" w:type="dxa"/>
            <w:vAlign w:val="bottom"/>
          </w:tcPr>
          <w:p>
            <w:pPr>
              <w:jc w:val="right"/>
              <w:spacing w:after="0"/>
              <w:rPr>
                <w:sz w:val="20"/>
                <w:szCs w:val="20"/>
                <w:color w:val="auto"/>
              </w:rPr>
            </w:pPr>
            <w:r>
              <w:rPr>
                <w:rFonts w:ascii="Arial" w:cs="Arial" w:eastAsia="Arial" w:hAnsi="Arial"/>
                <w:sz w:val="20"/>
                <w:szCs w:val="20"/>
                <w:color w:val="auto"/>
              </w:rPr>
              <w:t>8.00%</w:t>
            </w:r>
          </w:p>
        </w:tc>
        <w:tc>
          <w:tcPr>
            <w:tcW w:w="160" w:type="dxa"/>
            <w:vAlign w:val="bottom"/>
          </w:tcPr>
          <w:p>
            <w:pPr>
              <w:spacing w:after="0"/>
              <w:rPr>
                <w:sz w:val="23"/>
                <w:szCs w:val="23"/>
                <w:color w:val="auto"/>
              </w:rPr>
            </w:pPr>
          </w:p>
        </w:tc>
        <w:tc>
          <w:tcPr>
            <w:tcW w:w="1260" w:type="dxa"/>
            <w:vAlign w:val="bottom"/>
          </w:tcPr>
          <w:p>
            <w:pPr>
              <w:jc w:val="right"/>
              <w:ind w:right="60"/>
              <w:spacing w:after="0"/>
              <w:rPr>
                <w:sz w:val="20"/>
                <w:szCs w:val="20"/>
                <w:color w:val="auto"/>
              </w:rPr>
            </w:pPr>
            <w:r>
              <w:rPr>
                <w:rFonts w:ascii="Arial" w:cs="Arial" w:eastAsia="Arial" w:hAnsi="Arial"/>
                <w:sz w:val="20"/>
                <w:szCs w:val="20"/>
                <w:color w:val="auto"/>
              </w:rPr>
              <w:t>256,913</w:t>
            </w:r>
          </w:p>
        </w:tc>
        <w:tc>
          <w:tcPr>
            <w:tcW w:w="900" w:type="dxa"/>
            <w:vAlign w:val="bottom"/>
          </w:tcPr>
          <w:p>
            <w:pPr>
              <w:jc w:val="right"/>
              <w:spacing w:after="0"/>
              <w:rPr>
                <w:sz w:val="20"/>
                <w:szCs w:val="20"/>
                <w:color w:val="auto"/>
              </w:rPr>
            </w:pPr>
            <w:r>
              <w:rPr>
                <w:rFonts w:ascii="Arial" w:cs="Arial" w:eastAsia="Arial" w:hAnsi="Arial"/>
                <w:sz w:val="20"/>
                <w:szCs w:val="20"/>
                <w:color w:val="auto"/>
              </w:rPr>
              <w:t>10.00%</w:t>
            </w:r>
          </w:p>
        </w:tc>
      </w:tr>
      <w:tr>
        <w:trPr>
          <w:trHeight w:val="41"/>
        </w:trPr>
        <w:tc>
          <w:tcPr>
            <w:tcW w:w="2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74"/>
        </w:trPr>
        <w:tc>
          <w:tcPr>
            <w:tcW w:w="2400" w:type="dxa"/>
            <w:vAlign w:val="bottom"/>
            <w:shd w:val="clear" w:color="auto" w:fill="CFF0FC"/>
          </w:tcPr>
          <w:p>
            <w:pPr>
              <w:spacing w:after="0"/>
              <w:rPr>
                <w:sz w:val="20"/>
                <w:szCs w:val="20"/>
                <w:color w:val="auto"/>
              </w:rPr>
            </w:pPr>
            <w:r>
              <w:rPr>
                <w:rFonts w:ascii="Arial" w:cs="Arial" w:eastAsia="Arial" w:hAnsi="Arial"/>
                <w:sz w:val="20"/>
                <w:szCs w:val="20"/>
                <w:color w:val="auto"/>
                <w:w w:val="97"/>
              </w:rPr>
              <w:t>Farmers &amp; Merchants State</w:t>
            </w:r>
          </w:p>
        </w:tc>
        <w:tc>
          <w:tcPr>
            <w:tcW w:w="26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900" w:type="dxa"/>
            <w:vAlign w:val="bottom"/>
            <w:shd w:val="clear" w:color="auto" w:fill="CFF0FC"/>
          </w:tcPr>
          <w:p>
            <w:pPr>
              <w:spacing w:after="0"/>
              <w:rPr>
                <w:sz w:val="23"/>
                <w:szCs w:val="23"/>
                <w:color w:val="auto"/>
              </w:rPr>
            </w:pPr>
          </w:p>
        </w:tc>
      </w:tr>
      <w:tr>
        <w:trPr>
          <w:trHeight w:val="321"/>
        </w:trPr>
        <w:tc>
          <w:tcPr>
            <w:tcW w:w="2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Bank</w:t>
            </w: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318,527</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12.40%</w:t>
            </w: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205,482</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8.00%</w:t>
            </w:r>
          </w:p>
        </w:tc>
        <w:tc>
          <w:tcPr>
            <w:tcW w:w="1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256,852</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r>
      <w:tr>
        <w:trPr>
          <w:trHeight w:val="314"/>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4"/>
        </w:trPr>
        <w:tc>
          <w:tcPr>
            <w:tcW w:w="2400" w:type="dxa"/>
            <w:vAlign w:val="bottom"/>
            <w:shd w:val="clear" w:color="auto" w:fill="CFF0FC"/>
          </w:tcPr>
          <w:p>
            <w:pPr>
              <w:spacing w:after="0"/>
              <w:rPr>
                <w:sz w:val="20"/>
                <w:szCs w:val="20"/>
                <w:color w:val="auto"/>
              </w:rPr>
            </w:pPr>
            <w:r>
              <w:rPr>
                <w:rFonts w:ascii="Arial" w:cs="Arial" w:eastAsia="Arial" w:hAnsi="Arial"/>
                <w:sz w:val="20"/>
                <w:szCs w:val="20"/>
                <w:color w:val="auto"/>
              </w:rPr>
              <w:t>Tier 1 Capital</w:t>
            </w:r>
          </w:p>
        </w:tc>
        <w:tc>
          <w:tcPr>
            <w:tcW w:w="26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900" w:type="dxa"/>
            <w:vAlign w:val="bottom"/>
            <w:shd w:val="clear" w:color="auto" w:fill="CFF0FC"/>
          </w:tcPr>
          <w:p>
            <w:pPr>
              <w:spacing w:after="0"/>
              <w:rPr>
                <w:sz w:val="23"/>
                <w:szCs w:val="23"/>
                <w:color w:val="auto"/>
              </w:rPr>
            </w:pPr>
          </w:p>
        </w:tc>
      </w:tr>
      <w:tr>
        <w:trPr>
          <w:trHeight w:val="321"/>
        </w:trPr>
        <w:tc>
          <w:tcPr>
            <w:tcW w:w="2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w w:val="95"/>
              </w:rPr>
              <w:t>(to Risk Weighted Assets):</w:t>
            </w: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20"/>
                <w:szCs w:val="20"/>
                <w:color w:val="auto"/>
              </w:rPr>
              <w:t>Consolidated</w:t>
            </w:r>
          </w:p>
        </w:tc>
        <w:tc>
          <w:tcPr>
            <w:tcW w:w="260" w:type="dxa"/>
            <w:vAlign w:val="bottom"/>
          </w:tcPr>
          <w:p>
            <w:pPr>
              <w:spacing w:after="0"/>
              <w:rPr>
                <w:sz w:val="23"/>
                <w:szCs w:val="23"/>
                <w:color w:val="auto"/>
              </w:rPr>
            </w:pPr>
          </w:p>
        </w:tc>
        <w:tc>
          <w:tcPr>
            <w:tcW w:w="1140" w:type="dxa"/>
            <w:vAlign w:val="bottom"/>
          </w:tcPr>
          <w:p>
            <w:pPr>
              <w:jc w:val="right"/>
              <w:ind w:right="60"/>
              <w:spacing w:after="0"/>
              <w:rPr>
                <w:sz w:val="20"/>
                <w:szCs w:val="20"/>
                <w:color w:val="auto"/>
              </w:rPr>
            </w:pPr>
            <w:r>
              <w:rPr>
                <w:rFonts w:ascii="Arial" w:cs="Arial" w:eastAsia="Arial" w:hAnsi="Arial"/>
                <w:sz w:val="20"/>
                <w:szCs w:val="20"/>
                <w:color w:val="auto"/>
              </w:rPr>
              <w:t>268,308</w:t>
            </w:r>
          </w:p>
        </w:tc>
        <w:tc>
          <w:tcPr>
            <w:tcW w:w="940" w:type="dxa"/>
            <w:vAlign w:val="bottom"/>
          </w:tcPr>
          <w:p>
            <w:pPr>
              <w:jc w:val="right"/>
              <w:spacing w:after="0"/>
              <w:rPr>
                <w:sz w:val="20"/>
                <w:szCs w:val="20"/>
                <w:color w:val="auto"/>
              </w:rPr>
            </w:pPr>
            <w:r>
              <w:rPr>
                <w:rFonts w:ascii="Arial" w:cs="Arial" w:eastAsia="Arial" w:hAnsi="Arial"/>
                <w:sz w:val="20"/>
                <w:szCs w:val="20"/>
                <w:color w:val="auto"/>
              </w:rPr>
              <w:t>10.44%</w:t>
            </w:r>
          </w:p>
        </w:tc>
        <w:tc>
          <w:tcPr>
            <w:tcW w:w="20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20"/>
                <w:szCs w:val="20"/>
                <w:color w:val="auto"/>
              </w:rPr>
              <w:t>154,148</w:t>
            </w:r>
          </w:p>
        </w:tc>
        <w:tc>
          <w:tcPr>
            <w:tcW w:w="940" w:type="dxa"/>
            <w:vAlign w:val="bottom"/>
          </w:tcPr>
          <w:p>
            <w:pPr>
              <w:jc w:val="right"/>
              <w:spacing w:after="0"/>
              <w:rPr>
                <w:sz w:val="20"/>
                <w:szCs w:val="20"/>
                <w:color w:val="auto"/>
              </w:rPr>
            </w:pPr>
            <w:r>
              <w:rPr>
                <w:rFonts w:ascii="Arial" w:cs="Arial" w:eastAsia="Arial" w:hAnsi="Arial"/>
                <w:sz w:val="20"/>
                <w:szCs w:val="20"/>
                <w:color w:val="auto"/>
              </w:rPr>
              <w:t>6.00%</w:t>
            </w:r>
          </w:p>
        </w:tc>
        <w:tc>
          <w:tcPr>
            <w:tcW w:w="160" w:type="dxa"/>
            <w:vAlign w:val="bottom"/>
          </w:tcPr>
          <w:p>
            <w:pPr>
              <w:spacing w:after="0"/>
              <w:rPr>
                <w:sz w:val="23"/>
                <w:szCs w:val="23"/>
                <w:color w:val="auto"/>
              </w:rPr>
            </w:pPr>
          </w:p>
        </w:tc>
        <w:tc>
          <w:tcPr>
            <w:tcW w:w="1260" w:type="dxa"/>
            <w:vAlign w:val="bottom"/>
          </w:tcPr>
          <w:p>
            <w:pPr>
              <w:jc w:val="right"/>
              <w:ind w:right="60"/>
              <w:spacing w:after="0"/>
              <w:rPr>
                <w:sz w:val="20"/>
                <w:szCs w:val="20"/>
                <w:color w:val="auto"/>
              </w:rPr>
            </w:pPr>
            <w:r>
              <w:rPr>
                <w:rFonts w:ascii="Arial" w:cs="Arial" w:eastAsia="Arial" w:hAnsi="Arial"/>
                <w:sz w:val="20"/>
                <w:szCs w:val="20"/>
                <w:color w:val="auto"/>
              </w:rPr>
              <w:t>205,530</w:t>
            </w:r>
          </w:p>
        </w:tc>
        <w:tc>
          <w:tcPr>
            <w:tcW w:w="900" w:type="dxa"/>
            <w:vAlign w:val="bottom"/>
          </w:tcPr>
          <w:p>
            <w:pPr>
              <w:jc w:val="right"/>
              <w:spacing w:after="0"/>
              <w:rPr>
                <w:sz w:val="20"/>
                <w:szCs w:val="20"/>
                <w:color w:val="auto"/>
              </w:rPr>
            </w:pPr>
            <w:r>
              <w:rPr>
                <w:rFonts w:ascii="Arial" w:cs="Arial" w:eastAsia="Arial" w:hAnsi="Arial"/>
                <w:sz w:val="20"/>
                <w:szCs w:val="20"/>
                <w:color w:val="auto"/>
              </w:rPr>
              <w:t>8.00%</w:t>
            </w:r>
          </w:p>
        </w:tc>
      </w:tr>
      <w:tr>
        <w:trPr>
          <w:trHeight w:val="41"/>
        </w:trPr>
        <w:tc>
          <w:tcPr>
            <w:tcW w:w="2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74"/>
        </w:trPr>
        <w:tc>
          <w:tcPr>
            <w:tcW w:w="2400" w:type="dxa"/>
            <w:vAlign w:val="bottom"/>
            <w:shd w:val="clear" w:color="auto" w:fill="CFF0FC"/>
          </w:tcPr>
          <w:p>
            <w:pPr>
              <w:spacing w:after="0"/>
              <w:rPr>
                <w:sz w:val="20"/>
                <w:szCs w:val="20"/>
                <w:color w:val="auto"/>
              </w:rPr>
            </w:pPr>
            <w:r>
              <w:rPr>
                <w:rFonts w:ascii="Arial" w:cs="Arial" w:eastAsia="Arial" w:hAnsi="Arial"/>
                <w:sz w:val="20"/>
                <w:szCs w:val="20"/>
                <w:color w:val="auto"/>
                <w:w w:val="97"/>
              </w:rPr>
              <w:t>Farmers &amp; Merchants State</w:t>
            </w:r>
          </w:p>
        </w:tc>
        <w:tc>
          <w:tcPr>
            <w:tcW w:w="26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900" w:type="dxa"/>
            <w:vAlign w:val="bottom"/>
            <w:shd w:val="clear" w:color="auto" w:fill="CFF0FC"/>
          </w:tcPr>
          <w:p>
            <w:pPr>
              <w:spacing w:after="0"/>
              <w:rPr>
                <w:sz w:val="23"/>
                <w:szCs w:val="23"/>
                <w:color w:val="auto"/>
              </w:rPr>
            </w:pPr>
          </w:p>
        </w:tc>
      </w:tr>
      <w:tr>
        <w:trPr>
          <w:trHeight w:val="321"/>
        </w:trPr>
        <w:tc>
          <w:tcPr>
            <w:tcW w:w="2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Bank</w:t>
            </w: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292,845</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11.40%</w:t>
            </w: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154,111</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6.00%</w:t>
            </w:r>
          </w:p>
        </w:tc>
        <w:tc>
          <w:tcPr>
            <w:tcW w:w="1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205,482</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8.00%</w:t>
            </w:r>
          </w:p>
        </w:tc>
      </w:tr>
      <w:tr>
        <w:trPr>
          <w:trHeight w:val="314"/>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4"/>
        </w:trPr>
        <w:tc>
          <w:tcPr>
            <w:tcW w:w="2400" w:type="dxa"/>
            <w:vAlign w:val="bottom"/>
            <w:shd w:val="clear" w:color="auto" w:fill="CFF0FC"/>
          </w:tcPr>
          <w:p>
            <w:pPr>
              <w:spacing w:after="0"/>
              <w:rPr>
                <w:sz w:val="20"/>
                <w:szCs w:val="20"/>
                <w:color w:val="auto"/>
              </w:rPr>
            </w:pPr>
            <w:r>
              <w:rPr>
                <w:rFonts w:ascii="Arial" w:cs="Arial" w:eastAsia="Arial" w:hAnsi="Arial"/>
                <w:sz w:val="20"/>
                <w:szCs w:val="20"/>
                <w:color w:val="auto"/>
              </w:rPr>
              <w:t>Tier 1 Leverage Capital</w:t>
            </w:r>
          </w:p>
        </w:tc>
        <w:tc>
          <w:tcPr>
            <w:tcW w:w="26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900" w:type="dxa"/>
            <w:vAlign w:val="bottom"/>
            <w:shd w:val="clear" w:color="auto" w:fill="CFF0FC"/>
          </w:tcPr>
          <w:p>
            <w:pPr>
              <w:spacing w:after="0"/>
              <w:rPr>
                <w:sz w:val="23"/>
                <w:szCs w:val="23"/>
                <w:color w:val="auto"/>
              </w:rPr>
            </w:pPr>
          </w:p>
        </w:tc>
      </w:tr>
      <w:tr>
        <w:trPr>
          <w:trHeight w:val="321"/>
        </w:trPr>
        <w:tc>
          <w:tcPr>
            <w:tcW w:w="2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w w:val="95"/>
              </w:rPr>
              <w:t>(to Adjusted Total Assets):</w:t>
            </w: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20"/>
                <w:szCs w:val="20"/>
                <w:color w:val="auto"/>
              </w:rPr>
              <w:t>Consolidated</w:t>
            </w:r>
          </w:p>
        </w:tc>
        <w:tc>
          <w:tcPr>
            <w:tcW w:w="260" w:type="dxa"/>
            <w:vAlign w:val="bottom"/>
          </w:tcPr>
          <w:p>
            <w:pPr>
              <w:spacing w:after="0"/>
              <w:rPr>
                <w:sz w:val="23"/>
                <w:szCs w:val="23"/>
                <w:color w:val="auto"/>
              </w:rPr>
            </w:pPr>
          </w:p>
        </w:tc>
        <w:tc>
          <w:tcPr>
            <w:tcW w:w="1140" w:type="dxa"/>
            <w:vAlign w:val="bottom"/>
          </w:tcPr>
          <w:p>
            <w:pPr>
              <w:jc w:val="right"/>
              <w:ind w:right="60"/>
              <w:spacing w:after="0"/>
              <w:rPr>
                <w:sz w:val="20"/>
                <w:szCs w:val="20"/>
                <w:color w:val="auto"/>
              </w:rPr>
            </w:pPr>
            <w:r>
              <w:rPr>
                <w:rFonts w:ascii="Arial" w:cs="Arial" w:eastAsia="Arial" w:hAnsi="Arial"/>
                <w:sz w:val="20"/>
                <w:szCs w:val="20"/>
                <w:color w:val="auto"/>
              </w:rPr>
              <w:t>268,308</w:t>
            </w:r>
          </w:p>
        </w:tc>
        <w:tc>
          <w:tcPr>
            <w:tcW w:w="940" w:type="dxa"/>
            <w:vAlign w:val="bottom"/>
          </w:tcPr>
          <w:p>
            <w:pPr>
              <w:jc w:val="right"/>
              <w:spacing w:after="0"/>
              <w:rPr>
                <w:sz w:val="20"/>
                <w:szCs w:val="20"/>
                <w:color w:val="auto"/>
              </w:rPr>
            </w:pPr>
            <w:r>
              <w:rPr>
                <w:rFonts w:ascii="Arial" w:cs="Arial" w:eastAsia="Arial" w:hAnsi="Arial"/>
                <w:sz w:val="20"/>
                <w:szCs w:val="20"/>
                <w:color w:val="auto"/>
              </w:rPr>
              <w:t>8.12%</w:t>
            </w:r>
          </w:p>
        </w:tc>
        <w:tc>
          <w:tcPr>
            <w:tcW w:w="20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20"/>
                <w:szCs w:val="20"/>
                <w:color w:val="auto"/>
              </w:rPr>
              <w:t>132,235</w:t>
            </w:r>
          </w:p>
        </w:tc>
        <w:tc>
          <w:tcPr>
            <w:tcW w:w="940" w:type="dxa"/>
            <w:vAlign w:val="bottom"/>
          </w:tcPr>
          <w:p>
            <w:pPr>
              <w:jc w:val="right"/>
              <w:spacing w:after="0"/>
              <w:rPr>
                <w:sz w:val="20"/>
                <w:szCs w:val="20"/>
                <w:color w:val="auto"/>
              </w:rPr>
            </w:pPr>
            <w:r>
              <w:rPr>
                <w:rFonts w:ascii="Arial" w:cs="Arial" w:eastAsia="Arial" w:hAnsi="Arial"/>
                <w:sz w:val="20"/>
                <w:szCs w:val="20"/>
                <w:color w:val="auto"/>
              </w:rPr>
              <w:t>4.00%</w:t>
            </w:r>
          </w:p>
        </w:tc>
        <w:tc>
          <w:tcPr>
            <w:tcW w:w="160" w:type="dxa"/>
            <w:vAlign w:val="bottom"/>
          </w:tcPr>
          <w:p>
            <w:pPr>
              <w:spacing w:after="0"/>
              <w:rPr>
                <w:sz w:val="23"/>
                <w:szCs w:val="23"/>
                <w:color w:val="auto"/>
              </w:rPr>
            </w:pPr>
          </w:p>
        </w:tc>
        <w:tc>
          <w:tcPr>
            <w:tcW w:w="1260" w:type="dxa"/>
            <w:vAlign w:val="bottom"/>
          </w:tcPr>
          <w:p>
            <w:pPr>
              <w:jc w:val="right"/>
              <w:ind w:right="60"/>
              <w:spacing w:after="0"/>
              <w:rPr>
                <w:sz w:val="20"/>
                <w:szCs w:val="20"/>
                <w:color w:val="auto"/>
              </w:rPr>
            </w:pPr>
            <w:r>
              <w:rPr>
                <w:rFonts w:ascii="Arial" w:cs="Arial" w:eastAsia="Arial" w:hAnsi="Arial"/>
                <w:sz w:val="20"/>
                <w:szCs w:val="20"/>
                <w:color w:val="auto"/>
              </w:rPr>
              <w:t>165,294</w:t>
            </w:r>
          </w:p>
        </w:tc>
        <w:tc>
          <w:tcPr>
            <w:tcW w:w="900" w:type="dxa"/>
            <w:vAlign w:val="bottom"/>
          </w:tcPr>
          <w:p>
            <w:pPr>
              <w:jc w:val="right"/>
              <w:spacing w:after="0"/>
              <w:rPr>
                <w:sz w:val="20"/>
                <w:szCs w:val="20"/>
                <w:color w:val="auto"/>
              </w:rPr>
            </w:pPr>
            <w:r>
              <w:rPr>
                <w:rFonts w:ascii="Arial" w:cs="Arial" w:eastAsia="Arial" w:hAnsi="Arial"/>
                <w:sz w:val="20"/>
                <w:szCs w:val="20"/>
                <w:color w:val="auto"/>
              </w:rPr>
              <w:t>5.00%</w:t>
            </w:r>
          </w:p>
        </w:tc>
      </w:tr>
      <w:tr>
        <w:trPr>
          <w:trHeight w:val="41"/>
        </w:trPr>
        <w:tc>
          <w:tcPr>
            <w:tcW w:w="2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74"/>
        </w:trPr>
        <w:tc>
          <w:tcPr>
            <w:tcW w:w="2400" w:type="dxa"/>
            <w:vAlign w:val="bottom"/>
            <w:shd w:val="clear" w:color="auto" w:fill="CFF0FC"/>
          </w:tcPr>
          <w:p>
            <w:pPr>
              <w:spacing w:after="0"/>
              <w:rPr>
                <w:sz w:val="20"/>
                <w:szCs w:val="20"/>
                <w:color w:val="auto"/>
              </w:rPr>
            </w:pPr>
            <w:r>
              <w:rPr>
                <w:rFonts w:ascii="Arial" w:cs="Arial" w:eastAsia="Arial" w:hAnsi="Arial"/>
                <w:sz w:val="20"/>
                <w:szCs w:val="20"/>
                <w:color w:val="auto"/>
                <w:w w:val="97"/>
              </w:rPr>
              <w:t>Farmers &amp; Merchants State</w:t>
            </w:r>
          </w:p>
        </w:tc>
        <w:tc>
          <w:tcPr>
            <w:tcW w:w="26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900" w:type="dxa"/>
            <w:vAlign w:val="bottom"/>
            <w:shd w:val="clear" w:color="auto" w:fill="CFF0FC"/>
          </w:tcPr>
          <w:p>
            <w:pPr>
              <w:spacing w:after="0"/>
              <w:rPr>
                <w:sz w:val="23"/>
                <w:szCs w:val="23"/>
                <w:color w:val="auto"/>
              </w:rPr>
            </w:pPr>
          </w:p>
        </w:tc>
      </w:tr>
      <w:tr>
        <w:trPr>
          <w:trHeight w:val="300"/>
        </w:trPr>
        <w:tc>
          <w:tcPr>
            <w:tcW w:w="24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Bank</w:t>
            </w:r>
          </w:p>
        </w:tc>
        <w:tc>
          <w:tcPr>
            <w:tcW w:w="26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292,845</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8.81%</w:t>
            </w:r>
          </w:p>
        </w:tc>
        <w:tc>
          <w:tcPr>
            <w:tcW w:w="20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132,967</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4.00%</w:t>
            </w:r>
          </w:p>
        </w:tc>
        <w:tc>
          <w:tcPr>
            <w:tcW w:w="16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166,209</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5.00%</w:t>
            </w:r>
          </w:p>
        </w:tc>
      </w:tr>
      <w:tr>
        <w:trPr>
          <w:trHeight w:val="41"/>
        </w:trPr>
        <w:tc>
          <w:tcPr>
            <w:tcW w:w="240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-5120640</wp:posOffset>
            </wp:positionV>
            <wp:extent cx="746125" cy="63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0">
                      <a:extLst>
                        <a:ext uri="{28A0092B-C50C-407E-A947-70E740481C1C}"/>
                      </a:extLst>
                    </a:blip>
                    <a:srcRect/>
                    <a:stretch>
                      <a:fillRect/>
                    </a:stretch>
                  </pic:blipFill>
                  <pic:spPr bwMode="auto">
                    <a:xfrm>
                      <a:off x="0" y="0"/>
                      <a:ext cx="746125" cy="6350"/>
                    </a:xfrm>
                    <a:prstGeom prst="rect">
                      <a:avLst/>
                    </a:prstGeom>
                    <a:noFill/>
                  </pic:spPr>
                </pic:pic>
              </a:graphicData>
            </a:graphic>
          </wp:anchor>
        </w:drawing>
        <w:drawing>
          <wp:anchor simplePos="0" relativeHeight="251657728" behindDoc="1" locked="0" layoutInCell="0" allowOverlap="1">
            <wp:simplePos x="0" y="0"/>
            <wp:positionH relativeFrom="column">
              <wp:posOffset>3053715</wp:posOffset>
            </wp:positionH>
            <wp:positionV relativeFrom="paragraph">
              <wp:posOffset>-5120640</wp:posOffset>
            </wp:positionV>
            <wp:extent cx="755650" cy="63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1">
                      <a:extLst>
                        <a:ext uri="{28A0092B-C50C-407E-A947-70E740481C1C}"/>
                      </a:extLst>
                    </a:blip>
                    <a:srcRect/>
                    <a:stretch>
                      <a:fillRect/>
                    </a:stretch>
                  </pic:blipFill>
                  <pic:spPr bwMode="auto">
                    <a:xfrm>
                      <a:off x="0" y="0"/>
                      <a:ext cx="755650" cy="635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-5120640</wp:posOffset>
            </wp:positionV>
            <wp:extent cx="767715" cy="63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2">
                      <a:extLst>
                        <a:ext uri="{28A0092B-C50C-407E-A947-70E740481C1C}"/>
                      </a:extLst>
                    </a:blip>
                    <a:srcRect/>
                    <a:stretch>
                      <a:fillRect/>
                    </a:stretch>
                  </pic:blipFill>
                  <pic:spPr bwMode="auto">
                    <a:xfrm>
                      <a:off x="0" y="0"/>
                      <a:ext cx="767715" cy="6350"/>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-4714875</wp:posOffset>
            </wp:positionV>
            <wp:extent cx="4270375" cy="63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3">
                      <a:extLst>
                        <a:ext uri="{28A0092B-C50C-407E-A947-70E740481C1C}"/>
                      </a:extLst>
                    </a:blip>
                    <a:srcRect/>
                    <a:stretch>
                      <a:fillRect/>
                    </a:stretch>
                  </pic:blipFill>
                  <pic:spPr bwMode="auto">
                    <a:xfrm>
                      <a:off x="0" y="0"/>
                      <a:ext cx="4270375" cy="6350"/>
                    </a:xfrm>
                    <a:prstGeom prst="rect">
                      <a:avLst/>
                    </a:prstGeom>
                    <a:noFill/>
                  </pic:spPr>
                </pic:pic>
              </a:graphicData>
            </a:graphic>
          </wp:anchor>
        </w:drawing>
      </w:r>
    </w:p>
    <w:p>
      <w:pPr>
        <w:spacing w:after="0" w:line="31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above tables exclude the capital conservation buffer requirements.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 Restrictions of Dividends &amp; Inter-company Borrowings</w:t>
      </w:r>
    </w:p>
    <w:p>
      <w:pPr>
        <w:spacing w:after="0" w:line="200" w:lineRule="exact"/>
        <w:rPr>
          <w:sz w:val="20"/>
          <w:szCs w:val="20"/>
          <w:color w:val="auto"/>
        </w:rPr>
      </w:pPr>
    </w:p>
    <w:p>
      <w:pPr>
        <w:jc w:val="both"/>
        <w:ind w:left="620" w:right="60"/>
        <w:spacing w:after="0" w:line="311" w:lineRule="auto"/>
        <w:rPr>
          <w:sz w:val="20"/>
          <w:szCs w:val="20"/>
          <w:color w:val="auto"/>
        </w:rPr>
      </w:pPr>
      <w:r>
        <w:rPr>
          <w:rFonts w:ascii="Arial" w:cs="Arial" w:eastAsia="Arial" w:hAnsi="Arial"/>
          <w:sz w:val="20"/>
          <w:szCs w:val="20"/>
          <w:color w:val="auto"/>
        </w:rPr>
        <w:t>The Bank is restricted as to the amount of dividends that can be paid. Dividends declared by the Bank that exceed the net income for the current year plus retained income for the preceding two years must be approved by federal and state regulatory agencies. Under this formula, dividends of $52.7 million may be paid without prior regulatory approval. Regardless of formal regulatory restrictions, the Bank may not pay dividends that would result in its capital levels being reduced below the minimum requirements shown above. Under current Federal Reserve regulations, the Bank is limited as to the amount and type of loans it may make to the Company. These loans are subject to qualifying collateral requirements on which the amount of the loan may be based.</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17</w:t>
      </w:r>
    </w:p>
    <w:p>
      <w:pPr>
        <w:sectPr>
          <w:pgSz w:w="11900" w:h="16838" w:orient="portrait"/>
          <w:cols w:equalWidth="0" w:num="1">
            <w:col w:w="9400"/>
          </w:cols>
          <w:pgMar w:left="1260" w:top="1440" w:right="1246" w:bottom="0" w:gutter="0" w:footer="0" w:header="0"/>
          <w:type w:val="continuous"/>
        </w:sectPr>
      </w:pPr>
    </w:p>
    <w:bookmarkStart w:id="221" w:name="page222"/>
    <w:bookmarkEnd w:id="221"/>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 Derivative Financial Instruments</w:t>
      </w:r>
    </w:p>
    <w:p>
      <w:pPr>
        <w:spacing w:after="0" w:line="200" w:lineRule="exact"/>
        <w:rPr>
          <w:sz w:val="20"/>
          <w:szCs w:val="20"/>
          <w:color w:val="auto"/>
        </w:rPr>
      </w:pPr>
    </w:p>
    <w:p>
      <w:pPr>
        <w:jc w:val="both"/>
        <w:ind w:left="620"/>
        <w:spacing w:after="0" w:line="307" w:lineRule="auto"/>
        <w:rPr>
          <w:sz w:val="20"/>
          <w:szCs w:val="20"/>
          <w:color w:val="auto"/>
        </w:rPr>
      </w:pPr>
      <w:r>
        <w:rPr>
          <w:rFonts w:ascii="Arial" w:cs="Arial" w:eastAsia="Arial" w:hAnsi="Arial"/>
          <w:sz w:val="20"/>
          <w:szCs w:val="20"/>
          <w:color w:val="auto"/>
        </w:rPr>
        <w:t>The Bank entered into three pay-fixed receive variable interest rate swap transactions, with a combined notional value of $100 million, designated and qualifying as accounting hedges during the last quarter of 2023.</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 / 17</w:t>
      </w:r>
    </w:p>
    <w:p>
      <w:pPr>
        <w:sectPr>
          <w:pgSz w:w="11900" w:h="16838" w:orient="portrait"/>
          <w:cols w:equalWidth="0" w:num="1">
            <w:col w:w="9320"/>
          </w:cols>
          <w:pgMar w:left="1260" w:top="1440" w:right="1326" w:bottom="0" w:gutter="0" w:footer="0" w:header="0"/>
          <w:type w:val="continuous"/>
        </w:sectPr>
      </w:pPr>
    </w:p>
    <w:bookmarkStart w:id="222" w:name="page223"/>
    <w:bookmarkEnd w:id="222"/>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620" w:right="60"/>
        <w:spacing w:after="0" w:line="307" w:lineRule="auto"/>
        <w:rPr>
          <w:sz w:val="20"/>
          <w:szCs w:val="20"/>
          <w:color w:val="auto"/>
        </w:rPr>
      </w:pPr>
      <w:r>
        <w:rPr>
          <w:rFonts w:ascii="Arial" w:cs="Arial" w:eastAsia="Arial" w:hAnsi="Arial"/>
          <w:sz w:val="20"/>
          <w:szCs w:val="20"/>
          <w:color w:val="auto"/>
        </w:rPr>
        <w:t>The following table presents amounts that were recorded on the Company's consolidated balance sheets related to cumulative basis adjustments for interest rate swap derivatives designated as fair value accounting hedges as of December 31, 2025 and 2024:</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3"/>
          </w:tcPr>
          <w:p>
            <w:pPr>
              <w:jc w:val="right"/>
              <w:ind w:right="580"/>
              <w:spacing w:after="0"/>
              <w:rPr>
                <w:sz w:val="20"/>
                <w:szCs w:val="20"/>
                <w:color w:val="auto"/>
              </w:rPr>
            </w:pPr>
            <w:r>
              <w:rPr>
                <w:rFonts w:ascii="Arial" w:cs="Arial" w:eastAsia="Arial" w:hAnsi="Arial"/>
                <w:sz w:val="20"/>
                <w:szCs w:val="20"/>
                <w:color w:val="auto"/>
              </w:rPr>
              <w:t>(In Thousands)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24"/>
        </w:trPr>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Arial" w:cs="Arial" w:eastAsia="Arial" w:hAnsi="Arial"/>
                <w:sz w:val="20"/>
                <w:szCs w:val="20"/>
                <w:color w:val="auto"/>
                <w:w w:val="93"/>
              </w:rPr>
              <w:t>Cumulative</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91"/>
              </w:rPr>
              <w:t>Cumulative</w:t>
            </w:r>
          </w:p>
        </w:tc>
      </w:tr>
      <w:tr>
        <w:trPr>
          <w:trHeight w:val="300"/>
        </w:trPr>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Arial" w:cs="Arial" w:eastAsia="Arial" w:hAnsi="Arial"/>
                <w:sz w:val="20"/>
                <w:szCs w:val="20"/>
                <w:color w:val="auto"/>
                <w:w w:val="96"/>
              </w:rPr>
              <w:t>Amount of</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96"/>
              </w:rPr>
              <w:t>Amount of</w:t>
            </w:r>
          </w:p>
        </w:tc>
      </w:tr>
      <w:tr>
        <w:trPr>
          <w:trHeight w:val="300"/>
        </w:trPr>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40"/>
              <w:spacing w:after="0"/>
              <w:rPr>
                <w:sz w:val="20"/>
                <w:szCs w:val="20"/>
                <w:color w:val="auto"/>
              </w:rPr>
            </w:pPr>
            <w:r>
              <w:rPr>
                <w:rFonts w:ascii="Arial" w:cs="Arial" w:eastAsia="Arial" w:hAnsi="Arial"/>
                <w:sz w:val="20"/>
                <w:szCs w:val="20"/>
                <w:color w:val="auto"/>
                <w:w w:val="92"/>
              </w:rPr>
              <w:t>Fair Value</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80"/>
              <w:spacing w:after="0"/>
              <w:rPr>
                <w:sz w:val="20"/>
                <w:szCs w:val="20"/>
                <w:color w:val="auto"/>
              </w:rPr>
            </w:pPr>
            <w:r>
              <w:rPr>
                <w:rFonts w:ascii="Arial" w:cs="Arial" w:eastAsia="Arial" w:hAnsi="Arial"/>
                <w:sz w:val="20"/>
                <w:szCs w:val="20"/>
                <w:color w:val="auto"/>
                <w:w w:val="92"/>
              </w:rPr>
              <w:t>Fair Value</w:t>
            </w:r>
          </w:p>
        </w:tc>
      </w:tr>
      <w:tr>
        <w:trPr>
          <w:trHeight w:val="300"/>
        </w:trPr>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40"/>
              <w:spacing w:after="0"/>
              <w:rPr>
                <w:sz w:val="20"/>
                <w:szCs w:val="20"/>
                <w:color w:val="auto"/>
              </w:rPr>
            </w:pPr>
            <w:r>
              <w:rPr>
                <w:rFonts w:ascii="Arial" w:cs="Arial" w:eastAsia="Arial" w:hAnsi="Arial"/>
                <w:sz w:val="20"/>
                <w:szCs w:val="20"/>
                <w:color w:val="auto"/>
                <w:w w:val="91"/>
              </w:rPr>
              <w:t>Hedging</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80"/>
              <w:spacing w:after="0"/>
              <w:rPr>
                <w:sz w:val="20"/>
                <w:szCs w:val="20"/>
                <w:color w:val="auto"/>
              </w:rPr>
            </w:pPr>
            <w:r>
              <w:rPr>
                <w:rFonts w:ascii="Arial" w:cs="Arial" w:eastAsia="Arial" w:hAnsi="Arial"/>
                <w:sz w:val="20"/>
                <w:szCs w:val="20"/>
                <w:color w:val="auto"/>
                <w:w w:val="91"/>
              </w:rPr>
              <w:t>Hedging</w:t>
            </w:r>
          </w:p>
        </w:tc>
      </w:tr>
      <w:tr>
        <w:trPr>
          <w:trHeight w:val="300"/>
        </w:trPr>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Arial" w:cs="Arial" w:eastAsia="Arial" w:hAnsi="Arial"/>
                <w:sz w:val="20"/>
                <w:szCs w:val="20"/>
                <w:color w:val="auto"/>
                <w:w w:val="93"/>
              </w:rPr>
              <w:t>Adjustment</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91"/>
              </w:rPr>
              <w:t>Adjustment</w:t>
            </w:r>
          </w:p>
        </w:tc>
      </w:tr>
      <w:tr>
        <w:trPr>
          <w:trHeight w:val="300"/>
        </w:trPr>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Arial" w:cs="Arial" w:eastAsia="Arial" w:hAnsi="Arial"/>
                <w:sz w:val="20"/>
                <w:szCs w:val="20"/>
                <w:color w:val="auto"/>
                <w:w w:val="93"/>
              </w:rPr>
              <w:t>Included in</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95"/>
              </w:rPr>
              <w:t>Included in</w:t>
            </w:r>
          </w:p>
        </w:tc>
      </w:tr>
      <w:tr>
        <w:trPr>
          <w:trHeight w:val="300"/>
        </w:trPr>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center"/>
              <w:ind w:right="160"/>
              <w:spacing w:after="0"/>
              <w:rPr>
                <w:sz w:val="20"/>
                <w:szCs w:val="20"/>
                <w:color w:val="auto"/>
              </w:rPr>
            </w:pPr>
            <w:r>
              <w:rPr>
                <w:rFonts w:ascii="Arial" w:cs="Arial" w:eastAsia="Arial" w:hAnsi="Arial"/>
                <w:sz w:val="20"/>
                <w:szCs w:val="20"/>
                <w:color w:val="auto"/>
                <w:w w:val="92"/>
              </w:rPr>
              <w:t>Carrying</w:t>
            </w:r>
          </w:p>
        </w:tc>
        <w:tc>
          <w:tcPr>
            <w:tcW w:w="1320" w:type="dxa"/>
            <w:vAlign w:val="bottom"/>
            <w:gridSpan w:val="2"/>
          </w:tcPr>
          <w:p>
            <w:pPr>
              <w:jc w:val="center"/>
              <w:spacing w:after="0"/>
              <w:rPr>
                <w:sz w:val="20"/>
                <w:szCs w:val="20"/>
                <w:color w:val="auto"/>
              </w:rPr>
            </w:pPr>
            <w:r>
              <w:rPr>
                <w:rFonts w:ascii="Arial" w:cs="Arial" w:eastAsia="Arial" w:hAnsi="Arial"/>
                <w:sz w:val="20"/>
                <w:szCs w:val="20"/>
                <w:color w:val="auto"/>
                <w:w w:val="91"/>
              </w:rPr>
              <w:t>the Carrying</w:t>
            </w:r>
          </w:p>
        </w:tc>
        <w:tc>
          <w:tcPr>
            <w:tcW w:w="200" w:type="dxa"/>
            <w:vAlign w:val="bottom"/>
          </w:tcPr>
          <w:p>
            <w:pPr>
              <w:spacing w:after="0"/>
              <w:rPr>
                <w:sz w:val="24"/>
                <w:szCs w:val="24"/>
                <w:color w:val="auto"/>
              </w:rPr>
            </w:pPr>
          </w:p>
        </w:tc>
        <w:tc>
          <w:tcPr>
            <w:tcW w:w="1080" w:type="dxa"/>
            <w:vAlign w:val="bottom"/>
          </w:tcPr>
          <w:p>
            <w:pPr>
              <w:jc w:val="center"/>
              <w:ind w:right="140"/>
              <w:spacing w:after="0"/>
              <w:rPr>
                <w:sz w:val="20"/>
                <w:szCs w:val="20"/>
                <w:color w:val="auto"/>
              </w:rPr>
            </w:pPr>
            <w:r>
              <w:rPr>
                <w:rFonts w:ascii="Arial" w:cs="Arial" w:eastAsia="Arial" w:hAnsi="Arial"/>
                <w:sz w:val="20"/>
                <w:szCs w:val="20"/>
                <w:color w:val="auto"/>
                <w:w w:val="95"/>
              </w:rPr>
              <w:t>Carrying</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91"/>
              </w:rPr>
              <w:t>the Carrying</w:t>
            </w:r>
          </w:p>
        </w:tc>
      </w:tr>
      <w:tr>
        <w:trPr>
          <w:trHeight w:val="300"/>
        </w:trPr>
        <w:tc>
          <w:tcPr>
            <w:tcW w:w="406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20"/>
                <w:szCs w:val="20"/>
                <w:color w:val="auto"/>
                <w:w w:val="94"/>
              </w:rPr>
              <w:t>Amount of</w:t>
            </w:r>
          </w:p>
        </w:tc>
        <w:tc>
          <w:tcPr>
            <w:tcW w:w="1320" w:type="dxa"/>
            <w:vAlign w:val="bottom"/>
            <w:gridSpan w:val="2"/>
          </w:tcPr>
          <w:p>
            <w:pPr>
              <w:jc w:val="center"/>
              <w:spacing w:after="0"/>
              <w:rPr>
                <w:sz w:val="20"/>
                <w:szCs w:val="20"/>
                <w:color w:val="auto"/>
              </w:rPr>
            </w:pPr>
            <w:r>
              <w:rPr>
                <w:rFonts w:ascii="Arial" w:cs="Arial" w:eastAsia="Arial" w:hAnsi="Arial"/>
                <w:sz w:val="20"/>
                <w:szCs w:val="20"/>
                <w:color w:val="auto"/>
                <w:w w:val="96"/>
              </w:rPr>
              <w:t>Amount of</w:t>
            </w:r>
          </w:p>
        </w:tc>
        <w:tc>
          <w:tcPr>
            <w:tcW w:w="1280" w:type="dxa"/>
            <w:vAlign w:val="bottom"/>
            <w:gridSpan w:val="2"/>
          </w:tcPr>
          <w:p>
            <w:pPr>
              <w:jc w:val="center"/>
              <w:spacing w:after="0"/>
              <w:rPr>
                <w:sz w:val="20"/>
                <w:szCs w:val="20"/>
                <w:color w:val="auto"/>
              </w:rPr>
            </w:pPr>
            <w:r>
              <w:rPr>
                <w:rFonts w:ascii="Arial" w:cs="Arial" w:eastAsia="Arial" w:hAnsi="Arial"/>
                <w:sz w:val="20"/>
                <w:szCs w:val="20"/>
                <w:color w:val="auto"/>
                <w:w w:val="96"/>
              </w:rPr>
              <w:t>Amount of</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96"/>
              </w:rPr>
              <w:t>Amount of</w:t>
            </w:r>
          </w:p>
        </w:tc>
      </w:tr>
      <w:tr>
        <w:trPr>
          <w:trHeight w:val="300"/>
        </w:trPr>
        <w:tc>
          <w:tcPr>
            <w:tcW w:w="406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20"/>
                <w:szCs w:val="20"/>
                <w:color w:val="auto"/>
                <w:w w:val="88"/>
              </w:rPr>
              <w:t>the Hedged</w:t>
            </w:r>
          </w:p>
        </w:tc>
        <w:tc>
          <w:tcPr>
            <w:tcW w:w="1320" w:type="dxa"/>
            <w:vAlign w:val="bottom"/>
            <w:gridSpan w:val="2"/>
          </w:tcPr>
          <w:p>
            <w:pPr>
              <w:jc w:val="center"/>
              <w:spacing w:after="0"/>
              <w:rPr>
                <w:sz w:val="20"/>
                <w:szCs w:val="20"/>
                <w:color w:val="auto"/>
              </w:rPr>
            </w:pPr>
            <w:r>
              <w:rPr>
                <w:rFonts w:ascii="Arial" w:cs="Arial" w:eastAsia="Arial" w:hAnsi="Arial"/>
                <w:sz w:val="20"/>
                <w:szCs w:val="20"/>
                <w:color w:val="auto"/>
                <w:w w:val="88"/>
              </w:rPr>
              <w:t>the Hedged</w:t>
            </w:r>
          </w:p>
        </w:tc>
        <w:tc>
          <w:tcPr>
            <w:tcW w:w="1280" w:type="dxa"/>
            <w:vAlign w:val="bottom"/>
            <w:gridSpan w:val="2"/>
          </w:tcPr>
          <w:p>
            <w:pPr>
              <w:jc w:val="center"/>
              <w:spacing w:after="0"/>
              <w:rPr>
                <w:sz w:val="20"/>
                <w:szCs w:val="20"/>
                <w:color w:val="auto"/>
              </w:rPr>
            </w:pPr>
            <w:r>
              <w:rPr>
                <w:rFonts w:ascii="Arial" w:cs="Arial" w:eastAsia="Arial" w:hAnsi="Arial"/>
                <w:sz w:val="20"/>
                <w:szCs w:val="20"/>
                <w:color w:val="auto"/>
                <w:w w:val="88"/>
              </w:rPr>
              <w:t>the Hedged</w:t>
            </w: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88"/>
              </w:rPr>
              <w:t>the Hedged</w:t>
            </w:r>
          </w:p>
        </w:tc>
      </w:tr>
      <w:tr>
        <w:trPr>
          <w:trHeight w:val="300"/>
        </w:trPr>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center"/>
              <w:ind w:right="100"/>
              <w:spacing w:after="0"/>
              <w:rPr>
                <w:sz w:val="20"/>
                <w:szCs w:val="20"/>
                <w:color w:val="auto"/>
              </w:rPr>
            </w:pPr>
            <w:r>
              <w:rPr>
                <w:rFonts w:ascii="Arial" w:cs="Arial" w:eastAsia="Arial" w:hAnsi="Arial"/>
                <w:sz w:val="20"/>
                <w:szCs w:val="20"/>
                <w:color w:val="auto"/>
                <w:w w:val="86"/>
              </w:rPr>
              <w:t>Assets</w:t>
            </w:r>
          </w:p>
        </w:tc>
        <w:tc>
          <w:tcPr>
            <w:tcW w:w="200" w:type="dxa"/>
            <w:vAlign w:val="bottom"/>
          </w:tcPr>
          <w:p>
            <w:pPr>
              <w:spacing w:after="0"/>
              <w:rPr>
                <w:sz w:val="24"/>
                <w:szCs w:val="24"/>
                <w:color w:val="auto"/>
              </w:rPr>
            </w:pPr>
          </w:p>
        </w:tc>
        <w:tc>
          <w:tcPr>
            <w:tcW w:w="1120" w:type="dxa"/>
            <w:vAlign w:val="bottom"/>
          </w:tcPr>
          <w:p>
            <w:pPr>
              <w:jc w:val="center"/>
              <w:ind w:right="100"/>
              <w:spacing w:after="0"/>
              <w:rPr>
                <w:sz w:val="20"/>
                <w:szCs w:val="20"/>
                <w:color w:val="auto"/>
              </w:rPr>
            </w:pPr>
            <w:r>
              <w:rPr>
                <w:rFonts w:ascii="Arial" w:cs="Arial" w:eastAsia="Arial" w:hAnsi="Arial"/>
                <w:sz w:val="20"/>
                <w:szCs w:val="20"/>
                <w:color w:val="auto"/>
                <w:w w:val="86"/>
              </w:rPr>
              <w:t>Assets</w:t>
            </w:r>
          </w:p>
        </w:tc>
        <w:tc>
          <w:tcPr>
            <w:tcW w:w="200" w:type="dxa"/>
            <w:vAlign w:val="bottom"/>
          </w:tcPr>
          <w:p>
            <w:pPr>
              <w:spacing w:after="0"/>
              <w:rPr>
                <w:sz w:val="24"/>
                <w:szCs w:val="24"/>
                <w:color w:val="auto"/>
              </w:rPr>
            </w:pPr>
          </w:p>
        </w:tc>
        <w:tc>
          <w:tcPr>
            <w:tcW w:w="1080" w:type="dxa"/>
            <w:vAlign w:val="bottom"/>
          </w:tcPr>
          <w:p>
            <w:pPr>
              <w:jc w:val="center"/>
              <w:ind w:right="100"/>
              <w:spacing w:after="0"/>
              <w:rPr>
                <w:sz w:val="20"/>
                <w:szCs w:val="20"/>
                <w:color w:val="auto"/>
              </w:rPr>
            </w:pPr>
            <w:r>
              <w:rPr>
                <w:rFonts w:ascii="Arial" w:cs="Arial" w:eastAsia="Arial" w:hAnsi="Arial"/>
                <w:sz w:val="20"/>
                <w:szCs w:val="20"/>
                <w:color w:val="auto"/>
                <w:w w:val="86"/>
              </w:rPr>
              <w:t>Assets</w:t>
            </w:r>
          </w:p>
        </w:tc>
        <w:tc>
          <w:tcPr>
            <w:tcW w:w="220" w:type="dxa"/>
            <w:vAlign w:val="bottom"/>
          </w:tcPr>
          <w:p>
            <w:pPr>
              <w:spacing w:after="0"/>
              <w:rPr>
                <w:sz w:val="24"/>
                <w:szCs w:val="24"/>
                <w:color w:val="auto"/>
              </w:rPr>
            </w:pPr>
          </w:p>
        </w:tc>
        <w:tc>
          <w:tcPr>
            <w:tcW w:w="1120" w:type="dxa"/>
            <w:vAlign w:val="bottom"/>
          </w:tcPr>
          <w:p>
            <w:pPr>
              <w:jc w:val="center"/>
              <w:ind w:right="140"/>
              <w:spacing w:after="0"/>
              <w:rPr>
                <w:sz w:val="20"/>
                <w:szCs w:val="20"/>
                <w:color w:val="auto"/>
              </w:rPr>
            </w:pPr>
            <w:r>
              <w:rPr>
                <w:rFonts w:ascii="Arial" w:cs="Arial" w:eastAsia="Arial" w:hAnsi="Arial"/>
                <w:sz w:val="20"/>
                <w:szCs w:val="20"/>
                <w:color w:val="auto"/>
                <w:w w:val="86"/>
              </w:rPr>
              <w:t>Assets</w:t>
            </w:r>
          </w:p>
        </w:tc>
      </w:tr>
      <w:tr>
        <w:trPr>
          <w:trHeight w:val="324"/>
        </w:trPr>
        <w:tc>
          <w:tcPr>
            <w:tcW w:w="4060" w:type="dxa"/>
            <w:vAlign w:val="bottom"/>
          </w:tcPr>
          <w:p>
            <w:pPr>
              <w:spacing w:after="0"/>
              <w:rPr>
                <w:sz w:val="20"/>
                <w:szCs w:val="20"/>
                <w:color w:val="auto"/>
              </w:rPr>
            </w:pPr>
            <w:r>
              <w:rPr>
                <w:rFonts w:ascii="Arial" w:cs="Arial" w:eastAsia="Arial" w:hAnsi="Arial"/>
                <w:sz w:val="20"/>
                <w:szCs w:val="20"/>
                <w:color w:val="auto"/>
                <w:w w:val="94"/>
              </w:rPr>
              <w:t>Line Item in the Consolidated Balance Sheets in</w:t>
            </w:r>
          </w:p>
        </w:tc>
        <w:tc>
          <w:tcPr>
            <w:tcW w:w="320" w:type="dxa"/>
            <w:vAlign w:val="bottom"/>
          </w:tcPr>
          <w:p>
            <w:pPr>
              <w:spacing w:after="0"/>
              <w:rPr>
                <w:sz w:val="24"/>
                <w:szCs w:val="24"/>
                <w:color w:val="auto"/>
              </w:rPr>
            </w:pPr>
          </w:p>
        </w:tc>
        <w:tc>
          <w:tcPr>
            <w:tcW w:w="1080" w:type="dxa"/>
            <w:vAlign w:val="bottom"/>
          </w:tcPr>
          <w:p>
            <w:pPr>
              <w:jc w:val="center"/>
              <w:ind w:right="160"/>
              <w:spacing w:after="0"/>
              <w:rPr>
                <w:sz w:val="20"/>
                <w:szCs w:val="20"/>
                <w:color w:val="auto"/>
              </w:rPr>
            </w:pPr>
            <w:r>
              <w:rPr>
                <w:rFonts w:ascii="Arial" w:cs="Arial" w:eastAsia="Arial" w:hAnsi="Arial"/>
                <w:sz w:val="20"/>
                <w:szCs w:val="20"/>
                <w:color w:val="auto"/>
                <w:w w:val="88"/>
              </w:rPr>
              <w:t>December</w:t>
            </w:r>
          </w:p>
        </w:tc>
        <w:tc>
          <w:tcPr>
            <w:tcW w:w="200" w:type="dxa"/>
            <w:vAlign w:val="bottom"/>
          </w:tcPr>
          <w:p>
            <w:pPr>
              <w:spacing w:after="0"/>
              <w:rPr>
                <w:sz w:val="24"/>
                <w:szCs w:val="24"/>
                <w:color w:val="auto"/>
              </w:rPr>
            </w:pPr>
          </w:p>
        </w:tc>
        <w:tc>
          <w:tcPr>
            <w:tcW w:w="1120" w:type="dxa"/>
            <w:vAlign w:val="bottom"/>
          </w:tcPr>
          <w:p>
            <w:pPr>
              <w:jc w:val="center"/>
              <w:ind w:right="160"/>
              <w:spacing w:after="0"/>
              <w:rPr>
                <w:sz w:val="20"/>
                <w:szCs w:val="20"/>
                <w:color w:val="auto"/>
              </w:rPr>
            </w:pPr>
            <w:r>
              <w:rPr>
                <w:rFonts w:ascii="Arial" w:cs="Arial" w:eastAsia="Arial" w:hAnsi="Arial"/>
                <w:sz w:val="20"/>
                <w:szCs w:val="20"/>
                <w:color w:val="auto"/>
                <w:w w:val="88"/>
              </w:rPr>
              <w:t>December</w:t>
            </w:r>
          </w:p>
        </w:tc>
        <w:tc>
          <w:tcPr>
            <w:tcW w:w="200" w:type="dxa"/>
            <w:vAlign w:val="bottom"/>
          </w:tcPr>
          <w:p>
            <w:pPr>
              <w:spacing w:after="0"/>
              <w:rPr>
                <w:sz w:val="24"/>
                <w:szCs w:val="24"/>
                <w:color w:val="auto"/>
              </w:rPr>
            </w:pPr>
          </w:p>
        </w:tc>
        <w:tc>
          <w:tcPr>
            <w:tcW w:w="1080" w:type="dxa"/>
            <w:vAlign w:val="bottom"/>
          </w:tcPr>
          <w:p>
            <w:pPr>
              <w:jc w:val="center"/>
              <w:ind w:right="140"/>
              <w:spacing w:after="0"/>
              <w:rPr>
                <w:sz w:val="20"/>
                <w:szCs w:val="20"/>
                <w:color w:val="auto"/>
              </w:rPr>
            </w:pPr>
            <w:r>
              <w:rPr>
                <w:rFonts w:ascii="Arial" w:cs="Arial" w:eastAsia="Arial" w:hAnsi="Arial"/>
                <w:sz w:val="20"/>
                <w:szCs w:val="20"/>
                <w:color w:val="auto"/>
                <w:w w:val="91"/>
              </w:rPr>
              <w:t>December</w:t>
            </w:r>
          </w:p>
        </w:tc>
        <w:tc>
          <w:tcPr>
            <w:tcW w:w="220" w:type="dxa"/>
            <w:vAlign w:val="bottom"/>
          </w:tcPr>
          <w:p>
            <w:pPr>
              <w:spacing w:after="0"/>
              <w:rPr>
                <w:sz w:val="24"/>
                <w:szCs w:val="24"/>
                <w:color w:val="auto"/>
              </w:rPr>
            </w:pPr>
          </w:p>
        </w:tc>
        <w:tc>
          <w:tcPr>
            <w:tcW w:w="1120" w:type="dxa"/>
            <w:vAlign w:val="bottom"/>
          </w:tcPr>
          <w:p>
            <w:pPr>
              <w:jc w:val="center"/>
              <w:ind w:right="160"/>
              <w:spacing w:after="0"/>
              <w:rPr>
                <w:sz w:val="20"/>
                <w:szCs w:val="20"/>
                <w:color w:val="auto"/>
              </w:rPr>
            </w:pPr>
            <w:r>
              <w:rPr>
                <w:rFonts w:ascii="Arial" w:cs="Arial" w:eastAsia="Arial" w:hAnsi="Arial"/>
                <w:sz w:val="20"/>
                <w:szCs w:val="20"/>
                <w:color w:val="auto"/>
                <w:w w:val="88"/>
              </w:rPr>
              <w:t>December</w:t>
            </w:r>
          </w:p>
        </w:tc>
      </w:tr>
      <w:tr>
        <w:trPr>
          <w:trHeight w:val="300"/>
        </w:trPr>
        <w:tc>
          <w:tcPr>
            <w:tcW w:w="4060" w:type="dxa"/>
            <w:vAlign w:val="bottom"/>
          </w:tcPr>
          <w:p>
            <w:pPr>
              <w:spacing w:after="0"/>
              <w:rPr>
                <w:sz w:val="20"/>
                <w:szCs w:val="20"/>
                <w:color w:val="auto"/>
              </w:rPr>
            </w:pPr>
            <w:r>
              <w:rPr>
                <w:rFonts w:ascii="Arial" w:cs="Arial" w:eastAsia="Arial" w:hAnsi="Arial"/>
                <w:sz w:val="20"/>
                <w:szCs w:val="20"/>
                <w:color w:val="auto"/>
              </w:rPr>
              <w:t>which the Hedged Item is Included</w:t>
            </w:r>
          </w:p>
        </w:tc>
        <w:tc>
          <w:tcPr>
            <w:tcW w:w="320" w:type="dxa"/>
            <w:vAlign w:val="bottom"/>
          </w:tcPr>
          <w:p>
            <w:pPr>
              <w:spacing w:after="0"/>
              <w:rPr>
                <w:sz w:val="24"/>
                <w:szCs w:val="24"/>
                <w:color w:val="auto"/>
              </w:rPr>
            </w:pPr>
          </w:p>
        </w:tc>
        <w:tc>
          <w:tcPr>
            <w:tcW w:w="1080" w:type="dxa"/>
            <w:vAlign w:val="bottom"/>
          </w:tcPr>
          <w:p>
            <w:pPr>
              <w:jc w:val="center"/>
              <w:ind w:right="120"/>
              <w:spacing w:after="0"/>
              <w:rPr>
                <w:sz w:val="20"/>
                <w:szCs w:val="20"/>
                <w:color w:val="auto"/>
              </w:rPr>
            </w:pPr>
            <w:r>
              <w:rPr>
                <w:rFonts w:ascii="Arial" w:cs="Arial" w:eastAsia="Arial" w:hAnsi="Arial"/>
                <w:sz w:val="20"/>
                <w:szCs w:val="20"/>
                <w:color w:val="auto"/>
                <w:w w:val="89"/>
              </w:rPr>
              <w:t>31, 2025</w:t>
            </w:r>
          </w:p>
        </w:tc>
        <w:tc>
          <w:tcPr>
            <w:tcW w:w="200" w:type="dxa"/>
            <w:vAlign w:val="bottom"/>
          </w:tcPr>
          <w:p>
            <w:pPr>
              <w:spacing w:after="0"/>
              <w:rPr>
                <w:sz w:val="24"/>
                <w:szCs w:val="24"/>
                <w:color w:val="auto"/>
              </w:rPr>
            </w:pPr>
          </w:p>
        </w:tc>
        <w:tc>
          <w:tcPr>
            <w:tcW w:w="1120" w:type="dxa"/>
            <w:vAlign w:val="bottom"/>
          </w:tcPr>
          <w:p>
            <w:pPr>
              <w:jc w:val="center"/>
              <w:ind w:right="80"/>
              <w:spacing w:after="0"/>
              <w:rPr>
                <w:sz w:val="20"/>
                <w:szCs w:val="20"/>
                <w:color w:val="auto"/>
              </w:rPr>
            </w:pPr>
            <w:r>
              <w:rPr>
                <w:rFonts w:ascii="Arial" w:cs="Arial" w:eastAsia="Arial" w:hAnsi="Arial"/>
                <w:sz w:val="20"/>
                <w:szCs w:val="20"/>
                <w:color w:val="auto"/>
                <w:w w:val="89"/>
              </w:rPr>
              <w:t>31, 2025</w:t>
            </w:r>
          </w:p>
        </w:tc>
        <w:tc>
          <w:tcPr>
            <w:tcW w:w="200" w:type="dxa"/>
            <w:vAlign w:val="bottom"/>
          </w:tcPr>
          <w:p>
            <w:pPr>
              <w:spacing w:after="0"/>
              <w:rPr>
                <w:sz w:val="24"/>
                <w:szCs w:val="24"/>
                <w:color w:val="auto"/>
              </w:rPr>
            </w:pPr>
          </w:p>
        </w:tc>
        <w:tc>
          <w:tcPr>
            <w:tcW w:w="1080" w:type="dxa"/>
            <w:vAlign w:val="bottom"/>
          </w:tcPr>
          <w:p>
            <w:pPr>
              <w:jc w:val="center"/>
              <w:ind w:right="80"/>
              <w:spacing w:after="0"/>
              <w:rPr>
                <w:sz w:val="20"/>
                <w:szCs w:val="20"/>
                <w:color w:val="auto"/>
              </w:rPr>
            </w:pPr>
            <w:r>
              <w:rPr>
                <w:rFonts w:ascii="Arial" w:cs="Arial" w:eastAsia="Arial" w:hAnsi="Arial"/>
                <w:sz w:val="20"/>
                <w:szCs w:val="20"/>
                <w:color w:val="auto"/>
                <w:w w:val="89"/>
              </w:rPr>
              <w:t>31, 2024</w:t>
            </w:r>
          </w:p>
        </w:tc>
        <w:tc>
          <w:tcPr>
            <w:tcW w:w="220" w:type="dxa"/>
            <w:vAlign w:val="bottom"/>
          </w:tcPr>
          <w:p>
            <w:pPr>
              <w:spacing w:after="0"/>
              <w:rPr>
                <w:sz w:val="24"/>
                <w:szCs w:val="24"/>
                <w:color w:val="auto"/>
              </w:rPr>
            </w:pPr>
          </w:p>
        </w:tc>
        <w:tc>
          <w:tcPr>
            <w:tcW w:w="1120" w:type="dxa"/>
            <w:vAlign w:val="bottom"/>
          </w:tcPr>
          <w:p>
            <w:pPr>
              <w:jc w:val="center"/>
              <w:ind w:right="120"/>
              <w:spacing w:after="0"/>
              <w:rPr>
                <w:sz w:val="20"/>
                <w:szCs w:val="20"/>
                <w:color w:val="auto"/>
              </w:rPr>
            </w:pPr>
            <w:r>
              <w:rPr>
                <w:rFonts w:ascii="Arial" w:cs="Arial" w:eastAsia="Arial" w:hAnsi="Arial"/>
                <w:sz w:val="20"/>
                <w:szCs w:val="20"/>
                <w:color w:val="auto"/>
                <w:w w:val="89"/>
              </w:rPr>
              <w:t>31, 2024</w:t>
            </w:r>
          </w:p>
        </w:tc>
      </w:tr>
      <w:tr>
        <w:trPr>
          <w:trHeight w:val="51"/>
        </w:trPr>
        <w:tc>
          <w:tcPr>
            <w:tcW w:w="4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4"/>
        </w:trPr>
        <w:tc>
          <w:tcPr>
            <w:tcW w:w="4060" w:type="dxa"/>
            <w:vAlign w:val="bottom"/>
            <w:shd w:val="clear" w:color="auto" w:fill="CFF0FC"/>
          </w:tcPr>
          <w:p>
            <w:pPr>
              <w:ind w:left="40"/>
              <w:spacing w:after="0"/>
              <w:rPr>
                <w:sz w:val="20"/>
                <w:szCs w:val="20"/>
                <w:color w:val="auto"/>
              </w:rPr>
            </w:pPr>
            <w:r>
              <w:rPr>
                <w:rFonts w:ascii="Arial" w:cs="Arial" w:eastAsia="Arial" w:hAnsi="Arial"/>
                <w:sz w:val="20"/>
                <w:szCs w:val="20"/>
                <w:color w:val="auto"/>
              </w:rPr>
              <w:t>Loans</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214,513</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1,719</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249,127</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1,074</w:t>
            </w:r>
          </w:p>
        </w:tc>
      </w:tr>
      <w:tr>
        <w:trPr>
          <w:trHeight w:val="41"/>
        </w:trPr>
        <w:tc>
          <w:tcPr>
            <w:tcW w:w="406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-2522220</wp:posOffset>
            </wp:positionV>
            <wp:extent cx="3190875" cy="635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5">
                      <a:extLst>
                        <a:ext uri="{28A0092B-C50C-407E-A947-70E740481C1C}"/>
                      </a:extLst>
                    </a:blip>
                    <a:srcRect/>
                    <a:stretch>
                      <a:fillRect/>
                    </a:stretch>
                  </pic:blipFill>
                  <pic:spPr bwMode="auto">
                    <a:xfrm>
                      <a:off x="0" y="0"/>
                      <a:ext cx="3190875" cy="6350"/>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-601980</wp:posOffset>
            </wp:positionV>
            <wp:extent cx="3190875" cy="63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6">
                      <a:extLst>
                        <a:ext uri="{28A0092B-C50C-407E-A947-70E740481C1C}"/>
                      </a:extLst>
                    </a:blip>
                    <a:srcRect/>
                    <a:stretch>
                      <a:fillRect/>
                    </a:stretch>
                  </pic:blipFill>
                  <pic:spPr bwMode="auto">
                    <a:xfrm>
                      <a:off x="0" y="0"/>
                      <a:ext cx="319087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wp:posOffset>
            </wp:positionV>
            <wp:extent cx="5909310" cy="635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7">
                      <a:extLst>
                        <a:ext uri="{28A0092B-C50C-407E-A947-70E740481C1C}"/>
                      </a:extLst>
                    </a:blip>
                    <a:srcRect/>
                    <a:stretch>
                      <a:fillRect/>
                    </a:stretch>
                  </pic:blipFill>
                  <pic:spPr bwMode="auto">
                    <a:xfrm>
                      <a:off x="0" y="0"/>
                      <a:ext cx="5909310" cy="6350"/>
                    </a:xfrm>
                    <a:prstGeom prst="rect">
                      <a:avLst/>
                    </a:prstGeom>
                    <a:noFill/>
                  </pic:spPr>
                </pic:pic>
              </a:graphicData>
            </a:graphic>
          </wp:anchor>
        </w:drawing>
      </w:r>
    </w:p>
    <w:p>
      <w:pPr>
        <w:spacing w:after="0" w:line="319" w:lineRule="exact"/>
        <w:rPr>
          <w:sz w:val="20"/>
          <w:szCs w:val="20"/>
          <w:color w:val="auto"/>
        </w:rPr>
      </w:pPr>
    </w:p>
    <w:p>
      <w:pPr>
        <w:jc w:val="both"/>
        <w:ind w:left="620" w:right="60"/>
        <w:spacing w:after="0" w:line="330" w:lineRule="auto"/>
        <w:rPr>
          <w:sz w:val="20"/>
          <w:szCs w:val="20"/>
          <w:color w:val="auto"/>
        </w:rPr>
      </w:pPr>
      <w:r>
        <w:rPr>
          <w:rFonts w:ascii="Arial" w:cs="Arial" w:eastAsia="Arial" w:hAnsi="Arial"/>
          <w:sz w:val="19"/>
          <w:szCs w:val="19"/>
          <w:color w:val="auto"/>
        </w:rPr>
        <w:t>The following table presents a summary of interest rate swap derivatives designated as fair value accounting hedges of fixed-rate receivables used in the Bank's asset/liability management activities at December 31, 2025 and 2024, identified by the underlying interest rate-sensitive instruments: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80" w:type="dxa"/>
            <w:vAlign w:val="bottom"/>
            <w:gridSpan w:val="2"/>
          </w:tcPr>
          <w:p>
            <w:pPr>
              <w:ind w:left="120"/>
              <w:spacing w:after="0"/>
              <w:rPr>
                <w:sz w:val="20"/>
                <w:szCs w:val="20"/>
                <w:color w:val="auto"/>
              </w:rPr>
            </w:pPr>
            <w:r>
              <w:rPr>
                <w:rFonts w:ascii="Arial" w:cs="Arial" w:eastAsia="Arial" w:hAnsi="Arial"/>
                <w:sz w:val="20"/>
                <w:szCs w:val="20"/>
                <w:color w:val="auto"/>
              </w:rPr>
              <w:t>Weighted Average Rate</w:t>
            </w:r>
          </w:p>
        </w:tc>
      </w:tr>
      <w:tr>
        <w:trPr>
          <w:trHeight w:val="324"/>
        </w:trPr>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20"/>
                <w:szCs w:val="20"/>
                <w:color w:val="auto"/>
                <w:w w:val="89"/>
              </w:rPr>
              <w:t>Weighted</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0"/>
        </w:trPr>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20"/>
                <w:szCs w:val="20"/>
                <w:color w:val="auto"/>
                <w:w w:val="91"/>
              </w:rPr>
              <w:t>Average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0"/>
        </w:trPr>
        <w:tc>
          <w:tcPr>
            <w:tcW w:w="364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95"/>
              </w:rPr>
              <w:t>Notional</w:t>
            </w:r>
          </w:p>
        </w:tc>
        <w:tc>
          <w:tcPr>
            <w:tcW w:w="1180" w:type="dxa"/>
            <w:vAlign w:val="bottom"/>
          </w:tcPr>
          <w:p>
            <w:pPr>
              <w:jc w:val="center"/>
              <w:spacing w:after="0"/>
              <w:rPr>
                <w:sz w:val="20"/>
                <w:szCs w:val="20"/>
                <w:color w:val="auto"/>
              </w:rPr>
            </w:pPr>
            <w:r>
              <w:rPr>
                <w:rFonts w:ascii="Arial" w:cs="Arial" w:eastAsia="Arial" w:hAnsi="Arial"/>
                <w:sz w:val="20"/>
                <w:szCs w:val="20"/>
                <w:color w:val="auto"/>
                <w:w w:val="92"/>
              </w:rPr>
              <w:t>Remaining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0"/>
        </w:trPr>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center"/>
              <w:ind w:right="200"/>
              <w:spacing w:after="0"/>
              <w:rPr>
                <w:sz w:val="20"/>
                <w:szCs w:val="20"/>
                <w:color w:val="auto"/>
              </w:rPr>
            </w:pPr>
            <w:r>
              <w:rPr>
                <w:rFonts w:ascii="Arial" w:cs="Arial" w:eastAsia="Arial" w:hAnsi="Arial"/>
                <w:sz w:val="20"/>
                <w:szCs w:val="20"/>
                <w:color w:val="auto"/>
                <w:w w:val="93"/>
              </w:rPr>
              <w:t>Value</w:t>
            </w:r>
          </w:p>
        </w:tc>
        <w:tc>
          <w:tcPr>
            <w:tcW w:w="1180" w:type="dxa"/>
            <w:vAlign w:val="bottom"/>
          </w:tcPr>
          <w:p>
            <w:pPr>
              <w:jc w:val="center"/>
              <w:spacing w:after="0"/>
              <w:rPr>
                <w:sz w:val="20"/>
                <w:szCs w:val="20"/>
                <w:color w:val="auto"/>
              </w:rPr>
            </w:pPr>
            <w:r>
              <w:rPr>
                <w:rFonts w:ascii="Arial" w:cs="Arial" w:eastAsia="Arial" w:hAnsi="Arial"/>
                <w:sz w:val="20"/>
                <w:szCs w:val="20"/>
                <w:color w:val="auto"/>
                <w:w w:val="98"/>
              </w:rPr>
              <w:t>Maturity</w:t>
            </w:r>
          </w:p>
        </w:tc>
        <w:tc>
          <w:tcPr>
            <w:tcW w:w="1160" w:type="dxa"/>
            <w:vAlign w:val="bottom"/>
            <w:gridSpan w:val="2"/>
          </w:tcPr>
          <w:p>
            <w:pPr>
              <w:ind w:left="120"/>
              <w:spacing w:after="0"/>
              <w:rPr>
                <w:sz w:val="20"/>
                <w:szCs w:val="20"/>
                <w:color w:val="auto"/>
              </w:rPr>
            </w:pPr>
            <w:r>
              <w:rPr>
                <w:rFonts w:ascii="Arial" w:cs="Arial" w:eastAsia="Arial" w:hAnsi="Arial"/>
                <w:sz w:val="20"/>
                <w:szCs w:val="20"/>
                <w:color w:val="auto"/>
              </w:rPr>
              <w:t>Fair Value</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0"/>
        </w:trPr>
        <w:tc>
          <w:tcPr>
            <w:tcW w:w="3640" w:type="dxa"/>
            <w:vAlign w:val="bottom"/>
          </w:tcPr>
          <w:p>
            <w:pPr>
              <w:spacing w:after="0"/>
              <w:rPr>
                <w:sz w:val="20"/>
                <w:szCs w:val="20"/>
                <w:color w:val="auto"/>
              </w:rPr>
            </w:pPr>
            <w:r>
              <w:rPr>
                <w:rFonts w:ascii="Arial" w:cs="Arial" w:eastAsia="Arial" w:hAnsi="Arial"/>
                <w:sz w:val="20"/>
                <w:szCs w:val="20"/>
                <w:color w:val="auto"/>
              </w:rPr>
              <w:t>Instruments Associated With</w:t>
            </w:r>
          </w:p>
        </w:tc>
        <w:tc>
          <w:tcPr>
            <w:tcW w:w="280" w:type="dxa"/>
            <w:vAlign w:val="bottom"/>
          </w:tcPr>
          <w:p>
            <w:pPr>
              <w:spacing w:after="0"/>
              <w:rPr>
                <w:sz w:val="24"/>
                <w:szCs w:val="24"/>
                <w:color w:val="auto"/>
              </w:rPr>
            </w:pPr>
          </w:p>
        </w:tc>
        <w:tc>
          <w:tcPr>
            <w:tcW w:w="860" w:type="dxa"/>
            <w:vAlign w:val="bottom"/>
          </w:tcPr>
          <w:p>
            <w:pPr>
              <w:jc w:val="center"/>
              <w:ind w:right="140"/>
              <w:spacing w:after="0"/>
              <w:rPr>
                <w:sz w:val="20"/>
                <w:szCs w:val="20"/>
                <w:color w:val="auto"/>
              </w:rPr>
            </w:pPr>
            <w:r>
              <w:rPr>
                <w:rFonts w:ascii="Arial" w:cs="Arial" w:eastAsia="Arial" w:hAnsi="Arial"/>
                <w:sz w:val="20"/>
                <w:szCs w:val="20"/>
                <w:color w:val="auto"/>
                <w:w w:val="89"/>
              </w:rPr>
              <w:t>(000's)</w:t>
            </w:r>
          </w:p>
        </w:tc>
        <w:tc>
          <w:tcPr>
            <w:tcW w:w="1180" w:type="dxa"/>
            <w:vAlign w:val="bottom"/>
          </w:tcPr>
          <w:p>
            <w:pPr>
              <w:jc w:val="center"/>
              <w:spacing w:after="0"/>
              <w:rPr>
                <w:sz w:val="20"/>
                <w:szCs w:val="20"/>
                <w:color w:val="auto"/>
              </w:rPr>
            </w:pPr>
            <w:r>
              <w:rPr>
                <w:rFonts w:ascii="Arial" w:cs="Arial" w:eastAsia="Arial" w:hAnsi="Arial"/>
                <w:sz w:val="20"/>
                <w:szCs w:val="20"/>
                <w:color w:val="auto"/>
                <w:w w:val="89"/>
              </w:rPr>
              <w:t>(years)</w:t>
            </w:r>
          </w:p>
        </w:tc>
        <w:tc>
          <w:tcPr>
            <w:tcW w:w="240" w:type="dxa"/>
            <w:vAlign w:val="bottom"/>
          </w:tcPr>
          <w:p>
            <w:pPr>
              <w:spacing w:after="0"/>
              <w:rPr>
                <w:sz w:val="24"/>
                <w:szCs w:val="24"/>
                <w:color w:val="auto"/>
              </w:rPr>
            </w:pPr>
          </w:p>
        </w:tc>
        <w:tc>
          <w:tcPr>
            <w:tcW w:w="920" w:type="dxa"/>
            <w:vAlign w:val="bottom"/>
          </w:tcPr>
          <w:p>
            <w:pPr>
              <w:jc w:val="right"/>
              <w:ind w:right="220"/>
              <w:spacing w:after="0"/>
              <w:rPr>
                <w:sz w:val="20"/>
                <w:szCs w:val="20"/>
                <w:color w:val="auto"/>
              </w:rPr>
            </w:pPr>
            <w:r>
              <w:rPr>
                <w:rFonts w:ascii="Arial" w:cs="Arial" w:eastAsia="Arial" w:hAnsi="Arial"/>
                <w:sz w:val="20"/>
                <w:szCs w:val="20"/>
                <w:color w:val="auto"/>
                <w:w w:val="95"/>
              </w:rPr>
              <w:t>(000's)</w:t>
            </w:r>
          </w:p>
        </w:tc>
        <w:tc>
          <w:tcPr>
            <w:tcW w:w="1200" w:type="dxa"/>
            <w:vAlign w:val="bottom"/>
          </w:tcPr>
          <w:p>
            <w:pPr>
              <w:ind w:left="220"/>
              <w:spacing w:after="0"/>
              <w:rPr>
                <w:sz w:val="20"/>
                <w:szCs w:val="20"/>
                <w:color w:val="auto"/>
              </w:rPr>
            </w:pPr>
            <w:r>
              <w:rPr>
                <w:rFonts w:ascii="Arial" w:cs="Arial" w:eastAsia="Arial" w:hAnsi="Arial"/>
                <w:sz w:val="20"/>
                <w:szCs w:val="20"/>
                <w:color w:val="auto"/>
              </w:rPr>
              <w:t>Receive</w:t>
            </w:r>
          </w:p>
        </w:tc>
        <w:tc>
          <w:tcPr>
            <w:tcW w:w="1080" w:type="dxa"/>
            <w:vAlign w:val="bottom"/>
          </w:tcPr>
          <w:p>
            <w:pPr>
              <w:jc w:val="right"/>
              <w:ind w:right="420"/>
              <w:spacing w:after="0"/>
              <w:rPr>
                <w:sz w:val="20"/>
                <w:szCs w:val="20"/>
                <w:color w:val="auto"/>
              </w:rPr>
            </w:pPr>
            <w:r>
              <w:rPr>
                <w:rFonts w:ascii="Arial" w:cs="Arial" w:eastAsia="Arial" w:hAnsi="Arial"/>
                <w:sz w:val="20"/>
                <w:szCs w:val="20"/>
                <w:color w:val="auto"/>
              </w:rPr>
              <w:t>Pay</w:t>
            </w:r>
          </w:p>
        </w:tc>
      </w:tr>
      <w:tr>
        <w:trPr>
          <w:trHeight w:val="51"/>
        </w:trPr>
        <w:tc>
          <w:tcPr>
            <w:tcW w:w="3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74"/>
        </w:trPr>
        <w:tc>
          <w:tcPr>
            <w:tcW w:w="36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12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USD-</w:t>
            </w:r>
          </w:p>
        </w:tc>
        <w:tc>
          <w:tcPr>
            <w:tcW w:w="1080" w:type="dxa"/>
            <w:vAlign w:val="bottom"/>
            <w:shd w:val="clear" w:color="auto" w:fill="CFF0FC"/>
          </w:tcPr>
          <w:p>
            <w:pPr>
              <w:spacing w:after="0"/>
              <w:rPr>
                <w:sz w:val="23"/>
                <w:szCs w:val="23"/>
                <w:color w:val="auto"/>
              </w:rPr>
            </w:pPr>
          </w:p>
        </w:tc>
      </w:tr>
      <w:tr>
        <w:trPr>
          <w:trHeight w:val="331"/>
        </w:trPr>
        <w:tc>
          <w:tcPr>
            <w:tcW w:w="3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Loans</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100,000</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w:t>
            </w:r>
          </w:p>
        </w:tc>
        <w:tc>
          <w:tcPr>
            <w:tcW w:w="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(1,555)</w:t>
            </w:r>
          </w:p>
        </w:tc>
        <w:tc>
          <w:tcPr>
            <w:tcW w:w="1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SOFR-OIS</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4.47%</w:t>
            </w:r>
          </w:p>
        </w:tc>
      </w:tr>
      <w:tr>
        <w:trPr>
          <w:trHeight w:val="274"/>
        </w:trPr>
        <w:tc>
          <w:tcPr>
            <w:tcW w:w="3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ind w:left="120"/>
              <w:spacing w:after="0"/>
              <w:rPr>
                <w:sz w:val="20"/>
                <w:szCs w:val="20"/>
                <w:color w:val="auto"/>
              </w:rPr>
            </w:pPr>
            <w:r>
              <w:rPr>
                <w:rFonts w:ascii="Arial" w:cs="Arial" w:eastAsia="Arial" w:hAnsi="Arial"/>
                <w:sz w:val="20"/>
                <w:szCs w:val="20"/>
                <w:color w:val="auto"/>
              </w:rPr>
              <w:t>USD-</w:t>
            </w:r>
          </w:p>
        </w:tc>
        <w:tc>
          <w:tcPr>
            <w:tcW w:w="1080" w:type="dxa"/>
            <w:vAlign w:val="bottom"/>
          </w:tcPr>
          <w:p>
            <w:pPr>
              <w:spacing w:after="0"/>
              <w:rPr>
                <w:sz w:val="23"/>
                <w:szCs w:val="23"/>
                <w:color w:val="auto"/>
              </w:rPr>
            </w:pPr>
          </w:p>
        </w:tc>
      </w:tr>
      <w:tr>
        <w:trPr>
          <w:trHeight w:val="345"/>
        </w:trPr>
        <w:tc>
          <w:tcPr>
            <w:tcW w:w="3640" w:type="dxa"/>
            <w:vAlign w:val="bottom"/>
          </w:tcPr>
          <w:p>
            <w:pPr>
              <w:ind w:left="60"/>
              <w:spacing w:after="0"/>
              <w:rPr>
                <w:sz w:val="20"/>
                <w:szCs w:val="20"/>
                <w:color w:val="auto"/>
              </w:rPr>
            </w:pPr>
            <w:r>
              <w:rPr>
                <w:rFonts w:ascii="Arial" w:cs="Arial" w:eastAsia="Arial" w:hAnsi="Arial"/>
                <w:sz w:val="20"/>
                <w:szCs w:val="20"/>
                <w:color w:val="auto"/>
                <w:w w:val="94"/>
              </w:rPr>
              <w:t>Total swap portfolio at December 31, 2025</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100,000</w:t>
            </w:r>
          </w:p>
        </w:tc>
        <w:tc>
          <w:tcPr>
            <w:tcW w:w="1180" w:type="dxa"/>
            <w:vAlign w:val="bottom"/>
          </w:tcPr>
          <w:p>
            <w:pPr>
              <w:jc w:val="right"/>
              <w:spacing w:after="0"/>
              <w:rPr>
                <w:sz w:val="20"/>
                <w:szCs w:val="20"/>
                <w:color w:val="auto"/>
              </w:rPr>
            </w:pPr>
            <w:r>
              <w:rPr>
                <w:rFonts w:ascii="Arial" w:cs="Arial" w:eastAsia="Arial" w:hAnsi="Arial"/>
                <w:sz w:val="20"/>
                <w:szCs w:val="20"/>
                <w:color w:val="auto"/>
              </w:rPr>
              <w:t>1.6</w:t>
            </w:r>
          </w:p>
        </w:tc>
        <w:tc>
          <w:tcPr>
            <w:tcW w:w="240" w:type="dxa"/>
            <w:vAlign w:val="bottom"/>
          </w:tcPr>
          <w:p>
            <w:pPr>
              <w:ind w:left="10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(1,555)</w:t>
            </w:r>
          </w:p>
        </w:tc>
        <w:tc>
          <w:tcPr>
            <w:tcW w:w="1200" w:type="dxa"/>
            <w:vAlign w:val="bottom"/>
          </w:tcPr>
          <w:p>
            <w:pPr>
              <w:ind w:left="60"/>
              <w:spacing w:after="0"/>
              <w:rPr>
                <w:sz w:val="20"/>
                <w:szCs w:val="20"/>
                <w:color w:val="auto"/>
              </w:rPr>
            </w:pPr>
            <w:r>
              <w:rPr>
                <w:rFonts w:ascii="Arial" w:cs="Arial" w:eastAsia="Arial" w:hAnsi="Arial"/>
                <w:sz w:val="20"/>
                <w:szCs w:val="20"/>
                <w:color w:val="auto"/>
              </w:rPr>
              <w:t>SOFR-OIS</w:t>
            </w:r>
          </w:p>
        </w:tc>
        <w:tc>
          <w:tcPr>
            <w:tcW w:w="1080" w:type="dxa"/>
            <w:vAlign w:val="bottom"/>
          </w:tcPr>
          <w:p>
            <w:pPr>
              <w:jc w:val="right"/>
              <w:spacing w:after="0"/>
              <w:rPr>
                <w:sz w:val="20"/>
                <w:szCs w:val="20"/>
                <w:color w:val="auto"/>
              </w:rPr>
            </w:pPr>
            <w:r>
              <w:rPr>
                <w:rFonts w:ascii="Arial" w:cs="Arial" w:eastAsia="Arial" w:hAnsi="Arial"/>
                <w:sz w:val="20"/>
                <w:szCs w:val="20"/>
                <w:color w:val="auto"/>
              </w:rPr>
              <w:t>4.47%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-1763395</wp:posOffset>
            </wp:positionV>
            <wp:extent cx="1285875" cy="63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598">
                      <a:extLst>
                        <a:ext uri="{28A0092B-C50C-407E-A947-70E740481C1C}"/>
                      </a:extLst>
                    </a:blip>
                    <a:srcRect/>
                    <a:stretch>
                      <a:fillRect/>
                    </a:stretch>
                  </pic:blipFill>
                  <pic:spPr bwMode="auto">
                    <a:xfrm>
                      <a:off x="0" y="0"/>
                      <a:ext cx="128587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-795020</wp:posOffset>
            </wp:positionV>
            <wp:extent cx="5852795" cy="63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599">
                      <a:extLst>
                        <a:ext uri="{28A0092B-C50C-407E-A947-70E740481C1C}"/>
                      </a:extLst>
                    </a:blip>
                    <a:srcRect/>
                    <a:stretch>
                      <a:fillRect/>
                    </a:stretch>
                  </pic:blipFill>
                  <pic:spPr bwMode="auto">
                    <a:xfrm>
                      <a:off x="0" y="0"/>
                      <a:ext cx="585279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-398780</wp:posOffset>
            </wp:positionV>
            <wp:extent cx="3561715" cy="63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0">
                      <a:extLst>
                        <a:ext uri="{28A0092B-C50C-407E-A947-70E740481C1C}"/>
                      </a:extLst>
                    </a:blip>
                    <a:srcRect/>
                    <a:stretch>
                      <a:fillRect/>
                    </a:stretch>
                  </pic:blipFill>
                  <pic:spPr bwMode="auto">
                    <a:xfrm>
                      <a:off x="0" y="0"/>
                      <a:ext cx="356171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-1905</wp:posOffset>
            </wp:positionV>
            <wp:extent cx="3446780" cy="2857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1">
                      <a:extLst>
                        <a:ext uri="{28A0092B-C50C-407E-A947-70E740481C1C}"/>
                      </a:extLst>
                    </a:blip>
                    <a:srcRect/>
                    <a:stretch>
                      <a:fillRect/>
                    </a:stretch>
                  </pic:blipFill>
                  <pic:spPr bwMode="auto">
                    <a:xfrm>
                      <a:off x="0" y="0"/>
                      <a:ext cx="344678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Weighted Average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26035</wp:posOffset>
            </wp:positionV>
            <wp:extent cx="1285240" cy="63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2">
                      <a:extLst>
                        <a:ext uri="{28A0092B-C50C-407E-A947-70E740481C1C}"/>
                      </a:extLst>
                    </a:blip>
                    <a:srcRect/>
                    <a:stretch>
                      <a:fillRect/>
                    </a:stretch>
                  </pic:blipFill>
                  <pic:spPr bwMode="auto">
                    <a:xfrm>
                      <a:off x="0" y="0"/>
                      <a:ext cx="128524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17</w:t>
      </w:r>
    </w:p>
    <w:p>
      <w:pPr>
        <w:sectPr>
          <w:pgSz w:w="11900" w:h="16838" w:orient="portrait"/>
          <w:cols w:equalWidth="0" w:num="1">
            <w:col w:w="9400"/>
          </w:cols>
          <w:pgMar w:left="1260" w:top="1440" w:right="1246" w:bottom="0" w:gutter="0" w:footer="0" w:header="0"/>
          <w:type w:val="continuous"/>
        </w:sectPr>
      </w:pPr>
    </w:p>
    <w:bookmarkStart w:id="223" w:name="page224"/>
    <w:bookmarkEnd w:id="223"/>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20"/>
                <w:szCs w:val="20"/>
                <w:color w:val="auto"/>
                <w:w w:val="92"/>
              </w:rPr>
              <w:t>Weighted</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00"/>
        </w:trPr>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20"/>
                <w:szCs w:val="20"/>
                <w:color w:val="auto"/>
                <w:w w:val="91"/>
              </w:rPr>
              <w:t>Average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0"/>
        </w:trPr>
        <w:tc>
          <w:tcPr>
            <w:tcW w:w="364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20"/>
                <w:szCs w:val="20"/>
                <w:color w:val="auto"/>
                <w:w w:val="95"/>
              </w:rPr>
              <w:t>Notional</w:t>
            </w:r>
          </w:p>
        </w:tc>
        <w:tc>
          <w:tcPr>
            <w:tcW w:w="1180" w:type="dxa"/>
            <w:vAlign w:val="bottom"/>
          </w:tcPr>
          <w:p>
            <w:pPr>
              <w:jc w:val="center"/>
              <w:spacing w:after="0"/>
              <w:rPr>
                <w:sz w:val="20"/>
                <w:szCs w:val="20"/>
                <w:color w:val="auto"/>
              </w:rPr>
            </w:pPr>
            <w:r>
              <w:rPr>
                <w:rFonts w:ascii="Arial" w:cs="Arial" w:eastAsia="Arial" w:hAnsi="Arial"/>
                <w:sz w:val="20"/>
                <w:szCs w:val="20"/>
                <w:color w:val="auto"/>
                <w:w w:val="92"/>
              </w:rPr>
              <w:t>Remaining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0"/>
        </w:trPr>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center"/>
              <w:ind w:right="200"/>
              <w:spacing w:after="0"/>
              <w:rPr>
                <w:sz w:val="20"/>
                <w:szCs w:val="20"/>
                <w:color w:val="auto"/>
              </w:rPr>
            </w:pPr>
            <w:r>
              <w:rPr>
                <w:rFonts w:ascii="Arial" w:cs="Arial" w:eastAsia="Arial" w:hAnsi="Arial"/>
                <w:sz w:val="20"/>
                <w:szCs w:val="20"/>
                <w:color w:val="auto"/>
                <w:w w:val="93"/>
              </w:rPr>
              <w:t>Value</w:t>
            </w:r>
          </w:p>
        </w:tc>
        <w:tc>
          <w:tcPr>
            <w:tcW w:w="1180" w:type="dxa"/>
            <w:vAlign w:val="bottom"/>
          </w:tcPr>
          <w:p>
            <w:pPr>
              <w:jc w:val="center"/>
              <w:spacing w:after="0"/>
              <w:rPr>
                <w:sz w:val="20"/>
                <w:szCs w:val="20"/>
                <w:color w:val="auto"/>
              </w:rPr>
            </w:pPr>
            <w:r>
              <w:rPr>
                <w:rFonts w:ascii="Arial" w:cs="Arial" w:eastAsia="Arial" w:hAnsi="Arial"/>
                <w:sz w:val="20"/>
                <w:szCs w:val="20"/>
                <w:color w:val="auto"/>
                <w:w w:val="98"/>
              </w:rPr>
              <w:t>Maturity</w:t>
            </w:r>
          </w:p>
        </w:tc>
        <w:tc>
          <w:tcPr>
            <w:tcW w:w="1160" w:type="dxa"/>
            <w:vAlign w:val="bottom"/>
            <w:gridSpan w:val="2"/>
          </w:tcPr>
          <w:p>
            <w:pPr>
              <w:ind w:left="120"/>
              <w:spacing w:after="0"/>
              <w:rPr>
                <w:sz w:val="20"/>
                <w:szCs w:val="20"/>
                <w:color w:val="auto"/>
              </w:rPr>
            </w:pPr>
            <w:r>
              <w:rPr>
                <w:rFonts w:ascii="Arial" w:cs="Arial" w:eastAsia="Arial" w:hAnsi="Arial"/>
                <w:sz w:val="20"/>
                <w:szCs w:val="20"/>
                <w:color w:val="auto"/>
              </w:rPr>
              <w:t>Fair Value</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0"/>
        </w:trPr>
        <w:tc>
          <w:tcPr>
            <w:tcW w:w="3640" w:type="dxa"/>
            <w:vAlign w:val="bottom"/>
          </w:tcPr>
          <w:p>
            <w:pPr>
              <w:spacing w:after="0"/>
              <w:rPr>
                <w:sz w:val="20"/>
                <w:szCs w:val="20"/>
                <w:color w:val="auto"/>
              </w:rPr>
            </w:pPr>
            <w:r>
              <w:rPr>
                <w:rFonts w:ascii="Arial" w:cs="Arial" w:eastAsia="Arial" w:hAnsi="Arial"/>
                <w:sz w:val="20"/>
                <w:szCs w:val="20"/>
                <w:color w:val="auto"/>
              </w:rPr>
              <w:t>Instruments Associated With</w:t>
            </w:r>
          </w:p>
        </w:tc>
        <w:tc>
          <w:tcPr>
            <w:tcW w:w="280" w:type="dxa"/>
            <w:vAlign w:val="bottom"/>
          </w:tcPr>
          <w:p>
            <w:pPr>
              <w:spacing w:after="0"/>
              <w:rPr>
                <w:sz w:val="24"/>
                <w:szCs w:val="24"/>
                <w:color w:val="auto"/>
              </w:rPr>
            </w:pPr>
          </w:p>
        </w:tc>
        <w:tc>
          <w:tcPr>
            <w:tcW w:w="860" w:type="dxa"/>
            <w:vAlign w:val="bottom"/>
          </w:tcPr>
          <w:p>
            <w:pPr>
              <w:jc w:val="center"/>
              <w:ind w:right="140"/>
              <w:spacing w:after="0"/>
              <w:rPr>
                <w:sz w:val="20"/>
                <w:szCs w:val="20"/>
                <w:color w:val="auto"/>
              </w:rPr>
            </w:pPr>
            <w:r>
              <w:rPr>
                <w:rFonts w:ascii="Arial" w:cs="Arial" w:eastAsia="Arial" w:hAnsi="Arial"/>
                <w:sz w:val="20"/>
                <w:szCs w:val="20"/>
                <w:color w:val="auto"/>
                <w:w w:val="89"/>
              </w:rPr>
              <w:t>(000's)</w:t>
            </w:r>
          </w:p>
        </w:tc>
        <w:tc>
          <w:tcPr>
            <w:tcW w:w="1180" w:type="dxa"/>
            <w:vAlign w:val="bottom"/>
          </w:tcPr>
          <w:p>
            <w:pPr>
              <w:jc w:val="center"/>
              <w:spacing w:after="0"/>
              <w:rPr>
                <w:sz w:val="20"/>
                <w:szCs w:val="20"/>
                <w:color w:val="auto"/>
              </w:rPr>
            </w:pPr>
            <w:r>
              <w:rPr>
                <w:rFonts w:ascii="Arial" w:cs="Arial" w:eastAsia="Arial" w:hAnsi="Arial"/>
                <w:sz w:val="20"/>
                <w:szCs w:val="20"/>
                <w:color w:val="auto"/>
                <w:w w:val="89"/>
              </w:rPr>
              <w:t>(years)</w:t>
            </w:r>
          </w:p>
        </w:tc>
        <w:tc>
          <w:tcPr>
            <w:tcW w:w="240" w:type="dxa"/>
            <w:vAlign w:val="bottom"/>
          </w:tcPr>
          <w:p>
            <w:pPr>
              <w:spacing w:after="0"/>
              <w:rPr>
                <w:sz w:val="24"/>
                <w:szCs w:val="24"/>
                <w:color w:val="auto"/>
              </w:rPr>
            </w:pPr>
          </w:p>
        </w:tc>
        <w:tc>
          <w:tcPr>
            <w:tcW w:w="920" w:type="dxa"/>
            <w:vAlign w:val="bottom"/>
          </w:tcPr>
          <w:p>
            <w:pPr>
              <w:jc w:val="right"/>
              <w:ind w:right="220"/>
              <w:spacing w:after="0"/>
              <w:rPr>
                <w:sz w:val="20"/>
                <w:szCs w:val="20"/>
                <w:color w:val="auto"/>
              </w:rPr>
            </w:pPr>
            <w:r>
              <w:rPr>
                <w:rFonts w:ascii="Arial" w:cs="Arial" w:eastAsia="Arial" w:hAnsi="Arial"/>
                <w:sz w:val="20"/>
                <w:szCs w:val="20"/>
                <w:color w:val="auto"/>
                <w:w w:val="95"/>
              </w:rPr>
              <w:t>(000's)</w:t>
            </w:r>
          </w:p>
        </w:tc>
        <w:tc>
          <w:tcPr>
            <w:tcW w:w="1200" w:type="dxa"/>
            <w:vAlign w:val="bottom"/>
          </w:tcPr>
          <w:p>
            <w:pPr>
              <w:ind w:left="220"/>
              <w:spacing w:after="0"/>
              <w:rPr>
                <w:sz w:val="20"/>
                <w:szCs w:val="20"/>
                <w:color w:val="auto"/>
              </w:rPr>
            </w:pPr>
            <w:r>
              <w:rPr>
                <w:rFonts w:ascii="Arial" w:cs="Arial" w:eastAsia="Arial" w:hAnsi="Arial"/>
                <w:sz w:val="20"/>
                <w:szCs w:val="20"/>
                <w:color w:val="auto"/>
              </w:rPr>
              <w:t>Receive</w:t>
            </w:r>
          </w:p>
        </w:tc>
        <w:tc>
          <w:tcPr>
            <w:tcW w:w="1080" w:type="dxa"/>
            <w:vAlign w:val="bottom"/>
          </w:tcPr>
          <w:p>
            <w:pPr>
              <w:jc w:val="right"/>
              <w:ind w:right="420"/>
              <w:spacing w:after="0"/>
              <w:rPr>
                <w:sz w:val="20"/>
                <w:szCs w:val="20"/>
                <w:color w:val="auto"/>
              </w:rPr>
            </w:pPr>
            <w:r>
              <w:rPr>
                <w:rFonts w:ascii="Arial" w:cs="Arial" w:eastAsia="Arial" w:hAnsi="Arial"/>
                <w:sz w:val="20"/>
                <w:szCs w:val="20"/>
                <w:color w:val="auto"/>
              </w:rPr>
              <w:t>Pay</w:t>
            </w:r>
          </w:p>
        </w:tc>
      </w:tr>
      <w:tr>
        <w:trPr>
          <w:trHeight w:val="51"/>
        </w:trPr>
        <w:tc>
          <w:tcPr>
            <w:tcW w:w="3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74"/>
        </w:trPr>
        <w:tc>
          <w:tcPr>
            <w:tcW w:w="36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12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USD-</w:t>
            </w:r>
          </w:p>
        </w:tc>
        <w:tc>
          <w:tcPr>
            <w:tcW w:w="1080" w:type="dxa"/>
            <w:vAlign w:val="bottom"/>
            <w:shd w:val="clear" w:color="auto" w:fill="CFF0FC"/>
          </w:tcPr>
          <w:p>
            <w:pPr>
              <w:spacing w:after="0"/>
              <w:rPr>
                <w:sz w:val="23"/>
                <w:szCs w:val="23"/>
                <w:color w:val="auto"/>
              </w:rPr>
            </w:pPr>
          </w:p>
        </w:tc>
      </w:tr>
      <w:tr>
        <w:trPr>
          <w:trHeight w:val="331"/>
        </w:trPr>
        <w:tc>
          <w:tcPr>
            <w:tcW w:w="3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Loans</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99"/>
              </w:rPr>
              <w:t>100,000</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w:t>
            </w:r>
          </w:p>
        </w:tc>
        <w:tc>
          <w:tcPr>
            <w:tcW w:w="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(976)</w:t>
            </w:r>
          </w:p>
        </w:tc>
        <w:tc>
          <w:tcPr>
            <w:tcW w:w="12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SOFR-OIS</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4.47%</w:t>
            </w:r>
          </w:p>
        </w:tc>
      </w:tr>
      <w:tr>
        <w:trPr>
          <w:trHeight w:val="274"/>
        </w:trPr>
        <w:tc>
          <w:tcPr>
            <w:tcW w:w="3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ind w:left="120"/>
              <w:spacing w:after="0"/>
              <w:rPr>
                <w:sz w:val="20"/>
                <w:szCs w:val="20"/>
                <w:color w:val="auto"/>
              </w:rPr>
            </w:pPr>
            <w:r>
              <w:rPr>
                <w:rFonts w:ascii="Arial" w:cs="Arial" w:eastAsia="Arial" w:hAnsi="Arial"/>
                <w:sz w:val="20"/>
                <w:szCs w:val="20"/>
                <w:color w:val="auto"/>
              </w:rPr>
              <w:t>USD-</w:t>
            </w:r>
          </w:p>
        </w:tc>
        <w:tc>
          <w:tcPr>
            <w:tcW w:w="1080" w:type="dxa"/>
            <w:vAlign w:val="bottom"/>
          </w:tcPr>
          <w:p>
            <w:pPr>
              <w:spacing w:after="0"/>
              <w:rPr>
                <w:sz w:val="23"/>
                <w:szCs w:val="23"/>
                <w:color w:val="auto"/>
              </w:rPr>
            </w:pPr>
          </w:p>
        </w:tc>
      </w:tr>
      <w:tr>
        <w:trPr>
          <w:trHeight w:val="345"/>
        </w:trPr>
        <w:tc>
          <w:tcPr>
            <w:tcW w:w="3640" w:type="dxa"/>
            <w:vAlign w:val="bottom"/>
          </w:tcPr>
          <w:p>
            <w:pPr>
              <w:ind w:left="60"/>
              <w:spacing w:after="0"/>
              <w:rPr>
                <w:sz w:val="20"/>
                <w:szCs w:val="20"/>
                <w:color w:val="auto"/>
              </w:rPr>
            </w:pPr>
            <w:r>
              <w:rPr>
                <w:rFonts w:ascii="Arial" w:cs="Arial" w:eastAsia="Arial" w:hAnsi="Arial"/>
                <w:sz w:val="20"/>
                <w:szCs w:val="20"/>
                <w:color w:val="auto"/>
                <w:w w:val="94"/>
              </w:rPr>
              <w:t>Total swap portfolio at December 31, 2024</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0"/>
              <w:spacing w:after="0"/>
              <w:rPr>
                <w:sz w:val="20"/>
                <w:szCs w:val="20"/>
                <w:color w:val="auto"/>
              </w:rPr>
            </w:pPr>
            <w:r>
              <w:rPr>
                <w:rFonts w:ascii="Arial" w:cs="Arial" w:eastAsia="Arial" w:hAnsi="Arial"/>
                <w:sz w:val="20"/>
                <w:szCs w:val="20"/>
                <w:color w:val="auto"/>
                <w:w w:val="99"/>
              </w:rPr>
              <w:t>100,000</w:t>
            </w:r>
          </w:p>
        </w:tc>
        <w:tc>
          <w:tcPr>
            <w:tcW w:w="1180" w:type="dxa"/>
            <w:vAlign w:val="bottom"/>
          </w:tcPr>
          <w:p>
            <w:pPr>
              <w:jc w:val="right"/>
              <w:spacing w:after="0"/>
              <w:rPr>
                <w:sz w:val="20"/>
                <w:szCs w:val="20"/>
                <w:color w:val="auto"/>
              </w:rPr>
            </w:pPr>
            <w:r>
              <w:rPr>
                <w:rFonts w:ascii="Arial" w:cs="Arial" w:eastAsia="Arial" w:hAnsi="Arial"/>
                <w:sz w:val="20"/>
                <w:szCs w:val="20"/>
                <w:color w:val="auto"/>
              </w:rPr>
              <w:t>2.6</w:t>
            </w:r>
          </w:p>
        </w:tc>
        <w:tc>
          <w:tcPr>
            <w:tcW w:w="240" w:type="dxa"/>
            <w:vAlign w:val="bottom"/>
          </w:tcPr>
          <w:p>
            <w:pPr>
              <w:ind w:left="10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(976)</w:t>
            </w:r>
          </w:p>
        </w:tc>
        <w:tc>
          <w:tcPr>
            <w:tcW w:w="1200" w:type="dxa"/>
            <w:vAlign w:val="bottom"/>
          </w:tcPr>
          <w:p>
            <w:pPr>
              <w:ind w:left="60"/>
              <w:spacing w:after="0"/>
              <w:rPr>
                <w:sz w:val="20"/>
                <w:szCs w:val="20"/>
                <w:color w:val="auto"/>
              </w:rPr>
            </w:pPr>
            <w:r>
              <w:rPr>
                <w:rFonts w:ascii="Arial" w:cs="Arial" w:eastAsia="Arial" w:hAnsi="Arial"/>
                <w:sz w:val="20"/>
                <w:szCs w:val="20"/>
                <w:color w:val="auto"/>
              </w:rPr>
              <w:t>SOFR-OIS</w:t>
            </w:r>
          </w:p>
        </w:tc>
        <w:tc>
          <w:tcPr>
            <w:tcW w:w="1080" w:type="dxa"/>
            <w:vAlign w:val="bottom"/>
          </w:tcPr>
          <w:p>
            <w:pPr>
              <w:jc w:val="right"/>
              <w:spacing w:after="0"/>
              <w:rPr>
                <w:sz w:val="20"/>
                <w:szCs w:val="20"/>
                <w:color w:val="auto"/>
              </w:rPr>
            </w:pPr>
            <w:r>
              <w:rPr>
                <w:rFonts w:ascii="Arial" w:cs="Arial" w:eastAsia="Arial" w:hAnsi="Arial"/>
                <w:sz w:val="20"/>
                <w:szCs w:val="20"/>
                <w:color w:val="auto"/>
              </w:rPr>
              <w:t>4.47%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-795020</wp:posOffset>
            </wp:positionV>
            <wp:extent cx="5852795" cy="63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3">
                      <a:extLst>
                        <a:ext uri="{28A0092B-C50C-407E-A947-70E740481C1C}"/>
                      </a:extLst>
                    </a:blip>
                    <a:srcRect/>
                    <a:stretch>
                      <a:fillRect/>
                    </a:stretch>
                  </pic:blipFill>
                  <pic:spPr bwMode="auto">
                    <a:xfrm>
                      <a:off x="0" y="0"/>
                      <a:ext cx="5852795" cy="6350"/>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-398780</wp:posOffset>
            </wp:positionV>
            <wp:extent cx="3562985" cy="63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4">
                      <a:extLst>
                        <a:ext uri="{28A0092B-C50C-407E-A947-70E740481C1C}"/>
                      </a:extLst>
                    </a:blip>
                    <a:srcRect/>
                    <a:stretch>
                      <a:fillRect/>
                    </a:stretch>
                  </pic:blipFill>
                  <pic:spPr bwMode="auto">
                    <a:xfrm>
                      <a:off x="0" y="0"/>
                      <a:ext cx="3562985" cy="6350"/>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-1905</wp:posOffset>
            </wp:positionV>
            <wp:extent cx="3448050" cy="2857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5">
                      <a:extLst>
                        <a:ext uri="{28A0092B-C50C-407E-A947-70E740481C1C}"/>
                      </a:extLst>
                    </a:blip>
                    <a:srcRect/>
                    <a:stretch>
                      <a:fillRect/>
                    </a:stretch>
                  </pic:blipFill>
                  <pic:spPr bwMode="auto">
                    <a:xfrm>
                      <a:off x="0" y="0"/>
                      <a:ext cx="3448050" cy="28575"/>
                    </a:xfrm>
                    <a:prstGeom prst="rect">
                      <a:avLst/>
                    </a:prstGeom>
                    <a:noFill/>
                  </pic:spPr>
                </pic:pic>
              </a:graphicData>
            </a:graphic>
          </wp:anchor>
        </w:drawing>
      </w:r>
    </w:p>
    <w:p>
      <w:pPr>
        <w:spacing w:after="0" w:line="360" w:lineRule="exact"/>
        <w:rPr>
          <w:sz w:val="20"/>
          <w:szCs w:val="20"/>
          <w:color w:val="auto"/>
        </w:rPr>
      </w:pPr>
    </w:p>
    <w:p>
      <w:pPr>
        <w:jc w:val="both"/>
        <w:ind w:left="620" w:right="60"/>
        <w:spacing w:after="0" w:line="352" w:lineRule="auto"/>
        <w:rPr>
          <w:sz w:val="20"/>
          <w:szCs w:val="20"/>
          <w:color w:val="auto"/>
        </w:rPr>
      </w:pPr>
      <w:r>
        <w:rPr>
          <w:rFonts w:ascii="Arial" w:cs="Arial" w:eastAsia="Arial" w:hAnsi="Arial"/>
          <w:sz w:val="18"/>
          <w:szCs w:val="18"/>
          <w:color w:val="auto"/>
        </w:rPr>
        <w:t>These derivative financial instruments were entered into for the purpose of managing the interest rate risk of certain assets and liabilities. The Bank pledged $2.3 million of cash collateral to counterparties as security for its obligations related to these interest rate swap transactions at both December 31, 2025 and 2024. Collateral posted and received is dependent on the market valuation of the underlying hedges.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17</w:t>
      </w:r>
    </w:p>
    <w:p>
      <w:pPr>
        <w:sectPr>
          <w:pgSz w:w="11900" w:h="16838" w:orient="portrait"/>
          <w:cols w:equalWidth="0" w:num="1">
            <w:col w:w="9400"/>
          </w:cols>
          <w:pgMar w:left="1260" w:top="1177" w:right="1246" w:bottom="0" w:gutter="0" w:footer="0" w:header="0"/>
          <w:type w:val="continuous"/>
        </w:sectPr>
      </w:pPr>
    </w:p>
    <w:bookmarkStart w:id="224" w:name="page225"/>
    <w:bookmarkEnd w:id="224"/>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presents the notional amount and fair value of interest rate swaps utilized by the Bank at</w:t>
      </w:r>
    </w:p>
    <w:p>
      <w:pPr>
        <w:spacing w:after="0" w:line="8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December 31, 2025 and 2024:</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3"/>
          </w:tcPr>
          <w:p>
            <w:pPr>
              <w:jc w:val="right"/>
              <w:ind w:right="580"/>
              <w:spacing w:after="0"/>
              <w:rPr>
                <w:sz w:val="20"/>
                <w:szCs w:val="20"/>
                <w:color w:val="auto"/>
              </w:rPr>
            </w:pPr>
            <w:r>
              <w:rPr>
                <w:rFonts w:ascii="Arial" w:cs="Arial" w:eastAsia="Arial" w:hAnsi="Arial"/>
                <w:sz w:val="20"/>
                <w:szCs w:val="20"/>
                <w:color w:val="auto"/>
              </w:rPr>
              <w:t>(In Thousands)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24"/>
        </w:trPr>
        <w:tc>
          <w:tcPr>
            <w:tcW w:w="4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80" w:type="dxa"/>
            <w:vAlign w:val="bottom"/>
            <w:gridSpan w:val="3"/>
          </w:tcPr>
          <w:p>
            <w:pPr>
              <w:jc w:val="right"/>
              <w:ind w:right="340"/>
              <w:spacing w:after="0"/>
              <w:rPr>
                <w:sz w:val="20"/>
                <w:szCs w:val="20"/>
                <w:color w:val="auto"/>
              </w:rPr>
            </w:pPr>
            <w:r>
              <w:rPr>
                <w:rFonts w:ascii="Arial" w:cs="Arial" w:eastAsia="Arial" w:hAnsi="Arial"/>
                <w:sz w:val="20"/>
                <w:szCs w:val="20"/>
                <w:color w:val="auto"/>
              </w:rPr>
              <w:t>December 31, 2025</w:t>
            </w:r>
          </w:p>
        </w:tc>
        <w:tc>
          <w:tcPr>
            <w:tcW w:w="200" w:type="dxa"/>
            <w:vAlign w:val="bottom"/>
          </w:tcPr>
          <w:p>
            <w:pPr>
              <w:spacing w:after="0"/>
              <w:rPr>
                <w:sz w:val="24"/>
                <w:szCs w:val="24"/>
                <w:color w:val="auto"/>
              </w:rPr>
            </w:pPr>
          </w:p>
        </w:tc>
        <w:tc>
          <w:tcPr>
            <w:tcW w:w="2340" w:type="dxa"/>
            <w:vAlign w:val="bottom"/>
            <w:gridSpan w:val="3"/>
          </w:tcPr>
          <w:p>
            <w:pPr>
              <w:jc w:val="right"/>
              <w:ind w:right="400"/>
              <w:spacing w:after="0"/>
              <w:rPr>
                <w:sz w:val="20"/>
                <w:szCs w:val="20"/>
                <w:color w:val="auto"/>
              </w:rPr>
            </w:pPr>
            <w:r>
              <w:rPr>
                <w:rFonts w:ascii="Arial" w:cs="Arial" w:eastAsia="Arial" w:hAnsi="Arial"/>
                <w:sz w:val="20"/>
                <w:szCs w:val="20"/>
                <w:color w:val="auto"/>
              </w:rPr>
              <w:t>December 31, 2024</w:t>
            </w:r>
          </w:p>
        </w:tc>
      </w:tr>
      <w:tr>
        <w:trPr>
          <w:trHeight w:val="324"/>
        </w:trPr>
        <w:tc>
          <w:tcPr>
            <w:tcW w:w="4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220"/>
              <w:spacing w:after="0"/>
              <w:rPr>
                <w:sz w:val="20"/>
                <w:szCs w:val="20"/>
                <w:color w:val="auto"/>
              </w:rPr>
            </w:pPr>
            <w:r>
              <w:rPr>
                <w:rFonts w:ascii="Arial" w:cs="Arial" w:eastAsia="Arial" w:hAnsi="Arial"/>
                <w:sz w:val="20"/>
                <w:szCs w:val="20"/>
                <w:color w:val="auto"/>
                <w:w w:val="98"/>
              </w:rPr>
              <w:t>Notional</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220"/>
              <w:spacing w:after="0"/>
              <w:rPr>
                <w:sz w:val="20"/>
                <w:szCs w:val="20"/>
                <w:color w:val="auto"/>
              </w:rPr>
            </w:pPr>
            <w:r>
              <w:rPr>
                <w:rFonts w:ascii="Arial" w:cs="Arial" w:eastAsia="Arial" w:hAnsi="Arial"/>
                <w:sz w:val="20"/>
                <w:szCs w:val="20"/>
                <w:color w:val="auto"/>
                <w:w w:val="95"/>
              </w:rPr>
              <w:t>Notional</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0"/>
        </w:trPr>
        <w:tc>
          <w:tcPr>
            <w:tcW w:w="4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220"/>
              <w:spacing w:after="0"/>
              <w:rPr>
                <w:sz w:val="20"/>
                <w:szCs w:val="20"/>
                <w:color w:val="auto"/>
              </w:rPr>
            </w:pPr>
            <w:r>
              <w:rPr>
                <w:rFonts w:ascii="Arial" w:cs="Arial" w:eastAsia="Arial" w:hAnsi="Arial"/>
                <w:sz w:val="20"/>
                <w:szCs w:val="20"/>
                <w:color w:val="auto"/>
              </w:rPr>
              <w:t>Amount</w:t>
            </w:r>
          </w:p>
        </w:tc>
        <w:tc>
          <w:tcPr>
            <w:tcW w:w="200" w:type="dxa"/>
            <w:vAlign w:val="bottom"/>
          </w:tcPr>
          <w:p>
            <w:pPr>
              <w:spacing w:after="0"/>
              <w:rPr>
                <w:sz w:val="24"/>
                <w:szCs w:val="24"/>
                <w:color w:val="auto"/>
              </w:rPr>
            </w:pPr>
          </w:p>
        </w:tc>
        <w:tc>
          <w:tcPr>
            <w:tcW w:w="1120" w:type="dxa"/>
            <w:vAlign w:val="bottom"/>
          </w:tcPr>
          <w:p>
            <w:pPr>
              <w:jc w:val="right"/>
              <w:ind w:right="160"/>
              <w:spacing w:after="0"/>
              <w:rPr>
                <w:sz w:val="20"/>
                <w:szCs w:val="20"/>
                <w:color w:val="auto"/>
              </w:rPr>
            </w:pPr>
            <w:r>
              <w:rPr>
                <w:rFonts w:ascii="Arial" w:cs="Arial" w:eastAsia="Arial" w:hAnsi="Arial"/>
                <w:sz w:val="20"/>
                <w:szCs w:val="20"/>
                <w:color w:val="auto"/>
                <w:w w:val="92"/>
              </w:rPr>
              <w:t>Fair Value</w:t>
            </w:r>
          </w:p>
        </w:tc>
        <w:tc>
          <w:tcPr>
            <w:tcW w:w="200" w:type="dxa"/>
            <w:vAlign w:val="bottom"/>
          </w:tcPr>
          <w:p>
            <w:pPr>
              <w:spacing w:after="0"/>
              <w:rPr>
                <w:sz w:val="24"/>
                <w:szCs w:val="24"/>
                <w:color w:val="auto"/>
              </w:rPr>
            </w:pPr>
          </w:p>
        </w:tc>
        <w:tc>
          <w:tcPr>
            <w:tcW w:w="1040" w:type="dxa"/>
            <w:vAlign w:val="bottom"/>
          </w:tcPr>
          <w:p>
            <w:pPr>
              <w:jc w:val="right"/>
              <w:ind w:right="200"/>
              <w:spacing w:after="0"/>
              <w:rPr>
                <w:sz w:val="20"/>
                <w:szCs w:val="20"/>
                <w:color w:val="auto"/>
              </w:rPr>
            </w:pPr>
            <w:r>
              <w:rPr>
                <w:rFonts w:ascii="Arial" w:cs="Arial" w:eastAsia="Arial" w:hAnsi="Arial"/>
                <w:sz w:val="20"/>
                <w:szCs w:val="20"/>
                <w:color w:val="auto"/>
              </w:rPr>
              <w:t>Amount</w:t>
            </w:r>
          </w:p>
        </w:tc>
        <w:tc>
          <w:tcPr>
            <w:tcW w:w="220" w:type="dxa"/>
            <w:vAlign w:val="bottom"/>
          </w:tcPr>
          <w:p>
            <w:pPr>
              <w:spacing w:after="0"/>
              <w:rPr>
                <w:sz w:val="24"/>
                <w:szCs w:val="24"/>
                <w:color w:val="auto"/>
              </w:rPr>
            </w:pPr>
          </w:p>
        </w:tc>
        <w:tc>
          <w:tcPr>
            <w:tcW w:w="1080" w:type="dxa"/>
            <w:vAlign w:val="bottom"/>
          </w:tcPr>
          <w:p>
            <w:pPr>
              <w:jc w:val="right"/>
              <w:ind w:right="120"/>
              <w:spacing w:after="0"/>
              <w:rPr>
                <w:sz w:val="20"/>
                <w:szCs w:val="20"/>
                <w:color w:val="auto"/>
              </w:rPr>
            </w:pPr>
            <w:r>
              <w:rPr>
                <w:rFonts w:ascii="Arial" w:cs="Arial" w:eastAsia="Arial" w:hAnsi="Arial"/>
                <w:sz w:val="20"/>
                <w:szCs w:val="20"/>
                <w:color w:val="auto"/>
                <w:w w:val="92"/>
              </w:rPr>
              <w:t>Fair Value</w:t>
            </w:r>
          </w:p>
        </w:tc>
      </w:tr>
      <w:tr>
        <w:trPr>
          <w:trHeight w:val="51"/>
        </w:trPr>
        <w:tc>
          <w:tcPr>
            <w:tcW w:w="4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94"/>
        </w:trPr>
        <w:tc>
          <w:tcPr>
            <w:tcW w:w="4060" w:type="dxa"/>
            <w:vAlign w:val="bottom"/>
            <w:tcBorders>
              <w:bottom w:val="single" w:sz="8" w:color="CFF0FC"/>
            </w:tcBorders>
            <w:shd w:val="clear" w:color="auto" w:fill="CFF0FC"/>
          </w:tcPr>
          <w:p>
            <w:pPr>
              <w:jc w:val="center"/>
              <w:ind w:right="2540"/>
              <w:spacing w:after="0"/>
              <w:rPr>
                <w:sz w:val="20"/>
                <w:szCs w:val="20"/>
                <w:color w:val="auto"/>
              </w:rPr>
            </w:pPr>
            <w:r>
              <w:rPr>
                <w:rFonts w:ascii="Arial" w:cs="Arial" w:eastAsia="Arial" w:hAnsi="Arial"/>
                <w:sz w:val="20"/>
                <w:szCs w:val="20"/>
                <w:color w:val="auto"/>
                <w:w w:val="91"/>
              </w:rPr>
              <w:t>Asset Derivatives</w:t>
            </w:r>
          </w:p>
        </w:tc>
        <w:tc>
          <w:tcPr>
            <w:tcW w:w="4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r>
      <w:tr>
        <w:trPr>
          <w:trHeight w:val="274"/>
        </w:trPr>
        <w:tc>
          <w:tcPr>
            <w:tcW w:w="4060" w:type="dxa"/>
            <w:vAlign w:val="bottom"/>
          </w:tcPr>
          <w:p>
            <w:pPr>
              <w:ind w:left="40"/>
              <w:spacing w:after="0"/>
              <w:rPr>
                <w:sz w:val="20"/>
                <w:szCs w:val="20"/>
                <w:color w:val="auto"/>
              </w:rPr>
            </w:pPr>
            <w:r>
              <w:rPr>
                <w:rFonts w:ascii="Arial" w:cs="Arial" w:eastAsia="Arial" w:hAnsi="Arial"/>
                <w:sz w:val="20"/>
                <w:szCs w:val="20"/>
                <w:color w:val="auto"/>
                <w:w w:val="96"/>
              </w:rPr>
              <w:t>Derivatives designated as hedging instruments</w:t>
            </w: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41"/>
        </w:trPr>
        <w:tc>
          <w:tcPr>
            <w:tcW w:w="4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304"/>
        </w:trPr>
        <w:tc>
          <w:tcPr>
            <w:tcW w:w="40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Interest rate swaps associated with loans</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96"/>
        </w:trPr>
        <w:tc>
          <w:tcPr>
            <w:tcW w:w="4060" w:type="dxa"/>
            <w:vAlign w:val="bottom"/>
          </w:tcPr>
          <w:p>
            <w:pPr>
              <w:jc w:val="center"/>
              <w:ind w:right="2540"/>
              <w:spacing w:after="0"/>
              <w:rPr>
                <w:sz w:val="20"/>
                <w:szCs w:val="20"/>
                <w:color w:val="auto"/>
              </w:rPr>
            </w:pPr>
            <w:r>
              <w:rPr>
                <w:rFonts w:ascii="Arial" w:cs="Arial" w:eastAsia="Arial" w:hAnsi="Arial"/>
                <w:sz w:val="20"/>
                <w:szCs w:val="20"/>
                <w:color w:val="auto"/>
                <w:w w:val="89"/>
              </w:rPr>
              <w:t>Total contracts</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63"/>
        </w:trPr>
        <w:tc>
          <w:tcPr>
            <w:tcW w:w="4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94"/>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Liability Derivatives</w:t>
            </w:r>
          </w:p>
        </w:tc>
        <w:tc>
          <w:tcPr>
            <w:tcW w:w="4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r>
      <w:tr>
        <w:trPr>
          <w:trHeight w:val="274"/>
        </w:trPr>
        <w:tc>
          <w:tcPr>
            <w:tcW w:w="4060" w:type="dxa"/>
            <w:vAlign w:val="bottom"/>
          </w:tcPr>
          <w:p>
            <w:pPr>
              <w:ind w:left="40"/>
              <w:spacing w:after="0"/>
              <w:rPr>
                <w:sz w:val="20"/>
                <w:szCs w:val="20"/>
                <w:color w:val="auto"/>
              </w:rPr>
            </w:pPr>
            <w:r>
              <w:rPr>
                <w:rFonts w:ascii="Arial" w:cs="Arial" w:eastAsia="Arial" w:hAnsi="Arial"/>
                <w:sz w:val="20"/>
                <w:szCs w:val="20"/>
                <w:color w:val="auto"/>
                <w:w w:val="96"/>
              </w:rPr>
              <w:t>Derivatives designated as hedging instruments</w:t>
            </w: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4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304"/>
        </w:trPr>
        <w:tc>
          <w:tcPr>
            <w:tcW w:w="40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Interest rate swaps associated with loans</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100,000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(1,555)</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100,000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(976)</w:t>
            </w:r>
          </w:p>
        </w:tc>
      </w:tr>
      <w:tr>
        <w:trPr>
          <w:trHeight w:val="319"/>
        </w:trPr>
        <w:tc>
          <w:tcPr>
            <w:tcW w:w="4060" w:type="dxa"/>
            <w:vAlign w:val="bottom"/>
          </w:tcPr>
          <w:p>
            <w:pPr>
              <w:jc w:val="center"/>
              <w:ind w:right="2540"/>
              <w:spacing w:after="0"/>
              <w:rPr>
                <w:sz w:val="20"/>
                <w:szCs w:val="20"/>
                <w:color w:val="auto"/>
              </w:rPr>
            </w:pPr>
            <w:r>
              <w:rPr>
                <w:rFonts w:ascii="Arial" w:cs="Arial" w:eastAsia="Arial" w:hAnsi="Arial"/>
                <w:sz w:val="20"/>
                <w:szCs w:val="20"/>
                <w:color w:val="auto"/>
                <w:w w:val="89"/>
              </w:rPr>
              <w:t>Total contracts</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100,000</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(1,555)</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100,000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(976)</w:t>
            </w:r>
          </w:p>
        </w:tc>
      </w:tr>
      <w:tr>
        <w:trPr>
          <w:trHeight w:val="840"/>
        </w:trPr>
        <w:tc>
          <w:tcPr>
            <w:tcW w:w="4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600"/>
              <w:spacing w:after="0"/>
              <w:rPr>
                <w:sz w:val="20"/>
                <w:szCs w:val="20"/>
                <w:color w:val="auto"/>
              </w:rPr>
            </w:pPr>
            <w:r>
              <w:rPr>
                <w:rFonts w:ascii="Arial" w:cs="Arial" w:eastAsia="Arial" w:hAnsi="Arial"/>
                <w:sz w:val="20"/>
                <w:szCs w:val="20"/>
                <w:color w:val="auto"/>
              </w:rPr>
              <w:t>108</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91"/>
        </w:trPr>
        <w:tc>
          <w:tcPr>
            <w:tcW w:w="406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7">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0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-3361055</wp:posOffset>
            </wp:positionV>
            <wp:extent cx="3138170" cy="63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09">
                      <a:extLst>
                        <a:ext uri="{28A0092B-C50C-407E-A947-70E740481C1C}"/>
                      </a:extLst>
                    </a:blip>
                    <a:srcRect/>
                    <a:stretch>
                      <a:fillRect/>
                    </a:stretch>
                  </pic:blipFill>
                  <pic:spPr bwMode="auto">
                    <a:xfrm>
                      <a:off x="0" y="0"/>
                      <a:ext cx="3138170" cy="635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-3155315</wp:posOffset>
            </wp:positionV>
            <wp:extent cx="3138170" cy="63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0">
                      <a:extLst>
                        <a:ext uri="{28A0092B-C50C-407E-A947-70E740481C1C}"/>
                      </a:extLst>
                    </a:blip>
                    <a:srcRect/>
                    <a:stretch>
                      <a:fillRect/>
                    </a:stretch>
                  </pic:blipFill>
                  <pic:spPr bwMode="auto">
                    <a:xfrm>
                      <a:off x="0" y="0"/>
                      <a:ext cx="3138170" cy="635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-2758440</wp:posOffset>
            </wp:positionV>
            <wp:extent cx="3138170" cy="63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1">
                      <a:extLst>
                        <a:ext uri="{28A0092B-C50C-407E-A947-70E740481C1C}"/>
                      </a:extLst>
                    </a:blip>
                    <a:srcRect/>
                    <a:stretch>
                      <a:fillRect/>
                    </a:stretch>
                  </pic:blipFill>
                  <pic:spPr bwMode="auto">
                    <a:xfrm>
                      <a:off x="0" y="0"/>
                      <a:ext cx="3138170" cy="635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-2153285</wp:posOffset>
            </wp:positionV>
            <wp:extent cx="3197225" cy="63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2">
                      <a:extLst>
                        <a:ext uri="{28A0092B-C50C-407E-A947-70E740481C1C}"/>
                      </a:extLst>
                    </a:blip>
                    <a:srcRect/>
                    <a:stretch>
                      <a:fillRect/>
                    </a:stretch>
                  </pic:blipFill>
                  <pic:spPr bwMode="auto">
                    <a:xfrm>
                      <a:off x="0" y="0"/>
                      <a:ext cx="3197225" cy="635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-1947545</wp:posOffset>
            </wp:positionV>
            <wp:extent cx="3138170" cy="2857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3">
                      <a:extLst>
                        <a:ext uri="{28A0092B-C50C-407E-A947-70E740481C1C}"/>
                      </a:extLst>
                    </a:blip>
                    <a:srcRect/>
                    <a:stretch>
                      <a:fillRect/>
                    </a:stretch>
                  </pic:blipFill>
                  <pic:spPr bwMode="auto">
                    <a:xfrm>
                      <a:off x="0" y="0"/>
                      <a:ext cx="3138170" cy="2857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-1319530</wp:posOffset>
            </wp:positionV>
            <wp:extent cx="3197225" cy="63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4">
                      <a:extLst>
                        <a:ext uri="{28A0092B-C50C-407E-A947-70E740481C1C}"/>
                      </a:extLst>
                    </a:blip>
                    <a:srcRect/>
                    <a:stretch>
                      <a:fillRect/>
                    </a:stretch>
                  </pic:blipFill>
                  <pic:spPr bwMode="auto">
                    <a:xfrm>
                      <a:off x="0" y="0"/>
                      <a:ext cx="3197225" cy="635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-1113790</wp:posOffset>
            </wp:positionV>
            <wp:extent cx="3138170" cy="2857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5">
                      <a:extLst>
                        <a:ext uri="{28A0092B-C50C-407E-A947-70E740481C1C}"/>
                      </a:extLst>
                    </a:blip>
                    <a:srcRect/>
                    <a:stretch>
                      <a:fillRect/>
                    </a:stretch>
                  </pic:blipFill>
                  <pic:spPr bwMode="auto">
                    <a:xfrm>
                      <a:off x="0" y="0"/>
                      <a:ext cx="313817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17</w:t>
      </w:r>
    </w:p>
    <w:p>
      <w:pPr>
        <w:sectPr>
          <w:pgSz w:w="11900" w:h="16838" w:orient="portrait"/>
          <w:cols w:equalWidth="0" w:num="1">
            <w:col w:w="9400"/>
          </w:cols>
          <w:pgMar w:left="1260" w:top="1440" w:right="1246" w:bottom="0" w:gutter="0" w:footer="0" w:header="0"/>
          <w:type w:val="continuous"/>
        </w:sectPr>
      </w:pPr>
    </w:p>
    <w:bookmarkStart w:id="225" w:name="page226"/>
    <w:bookmarkEnd w:id="225"/>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380" w:lineRule="exact"/>
        <w:rPr>
          <w:sz w:val="20"/>
          <w:szCs w:val="20"/>
          <w:color w:val="auto"/>
        </w:rPr>
      </w:pPr>
    </w:p>
    <w:p>
      <w:pPr>
        <w:ind w:left="620" w:right="600"/>
        <w:spacing w:after="0" w:line="363" w:lineRule="auto"/>
        <w:rPr>
          <w:sz w:val="20"/>
          <w:szCs w:val="20"/>
          <w:color w:val="auto"/>
        </w:rPr>
      </w:pPr>
      <w:r>
        <w:rPr>
          <w:rFonts w:ascii="Arial" w:cs="Arial" w:eastAsia="Arial" w:hAnsi="Arial"/>
          <w:sz w:val="18"/>
          <w:szCs w:val="18"/>
          <w:color w:val="auto"/>
        </w:rPr>
        <w:t>The following table presents the effects of the Bank's interest rate swap agreements on the Company’s consolidated statements of income during the years ended December 31, 2025 and 2024.</w:t>
      </w:r>
    </w:p>
    <w:p>
      <w:pPr>
        <w:spacing w:after="0" w:line="308"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w w:val="90"/>
              </w:rPr>
              <w:t>(In Thousands)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24"/>
        </w:trPr>
        <w:tc>
          <w:tcPr>
            <w:tcW w:w="3860" w:type="dxa"/>
            <w:vAlign w:val="bottom"/>
          </w:tcPr>
          <w:p>
            <w:pPr>
              <w:spacing w:after="0"/>
              <w:rPr>
                <w:sz w:val="20"/>
                <w:szCs w:val="20"/>
                <w:color w:val="auto"/>
              </w:rPr>
            </w:pPr>
            <w:r>
              <w:rPr>
                <w:rFonts w:ascii="Arial" w:cs="Arial" w:eastAsia="Arial" w:hAnsi="Arial"/>
                <w:sz w:val="20"/>
                <w:szCs w:val="20"/>
                <w:color w:val="auto"/>
                <w:w w:val="98"/>
              </w:rPr>
              <w:t>Line Item in the Consolidated Statements of</w:t>
            </w:r>
          </w:p>
        </w:tc>
        <w:tc>
          <w:tcPr>
            <w:tcW w:w="420" w:type="dxa"/>
            <w:vAlign w:val="bottom"/>
          </w:tcPr>
          <w:p>
            <w:pPr>
              <w:spacing w:after="0"/>
              <w:rPr>
                <w:sz w:val="24"/>
                <w:szCs w:val="24"/>
                <w:color w:val="auto"/>
              </w:rPr>
            </w:pPr>
          </w:p>
        </w:tc>
        <w:tc>
          <w:tcPr>
            <w:tcW w:w="1120" w:type="dxa"/>
            <w:vAlign w:val="bottom"/>
          </w:tcPr>
          <w:p>
            <w:pPr>
              <w:jc w:val="right"/>
              <w:ind w:right="180"/>
              <w:spacing w:after="0"/>
              <w:rPr>
                <w:sz w:val="20"/>
                <w:szCs w:val="20"/>
                <w:color w:val="auto"/>
              </w:rPr>
            </w:pPr>
            <w:r>
              <w:rPr>
                <w:rFonts w:ascii="Arial" w:cs="Arial" w:eastAsia="Arial" w:hAnsi="Arial"/>
                <w:sz w:val="20"/>
                <w:szCs w:val="20"/>
                <w:color w:val="auto"/>
                <w:w w:val="88"/>
              </w:rPr>
              <w:t>December</w:t>
            </w:r>
          </w:p>
        </w:tc>
        <w:tc>
          <w:tcPr>
            <w:tcW w:w="180" w:type="dxa"/>
            <w:vAlign w:val="bottom"/>
          </w:tcPr>
          <w:p>
            <w:pPr>
              <w:spacing w:after="0"/>
              <w:rPr>
                <w:sz w:val="24"/>
                <w:szCs w:val="24"/>
                <w:color w:val="auto"/>
              </w:rPr>
            </w:pPr>
          </w:p>
        </w:tc>
        <w:tc>
          <w:tcPr>
            <w:tcW w:w="1140" w:type="dxa"/>
            <w:vAlign w:val="bottom"/>
          </w:tcPr>
          <w:p>
            <w:pPr>
              <w:jc w:val="right"/>
              <w:ind w:right="200"/>
              <w:spacing w:after="0"/>
              <w:rPr>
                <w:sz w:val="20"/>
                <w:szCs w:val="20"/>
                <w:color w:val="auto"/>
              </w:rPr>
            </w:pPr>
            <w:r>
              <w:rPr>
                <w:rFonts w:ascii="Arial" w:cs="Arial" w:eastAsia="Arial" w:hAnsi="Arial"/>
                <w:sz w:val="20"/>
                <w:szCs w:val="20"/>
                <w:color w:val="auto"/>
                <w:w w:val="88"/>
              </w:rPr>
              <w:t>December</w:t>
            </w:r>
          </w:p>
        </w:tc>
        <w:tc>
          <w:tcPr>
            <w:tcW w:w="180" w:type="dxa"/>
            <w:vAlign w:val="bottom"/>
          </w:tcPr>
          <w:p>
            <w:pPr>
              <w:spacing w:after="0"/>
              <w:rPr>
                <w:sz w:val="24"/>
                <w:szCs w:val="24"/>
                <w:color w:val="auto"/>
              </w:rPr>
            </w:pPr>
          </w:p>
        </w:tc>
        <w:tc>
          <w:tcPr>
            <w:tcW w:w="1080" w:type="dxa"/>
            <w:vAlign w:val="bottom"/>
          </w:tcPr>
          <w:p>
            <w:pPr>
              <w:jc w:val="right"/>
              <w:ind w:right="160"/>
              <w:spacing w:after="0"/>
              <w:rPr>
                <w:sz w:val="20"/>
                <w:szCs w:val="20"/>
                <w:color w:val="auto"/>
              </w:rPr>
            </w:pPr>
            <w:r>
              <w:rPr>
                <w:rFonts w:ascii="Arial" w:cs="Arial" w:eastAsia="Arial" w:hAnsi="Arial"/>
                <w:sz w:val="20"/>
                <w:szCs w:val="20"/>
                <w:color w:val="auto"/>
                <w:w w:val="86"/>
              </w:rPr>
              <w:t>December</w:t>
            </w:r>
          </w:p>
        </w:tc>
      </w:tr>
      <w:tr>
        <w:trPr>
          <w:trHeight w:val="300"/>
        </w:trPr>
        <w:tc>
          <w:tcPr>
            <w:tcW w:w="3860" w:type="dxa"/>
            <w:vAlign w:val="bottom"/>
          </w:tcPr>
          <w:p>
            <w:pPr>
              <w:spacing w:after="0"/>
              <w:rPr>
                <w:sz w:val="20"/>
                <w:szCs w:val="20"/>
                <w:color w:val="auto"/>
              </w:rPr>
            </w:pPr>
            <w:r>
              <w:rPr>
                <w:rFonts w:ascii="Arial" w:cs="Arial" w:eastAsia="Arial" w:hAnsi="Arial"/>
                <w:sz w:val="20"/>
                <w:szCs w:val="20"/>
                <w:color w:val="auto"/>
              </w:rPr>
              <w:t>Income</w:t>
            </w:r>
          </w:p>
        </w:tc>
        <w:tc>
          <w:tcPr>
            <w:tcW w:w="420" w:type="dxa"/>
            <w:vAlign w:val="bottom"/>
          </w:tcPr>
          <w:p>
            <w:pPr>
              <w:spacing w:after="0"/>
              <w:rPr>
                <w:sz w:val="24"/>
                <w:szCs w:val="24"/>
                <w:color w:val="auto"/>
              </w:rPr>
            </w:pPr>
          </w:p>
        </w:tc>
        <w:tc>
          <w:tcPr>
            <w:tcW w:w="1120" w:type="dxa"/>
            <w:vAlign w:val="bottom"/>
          </w:tcPr>
          <w:p>
            <w:pPr>
              <w:jc w:val="right"/>
              <w:ind w:right="220"/>
              <w:spacing w:after="0"/>
              <w:rPr>
                <w:sz w:val="20"/>
                <w:szCs w:val="20"/>
                <w:color w:val="auto"/>
              </w:rPr>
            </w:pPr>
            <w:r>
              <w:rPr>
                <w:rFonts w:ascii="Arial" w:cs="Arial" w:eastAsia="Arial" w:hAnsi="Arial"/>
                <w:sz w:val="20"/>
                <w:szCs w:val="20"/>
                <w:color w:val="auto"/>
              </w:rPr>
              <w:t>31, 2025</w:t>
            </w:r>
          </w:p>
        </w:tc>
        <w:tc>
          <w:tcPr>
            <w:tcW w:w="180" w:type="dxa"/>
            <w:vAlign w:val="bottom"/>
          </w:tcPr>
          <w:p>
            <w:pPr>
              <w:spacing w:after="0"/>
              <w:rPr>
                <w:sz w:val="24"/>
                <w:szCs w:val="24"/>
                <w:color w:val="auto"/>
              </w:rPr>
            </w:pPr>
          </w:p>
        </w:tc>
        <w:tc>
          <w:tcPr>
            <w:tcW w:w="1140" w:type="dxa"/>
            <w:vAlign w:val="bottom"/>
          </w:tcPr>
          <w:p>
            <w:pPr>
              <w:jc w:val="right"/>
              <w:ind w:right="240"/>
              <w:spacing w:after="0"/>
              <w:rPr>
                <w:sz w:val="20"/>
                <w:szCs w:val="20"/>
                <w:color w:val="auto"/>
              </w:rPr>
            </w:pPr>
            <w:r>
              <w:rPr>
                <w:rFonts w:ascii="Arial" w:cs="Arial" w:eastAsia="Arial" w:hAnsi="Arial"/>
                <w:sz w:val="20"/>
                <w:szCs w:val="20"/>
                <w:color w:val="auto"/>
              </w:rPr>
              <w:t>31, 2024</w:t>
            </w:r>
          </w:p>
        </w:tc>
        <w:tc>
          <w:tcPr>
            <w:tcW w:w="180" w:type="dxa"/>
            <w:vAlign w:val="bottom"/>
          </w:tcPr>
          <w:p>
            <w:pPr>
              <w:spacing w:after="0"/>
              <w:rPr>
                <w:sz w:val="24"/>
                <w:szCs w:val="24"/>
                <w:color w:val="auto"/>
              </w:rPr>
            </w:pPr>
          </w:p>
        </w:tc>
        <w:tc>
          <w:tcPr>
            <w:tcW w:w="1080" w:type="dxa"/>
            <w:vAlign w:val="bottom"/>
          </w:tcPr>
          <w:p>
            <w:pPr>
              <w:jc w:val="right"/>
              <w:ind w:right="200"/>
              <w:spacing w:after="0"/>
              <w:rPr>
                <w:sz w:val="20"/>
                <w:szCs w:val="20"/>
                <w:color w:val="auto"/>
              </w:rPr>
            </w:pPr>
            <w:r>
              <w:rPr>
                <w:rFonts w:ascii="Arial" w:cs="Arial" w:eastAsia="Arial" w:hAnsi="Arial"/>
                <w:sz w:val="20"/>
                <w:szCs w:val="20"/>
                <w:color w:val="auto"/>
                <w:w w:val="97"/>
              </w:rPr>
              <w:t>31, 2023</w:t>
            </w:r>
          </w:p>
        </w:tc>
      </w:tr>
      <w:tr>
        <w:trPr>
          <w:trHeight w:val="51"/>
        </w:trPr>
        <w:tc>
          <w:tcPr>
            <w:tcW w:w="3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94"/>
        </w:trPr>
        <w:tc>
          <w:tcPr>
            <w:tcW w:w="38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Interest Income</w:t>
            </w:r>
          </w:p>
        </w:tc>
        <w:tc>
          <w:tcPr>
            <w:tcW w:w="4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r>
      <w:tr>
        <w:trPr>
          <w:trHeight w:val="274"/>
        </w:trPr>
        <w:tc>
          <w:tcPr>
            <w:tcW w:w="3860" w:type="dxa"/>
            <w:vAlign w:val="bottom"/>
          </w:tcPr>
          <w:p>
            <w:pPr>
              <w:ind w:left="80"/>
              <w:spacing w:after="0"/>
              <w:rPr>
                <w:sz w:val="20"/>
                <w:szCs w:val="20"/>
                <w:color w:val="auto"/>
              </w:rPr>
            </w:pPr>
            <w:r>
              <w:rPr>
                <w:rFonts w:ascii="Arial" w:cs="Arial" w:eastAsia="Arial" w:hAnsi="Arial"/>
                <w:sz w:val="20"/>
                <w:szCs w:val="20"/>
                <w:color w:val="auto"/>
              </w:rPr>
              <w:t>Loans, including fees</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(153)</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59</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41"/>
        </w:trPr>
        <w:tc>
          <w:tcPr>
            <w:tcW w:w="3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304"/>
        </w:trPr>
        <w:tc>
          <w:tcPr>
            <w:tcW w:w="3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Other</w:t>
            </w:r>
          </w:p>
        </w:tc>
        <w:tc>
          <w:tcPr>
            <w:tcW w:w="4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99</w:t>
            </w:r>
          </w:p>
        </w:tc>
        <w:tc>
          <w:tcPr>
            <w:tcW w:w="1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687</w:t>
            </w:r>
          </w:p>
        </w:tc>
        <w:tc>
          <w:tcPr>
            <w:tcW w:w="1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144</w:t>
            </w:r>
          </w:p>
        </w:tc>
      </w:tr>
      <w:tr>
        <w:trPr>
          <w:trHeight w:val="296"/>
        </w:trPr>
        <w:tc>
          <w:tcPr>
            <w:tcW w:w="3860" w:type="dxa"/>
            <w:vAlign w:val="bottom"/>
          </w:tcPr>
          <w:p>
            <w:pPr>
              <w:ind w:left="120"/>
              <w:spacing w:after="0"/>
              <w:rPr>
                <w:sz w:val="20"/>
                <w:szCs w:val="20"/>
                <w:color w:val="auto"/>
              </w:rPr>
            </w:pPr>
            <w:r>
              <w:rPr>
                <w:rFonts w:ascii="Arial" w:cs="Arial" w:eastAsia="Arial" w:hAnsi="Arial"/>
                <w:sz w:val="20"/>
                <w:szCs w:val="20"/>
                <w:color w:val="auto"/>
              </w:rPr>
              <w:t>Total interest income</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(54)</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746</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-1195705</wp:posOffset>
            </wp:positionV>
            <wp:extent cx="2366645" cy="63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6">
                      <a:extLst>
                        <a:ext uri="{28A0092B-C50C-407E-A947-70E740481C1C}"/>
                      </a:extLst>
                    </a:blip>
                    <a:srcRect/>
                    <a:stretch>
                      <a:fillRect/>
                    </a:stretch>
                  </pic:blipFill>
                  <pic:spPr bwMode="auto">
                    <a:xfrm>
                      <a:off x="0" y="0"/>
                      <a:ext cx="2366645" cy="6350"/>
                    </a:xfrm>
                    <a:prstGeom prst="rect">
                      <a:avLst/>
                    </a:prstGeom>
                    <a:noFill/>
                  </pic:spPr>
                </pic:pic>
              </a:graphicData>
            </a:graphic>
          </wp:anchor>
        </w:drawing>
        <w:drawing>
          <wp:anchor simplePos="0" relativeHeight="251657728" behindDoc="1" locked="0" layoutInCell="0" allowOverlap="1">
            <wp:simplePos x="0" y="0"/>
            <wp:positionH relativeFrom="column">
              <wp:posOffset>443865</wp:posOffset>
            </wp:positionH>
            <wp:positionV relativeFrom="paragraph">
              <wp:posOffset>-799465</wp:posOffset>
            </wp:positionV>
            <wp:extent cx="5022215" cy="63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7">
                      <a:extLst>
                        <a:ext uri="{28A0092B-C50C-407E-A947-70E740481C1C}"/>
                      </a:extLst>
                    </a:blip>
                    <a:srcRect/>
                    <a:stretch>
                      <a:fillRect/>
                    </a:stretch>
                  </pic:blipFill>
                  <pic:spPr bwMode="auto">
                    <a:xfrm>
                      <a:off x="0" y="0"/>
                      <a:ext cx="5022215" cy="635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-193675</wp:posOffset>
            </wp:positionV>
            <wp:extent cx="2416810" cy="63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18">
                      <a:extLst>
                        <a:ext uri="{28A0092B-C50C-407E-A947-70E740481C1C}"/>
                      </a:extLst>
                    </a:blip>
                    <a:srcRect/>
                    <a:stretch>
                      <a:fillRect/>
                    </a:stretch>
                  </pic:blipFill>
                  <pic:spPr bwMode="auto">
                    <a:xfrm>
                      <a:off x="0" y="0"/>
                      <a:ext cx="2416810" cy="635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11430</wp:posOffset>
            </wp:positionV>
            <wp:extent cx="2366645" cy="285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19">
                      <a:extLst>
                        <a:ext uri="{28A0092B-C50C-407E-A947-70E740481C1C}"/>
                      </a:extLst>
                    </a:blip>
                    <a:srcRect/>
                    <a:stretch>
                      <a:fillRect/>
                    </a:stretch>
                  </pic:blipFill>
                  <pic:spPr bwMode="auto">
                    <a:xfrm>
                      <a:off x="0" y="0"/>
                      <a:ext cx="2366645" cy="2857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19 - Qualified Affordable Housing Project Investments</w:t>
      </w:r>
    </w:p>
    <w:p>
      <w:pPr>
        <w:spacing w:after="0" w:line="200" w:lineRule="exact"/>
        <w:rPr>
          <w:sz w:val="20"/>
          <w:szCs w:val="20"/>
          <w:color w:val="auto"/>
        </w:rPr>
      </w:pPr>
    </w:p>
    <w:p>
      <w:pPr>
        <w:jc w:val="both"/>
        <w:ind w:left="620" w:right="40"/>
        <w:spacing w:after="0" w:line="311" w:lineRule="auto"/>
        <w:rPr>
          <w:sz w:val="20"/>
          <w:szCs w:val="20"/>
          <w:color w:val="auto"/>
        </w:rPr>
      </w:pPr>
      <w:r>
        <w:rPr>
          <w:rFonts w:ascii="Arial" w:cs="Arial" w:eastAsia="Arial" w:hAnsi="Arial"/>
          <w:sz w:val="20"/>
          <w:szCs w:val="20"/>
          <w:color w:val="auto"/>
        </w:rPr>
        <w:t>The Company invests in certain qualified affordable housing projects. The Company has elected to account for its investment in qualified affordable housing projects using the proportional amortization method. Under the proportional amortization method, an investor amortizes the initial cost of the investment to income tax expense in proportion to the tax credits and other tax benefits received and recognizes the net investment performance in the income statement as a component of income tax expense. See Note 11 of the Notes to the Consolidated Financial Statements.</w:t>
      </w:r>
    </w:p>
    <w:p>
      <w:pPr>
        <w:spacing w:after="0" w:line="252" w:lineRule="exact"/>
        <w:rPr>
          <w:sz w:val="20"/>
          <w:szCs w:val="20"/>
          <w:color w:val="auto"/>
        </w:rPr>
      </w:pPr>
    </w:p>
    <w:p>
      <w:pPr>
        <w:jc w:val="both"/>
        <w:ind w:left="620" w:right="60"/>
        <w:spacing w:after="0" w:line="307" w:lineRule="auto"/>
        <w:rPr>
          <w:sz w:val="20"/>
          <w:szCs w:val="20"/>
          <w:color w:val="auto"/>
        </w:rPr>
      </w:pPr>
      <w:r>
        <w:rPr>
          <w:rFonts w:ascii="Arial" w:cs="Arial" w:eastAsia="Arial" w:hAnsi="Arial"/>
          <w:sz w:val="20"/>
          <w:szCs w:val="20"/>
          <w:color w:val="auto"/>
        </w:rPr>
        <w:t>At December 31, 2025 and December 31, 2024, the balance of the Company's investments in qualified affordable housing projects was $3.1 million and $3.6 million, respectively. This balance is reflected in the other</w:t>
      </w:r>
    </w:p>
    <w:p>
      <w:pPr>
        <w:spacing w:after="0" w:line="17" w:lineRule="exact"/>
        <w:rPr>
          <w:sz w:val="20"/>
          <w:szCs w:val="20"/>
          <w:color w:val="auto"/>
        </w:rPr>
      </w:pPr>
    </w:p>
    <w:p>
      <w:pPr>
        <w:jc w:val="both"/>
        <w:ind w:left="620" w:right="40"/>
        <w:spacing w:after="0" w:line="309" w:lineRule="auto"/>
        <w:rPr>
          <w:sz w:val="20"/>
          <w:szCs w:val="20"/>
          <w:color w:val="auto"/>
        </w:rPr>
      </w:pPr>
      <w:r>
        <w:rPr>
          <w:rFonts w:ascii="Arial" w:cs="Arial" w:eastAsia="Arial" w:hAnsi="Arial"/>
          <w:sz w:val="20"/>
          <w:szCs w:val="20"/>
          <w:color w:val="auto"/>
        </w:rPr>
        <w:t>assets line on the consolidated balance sheets. The unfunded commitments related to the investments in qualified affordable housing projects totaled $418 thousand and $880 thousand at December 31, 2025 and December 31, 2024, respectively. This balance is reflected in the accrued expense and other liabilities line on the consolidated balance sheets.</w:t>
      </w:r>
    </w:p>
    <w:p>
      <w:pPr>
        <w:spacing w:after="0" w:line="256" w:lineRule="exact"/>
        <w:rPr>
          <w:sz w:val="20"/>
          <w:szCs w:val="20"/>
          <w:color w:val="auto"/>
        </w:rPr>
      </w:pPr>
    </w:p>
    <w:p>
      <w:pPr>
        <w:jc w:val="both"/>
        <w:ind w:left="620" w:right="60"/>
        <w:spacing w:after="0" w:line="302" w:lineRule="auto"/>
        <w:rPr>
          <w:sz w:val="20"/>
          <w:szCs w:val="20"/>
          <w:color w:val="auto"/>
        </w:rPr>
      </w:pPr>
      <w:r>
        <w:rPr>
          <w:rFonts w:ascii="Arial" w:cs="Arial" w:eastAsia="Arial" w:hAnsi="Arial"/>
          <w:sz w:val="20"/>
          <w:szCs w:val="20"/>
          <w:color w:val="auto"/>
        </w:rPr>
        <w:t>The Company did not incur any impairment losses related to its investments in qualified affordable housing projects in 2025 or 2024.</w:t>
      </w:r>
    </w:p>
    <w:p>
      <w:pPr>
        <w:spacing w:after="0" w:line="261" w:lineRule="exact"/>
        <w:rPr>
          <w:sz w:val="20"/>
          <w:szCs w:val="20"/>
          <w:color w:val="auto"/>
        </w:rPr>
      </w:pPr>
    </w:p>
    <w:p>
      <w:pPr>
        <w:jc w:val="both"/>
        <w:ind w:left="620" w:right="60"/>
        <w:spacing w:after="0" w:line="307" w:lineRule="auto"/>
        <w:rPr>
          <w:sz w:val="20"/>
          <w:szCs w:val="20"/>
          <w:color w:val="auto"/>
        </w:rPr>
      </w:pPr>
      <w:r>
        <w:rPr>
          <w:rFonts w:ascii="Arial" w:cs="Arial" w:eastAsia="Arial" w:hAnsi="Arial"/>
          <w:sz w:val="20"/>
          <w:szCs w:val="20"/>
          <w:color w:val="auto"/>
        </w:rPr>
        <w:t>The following tables present the Company's investments in qualified affordable housing projects as of December 31, 2025 and 2024 along with the related expenses and tax credits recognized for the years ended December 31, 2025 and 2024:</w:t>
      </w:r>
    </w:p>
    <w:p>
      <w:pPr>
        <w:spacing w:after="0" w:line="352"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160" w:type="dxa"/>
            <w:vAlign w:val="bottom"/>
            <w:gridSpan w:val="2"/>
          </w:tcPr>
          <w:p>
            <w:pPr>
              <w:ind w:left="560"/>
              <w:spacing w:after="0"/>
              <w:rPr>
                <w:sz w:val="20"/>
                <w:szCs w:val="20"/>
                <w:color w:val="auto"/>
              </w:rPr>
            </w:pPr>
            <w:r>
              <w:rPr>
                <w:rFonts w:ascii="Arial" w:cs="Arial" w:eastAsia="Arial" w:hAnsi="Arial"/>
                <w:sz w:val="20"/>
                <w:szCs w:val="20"/>
                <w:color w:val="auto"/>
              </w:rPr>
              <w:t>(In Thousands)</w:t>
            </w:r>
          </w:p>
        </w:tc>
        <w:tc>
          <w:tcPr>
            <w:tcW w:w="920" w:type="dxa"/>
            <w:vAlign w:val="bottom"/>
          </w:tcPr>
          <w:p>
            <w:pPr>
              <w:spacing w:after="0"/>
              <w:rPr>
                <w:sz w:val="19"/>
                <w:szCs w:val="19"/>
                <w:color w:val="auto"/>
              </w:rPr>
            </w:pPr>
          </w:p>
        </w:tc>
      </w:tr>
      <w:tr>
        <w:trPr>
          <w:trHeight w:val="324"/>
        </w:trPr>
        <w:tc>
          <w:tcPr>
            <w:tcW w:w="3160" w:type="dxa"/>
            <w:vAlign w:val="bottom"/>
          </w:tcPr>
          <w:p>
            <w:pPr>
              <w:spacing w:after="0"/>
              <w:rPr>
                <w:sz w:val="24"/>
                <w:szCs w:val="24"/>
                <w:color w:val="auto"/>
              </w:rPr>
            </w:pPr>
          </w:p>
        </w:tc>
        <w:tc>
          <w:tcPr>
            <w:tcW w:w="2500" w:type="dxa"/>
            <w:vAlign w:val="bottom"/>
            <w:gridSpan w:val="2"/>
          </w:tcPr>
          <w:p>
            <w:pPr>
              <w:ind w:left="660"/>
              <w:spacing w:after="0"/>
              <w:rPr>
                <w:sz w:val="20"/>
                <w:szCs w:val="20"/>
                <w:color w:val="auto"/>
              </w:rPr>
            </w:pPr>
            <w:r>
              <w:rPr>
                <w:rFonts w:ascii="Arial" w:cs="Arial" w:eastAsia="Arial" w:hAnsi="Arial"/>
                <w:sz w:val="20"/>
                <w:szCs w:val="20"/>
                <w:color w:val="auto"/>
              </w:rPr>
              <w:t>December 31, 2025</w:t>
            </w:r>
          </w:p>
        </w:tc>
        <w:tc>
          <w:tcPr>
            <w:tcW w:w="1860" w:type="dxa"/>
            <w:vAlign w:val="bottom"/>
            <w:gridSpan w:val="2"/>
          </w:tcPr>
          <w:p>
            <w:pPr>
              <w:ind w:left="160"/>
              <w:spacing w:after="0"/>
              <w:rPr>
                <w:sz w:val="20"/>
                <w:szCs w:val="20"/>
                <w:color w:val="auto"/>
              </w:rPr>
            </w:pPr>
            <w:r>
              <w:rPr>
                <w:rFonts w:ascii="Arial" w:cs="Arial" w:eastAsia="Arial" w:hAnsi="Arial"/>
                <w:sz w:val="20"/>
                <w:szCs w:val="20"/>
                <w:color w:val="auto"/>
                <w:w w:val="95"/>
              </w:rPr>
              <w:t>December 31, 2024</w:t>
            </w:r>
          </w:p>
        </w:tc>
      </w:tr>
      <w:tr>
        <w:trPr>
          <w:trHeight w:val="51"/>
        </w:trPr>
        <w:tc>
          <w:tcPr>
            <w:tcW w:w="3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74"/>
        </w:trPr>
        <w:tc>
          <w:tcPr>
            <w:tcW w:w="3160" w:type="dxa"/>
            <w:vAlign w:val="bottom"/>
            <w:shd w:val="clear" w:color="auto" w:fill="CFF0FC"/>
          </w:tcPr>
          <w:p>
            <w:pPr>
              <w:spacing w:after="0"/>
              <w:rPr>
                <w:sz w:val="20"/>
                <w:szCs w:val="20"/>
                <w:color w:val="auto"/>
              </w:rPr>
            </w:pPr>
            <w:r>
              <w:rPr>
                <w:rFonts w:ascii="Arial" w:cs="Arial" w:eastAsia="Arial" w:hAnsi="Arial"/>
                <w:sz w:val="20"/>
                <w:szCs w:val="20"/>
                <w:color w:val="auto"/>
              </w:rPr>
              <w:t>Low-income-housing tax credit</w:t>
            </w:r>
          </w:p>
        </w:tc>
        <w:tc>
          <w:tcPr>
            <w:tcW w:w="128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r>
      <w:tr>
        <w:trPr>
          <w:trHeight w:val="321"/>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investments</w:t>
            </w:r>
          </w:p>
        </w:tc>
        <w:tc>
          <w:tcPr>
            <w:tcW w:w="128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4,000</w:t>
            </w:r>
          </w:p>
        </w:tc>
        <w:tc>
          <w:tcPr>
            <w:tcW w:w="9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4,000</w:t>
            </w:r>
          </w:p>
        </w:tc>
      </w:tr>
      <w:tr>
        <w:trPr>
          <w:trHeight w:val="284"/>
        </w:trPr>
        <w:tc>
          <w:tcPr>
            <w:tcW w:w="3160" w:type="dxa"/>
            <w:vAlign w:val="bottom"/>
          </w:tcPr>
          <w:p>
            <w:pPr>
              <w:spacing w:after="0"/>
              <w:rPr>
                <w:sz w:val="20"/>
                <w:szCs w:val="20"/>
                <w:color w:val="auto"/>
              </w:rPr>
            </w:pPr>
            <w:r>
              <w:rPr>
                <w:rFonts w:ascii="Arial" w:cs="Arial" w:eastAsia="Arial" w:hAnsi="Arial"/>
                <w:sz w:val="20"/>
                <w:szCs w:val="20"/>
                <w:color w:val="auto"/>
              </w:rPr>
              <w:t>Unfunded commitments</w:t>
            </w:r>
          </w:p>
        </w:tc>
        <w:tc>
          <w:tcPr>
            <w:tcW w:w="1280" w:type="dxa"/>
            <w:vAlign w:val="bottom"/>
          </w:tcPr>
          <w:p>
            <w:pPr>
              <w:spacing w:after="0"/>
              <w:rPr>
                <w:sz w:val="24"/>
                <w:szCs w:val="24"/>
                <w:color w:val="auto"/>
              </w:rPr>
            </w:pPr>
          </w:p>
        </w:tc>
        <w:tc>
          <w:tcPr>
            <w:tcW w:w="1220" w:type="dxa"/>
            <w:vAlign w:val="bottom"/>
          </w:tcPr>
          <w:p>
            <w:pPr>
              <w:jc w:val="right"/>
              <w:ind w:right="60"/>
              <w:spacing w:after="0"/>
              <w:rPr>
                <w:sz w:val="20"/>
                <w:szCs w:val="20"/>
                <w:color w:val="auto"/>
              </w:rPr>
            </w:pPr>
            <w:r>
              <w:rPr>
                <w:rFonts w:ascii="Arial" w:cs="Arial" w:eastAsia="Arial" w:hAnsi="Arial"/>
                <w:sz w:val="20"/>
                <w:szCs w:val="20"/>
                <w:color w:val="auto"/>
              </w:rPr>
              <w:t>(418)</w:t>
            </w:r>
          </w:p>
        </w:tc>
        <w:tc>
          <w:tcPr>
            <w:tcW w:w="9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-782320</wp:posOffset>
            </wp:positionV>
            <wp:extent cx="2300605" cy="63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0">
                      <a:extLst>
                        <a:ext uri="{28A0092B-C50C-407E-A947-70E740481C1C}"/>
                      </a:extLst>
                    </a:blip>
                    <a:srcRect/>
                    <a:stretch>
                      <a:fillRect/>
                    </a:stretch>
                  </pic:blipFill>
                  <pic:spPr bwMode="auto">
                    <a:xfrm>
                      <a:off x="0" y="0"/>
                      <a:ext cx="2300605" cy="635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-575945</wp:posOffset>
            </wp:positionV>
            <wp:extent cx="2300605" cy="63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1">
                      <a:extLst>
                        <a:ext uri="{28A0092B-C50C-407E-A947-70E740481C1C}"/>
                      </a:extLst>
                    </a:blip>
                    <a:srcRect/>
                    <a:stretch>
                      <a:fillRect/>
                    </a:stretch>
                  </pic:blipFill>
                  <pic:spPr bwMode="auto">
                    <a:xfrm>
                      <a:off x="0" y="0"/>
                      <a:ext cx="2300605" cy="635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19685</wp:posOffset>
            </wp:positionV>
            <wp:extent cx="2300605" cy="63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2">
                      <a:extLst>
                        <a:ext uri="{28A0092B-C50C-407E-A947-70E740481C1C}"/>
                      </a:extLst>
                    </a:blip>
                    <a:srcRect/>
                    <a:stretch>
                      <a:fillRect/>
                    </a:stretch>
                  </pic:blipFill>
                  <pic:spPr bwMode="auto">
                    <a:xfrm>
                      <a:off x="0" y="0"/>
                      <a:ext cx="230060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17</w:t>
      </w:r>
    </w:p>
    <w:p>
      <w:pPr>
        <w:sectPr>
          <w:pgSz w:w="11900" w:h="16838" w:orient="portrait"/>
          <w:cols w:equalWidth="0" w:num="1">
            <w:col w:w="9400"/>
          </w:cols>
          <w:pgMar w:left="1260" w:top="1440" w:right="1246" w:bottom="0" w:gutter="0" w:footer="0" w:header="0"/>
          <w:type w:val="continuous"/>
        </w:sectPr>
      </w:pPr>
    </w:p>
    <w:bookmarkStart w:id="226" w:name="page227"/>
    <w:bookmarkEnd w:id="226"/>
    <w:tbl>
      <w:tblPr>
        <w:tblLayout w:type="fixed"/>
        <w:tblInd w:w="940" w:type="dxa"/>
        <w:tblCellMar>
          <w:top w:w="0" w:type="dxa"/>
          <w:left w:w="0" w:type="dxa"/>
          <w:bottom w:w="0" w:type="dxa"/>
          <w:right w:w="0" w:type="dxa"/>
        </w:tblCellMar>
      </w:tblPr>
      <w:tr>
        <w:trPr>
          <w:trHeight w:val="274"/>
        </w:trPr>
        <w:tc>
          <w:tcPr>
            <w:tcW w:w="3600" w:type="dxa"/>
            <w:vAlign w:val="bottom"/>
            <w:shd w:val="clear" w:color="auto" w:fill="CFF0FC"/>
          </w:tcPr>
          <w:p>
            <w:pPr>
              <w:spacing w:after="0"/>
              <w:rPr>
                <w:sz w:val="20"/>
                <w:szCs w:val="20"/>
                <w:color w:val="auto"/>
              </w:rPr>
            </w:pPr>
            <w:r>
              <w:rPr>
                <w:rFonts w:ascii="Arial" w:cs="Arial" w:eastAsia="Arial" w:hAnsi="Arial"/>
                <w:sz w:val="20"/>
                <w:szCs w:val="20"/>
                <w:color w:val="auto"/>
                <w:w w:val="97"/>
              </w:rPr>
              <w:t>Net funded low-income-housing tax credit</w:t>
            </w:r>
          </w:p>
        </w:tc>
        <w:tc>
          <w:tcPr>
            <w:tcW w:w="76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r>
      <w:tr>
        <w:trPr>
          <w:trHeight w:val="321"/>
        </w:trPr>
        <w:tc>
          <w:tcPr>
            <w:tcW w:w="36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investments</w:t>
            </w:r>
          </w:p>
        </w:tc>
        <w:tc>
          <w:tcPr>
            <w:tcW w:w="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3,582</w:t>
            </w:r>
          </w:p>
        </w:tc>
        <w:tc>
          <w:tcPr>
            <w:tcW w:w="10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3,120</w:t>
            </w:r>
          </w:p>
        </w:tc>
      </w:tr>
      <w:tr>
        <w:trPr>
          <w:trHeight w:val="904"/>
        </w:trPr>
        <w:tc>
          <w:tcPr>
            <w:tcW w:w="3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20" w:type="dxa"/>
            <w:vAlign w:val="bottom"/>
            <w:gridSpan w:val="2"/>
          </w:tcPr>
          <w:p>
            <w:pPr>
              <w:jc w:val="center"/>
              <w:ind w:left="80"/>
              <w:spacing w:after="0"/>
              <w:rPr>
                <w:sz w:val="20"/>
                <w:szCs w:val="20"/>
                <w:color w:val="auto"/>
              </w:rPr>
            </w:pPr>
            <w:r>
              <w:rPr>
                <w:rFonts w:ascii="Arial" w:cs="Arial" w:eastAsia="Arial" w:hAnsi="Arial"/>
                <w:sz w:val="20"/>
                <w:szCs w:val="20"/>
                <w:color w:val="auto"/>
                <w:w w:val="90"/>
              </w:rPr>
              <w:t>(In Thousands)</w:t>
            </w:r>
          </w:p>
        </w:tc>
        <w:tc>
          <w:tcPr>
            <w:tcW w:w="840" w:type="dxa"/>
            <w:vAlign w:val="bottom"/>
          </w:tcPr>
          <w:p>
            <w:pPr>
              <w:spacing w:after="0"/>
              <w:rPr>
                <w:sz w:val="24"/>
                <w:szCs w:val="24"/>
                <w:color w:val="auto"/>
              </w:rPr>
            </w:pPr>
          </w:p>
        </w:tc>
      </w:tr>
      <w:tr>
        <w:trPr>
          <w:trHeight w:val="324"/>
        </w:trPr>
        <w:tc>
          <w:tcPr>
            <w:tcW w:w="3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20" w:type="dxa"/>
            <w:vAlign w:val="bottom"/>
            <w:gridSpan w:val="2"/>
          </w:tcPr>
          <w:p>
            <w:pPr>
              <w:jc w:val="center"/>
              <w:ind w:left="80"/>
              <w:spacing w:after="0"/>
              <w:rPr>
                <w:sz w:val="20"/>
                <w:szCs w:val="20"/>
                <w:color w:val="auto"/>
              </w:rPr>
            </w:pPr>
            <w:r>
              <w:rPr>
                <w:rFonts w:ascii="Arial" w:cs="Arial" w:eastAsia="Arial" w:hAnsi="Arial"/>
                <w:sz w:val="20"/>
                <w:szCs w:val="20"/>
                <w:color w:val="auto"/>
                <w:w w:val="89"/>
              </w:rPr>
              <w:t>Year to Date Ended</w:t>
            </w:r>
          </w:p>
        </w:tc>
        <w:tc>
          <w:tcPr>
            <w:tcW w:w="840" w:type="dxa"/>
            <w:vAlign w:val="bottom"/>
          </w:tcPr>
          <w:p>
            <w:pPr>
              <w:spacing w:after="0"/>
              <w:rPr>
                <w:sz w:val="24"/>
                <w:szCs w:val="24"/>
                <w:color w:val="auto"/>
              </w:rPr>
            </w:pPr>
          </w:p>
        </w:tc>
      </w:tr>
      <w:tr>
        <w:trPr>
          <w:trHeight w:val="324"/>
        </w:trPr>
        <w:tc>
          <w:tcPr>
            <w:tcW w:w="3600" w:type="dxa"/>
            <w:vAlign w:val="bottom"/>
          </w:tcPr>
          <w:p>
            <w:pPr>
              <w:spacing w:after="0"/>
              <w:rPr>
                <w:sz w:val="24"/>
                <w:szCs w:val="24"/>
                <w:color w:val="auto"/>
              </w:rPr>
            </w:pPr>
          </w:p>
        </w:tc>
        <w:tc>
          <w:tcPr>
            <w:tcW w:w="2020" w:type="dxa"/>
            <w:vAlign w:val="bottom"/>
            <w:gridSpan w:val="2"/>
          </w:tcPr>
          <w:p>
            <w:pPr>
              <w:ind w:left="220"/>
              <w:spacing w:after="0"/>
              <w:rPr>
                <w:sz w:val="20"/>
                <w:szCs w:val="20"/>
                <w:color w:val="auto"/>
              </w:rPr>
            </w:pPr>
            <w:r>
              <w:rPr>
                <w:rFonts w:ascii="Arial" w:cs="Arial" w:eastAsia="Arial" w:hAnsi="Arial"/>
                <w:sz w:val="20"/>
                <w:szCs w:val="20"/>
                <w:color w:val="auto"/>
              </w:rPr>
              <w:t>December 31, 2025</w:t>
            </w:r>
          </w:p>
        </w:tc>
        <w:tc>
          <w:tcPr>
            <w:tcW w:w="1900" w:type="dxa"/>
            <w:vAlign w:val="bottom"/>
            <w:gridSpan w:val="2"/>
          </w:tcPr>
          <w:p>
            <w:pPr>
              <w:ind w:left="220"/>
              <w:spacing w:after="0"/>
              <w:rPr>
                <w:sz w:val="20"/>
                <w:szCs w:val="20"/>
                <w:color w:val="auto"/>
              </w:rPr>
            </w:pPr>
            <w:r>
              <w:rPr>
                <w:rFonts w:ascii="Arial" w:cs="Arial" w:eastAsia="Arial" w:hAnsi="Arial"/>
                <w:sz w:val="20"/>
                <w:szCs w:val="20"/>
                <w:color w:val="auto"/>
                <w:w w:val="94"/>
              </w:rPr>
              <w:t>December 31, 2024</w:t>
            </w:r>
          </w:p>
        </w:tc>
      </w:tr>
      <w:tr>
        <w:trPr>
          <w:trHeight w:val="51"/>
        </w:trPr>
        <w:tc>
          <w:tcPr>
            <w:tcW w:w="3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94"/>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Amortization expense</w:t>
            </w:r>
          </w:p>
        </w:tc>
        <w:tc>
          <w:tcPr>
            <w:tcW w:w="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436</w:t>
            </w:r>
          </w:p>
        </w:tc>
        <w:tc>
          <w:tcPr>
            <w:tcW w:w="10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422</w:t>
            </w:r>
          </w:p>
        </w:tc>
      </w:tr>
      <w:tr>
        <w:trPr>
          <w:trHeight w:val="314"/>
        </w:trPr>
        <w:tc>
          <w:tcPr>
            <w:tcW w:w="3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4"/>
        </w:trPr>
        <w:tc>
          <w:tcPr>
            <w:tcW w:w="3600" w:type="dxa"/>
            <w:vAlign w:val="bottom"/>
            <w:shd w:val="clear" w:color="auto" w:fill="CFF0FC"/>
          </w:tcPr>
          <w:p>
            <w:pPr>
              <w:spacing w:after="0"/>
              <w:rPr>
                <w:sz w:val="20"/>
                <w:szCs w:val="20"/>
                <w:color w:val="auto"/>
              </w:rPr>
            </w:pPr>
            <w:r>
              <w:rPr>
                <w:rFonts w:ascii="Arial" w:cs="Arial" w:eastAsia="Arial" w:hAnsi="Arial"/>
                <w:sz w:val="20"/>
                <w:szCs w:val="20"/>
                <w:color w:val="auto"/>
              </w:rPr>
              <w:t>Tax credits recognized</w:t>
            </w:r>
          </w:p>
        </w:tc>
        <w:tc>
          <w:tcPr>
            <w:tcW w:w="760" w:type="dxa"/>
            <w:vAlign w:val="bottom"/>
            <w:shd w:val="clear" w:color="auto" w:fill="CFF0FC"/>
          </w:tcPr>
          <w:p>
            <w:pPr>
              <w:ind w:left="20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434</w:t>
            </w:r>
          </w:p>
        </w:tc>
        <w:tc>
          <w:tcPr>
            <w:tcW w:w="1060" w:type="dxa"/>
            <w:vAlign w:val="bottom"/>
            <w:shd w:val="clear" w:color="auto" w:fill="CFF0FC"/>
          </w:tcPr>
          <w:p>
            <w:pPr>
              <w:ind w:left="180"/>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417</w:t>
            </w:r>
          </w:p>
        </w:tc>
      </w:tr>
      <w:tr>
        <w:trPr>
          <w:trHeight w:val="41"/>
        </w:trPr>
        <w:tc>
          <w:tcPr>
            <w:tcW w:w="360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-1644650</wp:posOffset>
            </wp:positionV>
            <wp:extent cx="2352040" cy="2857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3">
                      <a:extLst>
                        <a:ext uri="{28A0092B-C50C-407E-A947-70E740481C1C}"/>
                      </a:extLst>
                    </a:blip>
                    <a:srcRect/>
                    <a:stretch>
                      <a:fillRect/>
                    </a:stretch>
                  </pic:blipFill>
                  <pic:spPr bwMode="auto">
                    <a:xfrm>
                      <a:off x="0" y="0"/>
                      <a:ext cx="2352040" cy="2857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-1016635</wp:posOffset>
            </wp:positionV>
            <wp:extent cx="2305050" cy="63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4">
                      <a:extLst>
                        <a:ext uri="{28A0092B-C50C-407E-A947-70E740481C1C}"/>
                      </a:extLst>
                    </a:blip>
                    <a:srcRect/>
                    <a:stretch>
                      <a:fillRect/>
                    </a:stretch>
                  </pic:blipFill>
                  <pic:spPr bwMode="auto">
                    <a:xfrm>
                      <a:off x="0" y="0"/>
                      <a:ext cx="2305050" cy="635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-810895</wp:posOffset>
            </wp:positionV>
            <wp:extent cx="2305050" cy="63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5">
                      <a:extLst>
                        <a:ext uri="{28A0092B-C50C-407E-A947-70E740481C1C}"/>
                      </a:extLst>
                    </a:blip>
                    <a:srcRect/>
                    <a:stretch>
                      <a:fillRect/>
                    </a:stretch>
                  </pic:blipFill>
                  <pic:spPr bwMode="auto">
                    <a:xfrm>
                      <a:off x="0" y="0"/>
                      <a:ext cx="2305050" cy="635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-604520</wp:posOffset>
            </wp:positionV>
            <wp:extent cx="2305050" cy="635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6">
                      <a:extLst>
                        <a:ext uri="{28A0092B-C50C-407E-A947-70E740481C1C}"/>
                      </a:extLst>
                    </a:blip>
                    <a:srcRect/>
                    <a:stretch>
                      <a:fillRect/>
                    </a:stretch>
                  </pic:blipFill>
                  <pic:spPr bwMode="auto">
                    <a:xfrm>
                      <a:off x="0" y="0"/>
                      <a:ext cx="2305050" cy="63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20 - Fair Value of Financial Instruments</w:t>
      </w:r>
    </w:p>
    <w:p>
      <w:pPr>
        <w:spacing w:after="0" w:line="200" w:lineRule="exact"/>
        <w:rPr>
          <w:sz w:val="20"/>
          <w:szCs w:val="20"/>
          <w:color w:val="auto"/>
        </w:rPr>
      </w:pPr>
    </w:p>
    <w:p>
      <w:pPr>
        <w:jc w:val="both"/>
        <w:ind w:left="620"/>
        <w:spacing w:after="0" w:line="309" w:lineRule="auto"/>
        <w:rPr>
          <w:sz w:val="20"/>
          <w:szCs w:val="20"/>
          <w:color w:val="auto"/>
        </w:rPr>
      </w:pPr>
      <w:r>
        <w:rPr>
          <w:rFonts w:ascii="Arial" w:cs="Arial" w:eastAsia="Arial" w:hAnsi="Arial"/>
          <w:sz w:val="20"/>
          <w:szCs w:val="20"/>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 / 17</w:t>
      </w:r>
    </w:p>
    <w:p>
      <w:pPr>
        <w:sectPr>
          <w:pgSz w:w="11900" w:h="16838" w:orient="portrait"/>
          <w:cols w:equalWidth="0" w:num="1">
            <w:col w:w="9340"/>
          </w:cols>
          <w:pgMar w:left="1260" w:top="1133" w:right="1306" w:bottom="0" w:gutter="0" w:footer="0" w:header="0"/>
          <w:type w:val="continuous"/>
        </w:sectPr>
      </w:pPr>
    </w:p>
    <w:bookmarkStart w:id="227" w:name="page228"/>
    <w:bookmarkEnd w:id="227"/>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300" w:lineRule="exact"/>
        <w:rPr>
          <w:sz w:val="20"/>
          <w:szCs w:val="20"/>
          <w:color w:val="auto"/>
        </w:rPr>
      </w:pPr>
    </w:p>
    <w:p>
      <w:pPr>
        <w:jc w:val="both"/>
        <w:ind w:left="620" w:right="60"/>
        <w:spacing w:after="0" w:line="307" w:lineRule="auto"/>
        <w:rPr>
          <w:sz w:val="20"/>
          <w:szCs w:val="20"/>
          <w:color w:val="auto"/>
        </w:rPr>
      </w:pPr>
      <w:r>
        <w:rPr>
          <w:rFonts w:ascii="Arial" w:cs="Arial" w:eastAsia="Arial" w:hAnsi="Arial"/>
          <w:sz w:val="20"/>
          <w:szCs w:val="20"/>
          <w:color w:val="auto"/>
        </w:rPr>
        <w:t>assets including deferred tax assets, Bank premises and equipment and intangibles. Further, the tax ramifications related to the realization of the unrealized gains and losses can have a significant effect on the fair value estimates and have not been considered in any of the estimates.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Fair Value Measurements</w:t>
      </w:r>
    </w:p>
    <w:p>
      <w:pPr>
        <w:spacing w:after="0" w:line="200" w:lineRule="exact"/>
        <w:rPr>
          <w:sz w:val="20"/>
          <w:szCs w:val="20"/>
          <w:color w:val="auto"/>
        </w:rPr>
      </w:pPr>
    </w:p>
    <w:p>
      <w:pPr>
        <w:ind w:left="620" w:right="40"/>
        <w:spacing w:after="0" w:line="302" w:lineRule="auto"/>
        <w:rPr>
          <w:sz w:val="20"/>
          <w:szCs w:val="20"/>
          <w:color w:val="auto"/>
        </w:rPr>
      </w:pPr>
      <w:r>
        <w:rPr>
          <w:rFonts w:ascii="Arial" w:cs="Arial" w:eastAsia="Arial" w:hAnsi="Arial"/>
          <w:sz w:val="20"/>
          <w:szCs w:val="20"/>
          <w:color w:val="auto"/>
        </w:rPr>
        <w:t>In general, fair values determined by Level 1 inputs use quoted prices in active markets for identical assets or liabilities in active markets that the Company has the ability to access.</w:t>
      </w:r>
    </w:p>
    <w:p>
      <w:pPr>
        <w:spacing w:after="0" w:line="261" w:lineRule="exact"/>
        <w:rPr>
          <w:sz w:val="20"/>
          <w:szCs w:val="20"/>
          <w:color w:val="auto"/>
        </w:rPr>
      </w:pPr>
    </w:p>
    <w:p>
      <w:pPr>
        <w:jc w:val="both"/>
        <w:ind w:left="620" w:right="80"/>
        <w:spacing w:after="0" w:line="302" w:lineRule="auto"/>
        <w:rPr>
          <w:sz w:val="20"/>
          <w:szCs w:val="20"/>
          <w:color w:val="auto"/>
        </w:rPr>
      </w:pPr>
      <w:r>
        <w:rPr>
          <w:rFonts w:ascii="Arial" w:cs="Arial" w:eastAsia="Arial" w:hAnsi="Arial"/>
          <w:sz w:val="20"/>
          <w:szCs w:val="20"/>
          <w:color w:val="auto"/>
        </w:rPr>
        <w:t>Available-for-sale securities - When quoted prices are available in an active market, securities are valued using the quoted price and are classified as Level 1. The quoted prices are not adjusted.</w:t>
      </w:r>
    </w:p>
    <w:p>
      <w:pPr>
        <w:spacing w:after="0" w:line="261" w:lineRule="exact"/>
        <w:rPr>
          <w:sz w:val="20"/>
          <w:szCs w:val="20"/>
          <w:color w:val="auto"/>
        </w:rPr>
      </w:pPr>
    </w:p>
    <w:p>
      <w:pPr>
        <w:jc w:val="both"/>
        <w:ind w:left="620" w:right="80"/>
        <w:spacing w:after="0" w:line="355"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222" w:lineRule="exact"/>
        <w:rPr>
          <w:sz w:val="20"/>
          <w:szCs w:val="20"/>
          <w:color w:val="auto"/>
        </w:rPr>
      </w:pPr>
    </w:p>
    <w:p>
      <w:pPr>
        <w:jc w:val="both"/>
        <w:ind w:left="620" w:right="60"/>
        <w:spacing w:after="0" w:line="329" w:lineRule="auto"/>
        <w:rPr>
          <w:sz w:val="20"/>
          <w:szCs w:val="20"/>
          <w:color w:val="auto"/>
        </w:rPr>
      </w:pPr>
      <w:r>
        <w:rPr>
          <w:rFonts w:ascii="Arial" w:cs="Arial" w:eastAsia="Arial" w:hAnsi="Arial"/>
          <w:sz w:val="19"/>
          <w:szCs w:val="19"/>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243" w:lineRule="exact"/>
        <w:rPr>
          <w:sz w:val="20"/>
          <w:szCs w:val="20"/>
          <w:color w:val="auto"/>
        </w:rPr>
      </w:pPr>
    </w:p>
    <w:p>
      <w:pPr>
        <w:jc w:val="both"/>
        <w:ind w:left="620" w:right="60"/>
        <w:spacing w:after="0" w:line="307" w:lineRule="auto"/>
        <w:rPr>
          <w:sz w:val="20"/>
          <w:szCs w:val="20"/>
          <w:color w:val="auto"/>
        </w:rPr>
      </w:pPr>
      <w:r>
        <w:rPr>
          <w:rFonts w:ascii="Arial" w:cs="Arial" w:eastAsia="Arial" w:hAnsi="Arial"/>
          <w:sz w:val="20"/>
          <w:szCs w:val="20"/>
          <w:color w:val="auto"/>
        </w:rPr>
        <w:t>Interest rate swaps classified as Level 2 are valued using the prices obtained from an independent pricing service and not adjusted. The fair value of interest rate swaps with a positive fair value are reported as assets while interest rate swaps with a negative fair value are reported as liabilities.</w:t>
      </w:r>
    </w:p>
    <w:p>
      <w:pPr>
        <w:spacing w:after="0" w:line="257" w:lineRule="exact"/>
        <w:rPr>
          <w:sz w:val="20"/>
          <w:szCs w:val="20"/>
          <w:color w:val="auto"/>
        </w:rPr>
      </w:pPr>
    </w:p>
    <w:p>
      <w:pPr>
        <w:jc w:val="both"/>
        <w:ind w:left="620" w:right="40"/>
        <w:spacing w:after="0" w:line="309" w:lineRule="auto"/>
        <w:rPr>
          <w:sz w:val="20"/>
          <w:szCs w:val="20"/>
          <w:color w:val="auto"/>
        </w:rPr>
      </w:pPr>
      <w:r>
        <w:rPr>
          <w:rFonts w:ascii="Arial" w:cs="Arial" w:eastAsia="Arial" w:hAnsi="Arial"/>
          <w:sz w:val="20"/>
          <w:szCs w:val="20"/>
          <w:color w:val="auto"/>
        </w:rPr>
        <w:t>Level 3 inputs are unobservable inputs, including inputs that are available in situations where there is little, if any, market activity for the related asset or liability. The Bank holds four local municipals that the Bank evaluates based on the credit strength of the underlying project. The fair value is determined by valuing similar credit payment streams at similar rates.</w:t>
      </w:r>
    </w:p>
    <w:p>
      <w:pPr>
        <w:spacing w:after="0" w:line="256" w:lineRule="exact"/>
        <w:rPr>
          <w:sz w:val="20"/>
          <w:szCs w:val="20"/>
          <w:color w:val="auto"/>
        </w:rPr>
      </w:pPr>
    </w:p>
    <w:p>
      <w:pPr>
        <w:jc w:val="both"/>
        <w:ind w:left="620" w:right="60"/>
        <w:spacing w:after="0" w:line="330" w:lineRule="auto"/>
        <w:rPr>
          <w:sz w:val="20"/>
          <w:szCs w:val="20"/>
          <w:color w:val="auto"/>
        </w:rPr>
      </w:pPr>
      <w:r>
        <w:rPr>
          <w:rFonts w:ascii="Arial" w:cs="Arial" w:eastAsia="Arial" w:hAnsi="Arial"/>
          <w:sz w:val="19"/>
          <w:szCs w:val="19"/>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17</w:t>
      </w:r>
    </w:p>
    <w:p>
      <w:pPr>
        <w:sectPr>
          <w:pgSz w:w="11900" w:h="16838" w:orient="portrait"/>
          <w:cols w:equalWidth="0" w:num="1">
            <w:col w:w="9400"/>
          </w:cols>
          <w:pgMar w:left="1260" w:top="1440" w:right="1246" w:bottom="0" w:gutter="0" w:footer="0" w:header="0"/>
          <w:type w:val="continuous"/>
        </w:sectPr>
      </w:pPr>
    </w:p>
    <w:bookmarkStart w:id="228" w:name="page229"/>
    <w:bookmarkEnd w:id="228"/>
    <w:p>
      <w:pPr>
        <w:spacing w:after="0" w:line="27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2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17</w:t>
      </w:r>
    </w:p>
    <w:p>
      <w:pPr>
        <w:sectPr>
          <w:pgSz w:w="11900" w:h="16838" w:orient="portrait"/>
          <w:cols w:equalWidth="0" w:num="1">
            <w:col w:w="9026"/>
          </w:cols>
          <w:pgMar w:left="1440" w:top="1440" w:right="1440" w:bottom="0" w:gutter="0" w:footer="0" w:header="0"/>
          <w:type w:val="continuous"/>
        </w:sectPr>
      </w:pPr>
    </w:p>
    <w:bookmarkStart w:id="229" w:name="page230"/>
    <w:bookmarkEnd w:id="229"/>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ind w:right="108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ind w:right="1080"/>
        <w:spacing w:after="0"/>
        <w:rPr>
          <w:sz w:val="20"/>
          <w:szCs w:val="20"/>
          <w:color w:val="auto"/>
        </w:rPr>
      </w:pPr>
      <w:r>
        <w:rPr>
          <w:rFonts w:ascii="Arial" w:cs="Arial" w:eastAsia="Arial" w:hAnsi="Arial"/>
          <w:sz w:val="20"/>
          <w:szCs w:val="20"/>
          <w:b w:val="1"/>
          <w:bCs w:val="1"/>
          <w:color w:val="auto"/>
        </w:rPr>
        <w:t>December 31, 2025, 2024, 2023</w:t>
      </w:r>
    </w:p>
    <w:p>
      <w:pPr>
        <w:spacing w:after="0" w:line="380" w:lineRule="exact"/>
        <w:rPr>
          <w:sz w:val="20"/>
          <w:szCs w:val="20"/>
          <w:color w:val="auto"/>
        </w:rPr>
      </w:pPr>
    </w:p>
    <w:p>
      <w:pPr>
        <w:ind w:left="620" w:right="1160"/>
        <w:spacing w:after="0" w:line="331" w:lineRule="auto"/>
        <w:rPr>
          <w:sz w:val="20"/>
          <w:szCs w:val="20"/>
          <w:color w:val="auto"/>
        </w:rPr>
      </w:pPr>
      <w:r>
        <w:rPr>
          <w:rFonts w:ascii="Arial" w:cs="Arial" w:eastAsia="Arial" w:hAnsi="Arial"/>
          <w:sz w:val="19"/>
          <w:szCs w:val="19"/>
          <w:color w:val="auto"/>
        </w:rPr>
        <w:t>The estimated fair values, and related carrying or notional amounts, for on and off balance sheet financial instruments not carried at fair value as of December 31, 2025 and 2024, are reflected below.</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3"/>
          </w:tcPr>
          <w:p>
            <w:pPr>
              <w:jc w:val="right"/>
              <w:ind w:right="365"/>
              <w:spacing w:after="0"/>
              <w:rPr>
                <w:sz w:val="20"/>
                <w:szCs w:val="20"/>
                <w:color w:val="auto"/>
              </w:rPr>
            </w:pPr>
            <w:r>
              <w:rPr>
                <w:rFonts w:ascii="Arial" w:cs="Arial" w:eastAsia="Arial" w:hAnsi="Arial"/>
                <w:sz w:val="19"/>
                <w:szCs w:val="19"/>
                <w:color w:val="auto"/>
              </w:rPr>
              <w:t>(In Thousands)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09"/>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4"/>
          </w:tcPr>
          <w:p>
            <w:pPr>
              <w:jc w:val="right"/>
              <w:spacing w:after="0"/>
              <w:rPr>
                <w:sz w:val="20"/>
                <w:szCs w:val="20"/>
                <w:color w:val="auto"/>
              </w:rPr>
            </w:pPr>
            <w:r>
              <w:rPr>
                <w:rFonts w:ascii="Arial" w:cs="Arial" w:eastAsia="Arial" w:hAnsi="Arial"/>
                <w:sz w:val="19"/>
                <w:szCs w:val="19"/>
                <w:color w:val="auto"/>
              </w:rPr>
              <w:t>December 31, 2025</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Arial" w:cs="Arial" w:eastAsia="Arial" w:hAnsi="Arial"/>
                <w:sz w:val="19"/>
                <w:szCs w:val="19"/>
                <w:color w:val="auto"/>
              </w:rPr>
              <w:t>December 31, 2024</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9"/>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65"/>
              <w:spacing w:after="0"/>
              <w:rPr>
                <w:sz w:val="20"/>
                <w:szCs w:val="20"/>
                <w:color w:val="auto"/>
              </w:rPr>
            </w:pPr>
            <w:r>
              <w:rPr>
                <w:rFonts w:ascii="Arial" w:cs="Arial" w:eastAsia="Arial" w:hAnsi="Arial"/>
                <w:sz w:val="19"/>
                <w:szCs w:val="19"/>
                <w:color w:val="auto"/>
                <w:w w:val="91"/>
              </w:rPr>
              <w:t>Carrying</w:t>
            </w:r>
          </w:p>
        </w:tc>
        <w:tc>
          <w:tcPr>
            <w:tcW w:w="180" w:type="dxa"/>
            <w:vAlign w:val="bottom"/>
          </w:tcPr>
          <w:p>
            <w:pPr>
              <w:spacing w:after="0"/>
              <w:rPr>
                <w:sz w:val="24"/>
                <w:szCs w:val="24"/>
                <w:color w:val="auto"/>
              </w:rPr>
            </w:pPr>
          </w:p>
        </w:tc>
        <w:tc>
          <w:tcPr>
            <w:tcW w:w="840" w:type="dxa"/>
            <w:vAlign w:val="bottom"/>
          </w:tcPr>
          <w:p>
            <w:pPr>
              <w:jc w:val="right"/>
              <w:ind w:right="265"/>
              <w:spacing w:after="0"/>
              <w:rPr>
                <w:sz w:val="20"/>
                <w:szCs w:val="20"/>
                <w:color w:val="auto"/>
              </w:rPr>
            </w:pPr>
            <w:r>
              <w:rPr>
                <w:rFonts w:ascii="Arial" w:cs="Arial" w:eastAsia="Arial" w:hAnsi="Arial"/>
                <w:sz w:val="19"/>
                <w:szCs w:val="19"/>
                <w:color w:val="auto"/>
              </w:rPr>
              <w:t>Fair</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65"/>
              <w:spacing w:after="0"/>
              <w:rPr>
                <w:sz w:val="20"/>
                <w:szCs w:val="20"/>
                <w:color w:val="auto"/>
              </w:rPr>
            </w:pPr>
            <w:r>
              <w:rPr>
                <w:rFonts w:ascii="Arial" w:cs="Arial" w:eastAsia="Arial" w:hAnsi="Arial"/>
                <w:sz w:val="19"/>
                <w:szCs w:val="19"/>
                <w:color w:val="auto"/>
                <w:w w:val="91"/>
              </w:rPr>
              <w:t>Carrying</w:t>
            </w:r>
          </w:p>
        </w:tc>
        <w:tc>
          <w:tcPr>
            <w:tcW w:w="180" w:type="dxa"/>
            <w:vAlign w:val="bottom"/>
          </w:tcPr>
          <w:p>
            <w:pPr>
              <w:spacing w:after="0"/>
              <w:rPr>
                <w:sz w:val="24"/>
                <w:szCs w:val="24"/>
                <w:color w:val="auto"/>
              </w:rPr>
            </w:pPr>
          </w:p>
        </w:tc>
        <w:tc>
          <w:tcPr>
            <w:tcW w:w="820" w:type="dxa"/>
            <w:vAlign w:val="bottom"/>
          </w:tcPr>
          <w:p>
            <w:pPr>
              <w:jc w:val="right"/>
              <w:ind w:right="245"/>
              <w:spacing w:after="0"/>
              <w:rPr>
                <w:sz w:val="20"/>
                <w:szCs w:val="20"/>
                <w:color w:val="auto"/>
              </w:rPr>
            </w:pPr>
            <w:r>
              <w:rPr>
                <w:rFonts w:ascii="Arial" w:cs="Arial" w:eastAsia="Arial" w:hAnsi="Arial"/>
                <w:sz w:val="19"/>
                <w:szCs w:val="19"/>
                <w:color w:val="auto"/>
              </w:rPr>
              <w:t>Fair</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9"/>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85"/>
              <w:spacing w:after="0"/>
              <w:rPr>
                <w:sz w:val="20"/>
                <w:szCs w:val="20"/>
                <w:color w:val="auto"/>
              </w:rPr>
            </w:pPr>
            <w:r>
              <w:rPr>
                <w:rFonts w:ascii="Arial" w:cs="Arial" w:eastAsia="Arial" w:hAnsi="Arial"/>
                <w:sz w:val="19"/>
                <w:szCs w:val="19"/>
                <w:color w:val="auto"/>
                <w:w w:val="97"/>
              </w:rPr>
              <w:t>Amount</w:t>
            </w:r>
          </w:p>
        </w:tc>
        <w:tc>
          <w:tcPr>
            <w:tcW w:w="180" w:type="dxa"/>
            <w:vAlign w:val="bottom"/>
          </w:tcPr>
          <w:p>
            <w:pPr>
              <w:spacing w:after="0"/>
              <w:rPr>
                <w:sz w:val="24"/>
                <w:szCs w:val="24"/>
                <w:color w:val="auto"/>
              </w:rPr>
            </w:pPr>
          </w:p>
        </w:tc>
        <w:tc>
          <w:tcPr>
            <w:tcW w:w="840" w:type="dxa"/>
            <w:vAlign w:val="bottom"/>
          </w:tcPr>
          <w:p>
            <w:pPr>
              <w:jc w:val="right"/>
              <w:ind w:right="185"/>
              <w:spacing w:after="0"/>
              <w:rPr>
                <w:sz w:val="20"/>
                <w:szCs w:val="20"/>
                <w:color w:val="auto"/>
              </w:rPr>
            </w:pPr>
            <w:r>
              <w:rPr>
                <w:rFonts w:ascii="Arial" w:cs="Arial" w:eastAsia="Arial" w:hAnsi="Arial"/>
                <w:sz w:val="19"/>
                <w:szCs w:val="19"/>
                <w:color w:val="auto"/>
              </w:rPr>
              <w:t>Value</w:t>
            </w:r>
          </w:p>
        </w:tc>
        <w:tc>
          <w:tcPr>
            <w:tcW w:w="860" w:type="dxa"/>
            <w:vAlign w:val="bottom"/>
            <w:gridSpan w:val="2"/>
          </w:tcPr>
          <w:p>
            <w:pPr>
              <w:jc w:val="right"/>
              <w:ind w:right="45"/>
              <w:spacing w:after="0"/>
              <w:rPr>
                <w:sz w:val="20"/>
                <w:szCs w:val="20"/>
                <w:color w:val="auto"/>
              </w:rPr>
            </w:pPr>
            <w:r>
              <w:rPr>
                <w:rFonts w:ascii="Arial" w:cs="Arial" w:eastAsia="Arial" w:hAnsi="Arial"/>
                <w:sz w:val="19"/>
                <w:szCs w:val="19"/>
                <w:color w:val="auto"/>
              </w:rPr>
              <w:t>Level 1</w:t>
            </w:r>
          </w:p>
        </w:tc>
        <w:tc>
          <w:tcPr>
            <w:tcW w:w="780" w:type="dxa"/>
            <w:vAlign w:val="bottom"/>
            <w:gridSpan w:val="2"/>
          </w:tcPr>
          <w:p>
            <w:pPr>
              <w:jc w:val="right"/>
              <w:ind w:right="5"/>
              <w:spacing w:after="0"/>
              <w:rPr>
                <w:sz w:val="20"/>
                <w:szCs w:val="20"/>
                <w:color w:val="auto"/>
              </w:rPr>
            </w:pPr>
            <w:r>
              <w:rPr>
                <w:rFonts w:ascii="Arial" w:cs="Arial" w:eastAsia="Arial" w:hAnsi="Arial"/>
                <w:sz w:val="19"/>
                <w:szCs w:val="19"/>
                <w:color w:val="auto"/>
              </w:rPr>
              <w:t>Level 2</w:t>
            </w:r>
          </w:p>
        </w:tc>
        <w:tc>
          <w:tcPr>
            <w:tcW w:w="160" w:type="dxa"/>
            <w:vAlign w:val="bottom"/>
          </w:tcPr>
          <w:p>
            <w:pPr>
              <w:spacing w:after="0"/>
              <w:rPr>
                <w:sz w:val="24"/>
                <w:szCs w:val="24"/>
                <w:color w:val="auto"/>
              </w:rPr>
            </w:pPr>
          </w:p>
        </w:tc>
        <w:tc>
          <w:tcPr>
            <w:tcW w:w="880" w:type="dxa"/>
            <w:vAlign w:val="bottom"/>
          </w:tcPr>
          <w:p>
            <w:pPr>
              <w:jc w:val="right"/>
              <w:ind w:right="165"/>
              <w:spacing w:after="0"/>
              <w:rPr>
                <w:sz w:val="20"/>
                <w:szCs w:val="20"/>
                <w:color w:val="auto"/>
              </w:rPr>
            </w:pPr>
            <w:r>
              <w:rPr>
                <w:rFonts w:ascii="Arial" w:cs="Arial" w:eastAsia="Arial" w:hAnsi="Arial"/>
                <w:sz w:val="19"/>
                <w:szCs w:val="19"/>
                <w:color w:val="auto"/>
                <w:w w:val="97"/>
              </w:rPr>
              <w:t>Level 3</w:t>
            </w:r>
          </w:p>
        </w:tc>
        <w:tc>
          <w:tcPr>
            <w:tcW w:w="200" w:type="dxa"/>
            <w:vAlign w:val="bottom"/>
          </w:tcPr>
          <w:p>
            <w:pPr>
              <w:spacing w:after="0"/>
              <w:rPr>
                <w:sz w:val="24"/>
                <w:szCs w:val="24"/>
                <w:color w:val="auto"/>
              </w:rPr>
            </w:pPr>
          </w:p>
        </w:tc>
        <w:tc>
          <w:tcPr>
            <w:tcW w:w="840" w:type="dxa"/>
            <w:vAlign w:val="bottom"/>
          </w:tcPr>
          <w:p>
            <w:pPr>
              <w:jc w:val="right"/>
              <w:ind w:right="105"/>
              <w:spacing w:after="0"/>
              <w:rPr>
                <w:sz w:val="20"/>
                <w:szCs w:val="20"/>
                <w:color w:val="auto"/>
              </w:rPr>
            </w:pPr>
            <w:r>
              <w:rPr>
                <w:rFonts w:ascii="Arial" w:cs="Arial" w:eastAsia="Arial" w:hAnsi="Arial"/>
                <w:sz w:val="19"/>
                <w:szCs w:val="19"/>
                <w:color w:val="auto"/>
                <w:w w:val="94"/>
              </w:rPr>
              <w:t>Amount</w:t>
            </w:r>
          </w:p>
        </w:tc>
        <w:tc>
          <w:tcPr>
            <w:tcW w:w="180" w:type="dxa"/>
            <w:vAlign w:val="bottom"/>
          </w:tcPr>
          <w:p>
            <w:pPr>
              <w:spacing w:after="0"/>
              <w:rPr>
                <w:sz w:val="24"/>
                <w:szCs w:val="24"/>
                <w:color w:val="auto"/>
              </w:rPr>
            </w:pPr>
          </w:p>
        </w:tc>
        <w:tc>
          <w:tcPr>
            <w:tcW w:w="820" w:type="dxa"/>
            <w:vAlign w:val="bottom"/>
          </w:tcPr>
          <w:p>
            <w:pPr>
              <w:jc w:val="right"/>
              <w:ind w:right="185"/>
              <w:spacing w:after="0"/>
              <w:rPr>
                <w:sz w:val="20"/>
                <w:szCs w:val="20"/>
                <w:color w:val="auto"/>
              </w:rPr>
            </w:pPr>
            <w:r>
              <w:rPr>
                <w:rFonts w:ascii="Arial" w:cs="Arial" w:eastAsia="Arial" w:hAnsi="Arial"/>
                <w:sz w:val="19"/>
                <w:szCs w:val="19"/>
                <w:color w:val="auto"/>
              </w:rPr>
              <w:t>Value</w:t>
            </w:r>
          </w:p>
        </w:tc>
        <w:tc>
          <w:tcPr>
            <w:tcW w:w="880" w:type="dxa"/>
            <w:vAlign w:val="bottom"/>
          </w:tcPr>
          <w:p>
            <w:pPr>
              <w:jc w:val="right"/>
              <w:ind w:right="65"/>
              <w:spacing w:after="0"/>
              <w:rPr>
                <w:sz w:val="20"/>
                <w:szCs w:val="20"/>
                <w:color w:val="auto"/>
              </w:rPr>
            </w:pPr>
            <w:r>
              <w:rPr>
                <w:rFonts w:ascii="Arial" w:cs="Arial" w:eastAsia="Arial" w:hAnsi="Arial"/>
                <w:sz w:val="19"/>
                <w:szCs w:val="19"/>
                <w:color w:val="auto"/>
              </w:rPr>
              <w:t>Level 1</w:t>
            </w:r>
          </w:p>
        </w:tc>
        <w:tc>
          <w:tcPr>
            <w:tcW w:w="760" w:type="dxa"/>
            <w:vAlign w:val="bottom"/>
            <w:gridSpan w:val="2"/>
          </w:tcPr>
          <w:p>
            <w:pPr>
              <w:jc w:val="right"/>
              <w:ind w:right="5"/>
              <w:spacing w:after="0"/>
              <w:rPr>
                <w:sz w:val="20"/>
                <w:szCs w:val="20"/>
                <w:color w:val="auto"/>
              </w:rPr>
            </w:pPr>
            <w:r>
              <w:rPr>
                <w:rFonts w:ascii="Arial" w:cs="Arial" w:eastAsia="Arial" w:hAnsi="Arial"/>
                <w:sz w:val="19"/>
                <w:szCs w:val="19"/>
                <w:color w:val="auto"/>
              </w:rPr>
              <w:t>Level 2</w:t>
            </w:r>
          </w:p>
        </w:tc>
        <w:tc>
          <w:tcPr>
            <w:tcW w:w="180" w:type="dxa"/>
            <w:vAlign w:val="bottom"/>
          </w:tcPr>
          <w:p>
            <w:pPr>
              <w:spacing w:after="0"/>
              <w:rPr>
                <w:sz w:val="24"/>
                <w:szCs w:val="24"/>
                <w:color w:val="auto"/>
              </w:rPr>
            </w:pPr>
          </w:p>
        </w:tc>
        <w:tc>
          <w:tcPr>
            <w:tcW w:w="840" w:type="dxa"/>
            <w:vAlign w:val="bottom"/>
          </w:tcPr>
          <w:p>
            <w:pPr>
              <w:jc w:val="right"/>
              <w:ind w:right="125"/>
              <w:spacing w:after="0"/>
              <w:rPr>
                <w:sz w:val="20"/>
                <w:szCs w:val="20"/>
                <w:color w:val="auto"/>
              </w:rPr>
            </w:pPr>
            <w:r>
              <w:rPr>
                <w:rFonts w:ascii="Arial" w:cs="Arial" w:eastAsia="Arial" w:hAnsi="Arial"/>
                <w:sz w:val="19"/>
                <w:szCs w:val="19"/>
                <w:color w:val="auto"/>
                <w:w w:val="97"/>
              </w:rPr>
              <w:t>Level 3</w:t>
            </w:r>
          </w:p>
        </w:tc>
      </w:tr>
      <w:tr>
        <w:trPr>
          <w:trHeight w:val="48"/>
        </w:trPr>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61"/>
        </w:trPr>
        <w:tc>
          <w:tcPr>
            <w:tcW w:w="1100" w:type="dxa"/>
            <w:vAlign w:val="bottom"/>
            <w:shd w:val="clear" w:color="auto" w:fill="CFF0FC"/>
          </w:tcPr>
          <w:p>
            <w:pPr>
              <w:spacing w:after="0"/>
              <w:rPr>
                <w:sz w:val="20"/>
                <w:szCs w:val="20"/>
                <w:color w:val="auto"/>
              </w:rPr>
            </w:pPr>
            <w:r>
              <w:rPr>
                <w:rFonts w:ascii="Arial" w:cs="Arial" w:eastAsia="Arial" w:hAnsi="Arial"/>
                <w:sz w:val="19"/>
                <w:szCs w:val="19"/>
                <w:color w:val="auto"/>
              </w:rPr>
              <w:t>Financial</w:t>
            </w:r>
          </w:p>
        </w:tc>
        <w:tc>
          <w:tcPr>
            <w:tcW w:w="1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303"/>
        </w:trPr>
        <w:tc>
          <w:tcPr>
            <w:tcW w:w="1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Assets:</w:t>
            </w:r>
          </w:p>
        </w:tc>
        <w:tc>
          <w:tcPr>
            <w:tcW w:w="1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r>
      <w:tr>
        <w:trPr>
          <w:trHeight w:val="261"/>
        </w:trPr>
        <w:tc>
          <w:tcPr>
            <w:tcW w:w="1100" w:type="dxa"/>
            <w:vAlign w:val="bottom"/>
          </w:tcPr>
          <w:p>
            <w:pPr>
              <w:ind w:left="20"/>
              <w:spacing w:after="0"/>
              <w:rPr>
                <w:sz w:val="20"/>
                <w:szCs w:val="20"/>
                <w:color w:val="auto"/>
              </w:rPr>
            </w:pPr>
            <w:r>
              <w:rPr>
                <w:rFonts w:ascii="Arial" w:cs="Arial" w:eastAsia="Arial" w:hAnsi="Arial"/>
                <w:sz w:val="19"/>
                <w:szCs w:val="19"/>
                <w:color w:val="auto"/>
              </w:rPr>
              <w:t>Cash and</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5"/>
        </w:trPr>
        <w:tc>
          <w:tcPr>
            <w:tcW w:w="1100" w:type="dxa"/>
            <w:vAlign w:val="bottom"/>
          </w:tcPr>
          <w:p>
            <w:pPr>
              <w:ind w:left="20"/>
              <w:spacing w:after="0"/>
              <w:rPr>
                <w:sz w:val="20"/>
                <w:szCs w:val="20"/>
                <w:color w:val="auto"/>
              </w:rPr>
            </w:pPr>
            <w:r>
              <w:rPr>
                <w:rFonts w:ascii="Arial" w:cs="Arial" w:eastAsia="Arial" w:hAnsi="Arial"/>
                <w:sz w:val="19"/>
                <w:szCs w:val="19"/>
                <w:color w:val="auto"/>
              </w:rPr>
              <w:t>cash</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5"/>
        </w:trPr>
        <w:tc>
          <w:tcPr>
            <w:tcW w:w="1100" w:type="dxa"/>
            <w:vAlign w:val="bottom"/>
          </w:tcPr>
          <w:p>
            <w:pPr>
              <w:ind w:left="20"/>
              <w:spacing w:after="0"/>
              <w:rPr>
                <w:sz w:val="20"/>
                <w:szCs w:val="20"/>
                <w:color w:val="auto"/>
              </w:rPr>
            </w:pPr>
            <w:r>
              <w:rPr>
                <w:rFonts w:ascii="Arial" w:cs="Arial" w:eastAsia="Arial" w:hAnsi="Arial"/>
                <w:sz w:val="19"/>
                <w:szCs w:val="19"/>
                <w:color w:val="auto"/>
              </w:rPr>
              <w:t>equivalents</w:t>
            </w:r>
          </w:p>
        </w:tc>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97,718</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97,718</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97,718</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176,351</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176,351</w:t>
            </w:r>
          </w:p>
        </w:tc>
        <w:tc>
          <w:tcPr>
            <w:tcW w:w="880" w:type="dxa"/>
            <w:vAlign w:val="bottom"/>
          </w:tcPr>
          <w:p>
            <w:pPr>
              <w:jc w:val="right"/>
              <w:spacing w:after="0"/>
              <w:rPr>
                <w:sz w:val="20"/>
                <w:szCs w:val="20"/>
                <w:color w:val="auto"/>
              </w:rPr>
            </w:pPr>
            <w:r>
              <w:rPr>
                <w:rFonts w:ascii="Arial" w:cs="Arial" w:eastAsia="Arial" w:hAnsi="Arial"/>
                <w:sz w:val="19"/>
                <w:szCs w:val="19"/>
                <w:color w:val="auto"/>
                <w:w w:val="98"/>
              </w:rPr>
              <w:t>$176,351</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8"/>
        </w:trPr>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1"/>
        </w:trPr>
        <w:tc>
          <w:tcPr>
            <w:tcW w:w="1100" w:type="dxa"/>
            <w:vAlign w:val="bottom"/>
            <w:shd w:val="clear" w:color="auto" w:fill="CFF0FC"/>
          </w:tcPr>
          <w:p>
            <w:pPr>
              <w:ind w:left="20"/>
              <w:spacing w:after="0"/>
              <w:rPr>
                <w:sz w:val="20"/>
                <w:szCs w:val="20"/>
                <w:color w:val="auto"/>
              </w:rPr>
            </w:pPr>
            <w:r>
              <w:rPr>
                <w:rFonts w:ascii="Arial" w:cs="Arial" w:eastAsia="Arial" w:hAnsi="Arial"/>
                <w:sz w:val="19"/>
                <w:szCs w:val="19"/>
                <w:color w:val="auto"/>
              </w:rPr>
              <w:t>Interest-</w:t>
            </w:r>
          </w:p>
        </w:tc>
        <w:tc>
          <w:tcPr>
            <w:tcW w:w="1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285"/>
        </w:trPr>
        <w:tc>
          <w:tcPr>
            <w:tcW w:w="1100" w:type="dxa"/>
            <w:vAlign w:val="bottom"/>
            <w:shd w:val="clear" w:color="auto" w:fill="CFF0FC"/>
          </w:tcPr>
          <w:p>
            <w:pPr>
              <w:ind w:left="20"/>
              <w:spacing w:after="0"/>
              <w:rPr>
                <w:sz w:val="20"/>
                <w:szCs w:val="20"/>
                <w:color w:val="auto"/>
              </w:rPr>
            </w:pPr>
            <w:r>
              <w:rPr>
                <w:rFonts w:ascii="Arial" w:cs="Arial" w:eastAsia="Arial" w:hAnsi="Arial"/>
                <w:sz w:val="19"/>
                <w:szCs w:val="19"/>
                <w:color w:val="auto"/>
              </w:rPr>
              <w:t>bearing time</w:t>
            </w:r>
          </w:p>
        </w:tc>
        <w:tc>
          <w:tcPr>
            <w:tcW w:w="14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303"/>
        </w:trPr>
        <w:tc>
          <w:tcPr>
            <w:tcW w:w="1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deposits</w:t>
            </w:r>
          </w:p>
        </w:tc>
        <w:tc>
          <w:tcPr>
            <w:tcW w:w="1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1,498</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1,491</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2"/>
              </w:rPr>
              <w:t>1,491</w:t>
            </w:r>
          </w:p>
        </w:tc>
        <w:tc>
          <w:tcPr>
            <w:tcW w:w="1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9"/>
                <w:szCs w:val="19"/>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2,482</w:t>
            </w:r>
          </w:p>
        </w:tc>
        <w:tc>
          <w:tcPr>
            <w:tcW w:w="1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2,472</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6"/>
              </w:rPr>
              <w:t>2,472</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r>
      <w:tr>
        <w:trPr>
          <w:trHeight w:val="261"/>
        </w:trPr>
        <w:tc>
          <w:tcPr>
            <w:tcW w:w="1100" w:type="dxa"/>
            <w:vAlign w:val="bottom"/>
          </w:tcPr>
          <w:p>
            <w:pPr>
              <w:ind w:left="20"/>
              <w:spacing w:after="0"/>
              <w:rPr>
                <w:sz w:val="20"/>
                <w:szCs w:val="20"/>
                <w:color w:val="auto"/>
              </w:rPr>
            </w:pPr>
            <w:r>
              <w:rPr>
                <w:rFonts w:ascii="Arial" w:cs="Arial" w:eastAsia="Arial" w:hAnsi="Arial"/>
                <w:sz w:val="19"/>
                <w:szCs w:val="19"/>
                <w:color w:val="auto"/>
              </w:rPr>
              <w:t>Other</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5"/>
        </w:trPr>
        <w:tc>
          <w:tcPr>
            <w:tcW w:w="1100" w:type="dxa"/>
            <w:vAlign w:val="bottom"/>
          </w:tcPr>
          <w:p>
            <w:pPr>
              <w:ind w:left="20"/>
              <w:spacing w:after="0"/>
              <w:rPr>
                <w:sz w:val="20"/>
                <w:szCs w:val="20"/>
                <w:color w:val="auto"/>
              </w:rPr>
            </w:pPr>
            <w:r>
              <w:rPr>
                <w:rFonts w:ascii="Arial" w:cs="Arial" w:eastAsia="Arial" w:hAnsi="Arial"/>
                <w:sz w:val="19"/>
                <w:szCs w:val="19"/>
                <w:color w:val="auto"/>
              </w:rPr>
              <w:t>securities</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13,032</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13,032</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880" w:type="dxa"/>
            <w:vAlign w:val="bottom"/>
          </w:tcPr>
          <w:p>
            <w:pPr>
              <w:jc w:val="right"/>
              <w:ind w:right="5"/>
              <w:spacing w:after="0"/>
              <w:rPr>
                <w:sz w:val="20"/>
                <w:szCs w:val="20"/>
                <w:color w:val="auto"/>
              </w:rPr>
            </w:pPr>
            <w:r>
              <w:rPr>
                <w:rFonts w:ascii="Arial" w:cs="Arial" w:eastAsia="Arial" w:hAnsi="Arial"/>
                <w:sz w:val="19"/>
                <w:szCs w:val="19"/>
                <w:color w:val="auto"/>
              </w:rPr>
              <w:t>13,032</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14,400</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14,400</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14,400</w:t>
            </w:r>
          </w:p>
        </w:tc>
      </w:tr>
      <w:tr>
        <w:trPr>
          <w:trHeight w:val="38"/>
        </w:trPr>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1"/>
        </w:trPr>
        <w:tc>
          <w:tcPr>
            <w:tcW w:w="1100" w:type="dxa"/>
            <w:vAlign w:val="bottom"/>
            <w:shd w:val="clear" w:color="auto" w:fill="CFF0FC"/>
          </w:tcPr>
          <w:p>
            <w:pPr>
              <w:ind w:left="20"/>
              <w:spacing w:after="0"/>
              <w:rPr>
                <w:sz w:val="20"/>
                <w:szCs w:val="20"/>
                <w:color w:val="auto"/>
              </w:rPr>
            </w:pPr>
            <w:r>
              <w:rPr>
                <w:rFonts w:ascii="Arial" w:cs="Arial" w:eastAsia="Arial" w:hAnsi="Arial"/>
                <w:sz w:val="19"/>
                <w:szCs w:val="19"/>
                <w:color w:val="auto"/>
              </w:rPr>
              <w:t>Loans held</w:t>
            </w:r>
          </w:p>
        </w:tc>
        <w:tc>
          <w:tcPr>
            <w:tcW w:w="1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303"/>
        </w:trPr>
        <w:tc>
          <w:tcPr>
            <w:tcW w:w="1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for sale</w:t>
            </w:r>
          </w:p>
        </w:tc>
        <w:tc>
          <w:tcPr>
            <w:tcW w:w="1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3,934</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3,934</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9"/>
                <w:szCs w:val="19"/>
                <w:color w:val="auto"/>
              </w:rPr>
              <w:t>3,934</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2,996</w:t>
            </w:r>
          </w:p>
        </w:tc>
        <w:tc>
          <w:tcPr>
            <w:tcW w:w="1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2,996</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2,996</w:t>
            </w:r>
          </w:p>
        </w:tc>
      </w:tr>
      <w:tr>
        <w:trPr>
          <w:trHeight w:val="276"/>
        </w:trPr>
        <w:tc>
          <w:tcPr>
            <w:tcW w:w="1100" w:type="dxa"/>
            <w:vAlign w:val="bottom"/>
          </w:tcPr>
          <w:p>
            <w:pPr>
              <w:ind w:left="20"/>
              <w:spacing w:after="0"/>
              <w:rPr>
                <w:sz w:val="20"/>
                <w:szCs w:val="20"/>
                <w:color w:val="auto"/>
              </w:rPr>
            </w:pPr>
            <w:r>
              <w:rPr>
                <w:rFonts w:ascii="Arial" w:cs="Arial" w:eastAsia="Arial" w:hAnsi="Arial"/>
                <w:sz w:val="19"/>
                <w:szCs w:val="19"/>
                <w:color w:val="auto"/>
              </w:rPr>
              <w:t>Loans, net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w w:val="89"/>
              </w:rPr>
              <w:t>2,685,990</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w w:val="87"/>
              </w:rPr>
              <w:t>2,653,152</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880" w:type="dxa"/>
            <w:vAlign w:val="bottom"/>
          </w:tcPr>
          <w:p>
            <w:pPr>
              <w:jc w:val="right"/>
              <w:ind w:right="5"/>
              <w:spacing w:after="0"/>
              <w:rPr>
                <w:sz w:val="20"/>
                <w:szCs w:val="20"/>
                <w:color w:val="auto"/>
              </w:rPr>
            </w:pPr>
            <w:r>
              <w:rPr>
                <w:rFonts w:ascii="Arial" w:cs="Arial" w:eastAsia="Arial" w:hAnsi="Arial"/>
                <w:sz w:val="19"/>
                <w:szCs w:val="19"/>
                <w:color w:val="auto"/>
                <w:w w:val="89"/>
              </w:rPr>
              <w:t>2,653,152</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w w:val="87"/>
              </w:rPr>
              <w:t>2,536,043</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w w:val="87"/>
              </w:rPr>
              <w:t>2,485,297</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w w:val="87"/>
              </w:rPr>
              <w:t>2,485,297</w:t>
            </w:r>
          </w:p>
        </w:tc>
      </w:tr>
      <w:tr>
        <w:trPr>
          <w:trHeight w:val="38"/>
        </w:trPr>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1"/>
        </w:trPr>
        <w:tc>
          <w:tcPr>
            <w:tcW w:w="1100" w:type="dxa"/>
            <w:vAlign w:val="bottom"/>
            <w:shd w:val="clear" w:color="auto" w:fill="CFF0FC"/>
          </w:tcPr>
          <w:p>
            <w:pPr>
              <w:ind w:left="20"/>
              <w:spacing w:after="0"/>
              <w:rPr>
                <w:sz w:val="20"/>
                <w:szCs w:val="20"/>
                <w:color w:val="auto"/>
              </w:rPr>
            </w:pPr>
            <w:r>
              <w:rPr>
                <w:rFonts w:ascii="Arial" w:cs="Arial" w:eastAsia="Arial" w:hAnsi="Arial"/>
                <w:sz w:val="19"/>
                <w:szCs w:val="19"/>
                <w:color w:val="auto"/>
              </w:rPr>
              <w:t>Interest</w:t>
            </w:r>
          </w:p>
        </w:tc>
        <w:tc>
          <w:tcPr>
            <w:tcW w:w="1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303"/>
        </w:trPr>
        <w:tc>
          <w:tcPr>
            <w:tcW w:w="1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receivable</w:t>
            </w:r>
          </w:p>
        </w:tc>
        <w:tc>
          <w:tcPr>
            <w:tcW w:w="1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13,621</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13,621</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9"/>
                <w:szCs w:val="19"/>
                <w:color w:val="auto"/>
              </w:rPr>
              <w:t>13,621</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12,657</w:t>
            </w:r>
          </w:p>
        </w:tc>
        <w:tc>
          <w:tcPr>
            <w:tcW w:w="1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12,657</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12,657</w:t>
            </w:r>
          </w:p>
        </w:tc>
      </w:tr>
      <w:tr>
        <w:trPr>
          <w:trHeight w:val="299"/>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1"/>
        </w:trPr>
        <w:tc>
          <w:tcPr>
            <w:tcW w:w="1100" w:type="dxa"/>
            <w:vAlign w:val="bottom"/>
            <w:shd w:val="clear" w:color="auto" w:fill="CFF0FC"/>
          </w:tcPr>
          <w:p>
            <w:pPr>
              <w:spacing w:after="0"/>
              <w:rPr>
                <w:sz w:val="20"/>
                <w:szCs w:val="20"/>
                <w:color w:val="auto"/>
              </w:rPr>
            </w:pPr>
            <w:r>
              <w:rPr>
                <w:rFonts w:ascii="Arial" w:cs="Arial" w:eastAsia="Arial" w:hAnsi="Arial"/>
                <w:sz w:val="19"/>
                <w:szCs w:val="19"/>
                <w:color w:val="auto"/>
              </w:rPr>
              <w:t>Financial</w:t>
            </w:r>
          </w:p>
        </w:tc>
        <w:tc>
          <w:tcPr>
            <w:tcW w:w="1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303"/>
        </w:trPr>
        <w:tc>
          <w:tcPr>
            <w:tcW w:w="1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Liabilities:</w:t>
            </w:r>
          </w:p>
        </w:tc>
        <w:tc>
          <w:tcPr>
            <w:tcW w:w="1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r>
      <w:tr>
        <w:trPr>
          <w:trHeight w:val="261"/>
        </w:trPr>
        <w:tc>
          <w:tcPr>
            <w:tcW w:w="1100" w:type="dxa"/>
            <w:vAlign w:val="bottom"/>
          </w:tcPr>
          <w:p>
            <w:pPr>
              <w:ind w:left="20"/>
              <w:spacing w:after="0"/>
              <w:rPr>
                <w:sz w:val="20"/>
                <w:szCs w:val="20"/>
                <w:color w:val="auto"/>
              </w:rPr>
            </w:pPr>
            <w:r>
              <w:rPr>
                <w:rFonts w:ascii="Arial" w:cs="Arial" w:eastAsia="Arial" w:hAnsi="Arial"/>
                <w:sz w:val="19"/>
                <w:szCs w:val="19"/>
                <w:color w:val="auto"/>
              </w:rPr>
              <w:t>Noninterest-</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5"/>
        </w:trPr>
        <w:tc>
          <w:tcPr>
            <w:tcW w:w="1100" w:type="dxa"/>
            <w:vAlign w:val="bottom"/>
          </w:tcPr>
          <w:p>
            <w:pPr>
              <w:ind w:left="20"/>
              <w:spacing w:after="0"/>
              <w:rPr>
                <w:sz w:val="20"/>
                <w:szCs w:val="20"/>
                <w:color w:val="auto"/>
              </w:rPr>
            </w:pPr>
            <w:r>
              <w:rPr>
                <w:rFonts w:ascii="Arial" w:cs="Arial" w:eastAsia="Arial" w:hAnsi="Arial"/>
                <w:sz w:val="19"/>
                <w:szCs w:val="19"/>
                <w:color w:val="auto"/>
              </w:rPr>
              <w:t>bearing</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5"/>
        </w:trPr>
        <w:tc>
          <w:tcPr>
            <w:tcW w:w="1100" w:type="dxa"/>
            <w:vAlign w:val="bottom"/>
          </w:tcPr>
          <w:p>
            <w:pPr>
              <w:ind w:left="20"/>
              <w:spacing w:after="0"/>
              <w:rPr>
                <w:sz w:val="20"/>
                <w:szCs w:val="20"/>
                <w:color w:val="auto"/>
              </w:rPr>
            </w:pPr>
            <w:r>
              <w:rPr>
                <w:rFonts w:ascii="Arial" w:cs="Arial" w:eastAsia="Arial" w:hAnsi="Arial"/>
                <w:sz w:val="19"/>
                <w:szCs w:val="19"/>
                <w:color w:val="auto"/>
              </w:rPr>
              <w:t>deposits</w:t>
            </w:r>
          </w:p>
        </w:tc>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527,327</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527,327</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w w:val="90"/>
              </w:rPr>
              <w:t>527,327</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516,904</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516,904</w:t>
            </w:r>
          </w:p>
        </w:tc>
        <w:tc>
          <w:tcPr>
            <w:tcW w:w="880" w:type="dxa"/>
            <w:vAlign w:val="bottom"/>
          </w:tcPr>
          <w:p>
            <w:pPr>
              <w:jc w:val="right"/>
              <w:spacing w:after="0"/>
              <w:rPr>
                <w:sz w:val="20"/>
                <w:szCs w:val="20"/>
                <w:color w:val="auto"/>
              </w:rPr>
            </w:pPr>
            <w:r>
              <w:rPr>
                <w:rFonts w:ascii="Arial" w:cs="Arial" w:eastAsia="Arial" w:hAnsi="Arial"/>
                <w:sz w:val="19"/>
                <w:szCs w:val="19"/>
                <w:color w:val="auto"/>
                <w:w w:val="98"/>
              </w:rPr>
              <w:t>$516,904</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8"/>
        </w:trPr>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1"/>
        </w:trPr>
        <w:tc>
          <w:tcPr>
            <w:tcW w:w="1100" w:type="dxa"/>
            <w:vAlign w:val="bottom"/>
            <w:shd w:val="clear" w:color="auto" w:fill="CFF0FC"/>
          </w:tcPr>
          <w:p>
            <w:pPr>
              <w:ind w:left="20"/>
              <w:spacing w:after="0"/>
              <w:rPr>
                <w:sz w:val="20"/>
                <w:szCs w:val="20"/>
                <w:color w:val="auto"/>
              </w:rPr>
            </w:pPr>
            <w:r>
              <w:rPr>
                <w:rFonts w:ascii="Arial" w:cs="Arial" w:eastAsia="Arial" w:hAnsi="Arial"/>
                <w:sz w:val="19"/>
                <w:szCs w:val="19"/>
                <w:color w:val="auto"/>
              </w:rPr>
              <w:t>Interest-</w:t>
            </w:r>
          </w:p>
        </w:tc>
        <w:tc>
          <w:tcPr>
            <w:tcW w:w="1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285"/>
        </w:trPr>
        <w:tc>
          <w:tcPr>
            <w:tcW w:w="1100" w:type="dxa"/>
            <w:vAlign w:val="bottom"/>
            <w:shd w:val="clear" w:color="auto" w:fill="CFF0FC"/>
          </w:tcPr>
          <w:p>
            <w:pPr>
              <w:ind w:left="20"/>
              <w:spacing w:after="0"/>
              <w:rPr>
                <w:sz w:val="20"/>
                <w:szCs w:val="20"/>
                <w:color w:val="auto"/>
              </w:rPr>
            </w:pPr>
            <w:r>
              <w:rPr>
                <w:rFonts w:ascii="Arial" w:cs="Arial" w:eastAsia="Arial" w:hAnsi="Arial"/>
                <w:sz w:val="19"/>
                <w:szCs w:val="19"/>
                <w:color w:val="auto"/>
              </w:rPr>
              <w:t>bearing</w:t>
            </w:r>
          </w:p>
        </w:tc>
        <w:tc>
          <w:tcPr>
            <w:tcW w:w="14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303"/>
        </w:trPr>
        <w:tc>
          <w:tcPr>
            <w:tcW w:w="1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9"/>
                <w:szCs w:val="19"/>
                <w:color w:val="auto"/>
              </w:rPr>
              <w:t>deposits</w:t>
            </w:r>
          </w:p>
        </w:tc>
        <w:tc>
          <w:tcPr>
            <w:tcW w:w="1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9"/>
              </w:rPr>
              <w:t>1,605,623</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1,605,435</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9"/>
                <w:szCs w:val="19"/>
                <w:color w:val="auto"/>
                <w:w w:val="89"/>
              </w:rPr>
              <w:t>1,605,435</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1,522,280</w:t>
            </w:r>
          </w:p>
        </w:tc>
        <w:tc>
          <w:tcPr>
            <w:tcW w:w="1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1,521,097</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1,521,097</w:t>
            </w:r>
          </w:p>
        </w:tc>
      </w:tr>
      <w:tr>
        <w:trPr>
          <w:trHeight w:val="261"/>
        </w:trPr>
        <w:tc>
          <w:tcPr>
            <w:tcW w:w="1100" w:type="dxa"/>
            <w:vAlign w:val="bottom"/>
          </w:tcPr>
          <w:p>
            <w:pPr>
              <w:ind w:left="20"/>
              <w:spacing w:after="0"/>
              <w:rPr>
                <w:sz w:val="20"/>
                <w:szCs w:val="20"/>
                <w:color w:val="auto"/>
              </w:rPr>
            </w:pPr>
            <w:r>
              <w:rPr>
                <w:rFonts w:ascii="Arial" w:cs="Arial" w:eastAsia="Arial" w:hAnsi="Arial"/>
                <w:sz w:val="19"/>
                <w:szCs w:val="19"/>
                <w:color w:val="auto"/>
              </w:rPr>
              <w:t>Time</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5"/>
        </w:trPr>
        <w:tc>
          <w:tcPr>
            <w:tcW w:w="1100" w:type="dxa"/>
            <w:vAlign w:val="bottom"/>
          </w:tcPr>
          <w:p>
            <w:pPr>
              <w:ind w:left="20"/>
              <w:spacing w:after="0"/>
              <w:rPr>
                <w:sz w:val="20"/>
                <w:szCs w:val="20"/>
                <w:color w:val="auto"/>
              </w:rPr>
            </w:pPr>
            <w:r>
              <w:rPr>
                <w:rFonts w:ascii="Arial" w:cs="Arial" w:eastAsia="Arial" w:hAnsi="Arial"/>
                <w:sz w:val="19"/>
                <w:szCs w:val="19"/>
                <w:color w:val="auto"/>
              </w:rPr>
              <w:t>deposits</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597,785</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596,189</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880" w:type="dxa"/>
            <w:vAlign w:val="bottom"/>
          </w:tcPr>
          <w:p>
            <w:pPr>
              <w:jc w:val="right"/>
              <w:ind w:right="5"/>
              <w:spacing w:after="0"/>
              <w:rPr>
                <w:sz w:val="20"/>
                <w:szCs w:val="20"/>
                <w:color w:val="auto"/>
              </w:rPr>
            </w:pPr>
            <w:r>
              <w:rPr>
                <w:rFonts w:ascii="Arial" w:cs="Arial" w:eastAsia="Arial" w:hAnsi="Arial"/>
                <w:sz w:val="19"/>
                <w:szCs w:val="19"/>
                <w:color w:val="auto"/>
              </w:rPr>
              <w:t>596,189</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647,581</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644,849</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644,849</w:t>
            </w:r>
          </w:p>
        </w:tc>
      </w:tr>
      <w:tr>
        <w:trPr>
          <w:trHeight w:val="38"/>
        </w:trPr>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1"/>
        </w:trPr>
        <w:tc>
          <w:tcPr>
            <w:tcW w:w="1100" w:type="dxa"/>
            <w:vAlign w:val="bottom"/>
            <w:shd w:val="clear" w:color="auto" w:fill="CFF0FC"/>
          </w:tcPr>
          <w:p>
            <w:pPr>
              <w:spacing w:after="0"/>
              <w:rPr>
                <w:sz w:val="20"/>
                <w:szCs w:val="20"/>
                <w:color w:val="auto"/>
              </w:rPr>
            </w:pPr>
            <w:r>
              <w:rPr>
                <w:rFonts w:ascii="Arial" w:cs="Arial" w:eastAsia="Arial" w:hAnsi="Arial"/>
                <w:sz w:val="19"/>
                <w:szCs w:val="19"/>
                <w:color w:val="auto"/>
              </w:rPr>
              <w:t>Total</w:t>
            </w:r>
          </w:p>
        </w:tc>
        <w:tc>
          <w:tcPr>
            <w:tcW w:w="1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303"/>
        </w:trPr>
        <w:tc>
          <w:tcPr>
            <w:tcW w:w="1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Deposits</w:t>
            </w:r>
          </w:p>
        </w:tc>
        <w:tc>
          <w:tcPr>
            <w:tcW w:w="1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9"/>
              </w:rPr>
              <w:t>2,730,735</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2,728,951</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90"/>
              </w:rPr>
              <w:t>527,327</w:t>
            </w:r>
          </w:p>
        </w:tc>
        <w:tc>
          <w:tcPr>
            <w:tcW w:w="2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9"/>
                <w:szCs w:val="19"/>
                <w:color w:val="auto"/>
                <w:w w:val="89"/>
              </w:rPr>
              <w:t>2,201,624</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2,686,765</w:t>
            </w:r>
          </w:p>
        </w:tc>
        <w:tc>
          <w:tcPr>
            <w:tcW w:w="1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2,682,850</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516,904</w:t>
            </w:r>
          </w:p>
        </w:tc>
        <w:tc>
          <w:tcPr>
            <w:tcW w:w="2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w w:val="87"/>
              </w:rPr>
              <w:t>2,165,946</w:t>
            </w:r>
          </w:p>
        </w:tc>
      </w:tr>
      <w:tr>
        <w:trPr>
          <w:trHeight w:val="261"/>
        </w:trPr>
        <w:tc>
          <w:tcPr>
            <w:tcW w:w="1100" w:type="dxa"/>
            <w:vAlign w:val="bottom"/>
          </w:tcPr>
          <w:p>
            <w:pPr>
              <w:ind w:left="20"/>
              <w:spacing w:after="0"/>
              <w:rPr>
                <w:sz w:val="20"/>
                <w:szCs w:val="20"/>
                <w:color w:val="auto"/>
              </w:rPr>
            </w:pPr>
            <w:r>
              <w:rPr>
                <w:rFonts w:ascii="Arial" w:cs="Arial" w:eastAsia="Arial" w:hAnsi="Arial"/>
                <w:sz w:val="19"/>
                <w:szCs w:val="19"/>
                <w:color w:val="auto"/>
              </w:rPr>
              <w:t>Fed funds</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5"/>
        </w:trPr>
        <w:tc>
          <w:tcPr>
            <w:tcW w:w="1100" w:type="dxa"/>
            <w:vAlign w:val="bottom"/>
          </w:tcPr>
          <w:p>
            <w:pPr>
              <w:ind w:left="20"/>
              <w:spacing w:after="0"/>
              <w:rPr>
                <w:sz w:val="20"/>
                <w:szCs w:val="20"/>
                <w:color w:val="auto"/>
              </w:rPr>
            </w:pPr>
            <w:r>
              <w:rPr>
                <w:rFonts w:ascii="Arial" w:cs="Arial" w:eastAsia="Arial" w:hAnsi="Arial"/>
                <w:sz w:val="19"/>
                <w:szCs w:val="19"/>
                <w:color w:val="auto"/>
              </w:rPr>
              <w:t>purchased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5"/>
        </w:trPr>
        <w:tc>
          <w:tcPr>
            <w:tcW w:w="1100" w:type="dxa"/>
            <w:vAlign w:val="bottom"/>
          </w:tcPr>
          <w:p>
            <w:pPr>
              <w:ind w:left="20"/>
              <w:spacing w:after="0"/>
              <w:rPr>
                <w:sz w:val="20"/>
                <w:szCs w:val="20"/>
                <w:color w:val="auto"/>
              </w:rPr>
            </w:pPr>
            <w:r>
              <w:rPr>
                <w:rFonts w:ascii="Arial" w:cs="Arial" w:eastAsia="Arial" w:hAnsi="Arial"/>
                <w:sz w:val="19"/>
                <w:szCs w:val="19"/>
                <w:color w:val="auto"/>
              </w:rPr>
              <w:t>and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5"/>
        </w:trPr>
        <w:tc>
          <w:tcPr>
            <w:tcW w:w="1100" w:type="dxa"/>
            <w:vAlign w:val="bottom"/>
          </w:tcPr>
          <w:p>
            <w:pPr>
              <w:ind w:left="160"/>
              <w:spacing w:after="0"/>
              <w:rPr>
                <w:sz w:val="20"/>
                <w:szCs w:val="20"/>
                <w:color w:val="auto"/>
              </w:rPr>
            </w:pPr>
            <w:r>
              <w:rPr>
                <w:rFonts w:ascii="Arial" w:cs="Arial" w:eastAsia="Arial" w:hAnsi="Arial"/>
                <w:sz w:val="19"/>
                <w:szCs w:val="19"/>
                <w:color w:val="auto"/>
              </w:rPr>
              <w:t>securities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5"/>
        </w:trPr>
        <w:tc>
          <w:tcPr>
            <w:tcW w:w="1100" w:type="dxa"/>
            <w:vAlign w:val="bottom"/>
          </w:tcPr>
          <w:p>
            <w:pPr>
              <w:ind w:left="20"/>
              <w:spacing w:after="0"/>
              <w:rPr>
                <w:sz w:val="20"/>
                <w:szCs w:val="20"/>
                <w:color w:val="auto"/>
              </w:rPr>
            </w:pPr>
            <w:r>
              <w:rPr>
                <w:rFonts w:ascii="Arial" w:cs="Arial" w:eastAsia="Arial" w:hAnsi="Arial"/>
                <w:sz w:val="19"/>
                <w:szCs w:val="19"/>
                <w:color w:val="auto"/>
              </w:rPr>
              <w:t>sold under</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5"/>
        </w:trPr>
        <w:tc>
          <w:tcPr>
            <w:tcW w:w="1100" w:type="dxa"/>
            <w:vAlign w:val="bottom"/>
          </w:tcPr>
          <w:p>
            <w:pPr>
              <w:ind w:left="160"/>
              <w:spacing w:after="0"/>
              <w:rPr>
                <w:sz w:val="20"/>
                <w:szCs w:val="20"/>
                <w:color w:val="auto"/>
              </w:rPr>
            </w:pPr>
            <w:r>
              <w:rPr>
                <w:rFonts w:ascii="Arial" w:cs="Arial" w:eastAsia="Arial" w:hAnsi="Arial"/>
                <w:sz w:val="19"/>
                <w:szCs w:val="19"/>
                <w:color w:val="auto"/>
              </w:rPr>
              <w:t>agreement</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5"/>
        </w:trPr>
        <w:tc>
          <w:tcPr>
            <w:tcW w:w="1100" w:type="dxa"/>
            <w:vAlign w:val="bottom"/>
          </w:tcPr>
          <w:p>
            <w:pPr>
              <w:ind w:left="20"/>
              <w:spacing w:after="0"/>
              <w:rPr>
                <w:sz w:val="20"/>
                <w:szCs w:val="20"/>
                <w:color w:val="auto"/>
              </w:rPr>
            </w:pPr>
            <w:r>
              <w:rPr>
                <w:rFonts w:ascii="Arial" w:cs="Arial" w:eastAsia="Arial" w:hAnsi="Arial"/>
                <w:sz w:val="19"/>
                <w:szCs w:val="19"/>
                <w:color w:val="auto"/>
                <w:w w:val="91"/>
              </w:rPr>
              <w:t>to repurchase</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37,718</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37,718</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880" w:type="dxa"/>
            <w:vAlign w:val="bottom"/>
          </w:tcPr>
          <w:p>
            <w:pPr>
              <w:jc w:val="right"/>
              <w:ind w:right="5"/>
              <w:spacing w:after="0"/>
              <w:rPr>
                <w:sz w:val="20"/>
                <w:szCs w:val="20"/>
                <w:color w:val="auto"/>
              </w:rPr>
            </w:pPr>
            <w:r>
              <w:rPr>
                <w:rFonts w:ascii="Arial" w:cs="Arial" w:eastAsia="Arial" w:hAnsi="Arial"/>
                <w:sz w:val="19"/>
                <w:szCs w:val="19"/>
                <w:color w:val="auto"/>
              </w:rPr>
              <w:t>37,718</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27,218</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27,218</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27,218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-7035800</wp:posOffset>
            </wp:positionV>
            <wp:extent cx="5882005" cy="70612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29">
                      <a:extLst>
                        <a:ext uri="{28A0092B-C50C-407E-A947-70E740481C1C}"/>
                      </a:extLst>
                    </a:blip>
                    <a:srcRect/>
                    <a:stretch>
                      <a:fillRect/>
                    </a:stretch>
                  </pic:blipFill>
                  <pic:spPr bwMode="auto">
                    <a:xfrm>
                      <a:off x="0" y="0"/>
                      <a:ext cx="5882005" cy="7061200"/>
                    </a:xfrm>
                    <a:prstGeom prst="rect">
                      <a:avLst/>
                    </a:prstGeom>
                    <a:noFill/>
                  </pic:spPr>
                </pic:pic>
              </a:graphicData>
            </a:graphic>
          </wp:anchor>
        </w:drawing>
      </w:r>
    </w:p>
    <w:p>
      <w:pPr>
        <w:sectPr>
          <w:pgSz w:w="11900" w:h="16838" w:orient="portrait"/>
          <w:cols w:equalWidth="0" w:num="1">
            <w:col w:w="10480"/>
          </w:cols>
          <w:pgMar w:left="1260" w:top="1440" w:right="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10 / 17</w:t>
      </w:r>
    </w:p>
    <w:p>
      <w:pPr>
        <w:sectPr>
          <w:pgSz w:w="11900" w:h="16838" w:orient="portrait"/>
          <w:cols w:equalWidth="0" w:num="1">
            <w:col w:w="10480"/>
          </w:cols>
          <w:pgMar w:left="1260" w:top="1440" w:right="166" w:bottom="0" w:gutter="0" w:footer="0" w:header="0"/>
          <w:type w:val="continuous"/>
        </w:sectPr>
      </w:pPr>
    </w:p>
    <w:bookmarkStart w:id="230" w:name="page231"/>
    <w:bookmarkEnd w:id="230"/>
    <w:tbl>
      <w:tblPr>
        <w:tblLayout w:type="fixed"/>
        <w:tblInd w:w="0" w:type="dxa"/>
        <w:tblCellMar>
          <w:top w:w="0" w:type="dxa"/>
          <w:left w:w="0" w:type="dxa"/>
          <w:bottom w:w="0" w:type="dxa"/>
          <w:right w:w="0" w:type="dxa"/>
        </w:tblCellMar>
      </w:tblPr>
      <w:tr>
        <w:trPr>
          <w:trHeight w:val="261"/>
        </w:trPr>
        <w:tc>
          <w:tcPr>
            <w:tcW w:w="1220" w:type="dxa"/>
            <w:vAlign w:val="bottom"/>
            <w:shd w:val="clear" w:color="auto" w:fill="CFF0FC"/>
          </w:tcPr>
          <w:p>
            <w:pPr>
              <w:ind w:left="20"/>
              <w:spacing w:after="0"/>
              <w:rPr>
                <w:sz w:val="20"/>
                <w:szCs w:val="20"/>
                <w:color w:val="auto"/>
              </w:rPr>
            </w:pPr>
            <w:r>
              <w:rPr>
                <w:rFonts w:ascii="Arial" w:cs="Arial" w:eastAsia="Arial" w:hAnsi="Arial"/>
                <w:sz w:val="19"/>
                <w:szCs w:val="19"/>
                <w:color w:val="auto"/>
              </w:rPr>
              <w:t>Federal</w:t>
            </w:r>
          </w:p>
        </w:tc>
        <w:tc>
          <w:tcPr>
            <w:tcW w:w="10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r>
      <w:tr>
        <w:trPr>
          <w:trHeight w:val="285"/>
        </w:trPr>
        <w:tc>
          <w:tcPr>
            <w:tcW w:w="1220" w:type="dxa"/>
            <w:vAlign w:val="bottom"/>
            <w:shd w:val="clear" w:color="auto" w:fill="CFF0FC"/>
          </w:tcPr>
          <w:p>
            <w:pPr>
              <w:ind w:left="20"/>
              <w:spacing w:after="0"/>
              <w:rPr>
                <w:sz w:val="20"/>
                <w:szCs w:val="20"/>
                <w:color w:val="auto"/>
              </w:rPr>
            </w:pPr>
            <w:r>
              <w:rPr>
                <w:rFonts w:ascii="Arial" w:cs="Arial" w:eastAsia="Arial" w:hAnsi="Arial"/>
                <w:sz w:val="19"/>
                <w:szCs w:val="19"/>
                <w:color w:val="auto"/>
              </w:rPr>
              <w:t>Home Loan</w:t>
            </w:r>
          </w:p>
        </w:tc>
        <w:tc>
          <w:tcPr>
            <w:tcW w:w="100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r>
      <w:tr>
        <w:trPr>
          <w:trHeight w:val="285"/>
        </w:trPr>
        <w:tc>
          <w:tcPr>
            <w:tcW w:w="1220" w:type="dxa"/>
            <w:vAlign w:val="bottom"/>
            <w:shd w:val="clear" w:color="auto" w:fill="CFF0FC"/>
          </w:tcPr>
          <w:p>
            <w:pPr>
              <w:ind w:left="20"/>
              <w:spacing w:after="0"/>
              <w:rPr>
                <w:sz w:val="20"/>
                <w:szCs w:val="20"/>
                <w:color w:val="auto"/>
              </w:rPr>
            </w:pPr>
            <w:r>
              <w:rPr>
                <w:rFonts w:ascii="Arial" w:cs="Arial" w:eastAsia="Arial" w:hAnsi="Arial"/>
                <w:sz w:val="19"/>
                <w:szCs w:val="19"/>
                <w:color w:val="auto"/>
              </w:rPr>
              <w:t>Bank</w:t>
            </w:r>
          </w:p>
        </w:tc>
        <w:tc>
          <w:tcPr>
            <w:tcW w:w="100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r>
      <w:tr>
        <w:trPr>
          <w:trHeight w:val="303"/>
        </w:trPr>
        <w:tc>
          <w:tcPr>
            <w:tcW w:w="12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9"/>
                <w:szCs w:val="19"/>
                <w:color w:val="auto"/>
              </w:rPr>
              <w:t>advances</w:t>
            </w:r>
          </w:p>
        </w:tc>
        <w:tc>
          <w:tcPr>
            <w:tcW w:w="100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9"/>
                <w:szCs w:val="19"/>
                <w:color w:val="auto"/>
              </w:rPr>
              <w:t>227,377</w:t>
            </w:r>
          </w:p>
        </w:tc>
        <w:tc>
          <w:tcPr>
            <w:tcW w:w="1200" w:type="dxa"/>
            <w:vAlign w:val="bottom"/>
            <w:tcBorders>
              <w:bottom w:val="single" w:sz="8" w:color="CFF0FC"/>
            </w:tcBorders>
            <w:shd w:val="clear" w:color="auto" w:fill="CFF0FC"/>
          </w:tcPr>
          <w:p>
            <w:pPr>
              <w:jc w:val="right"/>
              <w:ind w:right="305"/>
              <w:spacing w:after="0"/>
              <w:rPr>
                <w:sz w:val="20"/>
                <w:szCs w:val="20"/>
                <w:color w:val="auto"/>
              </w:rPr>
            </w:pPr>
            <w:r>
              <w:rPr>
                <w:rFonts w:ascii="Arial" w:cs="Arial" w:eastAsia="Arial" w:hAnsi="Arial"/>
                <w:sz w:val="19"/>
                <w:szCs w:val="19"/>
                <w:color w:val="auto"/>
              </w:rPr>
              <w:t>228,232</w:t>
            </w:r>
          </w:p>
        </w:tc>
        <w:tc>
          <w:tcPr>
            <w:tcW w:w="60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CFF0FC"/>
            </w:tcBorders>
            <w:shd w:val="clear" w:color="auto" w:fill="CFF0FC"/>
          </w:tcPr>
          <w:p>
            <w:pPr>
              <w:jc w:val="right"/>
              <w:ind w:right="125"/>
              <w:spacing w:after="0"/>
              <w:rPr>
                <w:sz w:val="20"/>
                <w:szCs w:val="20"/>
                <w:color w:val="auto"/>
              </w:rPr>
            </w:pPr>
            <w:r>
              <w:rPr>
                <w:rFonts w:ascii="Arial" w:cs="Arial" w:eastAsia="Arial" w:hAnsi="Arial"/>
                <w:sz w:val="19"/>
                <w:szCs w:val="19"/>
                <w:color w:val="auto"/>
              </w:rPr>
              <w:t>228,232</w:t>
            </w:r>
          </w:p>
        </w:tc>
        <w:tc>
          <w:tcPr>
            <w:tcW w:w="104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9"/>
                <w:szCs w:val="19"/>
                <w:color w:val="auto"/>
              </w:rPr>
              <w:t>246,056</w:t>
            </w:r>
          </w:p>
        </w:tc>
        <w:tc>
          <w:tcPr>
            <w:tcW w:w="1220" w:type="dxa"/>
            <w:vAlign w:val="bottom"/>
            <w:tcBorders>
              <w:bottom w:val="single" w:sz="8" w:color="CFF0FC"/>
            </w:tcBorders>
            <w:shd w:val="clear" w:color="auto" w:fill="CFF0FC"/>
          </w:tcPr>
          <w:p>
            <w:pPr>
              <w:jc w:val="right"/>
              <w:ind w:right="305"/>
              <w:spacing w:after="0"/>
              <w:rPr>
                <w:sz w:val="20"/>
                <w:szCs w:val="20"/>
                <w:color w:val="auto"/>
              </w:rPr>
            </w:pPr>
            <w:r>
              <w:rPr>
                <w:rFonts w:ascii="Arial" w:cs="Arial" w:eastAsia="Arial" w:hAnsi="Arial"/>
                <w:sz w:val="19"/>
                <w:szCs w:val="19"/>
                <w:color w:val="auto"/>
              </w:rPr>
              <w:t>245,373</w:t>
            </w:r>
          </w:p>
        </w:tc>
        <w:tc>
          <w:tcPr>
            <w:tcW w:w="5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9"/>
                <w:szCs w:val="19"/>
                <w:color w:val="auto"/>
              </w:rPr>
              <w:t>245,373</w:t>
            </w:r>
          </w:p>
        </w:tc>
      </w:tr>
      <w:tr>
        <w:trPr>
          <w:trHeight w:val="261"/>
        </w:trPr>
        <w:tc>
          <w:tcPr>
            <w:tcW w:w="1220" w:type="dxa"/>
            <w:vAlign w:val="bottom"/>
          </w:tcPr>
          <w:p>
            <w:pPr>
              <w:ind w:left="20"/>
              <w:spacing w:after="0"/>
              <w:rPr>
                <w:sz w:val="20"/>
                <w:szCs w:val="20"/>
                <w:color w:val="auto"/>
              </w:rPr>
            </w:pPr>
            <w:r>
              <w:rPr>
                <w:rFonts w:ascii="Arial" w:cs="Arial" w:eastAsia="Arial" w:hAnsi="Arial"/>
                <w:sz w:val="19"/>
                <w:szCs w:val="19"/>
                <w:color w:val="auto"/>
              </w:rPr>
              <w:t>Subordinated</w:t>
            </w: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5"/>
        </w:trPr>
        <w:tc>
          <w:tcPr>
            <w:tcW w:w="1220" w:type="dxa"/>
            <w:vAlign w:val="bottom"/>
          </w:tcPr>
          <w:p>
            <w:pPr>
              <w:ind w:left="20"/>
              <w:spacing w:after="0"/>
              <w:rPr>
                <w:sz w:val="20"/>
                <w:szCs w:val="20"/>
                <w:color w:val="auto"/>
              </w:rPr>
            </w:pPr>
            <w:r>
              <w:rPr>
                <w:rFonts w:ascii="Arial" w:cs="Arial" w:eastAsia="Arial" w:hAnsi="Arial"/>
                <w:sz w:val="19"/>
                <w:szCs w:val="19"/>
                <w:color w:val="auto"/>
              </w:rPr>
              <w:t>notes</w:t>
            </w:r>
          </w:p>
        </w:tc>
        <w:tc>
          <w:tcPr>
            <w:tcW w:w="1000" w:type="dxa"/>
            <w:vAlign w:val="bottom"/>
          </w:tcPr>
          <w:p>
            <w:pPr>
              <w:jc w:val="right"/>
              <w:ind w:right="105"/>
              <w:spacing w:after="0"/>
              <w:rPr>
                <w:sz w:val="20"/>
                <w:szCs w:val="20"/>
                <w:color w:val="auto"/>
              </w:rPr>
            </w:pPr>
            <w:r>
              <w:rPr>
                <w:rFonts w:ascii="Arial" w:cs="Arial" w:eastAsia="Arial" w:hAnsi="Arial"/>
                <w:sz w:val="19"/>
                <w:szCs w:val="19"/>
                <w:color w:val="auto"/>
              </w:rPr>
              <w:t>34,933</w:t>
            </w:r>
          </w:p>
        </w:tc>
        <w:tc>
          <w:tcPr>
            <w:tcW w:w="1200" w:type="dxa"/>
            <w:vAlign w:val="bottom"/>
          </w:tcPr>
          <w:p>
            <w:pPr>
              <w:jc w:val="right"/>
              <w:ind w:right="305"/>
              <w:spacing w:after="0"/>
              <w:rPr>
                <w:sz w:val="20"/>
                <w:szCs w:val="20"/>
                <w:color w:val="auto"/>
              </w:rPr>
            </w:pPr>
            <w:r>
              <w:rPr>
                <w:rFonts w:ascii="Arial" w:cs="Arial" w:eastAsia="Arial" w:hAnsi="Arial"/>
                <w:sz w:val="19"/>
                <w:szCs w:val="19"/>
                <w:color w:val="auto"/>
              </w:rPr>
              <w:t>33,834</w:t>
            </w:r>
          </w:p>
        </w:tc>
        <w:tc>
          <w:tcPr>
            <w:tcW w:w="60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840" w:type="dxa"/>
            <w:vAlign w:val="bottom"/>
          </w:tcPr>
          <w:p>
            <w:pPr>
              <w:jc w:val="right"/>
              <w:ind w:right="105"/>
              <w:spacing w:after="0"/>
              <w:rPr>
                <w:sz w:val="20"/>
                <w:szCs w:val="20"/>
                <w:color w:val="auto"/>
              </w:rPr>
            </w:pPr>
            <w:r>
              <w:rPr>
                <w:rFonts w:ascii="Arial" w:cs="Arial" w:eastAsia="Arial" w:hAnsi="Arial"/>
                <w:sz w:val="19"/>
                <w:szCs w:val="19"/>
                <w:color w:val="auto"/>
              </w:rPr>
              <w:t>33,834</w:t>
            </w:r>
          </w:p>
        </w:tc>
        <w:tc>
          <w:tcPr>
            <w:tcW w:w="104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105"/>
              <w:spacing w:after="0"/>
              <w:rPr>
                <w:sz w:val="20"/>
                <w:szCs w:val="20"/>
                <w:color w:val="auto"/>
              </w:rPr>
            </w:pPr>
            <w:r>
              <w:rPr>
                <w:rFonts w:ascii="Arial" w:cs="Arial" w:eastAsia="Arial" w:hAnsi="Arial"/>
                <w:sz w:val="19"/>
                <w:szCs w:val="19"/>
                <w:color w:val="auto"/>
              </w:rPr>
              <w:t>34,818</w:t>
            </w:r>
          </w:p>
        </w:tc>
        <w:tc>
          <w:tcPr>
            <w:tcW w:w="1220" w:type="dxa"/>
            <w:vAlign w:val="bottom"/>
          </w:tcPr>
          <w:p>
            <w:pPr>
              <w:jc w:val="right"/>
              <w:ind w:right="305"/>
              <w:spacing w:after="0"/>
              <w:rPr>
                <w:sz w:val="20"/>
                <w:szCs w:val="20"/>
                <w:color w:val="auto"/>
              </w:rPr>
            </w:pPr>
            <w:r>
              <w:rPr>
                <w:rFonts w:ascii="Arial" w:cs="Arial" w:eastAsia="Arial" w:hAnsi="Arial"/>
                <w:sz w:val="19"/>
                <w:szCs w:val="19"/>
                <w:color w:val="auto"/>
              </w:rPr>
              <w:t>31,983</w:t>
            </w:r>
          </w:p>
        </w:tc>
        <w:tc>
          <w:tcPr>
            <w:tcW w:w="58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840" w:type="dxa"/>
            <w:vAlign w:val="bottom"/>
          </w:tcPr>
          <w:p>
            <w:pPr>
              <w:jc w:val="right"/>
              <w:ind w:right="85"/>
              <w:spacing w:after="0"/>
              <w:rPr>
                <w:sz w:val="20"/>
                <w:szCs w:val="20"/>
                <w:color w:val="auto"/>
              </w:rPr>
            </w:pPr>
            <w:r>
              <w:rPr>
                <w:rFonts w:ascii="Arial" w:cs="Arial" w:eastAsia="Arial" w:hAnsi="Arial"/>
                <w:sz w:val="19"/>
                <w:szCs w:val="19"/>
                <w:color w:val="auto"/>
              </w:rPr>
              <w:t>31,983</w:t>
            </w:r>
          </w:p>
        </w:tc>
        <w:tc>
          <w:tcPr>
            <w:tcW w:w="9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8"/>
        </w:trPr>
        <w:tc>
          <w:tcPr>
            <w:tcW w:w="1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61"/>
        </w:trPr>
        <w:tc>
          <w:tcPr>
            <w:tcW w:w="1220" w:type="dxa"/>
            <w:vAlign w:val="bottom"/>
            <w:shd w:val="clear" w:color="auto" w:fill="CFF0FC"/>
          </w:tcPr>
          <w:p>
            <w:pPr>
              <w:ind w:left="20"/>
              <w:spacing w:after="0"/>
              <w:rPr>
                <w:sz w:val="20"/>
                <w:szCs w:val="20"/>
                <w:color w:val="auto"/>
              </w:rPr>
            </w:pPr>
            <w:r>
              <w:rPr>
                <w:rFonts w:ascii="Arial" w:cs="Arial" w:eastAsia="Arial" w:hAnsi="Arial"/>
                <w:sz w:val="19"/>
                <w:szCs w:val="19"/>
                <w:color w:val="auto"/>
              </w:rPr>
              <w:t>Interest</w:t>
            </w:r>
          </w:p>
        </w:tc>
        <w:tc>
          <w:tcPr>
            <w:tcW w:w="10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r>
      <w:tr>
        <w:trPr>
          <w:trHeight w:val="285"/>
        </w:trPr>
        <w:tc>
          <w:tcPr>
            <w:tcW w:w="1220" w:type="dxa"/>
            <w:vAlign w:val="bottom"/>
            <w:shd w:val="clear" w:color="auto" w:fill="CFF0FC"/>
          </w:tcPr>
          <w:p>
            <w:pPr>
              <w:ind w:left="20"/>
              <w:spacing w:after="0"/>
              <w:rPr>
                <w:sz w:val="20"/>
                <w:szCs w:val="20"/>
                <w:color w:val="auto"/>
              </w:rPr>
            </w:pPr>
            <w:r>
              <w:rPr>
                <w:rFonts w:ascii="Arial" w:cs="Arial" w:eastAsia="Arial" w:hAnsi="Arial"/>
                <w:sz w:val="19"/>
                <w:szCs w:val="19"/>
                <w:color w:val="auto"/>
              </w:rPr>
              <w:t>payable</w:t>
            </w:r>
          </w:p>
        </w:tc>
        <w:tc>
          <w:tcPr>
            <w:tcW w:w="1000" w:type="dxa"/>
            <w:vAlign w:val="bottom"/>
            <w:shd w:val="clear" w:color="auto" w:fill="CFF0FC"/>
          </w:tcPr>
          <w:p>
            <w:pPr>
              <w:jc w:val="right"/>
              <w:ind w:right="105"/>
              <w:spacing w:after="0"/>
              <w:rPr>
                <w:sz w:val="20"/>
                <w:szCs w:val="20"/>
                <w:color w:val="auto"/>
              </w:rPr>
            </w:pPr>
            <w:r>
              <w:rPr>
                <w:rFonts w:ascii="Arial" w:cs="Arial" w:eastAsia="Arial" w:hAnsi="Arial"/>
                <w:sz w:val="19"/>
                <w:szCs w:val="19"/>
                <w:color w:val="auto"/>
              </w:rPr>
              <w:t>5,950</w:t>
            </w:r>
          </w:p>
        </w:tc>
        <w:tc>
          <w:tcPr>
            <w:tcW w:w="1200" w:type="dxa"/>
            <w:vAlign w:val="bottom"/>
            <w:shd w:val="clear" w:color="auto" w:fill="CFF0FC"/>
          </w:tcPr>
          <w:p>
            <w:pPr>
              <w:jc w:val="right"/>
              <w:ind w:right="305"/>
              <w:spacing w:after="0"/>
              <w:rPr>
                <w:sz w:val="20"/>
                <w:szCs w:val="20"/>
                <w:color w:val="auto"/>
              </w:rPr>
            </w:pPr>
            <w:r>
              <w:rPr>
                <w:rFonts w:ascii="Arial" w:cs="Arial" w:eastAsia="Arial" w:hAnsi="Arial"/>
                <w:sz w:val="19"/>
                <w:szCs w:val="19"/>
                <w:color w:val="auto"/>
              </w:rPr>
              <w:t>5,950</w:t>
            </w:r>
          </w:p>
        </w:tc>
        <w:tc>
          <w:tcPr>
            <w:tcW w:w="600" w:type="dxa"/>
            <w:vAlign w:val="bottom"/>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840" w:type="dxa"/>
            <w:vAlign w:val="bottom"/>
            <w:shd w:val="clear" w:color="auto" w:fill="CFF0FC"/>
          </w:tcPr>
          <w:p>
            <w:pPr>
              <w:jc w:val="right"/>
              <w:ind w:right="105"/>
              <w:spacing w:after="0"/>
              <w:rPr>
                <w:sz w:val="20"/>
                <w:szCs w:val="20"/>
                <w:color w:val="auto"/>
              </w:rPr>
            </w:pPr>
            <w:r>
              <w:rPr>
                <w:rFonts w:ascii="Arial" w:cs="Arial" w:eastAsia="Arial" w:hAnsi="Arial"/>
                <w:sz w:val="19"/>
                <w:szCs w:val="19"/>
                <w:color w:val="auto"/>
              </w:rPr>
              <w:t>-</w:t>
            </w:r>
          </w:p>
        </w:tc>
        <w:tc>
          <w:tcPr>
            <w:tcW w:w="1040" w:type="dxa"/>
            <w:vAlign w:val="bottom"/>
            <w:shd w:val="clear" w:color="auto" w:fill="CFF0FC"/>
          </w:tcPr>
          <w:p>
            <w:pPr>
              <w:jc w:val="right"/>
              <w:ind w:right="125"/>
              <w:spacing w:after="0"/>
              <w:rPr>
                <w:sz w:val="20"/>
                <w:szCs w:val="20"/>
                <w:color w:val="auto"/>
              </w:rPr>
            </w:pPr>
            <w:r>
              <w:rPr>
                <w:rFonts w:ascii="Arial" w:cs="Arial" w:eastAsia="Arial" w:hAnsi="Arial"/>
                <w:sz w:val="19"/>
                <w:szCs w:val="19"/>
                <w:color w:val="auto"/>
              </w:rPr>
              <w:t>5,950</w:t>
            </w:r>
          </w:p>
        </w:tc>
        <w:tc>
          <w:tcPr>
            <w:tcW w:w="1040" w:type="dxa"/>
            <w:vAlign w:val="bottom"/>
            <w:shd w:val="clear" w:color="auto" w:fill="CFF0FC"/>
          </w:tcPr>
          <w:p>
            <w:pPr>
              <w:jc w:val="right"/>
              <w:ind w:right="105"/>
              <w:spacing w:after="0"/>
              <w:rPr>
                <w:sz w:val="20"/>
                <w:szCs w:val="20"/>
                <w:color w:val="auto"/>
              </w:rPr>
            </w:pPr>
            <w:r>
              <w:rPr>
                <w:rFonts w:ascii="Arial" w:cs="Arial" w:eastAsia="Arial" w:hAnsi="Arial"/>
                <w:sz w:val="19"/>
                <w:szCs w:val="19"/>
                <w:color w:val="auto"/>
              </w:rPr>
              <w:t>6,618</w:t>
            </w:r>
          </w:p>
        </w:tc>
        <w:tc>
          <w:tcPr>
            <w:tcW w:w="1220" w:type="dxa"/>
            <w:vAlign w:val="bottom"/>
            <w:shd w:val="clear" w:color="auto" w:fill="CFF0FC"/>
          </w:tcPr>
          <w:p>
            <w:pPr>
              <w:jc w:val="right"/>
              <w:ind w:right="305"/>
              <w:spacing w:after="0"/>
              <w:rPr>
                <w:sz w:val="20"/>
                <w:szCs w:val="20"/>
                <w:color w:val="auto"/>
              </w:rPr>
            </w:pPr>
            <w:r>
              <w:rPr>
                <w:rFonts w:ascii="Arial" w:cs="Arial" w:eastAsia="Arial" w:hAnsi="Arial"/>
                <w:sz w:val="19"/>
                <w:szCs w:val="19"/>
                <w:color w:val="auto"/>
              </w:rPr>
              <w:t>6,618</w:t>
            </w:r>
          </w:p>
        </w:tc>
        <w:tc>
          <w:tcPr>
            <w:tcW w:w="580" w:type="dxa"/>
            <w:vAlign w:val="bottom"/>
            <w:shd w:val="clear" w:color="auto" w:fill="CFF0FC"/>
          </w:tcPr>
          <w:p>
            <w:pPr>
              <w:jc w:val="right"/>
              <w:ind w:right="25"/>
              <w:spacing w:after="0"/>
              <w:rPr>
                <w:sz w:val="20"/>
                <w:szCs w:val="20"/>
                <w:color w:val="auto"/>
              </w:rPr>
            </w:pPr>
            <w:r>
              <w:rPr>
                <w:rFonts w:ascii="Arial" w:cs="Arial" w:eastAsia="Arial" w:hAnsi="Arial"/>
                <w:sz w:val="19"/>
                <w:szCs w:val="19"/>
                <w:color w:val="auto"/>
              </w:rPr>
              <w:t>-</w:t>
            </w:r>
          </w:p>
        </w:tc>
        <w:tc>
          <w:tcPr>
            <w:tcW w:w="840" w:type="dxa"/>
            <w:vAlign w:val="bottom"/>
            <w:shd w:val="clear" w:color="auto" w:fill="CFF0FC"/>
          </w:tcPr>
          <w:p>
            <w:pPr>
              <w:jc w:val="right"/>
              <w:ind w:right="85"/>
              <w:spacing w:after="0"/>
              <w:rPr>
                <w:sz w:val="20"/>
                <w:szCs w:val="20"/>
                <w:color w:val="auto"/>
              </w:rPr>
            </w:pPr>
            <w:r>
              <w:rPr>
                <w:rFonts w:ascii="Arial" w:cs="Arial" w:eastAsia="Arial" w:hAnsi="Arial"/>
                <w:sz w:val="19"/>
                <w:szCs w:val="19"/>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6,618</w:t>
            </w:r>
          </w:p>
        </w:tc>
      </w:tr>
      <w:tr>
        <w:trPr>
          <w:trHeight w:val="38"/>
        </w:trPr>
        <w:tc>
          <w:tcPr>
            <w:tcW w:w="122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22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4488180</wp:posOffset>
            </wp:positionH>
            <wp:positionV relativeFrom="page">
              <wp:posOffset>720090</wp:posOffset>
            </wp:positionV>
            <wp:extent cx="6350" cy="7327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0">
                      <a:extLst>
                        <a:ext uri="{28A0092B-C50C-407E-A947-70E740481C1C}"/>
                      </a:extLst>
                    </a:blip>
                    <a:srcRect/>
                    <a:stretch>
                      <a:fillRect/>
                    </a:stretch>
                  </pic:blipFill>
                  <pic:spPr bwMode="auto">
                    <a:xfrm>
                      <a:off x="0" y="0"/>
                      <a:ext cx="6350" cy="732790"/>
                    </a:xfrm>
                    <a:prstGeom prst="rect">
                      <a:avLst/>
                    </a:prstGeom>
                    <a:noFill/>
                  </pic:spPr>
                </pic:pic>
              </a:graphicData>
            </a:graphic>
          </wp:anchor>
        </w:drawing>
        <w:drawing>
          <wp:anchor simplePos="0" relativeHeight="251657728" behindDoc="1" locked="0" layoutInCell="0" allowOverlap="1">
            <wp:simplePos x="0" y="0"/>
            <wp:positionH relativeFrom="column">
              <wp:posOffset>3688080</wp:posOffset>
            </wp:positionH>
            <wp:positionV relativeFrom="paragraph">
              <wp:posOffset>-741680</wp:posOffset>
            </wp:positionV>
            <wp:extent cx="6350" cy="7423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1">
                      <a:extLst>
                        <a:ext uri="{28A0092B-C50C-407E-A947-70E740481C1C}"/>
                      </a:extLst>
                    </a:blip>
                    <a:srcRect/>
                    <a:stretch>
                      <a:fillRect/>
                    </a:stretch>
                  </pic:blipFill>
                  <pic:spPr bwMode="auto">
                    <a:xfrm>
                      <a:off x="0" y="0"/>
                      <a:ext cx="6350" cy="74231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10480"/>
          </w:cols>
          <w:pgMar w:left="1260" w:top="1133" w:right="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11 / 17</w:t>
      </w:r>
    </w:p>
    <w:p>
      <w:pPr>
        <w:sectPr>
          <w:pgSz w:w="11900" w:h="16838" w:orient="portrait"/>
          <w:cols w:equalWidth="0" w:num="1">
            <w:col w:w="10480"/>
          </w:cols>
          <w:pgMar w:left="1260" w:top="1133" w:right="166" w:bottom="0" w:gutter="0" w:footer="0" w:header="0"/>
          <w:type w:val="continuous"/>
        </w:sectPr>
      </w:pPr>
    </w:p>
    <w:bookmarkStart w:id="231" w:name="page232"/>
    <w:bookmarkEnd w:id="231"/>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380" w:lineRule="exact"/>
        <w:rPr>
          <w:sz w:val="20"/>
          <w:szCs w:val="20"/>
          <w:color w:val="auto"/>
        </w:rPr>
      </w:pPr>
    </w:p>
    <w:p>
      <w:pPr>
        <w:jc w:val="both"/>
        <w:ind w:left="620" w:right="60"/>
        <w:spacing w:after="0" w:line="307" w:lineRule="auto"/>
        <w:rPr>
          <w:sz w:val="20"/>
          <w:szCs w:val="20"/>
          <w:color w:val="auto"/>
        </w:rPr>
      </w:pPr>
      <w:r>
        <w:rPr>
          <w:rFonts w:ascii="Arial" w:cs="Arial" w:eastAsia="Arial" w:hAnsi="Arial"/>
          <w:sz w:val="20"/>
          <w:szCs w:val="20"/>
          <w:color w:val="auto"/>
        </w:rPr>
        <w:t>The following tables presents information about the Company's assets and liabilities measured at fair value on a recurring basis as of December 31, 2025 and December 31, 2024 segregated by level within the fair value hierarchy utilized to measure fair value:</w:t>
      </w:r>
    </w:p>
    <w:p>
      <w:pPr>
        <w:spacing w:after="0" w:line="352" w:lineRule="exact"/>
        <w:rPr>
          <w:sz w:val="20"/>
          <w:szCs w:val="20"/>
          <w:color w:val="auto"/>
        </w:rPr>
      </w:pPr>
    </w:p>
    <w:p>
      <w:pPr>
        <w:jc w:val="center"/>
        <w:ind w:right="100"/>
        <w:spacing w:after="0"/>
        <w:rPr>
          <w:sz w:val="20"/>
          <w:szCs w:val="20"/>
          <w:color w:val="auto"/>
        </w:rPr>
      </w:pPr>
      <w:r>
        <w:rPr>
          <w:rFonts w:ascii="Arial" w:cs="Arial" w:eastAsia="Arial" w:hAnsi="Arial"/>
          <w:sz w:val="20"/>
          <w:szCs w:val="20"/>
          <w:u w:val="single" w:color="auto"/>
          <w:color w:val="auto"/>
        </w:rPr>
        <w:t>Assets and Liabilities Measured at Fair Value on a Recurring Basis (In Thousands)</w:t>
      </w:r>
    </w:p>
    <w:p>
      <w:pPr>
        <w:spacing w:after="0" w:line="399"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0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20"/>
                <w:szCs w:val="20"/>
                <w:color w:val="auto"/>
              </w:rPr>
              <w:t>Quoted Prices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00"/>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center"/>
              <w:ind w:right="120"/>
              <w:spacing w:after="0"/>
              <w:rPr>
                <w:sz w:val="20"/>
                <w:szCs w:val="20"/>
                <w:color w:val="auto"/>
              </w:rPr>
            </w:pPr>
            <w:r>
              <w:rPr>
                <w:rFonts w:ascii="Arial" w:cs="Arial" w:eastAsia="Arial" w:hAnsi="Arial"/>
                <w:sz w:val="20"/>
                <w:szCs w:val="20"/>
                <w:color w:val="auto"/>
              </w:rPr>
              <w:t>in</w:t>
            </w:r>
          </w:p>
        </w:tc>
        <w:tc>
          <w:tcPr>
            <w:tcW w:w="240" w:type="dxa"/>
            <w:vAlign w:val="bottom"/>
          </w:tcPr>
          <w:p>
            <w:pPr>
              <w:spacing w:after="0"/>
              <w:rPr>
                <w:sz w:val="24"/>
                <w:szCs w:val="24"/>
                <w:color w:val="auto"/>
              </w:rPr>
            </w:pPr>
          </w:p>
        </w:tc>
        <w:tc>
          <w:tcPr>
            <w:tcW w:w="1300" w:type="dxa"/>
            <w:vAlign w:val="bottom"/>
          </w:tcPr>
          <w:p>
            <w:pPr>
              <w:jc w:val="center"/>
              <w:ind w:right="200"/>
              <w:spacing w:after="0"/>
              <w:rPr>
                <w:sz w:val="20"/>
                <w:szCs w:val="20"/>
                <w:color w:val="auto"/>
              </w:rPr>
            </w:pPr>
            <w:r>
              <w:rPr>
                <w:rFonts w:ascii="Arial" w:cs="Arial" w:eastAsia="Arial" w:hAnsi="Arial"/>
                <w:sz w:val="20"/>
                <w:szCs w:val="20"/>
                <w:color w:val="auto"/>
                <w:w w:val="95"/>
              </w:rPr>
              <w:t>Significant</w:t>
            </w:r>
          </w:p>
        </w:tc>
        <w:tc>
          <w:tcPr>
            <w:tcW w:w="220" w:type="dxa"/>
            <w:vAlign w:val="bottom"/>
          </w:tcPr>
          <w:p>
            <w:pPr>
              <w:spacing w:after="0"/>
              <w:rPr>
                <w:sz w:val="24"/>
                <w:szCs w:val="24"/>
                <w:color w:val="auto"/>
              </w:rPr>
            </w:pPr>
          </w:p>
        </w:tc>
        <w:tc>
          <w:tcPr>
            <w:tcW w:w="1240" w:type="dxa"/>
            <w:vAlign w:val="bottom"/>
          </w:tcPr>
          <w:p>
            <w:pPr>
              <w:jc w:val="center"/>
              <w:ind w:right="140"/>
              <w:spacing w:after="0"/>
              <w:rPr>
                <w:sz w:val="20"/>
                <w:szCs w:val="20"/>
                <w:color w:val="auto"/>
              </w:rPr>
            </w:pPr>
            <w:r>
              <w:rPr>
                <w:rFonts w:ascii="Arial" w:cs="Arial" w:eastAsia="Arial" w:hAnsi="Arial"/>
                <w:sz w:val="20"/>
                <w:szCs w:val="20"/>
                <w:color w:val="auto"/>
                <w:w w:val="95"/>
              </w:rPr>
              <w:t>Significant</w:t>
            </w:r>
          </w:p>
        </w:tc>
      </w:tr>
      <w:tr>
        <w:trPr>
          <w:trHeight w:val="314"/>
        </w:trPr>
        <w:tc>
          <w:tcPr>
            <w:tcW w:w="3000" w:type="dxa"/>
            <w:vAlign w:val="bottom"/>
          </w:tcPr>
          <w:p>
            <w:pPr>
              <w:spacing w:after="0"/>
              <w:rPr>
                <w:sz w:val="24"/>
                <w:szCs w:val="24"/>
                <w:color w:val="auto"/>
              </w:rPr>
            </w:pPr>
          </w:p>
        </w:tc>
        <w:tc>
          <w:tcPr>
            <w:tcW w:w="1520" w:type="dxa"/>
            <w:vAlign w:val="bottom"/>
            <w:gridSpan w:val="2"/>
          </w:tcPr>
          <w:p>
            <w:pPr>
              <w:ind w:left="160"/>
              <w:spacing w:after="0"/>
              <w:rPr>
                <w:sz w:val="20"/>
                <w:szCs w:val="20"/>
                <w:color w:val="auto"/>
              </w:rPr>
            </w:pPr>
            <w:r>
              <w:rPr>
                <w:rFonts w:ascii="Arial" w:cs="Arial" w:eastAsia="Arial" w:hAnsi="Arial"/>
                <w:sz w:val="20"/>
                <w:szCs w:val="20"/>
                <w:color w:val="auto"/>
              </w:rPr>
              <w:t>Active Markets</w:t>
            </w:r>
          </w:p>
        </w:tc>
        <w:tc>
          <w:tcPr>
            <w:tcW w:w="240" w:type="dxa"/>
            <w:vAlign w:val="bottom"/>
          </w:tcPr>
          <w:p>
            <w:pPr>
              <w:spacing w:after="0"/>
              <w:rPr>
                <w:sz w:val="24"/>
                <w:szCs w:val="24"/>
                <w:color w:val="auto"/>
              </w:rPr>
            </w:pPr>
          </w:p>
        </w:tc>
        <w:tc>
          <w:tcPr>
            <w:tcW w:w="1300" w:type="dxa"/>
            <w:vAlign w:val="bottom"/>
          </w:tcPr>
          <w:p>
            <w:pPr>
              <w:jc w:val="center"/>
              <w:ind w:right="180"/>
              <w:spacing w:after="0"/>
              <w:rPr>
                <w:sz w:val="20"/>
                <w:szCs w:val="20"/>
                <w:color w:val="auto"/>
              </w:rPr>
            </w:pPr>
            <w:r>
              <w:rPr>
                <w:rFonts w:ascii="Arial" w:cs="Arial" w:eastAsia="Arial" w:hAnsi="Arial"/>
                <w:sz w:val="20"/>
                <w:szCs w:val="20"/>
                <w:color w:val="auto"/>
                <w:w w:val="87"/>
              </w:rPr>
              <w:t>Observable</w:t>
            </w:r>
          </w:p>
        </w:tc>
        <w:tc>
          <w:tcPr>
            <w:tcW w:w="220" w:type="dxa"/>
            <w:vAlign w:val="bottom"/>
          </w:tcPr>
          <w:p>
            <w:pPr>
              <w:spacing w:after="0"/>
              <w:rPr>
                <w:sz w:val="24"/>
                <w:szCs w:val="24"/>
                <w:color w:val="auto"/>
              </w:rPr>
            </w:pPr>
          </w:p>
        </w:tc>
        <w:tc>
          <w:tcPr>
            <w:tcW w:w="1240" w:type="dxa"/>
            <w:vAlign w:val="bottom"/>
          </w:tcPr>
          <w:p>
            <w:pPr>
              <w:jc w:val="center"/>
              <w:ind w:right="160"/>
              <w:spacing w:after="0"/>
              <w:rPr>
                <w:sz w:val="20"/>
                <w:szCs w:val="20"/>
                <w:color w:val="auto"/>
              </w:rPr>
            </w:pPr>
            <w:r>
              <w:rPr>
                <w:rFonts w:ascii="Arial" w:cs="Arial" w:eastAsia="Arial" w:hAnsi="Arial"/>
                <w:sz w:val="20"/>
                <w:szCs w:val="20"/>
                <w:color w:val="auto"/>
                <w:w w:val="87"/>
              </w:rPr>
              <w:t>Observable</w:t>
            </w:r>
          </w:p>
        </w:tc>
      </w:tr>
      <w:tr>
        <w:trPr>
          <w:trHeight w:val="314"/>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center"/>
              <w:ind w:right="100"/>
              <w:spacing w:after="0"/>
              <w:rPr>
                <w:sz w:val="20"/>
                <w:szCs w:val="20"/>
                <w:color w:val="auto"/>
              </w:rPr>
            </w:pPr>
            <w:r>
              <w:rPr>
                <w:rFonts w:ascii="Arial" w:cs="Arial" w:eastAsia="Arial" w:hAnsi="Arial"/>
                <w:sz w:val="20"/>
                <w:szCs w:val="20"/>
                <w:color w:val="auto"/>
                <w:w w:val="94"/>
              </w:rPr>
              <w:t>for Identical</w:t>
            </w:r>
          </w:p>
        </w:tc>
        <w:tc>
          <w:tcPr>
            <w:tcW w:w="240" w:type="dxa"/>
            <w:vAlign w:val="bottom"/>
          </w:tcPr>
          <w:p>
            <w:pPr>
              <w:spacing w:after="0"/>
              <w:rPr>
                <w:sz w:val="24"/>
                <w:szCs w:val="24"/>
                <w:color w:val="auto"/>
              </w:rPr>
            </w:pPr>
          </w:p>
        </w:tc>
        <w:tc>
          <w:tcPr>
            <w:tcW w:w="1300" w:type="dxa"/>
            <w:vAlign w:val="bottom"/>
          </w:tcPr>
          <w:p>
            <w:pPr>
              <w:jc w:val="center"/>
              <w:ind w:right="180"/>
              <w:spacing w:after="0"/>
              <w:rPr>
                <w:sz w:val="20"/>
                <w:szCs w:val="20"/>
                <w:color w:val="auto"/>
              </w:rPr>
            </w:pPr>
            <w:r>
              <w:rPr>
                <w:rFonts w:ascii="Arial" w:cs="Arial" w:eastAsia="Arial" w:hAnsi="Arial"/>
                <w:sz w:val="20"/>
                <w:szCs w:val="20"/>
                <w:color w:val="auto"/>
                <w:w w:val="91"/>
              </w:rPr>
              <w:t>Inputs</w:t>
            </w:r>
          </w:p>
        </w:tc>
        <w:tc>
          <w:tcPr>
            <w:tcW w:w="220" w:type="dxa"/>
            <w:vAlign w:val="bottom"/>
          </w:tcPr>
          <w:p>
            <w:pPr>
              <w:spacing w:after="0"/>
              <w:rPr>
                <w:sz w:val="24"/>
                <w:szCs w:val="24"/>
                <w:color w:val="auto"/>
              </w:rPr>
            </w:pPr>
          </w:p>
        </w:tc>
        <w:tc>
          <w:tcPr>
            <w:tcW w:w="1240" w:type="dxa"/>
            <w:vAlign w:val="bottom"/>
          </w:tcPr>
          <w:p>
            <w:pPr>
              <w:jc w:val="center"/>
              <w:ind w:right="160"/>
              <w:spacing w:after="0"/>
              <w:rPr>
                <w:sz w:val="20"/>
                <w:szCs w:val="20"/>
                <w:color w:val="auto"/>
              </w:rPr>
            </w:pPr>
            <w:r>
              <w:rPr>
                <w:rFonts w:ascii="Arial" w:cs="Arial" w:eastAsia="Arial" w:hAnsi="Arial"/>
                <w:sz w:val="20"/>
                <w:szCs w:val="20"/>
                <w:color w:val="auto"/>
                <w:w w:val="91"/>
              </w:rPr>
              <w:t>Inputs</w:t>
            </w:r>
          </w:p>
        </w:tc>
      </w:tr>
      <w:tr>
        <w:trPr>
          <w:trHeight w:val="314"/>
        </w:trPr>
        <w:tc>
          <w:tcPr>
            <w:tcW w:w="3000" w:type="dxa"/>
            <w:vAlign w:val="bottom"/>
          </w:tcPr>
          <w:p>
            <w:pPr>
              <w:spacing w:after="0"/>
              <w:rPr>
                <w:sz w:val="24"/>
                <w:szCs w:val="24"/>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20"/>
                <w:szCs w:val="20"/>
                <w:color w:val="auto"/>
              </w:rPr>
              <w:t>Assets (Level</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0"/>
        </w:trPr>
        <w:tc>
          <w:tcPr>
            <w:tcW w:w="3000" w:type="dxa"/>
            <w:vAlign w:val="bottom"/>
          </w:tcPr>
          <w:p>
            <w:pPr>
              <w:ind w:left="720"/>
              <w:spacing w:after="0"/>
              <w:rPr>
                <w:sz w:val="20"/>
                <w:szCs w:val="20"/>
                <w:color w:val="auto"/>
              </w:rPr>
            </w:pPr>
            <w:r>
              <w:rPr>
                <w:rFonts w:ascii="Arial" w:cs="Arial" w:eastAsia="Arial" w:hAnsi="Arial"/>
                <w:sz w:val="20"/>
                <w:szCs w:val="20"/>
                <w:color w:val="auto"/>
              </w:rPr>
              <w:t>December 31, 2025</w:t>
            </w:r>
          </w:p>
        </w:tc>
        <w:tc>
          <w:tcPr>
            <w:tcW w:w="260" w:type="dxa"/>
            <w:vAlign w:val="bottom"/>
          </w:tcPr>
          <w:p>
            <w:pPr>
              <w:spacing w:after="0"/>
              <w:rPr>
                <w:sz w:val="24"/>
                <w:szCs w:val="24"/>
                <w:color w:val="auto"/>
              </w:rPr>
            </w:pPr>
          </w:p>
        </w:tc>
        <w:tc>
          <w:tcPr>
            <w:tcW w:w="1260" w:type="dxa"/>
            <w:vAlign w:val="bottom"/>
          </w:tcPr>
          <w:p>
            <w:pPr>
              <w:jc w:val="center"/>
              <w:ind w:right="120"/>
              <w:spacing w:after="0"/>
              <w:rPr>
                <w:sz w:val="20"/>
                <w:szCs w:val="20"/>
                <w:color w:val="auto"/>
              </w:rPr>
            </w:pPr>
            <w:r>
              <w:rPr>
                <w:rFonts w:ascii="Arial" w:cs="Arial" w:eastAsia="Arial" w:hAnsi="Arial"/>
                <w:sz w:val="20"/>
                <w:szCs w:val="20"/>
                <w:color w:val="auto"/>
                <w:w w:val="89"/>
              </w:rPr>
              <w:t>1)</w:t>
            </w:r>
          </w:p>
        </w:tc>
        <w:tc>
          <w:tcPr>
            <w:tcW w:w="240" w:type="dxa"/>
            <w:vAlign w:val="bottom"/>
          </w:tcPr>
          <w:p>
            <w:pPr>
              <w:spacing w:after="0"/>
              <w:rPr>
                <w:sz w:val="24"/>
                <w:szCs w:val="24"/>
                <w:color w:val="auto"/>
              </w:rPr>
            </w:pPr>
          </w:p>
        </w:tc>
        <w:tc>
          <w:tcPr>
            <w:tcW w:w="1300" w:type="dxa"/>
            <w:vAlign w:val="bottom"/>
          </w:tcPr>
          <w:p>
            <w:pPr>
              <w:jc w:val="center"/>
              <w:ind w:right="180"/>
              <w:spacing w:after="0"/>
              <w:rPr>
                <w:sz w:val="20"/>
                <w:szCs w:val="20"/>
                <w:color w:val="auto"/>
              </w:rPr>
            </w:pPr>
            <w:r>
              <w:rPr>
                <w:rFonts w:ascii="Arial" w:cs="Arial" w:eastAsia="Arial" w:hAnsi="Arial"/>
                <w:sz w:val="20"/>
                <w:szCs w:val="20"/>
                <w:color w:val="auto"/>
                <w:w w:val="95"/>
              </w:rPr>
              <w:t>(Level 2)</w:t>
            </w:r>
          </w:p>
        </w:tc>
        <w:tc>
          <w:tcPr>
            <w:tcW w:w="220" w:type="dxa"/>
            <w:vAlign w:val="bottom"/>
          </w:tcPr>
          <w:p>
            <w:pPr>
              <w:spacing w:after="0"/>
              <w:rPr>
                <w:sz w:val="24"/>
                <w:szCs w:val="24"/>
                <w:color w:val="auto"/>
              </w:rPr>
            </w:pPr>
          </w:p>
        </w:tc>
        <w:tc>
          <w:tcPr>
            <w:tcW w:w="1240" w:type="dxa"/>
            <w:vAlign w:val="bottom"/>
          </w:tcPr>
          <w:p>
            <w:pPr>
              <w:jc w:val="center"/>
              <w:ind w:right="160"/>
              <w:spacing w:after="0"/>
              <w:rPr>
                <w:sz w:val="20"/>
                <w:szCs w:val="20"/>
                <w:color w:val="auto"/>
              </w:rPr>
            </w:pPr>
            <w:r>
              <w:rPr>
                <w:rFonts w:ascii="Arial" w:cs="Arial" w:eastAsia="Arial" w:hAnsi="Arial"/>
                <w:sz w:val="20"/>
                <w:szCs w:val="20"/>
                <w:color w:val="auto"/>
                <w:w w:val="95"/>
              </w:rPr>
              <w:t>(Level 3)</w:t>
            </w:r>
          </w:p>
        </w:tc>
      </w:tr>
      <w:tr>
        <w:trPr>
          <w:trHeight w:val="41"/>
        </w:trPr>
        <w:tc>
          <w:tcPr>
            <w:tcW w:w="3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4"/>
        </w:trPr>
        <w:tc>
          <w:tcPr>
            <w:tcW w:w="3000" w:type="dxa"/>
            <w:vAlign w:val="bottom"/>
            <w:shd w:val="clear" w:color="auto" w:fill="CFF0FC"/>
          </w:tcPr>
          <w:p>
            <w:pPr>
              <w:spacing w:after="0"/>
              <w:rPr>
                <w:sz w:val="20"/>
                <w:szCs w:val="20"/>
                <w:color w:val="auto"/>
              </w:rPr>
            </w:pPr>
            <w:r>
              <w:rPr>
                <w:rFonts w:ascii="Arial" w:cs="Arial" w:eastAsia="Arial" w:hAnsi="Arial"/>
                <w:sz w:val="20"/>
                <w:szCs w:val="20"/>
                <w:color w:val="auto"/>
              </w:rPr>
              <w:t>Assets-(Securities Available-for-</w:t>
            </w:r>
          </w:p>
        </w:tc>
        <w:tc>
          <w:tcPr>
            <w:tcW w:w="26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3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r>
      <w:tr>
        <w:trPr>
          <w:trHeight w:val="321"/>
        </w:trPr>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Sale)</w:t>
            </w:r>
          </w:p>
        </w:tc>
        <w:tc>
          <w:tcPr>
            <w:tcW w:w="2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r>
      <w:tr>
        <w:trPr>
          <w:trHeight w:val="274"/>
        </w:trPr>
        <w:tc>
          <w:tcPr>
            <w:tcW w:w="3000" w:type="dxa"/>
            <w:vAlign w:val="bottom"/>
          </w:tcPr>
          <w:p>
            <w:pPr>
              <w:spacing w:after="0"/>
              <w:rPr>
                <w:sz w:val="20"/>
                <w:szCs w:val="20"/>
                <w:color w:val="auto"/>
              </w:rPr>
            </w:pPr>
            <w:r>
              <w:rPr>
                <w:rFonts w:ascii="Arial" w:cs="Arial" w:eastAsia="Arial" w:hAnsi="Arial"/>
                <w:sz w:val="20"/>
                <w:szCs w:val="20"/>
                <w:color w:val="auto"/>
              </w:rPr>
              <w:t>U.S. Treasury</w:t>
            </w:r>
          </w:p>
        </w:tc>
        <w:tc>
          <w:tcPr>
            <w:tcW w:w="260" w:type="dxa"/>
            <w:vAlign w:val="bottom"/>
          </w:tcPr>
          <w:p>
            <w:pPr>
              <w:ind w:left="140"/>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89,853</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1"/>
        </w:trPr>
        <w:tc>
          <w:tcPr>
            <w:tcW w:w="3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94"/>
        </w:trPr>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U.S. Government agencies</w:t>
            </w:r>
          </w:p>
        </w:tc>
        <w:tc>
          <w:tcPr>
            <w:tcW w:w="2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30,080</w:t>
            </w:r>
          </w:p>
        </w:tc>
        <w:tc>
          <w:tcPr>
            <w:tcW w:w="24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101,881</w:t>
            </w: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3000" w:type="dxa"/>
            <w:vAlign w:val="bottom"/>
          </w:tcPr>
          <w:p>
            <w:pPr>
              <w:spacing w:after="0"/>
              <w:rPr>
                <w:sz w:val="20"/>
                <w:szCs w:val="20"/>
                <w:color w:val="auto"/>
              </w:rPr>
            </w:pPr>
            <w:r>
              <w:rPr>
                <w:rFonts w:ascii="Arial" w:cs="Arial" w:eastAsia="Arial" w:hAnsi="Arial"/>
                <w:sz w:val="20"/>
                <w:szCs w:val="20"/>
                <w:color w:val="auto"/>
              </w:rPr>
              <w:t>Mortgage-backed securities</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20"/>
                <w:szCs w:val="20"/>
                <w:color w:val="auto"/>
              </w:rPr>
              <w:t>143,382</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1"/>
        </w:trPr>
        <w:tc>
          <w:tcPr>
            <w:tcW w:w="3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304"/>
        </w:trPr>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State and local governments</w:t>
            </w:r>
          </w:p>
        </w:tc>
        <w:tc>
          <w:tcPr>
            <w:tcW w:w="2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1,483</w:t>
            </w:r>
          </w:p>
        </w:tc>
        <w:tc>
          <w:tcPr>
            <w:tcW w:w="24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53,938</w:t>
            </w: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1,455</w:t>
            </w:r>
          </w:p>
        </w:tc>
      </w:tr>
      <w:tr>
        <w:trPr>
          <w:trHeight w:val="274"/>
        </w:trPr>
        <w:tc>
          <w:tcPr>
            <w:tcW w:w="3000" w:type="dxa"/>
            <w:vAlign w:val="bottom"/>
          </w:tcPr>
          <w:p>
            <w:pPr>
              <w:ind w:left="40"/>
              <w:spacing w:after="0"/>
              <w:rPr>
                <w:sz w:val="20"/>
                <w:szCs w:val="20"/>
                <w:color w:val="auto"/>
              </w:rPr>
            </w:pPr>
            <w:r>
              <w:rPr>
                <w:rFonts w:ascii="Arial" w:cs="Arial" w:eastAsia="Arial" w:hAnsi="Arial"/>
                <w:sz w:val="20"/>
                <w:szCs w:val="20"/>
                <w:color w:val="auto"/>
                <w:w w:val="97"/>
              </w:rPr>
              <w:t>Total Securities Available-for-Sale</w:t>
            </w:r>
          </w:p>
        </w:tc>
        <w:tc>
          <w:tcPr>
            <w:tcW w:w="260" w:type="dxa"/>
            <w:vAlign w:val="bottom"/>
          </w:tcPr>
          <w:p>
            <w:pPr>
              <w:ind w:left="140"/>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121,416</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40"/>
              <w:spacing w:after="0"/>
              <w:rPr>
                <w:sz w:val="20"/>
                <w:szCs w:val="20"/>
                <w:color w:val="auto"/>
              </w:rPr>
            </w:pPr>
            <w:r>
              <w:rPr>
                <w:rFonts w:ascii="Arial" w:cs="Arial" w:eastAsia="Arial" w:hAnsi="Arial"/>
                <w:sz w:val="20"/>
                <w:szCs w:val="20"/>
                <w:color w:val="auto"/>
              </w:rPr>
              <w:t>299,201</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1,455</w:t>
            </w:r>
          </w:p>
        </w:tc>
      </w:tr>
      <w:tr>
        <w:trPr>
          <w:trHeight w:val="41"/>
        </w:trPr>
        <w:tc>
          <w:tcPr>
            <w:tcW w:w="3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4"/>
        </w:trPr>
        <w:tc>
          <w:tcPr>
            <w:tcW w:w="3000" w:type="dxa"/>
            <w:vAlign w:val="bottom"/>
            <w:shd w:val="clear" w:color="auto" w:fill="CFF0FC"/>
          </w:tcPr>
          <w:p>
            <w:pPr>
              <w:spacing w:after="0"/>
              <w:rPr>
                <w:sz w:val="20"/>
                <w:szCs w:val="20"/>
                <w:color w:val="auto"/>
              </w:rPr>
            </w:pPr>
            <w:r>
              <w:rPr>
                <w:rFonts w:ascii="Arial" w:cs="Arial" w:eastAsia="Arial" w:hAnsi="Arial"/>
                <w:sz w:val="20"/>
                <w:szCs w:val="20"/>
                <w:color w:val="auto"/>
              </w:rPr>
              <w:t>Interest rate swaps liabilities</w:t>
            </w:r>
          </w:p>
        </w:tc>
        <w:tc>
          <w:tcPr>
            <w:tcW w:w="260" w:type="dxa"/>
            <w:vAlign w:val="bottom"/>
            <w:shd w:val="clear" w:color="auto" w:fill="CFF0FC"/>
          </w:tcPr>
          <w:p>
            <w:pPr>
              <w:ind w:left="140"/>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(1,555)</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41"/>
        </w:trPr>
        <w:tc>
          <w:tcPr>
            <w:tcW w:w="300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30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2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-1600200</wp:posOffset>
            </wp:positionV>
            <wp:extent cx="2725420" cy="63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3">
                      <a:extLst>
                        <a:ext uri="{28A0092B-C50C-407E-A947-70E740481C1C}"/>
                      </a:extLst>
                    </a:blip>
                    <a:srcRect/>
                    <a:stretch>
                      <a:fillRect/>
                    </a:stretch>
                  </pic:blipFill>
                  <pic:spPr bwMode="auto">
                    <a:xfrm>
                      <a:off x="0" y="0"/>
                      <a:ext cx="2725420" cy="635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-405130</wp:posOffset>
            </wp:positionV>
            <wp:extent cx="2773045" cy="63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4">
                      <a:extLst>
                        <a:ext uri="{28A0092B-C50C-407E-A947-70E740481C1C}"/>
                      </a:extLst>
                    </a:blip>
                    <a:srcRect/>
                    <a:stretch>
                      <a:fillRect/>
                    </a:stretch>
                  </pic:blipFill>
                  <pic:spPr bwMode="auto">
                    <a:xfrm>
                      <a:off x="0" y="0"/>
                      <a:ext cx="277304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December 31, 2024</w:t>
      </w:r>
    </w:p>
    <w:p>
      <w:pPr>
        <w:spacing w:after="0" w:line="94" w:lineRule="exact"/>
        <w:rPr>
          <w:sz w:val="20"/>
          <w:szCs w:val="20"/>
          <w:color w:val="auto"/>
        </w:rPr>
      </w:pPr>
    </w:p>
    <w:p>
      <w:pPr>
        <w:ind w:left="940"/>
        <w:spacing w:after="0"/>
        <w:rPr>
          <w:sz w:val="20"/>
          <w:szCs w:val="20"/>
          <w:color w:val="auto"/>
        </w:rPr>
      </w:pPr>
      <w:r>
        <w:rPr>
          <w:rFonts w:ascii="Arial" w:cs="Arial" w:eastAsia="Arial" w:hAnsi="Arial"/>
          <w:sz w:val="19"/>
          <w:szCs w:val="19"/>
          <w:color w:val="auto"/>
        </w:rPr>
        <w:t>Assets-(Securities Available-for-</w:t>
      </w:r>
    </w:p>
    <w:p>
      <w:pPr>
        <w:spacing w:after="0" w:line="72" w:lineRule="exact"/>
        <w:rPr>
          <w:sz w:val="20"/>
          <w:szCs w:val="20"/>
          <w:color w:val="auto"/>
        </w:rPr>
      </w:pPr>
    </w:p>
    <w:p>
      <w:pPr>
        <w:ind w:left="940"/>
        <w:spacing w:after="0"/>
        <w:rPr>
          <w:sz w:val="20"/>
          <w:szCs w:val="20"/>
          <w:color w:val="auto"/>
        </w:rPr>
      </w:pPr>
      <w:r>
        <w:rPr>
          <w:rFonts w:ascii="Arial" w:cs="Arial" w:eastAsia="Arial" w:hAnsi="Arial"/>
          <w:sz w:val="20"/>
          <w:szCs w:val="20"/>
          <w:color w:val="auto"/>
        </w:rPr>
        <w:t>Sale)</w:t>
      </w:r>
    </w:p>
    <w:p>
      <w:pPr>
        <w:spacing w:after="0" w:line="84" w:lineRule="exact"/>
        <w:rPr>
          <w:sz w:val="20"/>
          <w:szCs w:val="20"/>
          <w:color w:val="auto"/>
        </w:rPr>
      </w:pPr>
    </w:p>
    <w:p>
      <w:pPr>
        <w:ind w:left="940"/>
        <w:spacing w:after="0"/>
        <w:rPr>
          <w:sz w:val="20"/>
          <w:szCs w:val="20"/>
          <w:color w:val="auto"/>
        </w:rPr>
      </w:pPr>
      <w:r>
        <w:rPr>
          <w:rFonts w:ascii="Arial" w:cs="Arial" w:eastAsia="Arial" w:hAnsi="Arial"/>
          <w:sz w:val="20"/>
          <w:szCs w:val="20"/>
          <w:color w:val="auto"/>
        </w:rPr>
        <w:t>U.S. Treasury</w:t>
      </w:r>
    </w:p>
    <w:p>
      <w:pPr>
        <w:spacing w:after="0" w:line="84" w:lineRule="exact"/>
        <w:rPr>
          <w:sz w:val="20"/>
          <w:szCs w:val="20"/>
          <w:color w:val="auto"/>
        </w:rPr>
      </w:pPr>
    </w:p>
    <w:p>
      <w:pPr>
        <w:ind w:left="940"/>
        <w:spacing w:after="0"/>
        <w:rPr>
          <w:sz w:val="20"/>
          <w:szCs w:val="20"/>
          <w:color w:val="auto"/>
        </w:rPr>
      </w:pPr>
      <w:r>
        <w:rPr>
          <w:rFonts w:ascii="Arial" w:cs="Arial" w:eastAsia="Arial" w:hAnsi="Arial"/>
          <w:sz w:val="20"/>
          <w:szCs w:val="20"/>
          <w:color w:val="auto"/>
        </w:rPr>
        <w:t>U.S. Government agencies</w:t>
      </w:r>
    </w:p>
    <w:p>
      <w:pPr>
        <w:spacing w:after="0" w:line="84" w:lineRule="exact"/>
        <w:rPr>
          <w:sz w:val="20"/>
          <w:szCs w:val="20"/>
          <w:color w:val="auto"/>
        </w:rPr>
      </w:pPr>
    </w:p>
    <w:p>
      <w:pPr>
        <w:ind w:left="940"/>
        <w:spacing w:after="0"/>
        <w:rPr>
          <w:sz w:val="20"/>
          <w:szCs w:val="20"/>
          <w:color w:val="auto"/>
        </w:rPr>
      </w:pPr>
      <w:r>
        <w:rPr>
          <w:rFonts w:ascii="Arial" w:cs="Arial" w:eastAsia="Arial" w:hAnsi="Arial"/>
          <w:sz w:val="20"/>
          <w:szCs w:val="20"/>
          <w:color w:val="auto"/>
        </w:rPr>
        <w:t>Mortgage-backed securities</w:t>
      </w:r>
    </w:p>
    <w:p>
      <w:pPr>
        <w:spacing w:after="0" w:line="94" w:lineRule="exact"/>
        <w:rPr>
          <w:sz w:val="20"/>
          <w:szCs w:val="20"/>
          <w:color w:val="auto"/>
        </w:rPr>
      </w:pPr>
    </w:p>
    <w:p>
      <w:pPr>
        <w:ind w:left="940"/>
        <w:spacing w:after="0"/>
        <w:rPr>
          <w:sz w:val="20"/>
          <w:szCs w:val="20"/>
          <w:color w:val="auto"/>
        </w:rPr>
      </w:pPr>
      <w:r>
        <w:rPr>
          <w:rFonts w:ascii="Arial" w:cs="Arial" w:eastAsia="Arial" w:hAnsi="Arial"/>
          <w:sz w:val="20"/>
          <w:szCs w:val="20"/>
          <w:color w:val="auto"/>
        </w:rPr>
        <w:t>State and local governments</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Total Securities Available-for-Sale</w:t>
      </w:r>
    </w:p>
    <w:p>
      <w:pPr>
        <w:spacing w:after="0" w:line="98" w:lineRule="exact"/>
        <w:rPr>
          <w:sz w:val="20"/>
          <w:szCs w:val="20"/>
          <w:color w:val="auto"/>
        </w:rPr>
      </w:pPr>
    </w:p>
    <w:p>
      <w:pPr>
        <w:ind w:left="940"/>
        <w:spacing w:after="0"/>
        <w:rPr>
          <w:sz w:val="20"/>
          <w:szCs w:val="20"/>
          <w:color w:val="auto"/>
        </w:rPr>
      </w:pPr>
      <w:r>
        <w:rPr>
          <w:rFonts w:ascii="Arial" w:cs="Arial" w:eastAsia="Arial" w:hAnsi="Arial"/>
          <w:sz w:val="20"/>
          <w:szCs w:val="20"/>
          <w:color w:val="auto"/>
        </w:rPr>
        <w:t>Interest rate swaps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jc w:val="right"/>
              <w:ind w:right="100"/>
              <w:spacing w:after="0"/>
              <w:rPr>
                <w:sz w:val="20"/>
                <w:szCs w:val="20"/>
                <w:color w:val="auto"/>
              </w:rPr>
            </w:pPr>
            <w:r>
              <w:rPr>
                <w:rFonts w:ascii="Arial" w:cs="Arial" w:eastAsia="Arial" w:hAnsi="Arial"/>
                <w:sz w:val="20"/>
                <w:szCs w:val="20"/>
                <w:color w:val="auto"/>
                <w:w w:val="91"/>
              </w:rPr>
              <w:t>Quoted Prices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00"/>
        </w:trPr>
        <w:tc>
          <w:tcPr>
            <w:tcW w:w="120" w:type="dxa"/>
            <w:vAlign w:val="bottom"/>
          </w:tcPr>
          <w:p>
            <w:pPr>
              <w:spacing w:after="0"/>
              <w:rPr>
                <w:sz w:val="24"/>
                <w:szCs w:val="24"/>
                <w:color w:val="auto"/>
              </w:rPr>
            </w:pPr>
          </w:p>
        </w:tc>
        <w:tc>
          <w:tcPr>
            <w:tcW w:w="1260" w:type="dxa"/>
            <w:vAlign w:val="bottom"/>
          </w:tcPr>
          <w:p>
            <w:pPr>
              <w:jc w:val="center"/>
              <w:ind w:right="120"/>
              <w:spacing w:after="0"/>
              <w:rPr>
                <w:sz w:val="20"/>
                <w:szCs w:val="20"/>
                <w:color w:val="auto"/>
              </w:rPr>
            </w:pPr>
            <w:r>
              <w:rPr>
                <w:rFonts w:ascii="Arial" w:cs="Arial" w:eastAsia="Arial" w:hAnsi="Arial"/>
                <w:sz w:val="20"/>
                <w:szCs w:val="20"/>
                <w:color w:val="auto"/>
              </w:rPr>
              <w:t>in</w:t>
            </w:r>
          </w:p>
        </w:tc>
        <w:tc>
          <w:tcPr>
            <w:tcW w:w="240" w:type="dxa"/>
            <w:vAlign w:val="bottom"/>
          </w:tcPr>
          <w:p>
            <w:pPr>
              <w:spacing w:after="0"/>
              <w:rPr>
                <w:sz w:val="24"/>
                <w:szCs w:val="24"/>
                <w:color w:val="auto"/>
              </w:rPr>
            </w:pPr>
          </w:p>
        </w:tc>
        <w:tc>
          <w:tcPr>
            <w:tcW w:w="1300" w:type="dxa"/>
            <w:vAlign w:val="bottom"/>
          </w:tcPr>
          <w:p>
            <w:pPr>
              <w:jc w:val="center"/>
              <w:ind w:right="200"/>
              <w:spacing w:after="0"/>
              <w:rPr>
                <w:sz w:val="20"/>
                <w:szCs w:val="20"/>
                <w:color w:val="auto"/>
              </w:rPr>
            </w:pPr>
            <w:r>
              <w:rPr>
                <w:rFonts w:ascii="Arial" w:cs="Arial" w:eastAsia="Arial" w:hAnsi="Arial"/>
                <w:sz w:val="20"/>
                <w:szCs w:val="20"/>
                <w:color w:val="auto"/>
                <w:w w:val="95"/>
              </w:rPr>
              <w:t>Significant</w:t>
            </w:r>
          </w:p>
        </w:tc>
        <w:tc>
          <w:tcPr>
            <w:tcW w:w="220" w:type="dxa"/>
            <w:vAlign w:val="bottom"/>
          </w:tcPr>
          <w:p>
            <w:pPr>
              <w:spacing w:after="0"/>
              <w:rPr>
                <w:sz w:val="24"/>
                <w:szCs w:val="24"/>
                <w:color w:val="auto"/>
              </w:rPr>
            </w:pPr>
          </w:p>
        </w:tc>
        <w:tc>
          <w:tcPr>
            <w:tcW w:w="1140" w:type="dxa"/>
            <w:vAlign w:val="bottom"/>
          </w:tcPr>
          <w:p>
            <w:pPr>
              <w:jc w:val="center"/>
              <w:ind w:right="40"/>
              <w:spacing w:after="0"/>
              <w:rPr>
                <w:sz w:val="20"/>
                <w:szCs w:val="20"/>
                <w:color w:val="auto"/>
              </w:rPr>
            </w:pPr>
            <w:r>
              <w:rPr>
                <w:rFonts w:ascii="Arial" w:cs="Arial" w:eastAsia="Arial" w:hAnsi="Arial"/>
                <w:sz w:val="20"/>
                <w:szCs w:val="20"/>
                <w:color w:val="auto"/>
                <w:w w:val="95"/>
              </w:rPr>
              <w:t>Significant</w:t>
            </w:r>
          </w:p>
        </w:tc>
      </w:tr>
      <w:tr>
        <w:trPr>
          <w:trHeight w:val="314"/>
        </w:trPr>
        <w:tc>
          <w:tcPr>
            <w:tcW w:w="1380" w:type="dxa"/>
            <w:vAlign w:val="bottom"/>
            <w:gridSpan w:val="2"/>
          </w:tcPr>
          <w:p>
            <w:pPr>
              <w:ind w:left="20"/>
              <w:spacing w:after="0"/>
              <w:rPr>
                <w:sz w:val="20"/>
                <w:szCs w:val="20"/>
                <w:color w:val="auto"/>
              </w:rPr>
            </w:pPr>
            <w:r>
              <w:rPr>
                <w:rFonts w:ascii="Arial" w:cs="Arial" w:eastAsia="Arial" w:hAnsi="Arial"/>
                <w:sz w:val="20"/>
                <w:szCs w:val="20"/>
                <w:color w:val="auto"/>
              </w:rPr>
              <w:t>Active Markets</w:t>
            </w:r>
          </w:p>
        </w:tc>
        <w:tc>
          <w:tcPr>
            <w:tcW w:w="240" w:type="dxa"/>
            <w:vAlign w:val="bottom"/>
          </w:tcPr>
          <w:p>
            <w:pPr>
              <w:spacing w:after="0"/>
              <w:rPr>
                <w:sz w:val="24"/>
                <w:szCs w:val="24"/>
                <w:color w:val="auto"/>
              </w:rPr>
            </w:pPr>
          </w:p>
        </w:tc>
        <w:tc>
          <w:tcPr>
            <w:tcW w:w="1300" w:type="dxa"/>
            <w:vAlign w:val="bottom"/>
          </w:tcPr>
          <w:p>
            <w:pPr>
              <w:jc w:val="center"/>
              <w:ind w:right="180"/>
              <w:spacing w:after="0"/>
              <w:rPr>
                <w:sz w:val="20"/>
                <w:szCs w:val="20"/>
                <w:color w:val="auto"/>
              </w:rPr>
            </w:pPr>
            <w:r>
              <w:rPr>
                <w:rFonts w:ascii="Arial" w:cs="Arial" w:eastAsia="Arial" w:hAnsi="Arial"/>
                <w:sz w:val="20"/>
                <w:szCs w:val="20"/>
                <w:color w:val="auto"/>
                <w:w w:val="87"/>
              </w:rPr>
              <w:t>Observable</w:t>
            </w:r>
          </w:p>
        </w:tc>
        <w:tc>
          <w:tcPr>
            <w:tcW w:w="220" w:type="dxa"/>
            <w:vAlign w:val="bottom"/>
          </w:tcPr>
          <w:p>
            <w:pPr>
              <w:spacing w:after="0"/>
              <w:rPr>
                <w:sz w:val="24"/>
                <w:szCs w:val="24"/>
                <w:color w:val="auto"/>
              </w:rPr>
            </w:pPr>
          </w:p>
        </w:tc>
        <w:tc>
          <w:tcPr>
            <w:tcW w:w="1140" w:type="dxa"/>
            <w:vAlign w:val="bottom"/>
          </w:tcPr>
          <w:p>
            <w:pPr>
              <w:jc w:val="center"/>
              <w:ind w:right="60"/>
              <w:spacing w:after="0"/>
              <w:rPr>
                <w:sz w:val="20"/>
                <w:szCs w:val="20"/>
                <w:color w:val="auto"/>
              </w:rPr>
            </w:pPr>
            <w:r>
              <w:rPr>
                <w:rFonts w:ascii="Arial" w:cs="Arial" w:eastAsia="Arial" w:hAnsi="Arial"/>
                <w:sz w:val="20"/>
                <w:szCs w:val="20"/>
                <w:color w:val="auto"/>
                <w:w w:val="87"/>
              </w:rPr>
              <w:t>Observable</w:t>
            </w:r>
          </w:p>
        </w:tc>
      </w:tr>
      <w:tr>
        <w:trPr>
          <w:trHeight w:val="314"/>
        </w:trPr>
        <w:tc>
          <w:tcPr>
            <w:tcW w:w="120" w:type="dxa"/>
            <w:vAlign w:val="bottom"/>
          </w:tcPr>
          <w:p>
            <w:pPr>
              <w:spacing w:after="0"/>
              <w:rPr>
                <w:sz w:val="24"/>
                <w:szCs w:val="24"/>
                <w:color w:val="auto"/>
              </w:rPr>
            </w:pPr>
          </w:p>
        </w:tc>
        <w:tc>
          <w:tcPr>
            <w:tcW w:w="1260" w:type="dxa"/>
            <w:vAlign w:val="bottom"/>
          </w:tcPr>
          <w:p>
            <w:pPr>
              <w:jc w:val="center"/>
              <w:ind w:right="100"/>
              <w:spacing w:after="0"/>
              <w:rPr>
                <w:sz w:val="20"/>
                <w:szCs w:val="20"/>
                <w:color w:val="auto"/>
              </w:rPr>
            </w:pPr>
            <w:r>
              <w:rPr>
                <w:rFonts w:ascii="Arial" w:cs="Arial" w:eastAsia="Arial" w:hAnsi="Arial"/>
                <w:sz w:val="20"/>
                <w:szCs w:val="20"/>
                <w:color w:val="auto"/>
                <w:w w:val="94"/>
              </w:rPr>
              <w:t>for Identical</w:t>
            </w:r>
          </w:p>
        </w:tc>
        <w:tc>
          <w:tcPr>
            <w:tcW w:w="240" w:type="dxa"/>
            <w:vAlign w:val="bottom"/>
          </w:tcPr>
          <w:p>
            <w:pPr>
              <w:spacing w:after="0"/>
              <w:rPr>
                <w:sz w:val="24"/>
                <w:szCs w:val="24"/>
                <w:color w:val="auto"/>
              </w:rPr>
            </w:pPr>
          </w:p>
        </w:tc>
        <w:tc>
          <w:tcPr>
            <w:tcW w:w="1300" w:type="dxa"/>
            <w:vAlign w:val="bottom"/>
          </w:tcPr>
          <w:p>
            <w:pPr>
              <w:jc w:val="center"/>
              <w:ind w:right="180"/>
              <w:spacing w:after="0"/>
              <w:rPr>
                <w:sz w:val="20"/>
                <w:szCs w:val="20"/>
                <w:color w:val="auto"/>
              </w:rPr>
            </w:pPr>
            <w:r>
              <w:rPr>
                <w:rFonts w:ascii="Arial" w:cs="Arial" w:eastAsia="Arial" w:hAnsi="Arial"/>
                <w:sz w:val="20"/>
                <w:szCs w:val="20"/>
                <w:color w:val="auto"/>
                <w:w w:val="91"/>
              </w:rPr>
              <w:t>Inputs</w:t>
            </w:r>
          </w:p>
        </w:tc>
        <w:tc>
          <w:tcPr>
            <w:tcW w:w="220" w:type="dxa"/>
            <w:vAlign w:val="bottom"/>
          </w:tcPr>
          <w:p>
            <w:pPr>
              <w:spacing w:after="0"/>
              <w:rPr>
                <w:sz w:val="24"/>
                <w:szCs w:val="24"/>
                <w:color w:val="auto"/>
              </w:rPr>
            </w:pPr>
          </w:p>
        </w:tc>
        <w:tc>
          <w:tcPr>
            <w:tcW w:w="1140" w:type="dxa"/>
            <w:vAlign w:val="bottom"/>
          </w:tcPr>
          <w:p>
            <w:pPr>
              <w:jc w:val="center"/>
              <w:ind w:right="60"/>
              <w:spacing w:after="0"/>
              <w:rPr>
                <w:sz w:val="20"/>
                <w:szCs w:val="20"/>
                <w:color w:val="auto"/>
              </w:rPr>
            </w:pPr>
            <w:r>
              <w:rPr>
                <w:rFonts w:ascii="Arial" w:cs="Arial" w:eastAsia="Arial" w:hAnsi="Arial"/>
                <w:sz w:val="20"/>
                <w:szCs w:val="20"/>
                <w:color w:val="auto"/>
                <w:w w:val="91"/>
              </w:rPr>
              <w:t>Inputs</w:t>
            </w:r>
          </w:p>
        </w:tc>
      </w:tr>
      <w:tr>
        <w:trPr>
          <w:trHeight w:val="314"/>
        </w:trPr>
        <w:tc>
          <w:tcPr>
            <w:tcW w:w="1380" w:type="dxa"/>
            <w:vAlign w:val="bottom"/>
            <w:gridSpan w:val="2"/>
          </w:tcPr>
          <w:p>
            <w:pPr>
              <w:jc w:val="right"/>
              <w:ind w:right="120"/>
              <w:spacing w:after="0"/>
              <w:rPr>
                <w:sz w:val="20"/>
                <w:szCs w:val="20"/>
                <w:color w:val="auto"/>
              </w:rPr>
            </w:pPr>
            <w:r>
              <w:rPr>
                <w:rFonts w:ascii="Arial" w:cs="Arial" w:eastAsia="Arial" w:hAnsi="Arial"/>
                <w:sz w:val="20"/>
                <w:szCs w:val="20"/>
                <w:color w:val="auto"/>
                <w:w w:val="94"/>
              </w:rPr>
              <w:t>Assets (Level</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0"/>
        </w:trPr>
        <w:tc>
          <w:tcPr>
            <w:tcW w:w="120" w:type="dxa"/>
            <w:vAlign w:val="bottom"/>
          </w:tcPr>
          <w:p>
            <w:pPr>
              <w:spacing w:after="0"/>
              <w:rPr>
                <w:sz w:val="24"/>
                <w:szCs w:val="24"/>
                <w:color w:val="auto"/>
              </w:rPr>
            </w:pPr>
          </w:p>
        </w:tc>
        <w:tc>
          <w:tcPr>
            <w:tcW w:w="1260" w:type="dxa"/>
            <w:vAlign w:val="bottom"/>
          </w:tcPr>
          <w:p>
            <w:pPr>
              <w:jc w:val="center"/>
              <w:ind w:right="120"/>
              <w:spacing w:after="0"/>
              <w:rPr>
                <w:sz w:val="20"/>
                <w:szCs w:val="20"/>
                <w:color w:val="auto"/>
              </w:rPr>
            </w:pPr>
            <w:r>
              <w:rPr>
                <w:rFonts w:ascii="Arial" w:cs="Arial" w:eastAsia="Arial" w:hAnsi="Arial"/>
                <w:sz w:val="20"/>
                <w:szCs w:val="20"/>
                <w:color w:val="auto"/>
                <w:w w:val="89"/>
              </w:rPr>
              <w:t>1)</w:t>
            </w:r>
          </w:p>
        </w:tc>
        <w:tc>
          <w:tcPr>
            <w:tcW w:w="240" w:type="dxa"/>
            <w:vAlign w:val="bottom"/>
          </w:tcPr>
          <w:p>
            <w:pPr>
              <w:spacing w:after="0"/>
              <w:rPr>
                <w:sz w:val="24"/>
                <w:szCs w:val="24"/>
                <w:color w:val="auto"/>
              </w:rPr>
            </w:pPr>
          </w:p>
        </w:tc>
        <w:tc>
          <w:tcPr>
            <w:tcW w:w="1300" w:type="dxa"/>
            <w:vAlign w:val="bottom"/>
          </w:tcPr>
          <w:p>
            <w:pPr>
              <w:jc w:val="center"/>
              <w:ind w:right="180"/>
              <w:spacing w:after="0"/>
              <w:rPr>
                <w:sz w:val="20"/>
                <w:szCs w:val="20"/>
                <w:color w:val="auto"/>
              </w:rPr>
            </w:pPr>
            <w:r>
              <w:rPr>
                <w:rFonts w:ascii="Arial" w:cs="Arial" w:eastAsia="Arial" w:hAnsi="Arial"/>
                <w:sz w:val="20"/>
                <w:szCs w:val="20"/>
                <w:color w:val="auto"/>
                <w:w w:val="95"/>
              </w:rPr>
              <w:t>(Level 2)</w:t>
            </w:r>
          </w:p>
        </w:tc>
        <w:tc>
          <w:tcPr>
            <w:tcW w:w="220" w:type="dxa"/>
            <w:vAlign w:val="bottom"/>
          </w:tcPr>
          <w:p>
            <w:pPr>
              <w:spacing w:after="0"/>
              <w:rPr>
                <w:sz w:val="24"/>
                <w:szCs w:val="24"/>
                <w:color w:val="auto"/>
              </w:rPr>
            </w:pPr>
          </w:p>
        </w:tc>
        <w:tc>
          <w:tcPr>
            <w:tcW w:w="1140" w:type="dxa"/>
            <w:vAlign w:val="bottom"/>
          </w:tcPr>
          <w:p>
            <w:pPr>
              <w:jc w:val="center"/>
              <w:ind w:right="60"/>
              <w:spacing w:after="0"/>
              <w:rPr>
                <w:sz w:val="20"/>
                <w:szCs w:val="20"/>
                <w:color w:val="auto"/>
              </w:rPr>
            </w:pPr>
            <w:r>
              <w:rPr>
                <w:rFonts w:ascii="Arial" w:cs="Arial" w:eastAsia="Arial" w:hAnsi="Arial"/>
                <w:sz w:val="20"/>
                <w:szCs w:val="20"/>
                <w:color w:val="auto"/>
                <w:w w:val="95"/>
              </w:rPr>
              <w:t>(Level 3)</w:t>
            </w:r>
          </w:p>
        </w:tc>
      </w:tr>
      <w:tr>
        <w:trPr>
          <w:trHeight w:val="939"/>
        </w:trPr>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105,999</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14"/>
        </w:trPr>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20,035</w:t>
            </w:r>
          </w:p>
        </w:tc>
        <w:tc>
          <w:tcPr>
            <w:tcW w:w="240" w:type="dxa"/>
            <w:vAlign w:val="bottom"/>
          </w:tcPr>
          <w:p>
            <w:pPr>
              <w:spacing w:after="0"/>
              <w:rPr>
                <w:sz w:val="24"/>
                <w:szCs w:val="24"/>
                <w:color w:val="auto"/>
              </w:rPr>
            </w:pPr>
          </w:p>
        </w:tc>
        <w:tc>
          <w:tcPr>
            <w:tcW w:w="1300" w:type="dxa"/>
            <w:vAlign w:val="bottom"/>
          </w:tcPr>
          <w:p>
            <w:pPr>
              <w:jc w:val="right"/>
              <w:ind w:right="40"/>
              <w:spacing w:after="0"/>
              <w:rPr>
                <w:sz w:val="20"/>
                <w:szCs w:val="20"/>
                <w:color w:val="auto"/>
              </w:rPr>
            </w:pPr>
            <w:r>
              <w:rPr>
                <w:rFonts w:ascii="Arial" w:cs="Arial" w:eastAsia="Arial" w:hAnsi="Arial"/>
                <w:sz w:val="20"/>
                <w:szCs w:val="20"/>
                <w:color w:val="auto"/>
              </w:rPr>
              <w:t>115,131</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14"/>
        </w:trPr>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1300" w:type="dxa"/>
            <w:vAlign w:val="bottom"/>
          </w:tcPr>
          <w:p>
            <w:pPr>
              <w:jc w:val="right"/>
              <w:ind w:right="40"/>
              <w:spacing w:after="0"/>
              <w:rPr>
                <w:sz w:val="20"/>
                <w:szCs w:val="20"/>
                <w:color w:val="auto"/>
              </w:rPr>
            </w:pPr>
            <w:r>
              <w:rPr>
                <w:rFonts w:ascii="Arial" w:cs="Arial" w:eastAsia="Arial" w:hAnsi="Arial"/>
                <w:sz w:val="20"/>
                <w:szCs w:val="20"/>
                <w:color w:val="auto"/>
              </w:rPr>
              <w:t>120,631</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14"/>
        </w:trPr>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1300" w:type="dxa"/>
            <w:vAlign w:val="bottom"/>
          </w:tcPr>
          <w:p>
            <w:pPr>
              <w:jc w:val="right"/>
              <w:ind w:right="40"/>
              <w:spacing w:after="0"/>
              <w:rPr>
                <w:sz w:val="20"/>
                <w:szCs w:val="20"/>
                <w:color w:val="auto"/>
              </w:rPr>
            </w:pPr>
            <w:r>
              <w:rPr>
                <w:rFonts w:ascii="Arial" w:cs="Arial" w:eastAsia="Arial" w:hAnsi="Arial"/>
                <w:sz w:val="20"/>
                <w:szCs w:val="20"/>
                <w:color w:val="auto"/>
              </w:rPr>
              <w:t>63,133</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1,627</w:t>
            </w:r>
          </w:p>
        </w:tc>
      </w:tr>
      <w:tr>
        <w:trPr>
          <w:trHeight w:val="324"/>
        </w:trPr>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126,034</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40"/>
              <w:spacing w:after="0"/>
              <w:rPr>
                <w:sz w:val="20"/>
                <w:szCs w:val="20"/>
                <w:color w:val="auto"/>
              </w:rPr>
            </w:pPr>
            <w:r>
              <w:rPr>
                <w:rFonts w:ascii="Arial" w:cs="Arial" w:eastAsia="Arial" w:hAnsi="Arial"/>
                <w:sz w:val="20"/>
                <w:szCs w:val="20"/>
                <w:color w:val="auto"/>
              </w:rPr>
              <w:t>298,895</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1,627</w:t>
            </w:r>
          </w:p>
        </w:tc>
      </w:tr>
      <w:tr>
        <w:trPr>
          <w:trHeight w:val="359"/>
        </w:trPr>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(976)</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-1997075</wp:posOffset>
            </wp:positionH>
            <wp:positionV relativeFrom="paragraph">
              <wp:posOffset>-1602740</wp:posOffset>
            </wp:positionV>
            <wp:extent cx="4773930" cy="162941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5">
                      <a:extLst>
                        <a:ext uri="{28A0092B-C50C-407E-A947-70E740481C1C}"/>
                      </a:extLst>
                    </a:blip>
                    <a:srcRect/>
                    <a:stretch>
                      <a:fillRect/>
                    </a:stretch>
                  </pic:blipFill>
                  <pic:spPr bwMode="auto">
                    <a:xfrm>
                      <a:off x="0" y="0"/>
                      <a:ext cx="4773930" cy="16294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300"/>
            <w:col w:w="5320"/>
          </w:cols>
          <w:pgMar w:left="1260" w:top="1440" w:right="1246" w:bottom="0" w:gutter="0" w:footer="0" w:header="0"/>
          <w:type w:val="continuous"/>
        </w:sectPr>
      </w:pPr>
    </w:p>
    <w:p>
      <w:pPr>
        <w:spacing w:after="0" w:line="180" w:lineRule="exact"/>
        <w:rPr>
          <w:sz w:val="20"/>
          <w:szCs w:val="20"/>
          <w:color w:val="auto"/>
        </w:rPr>
      </w:pPr>
    </w:p>
    <w:p>
      <w:pPr>
        <w:ind w:left="620" w:right="60"/>
        <w:spacing w:after="0" w:line="302" w:lineRule="auto"/>
        <w:rPr>
          <w:sz w:val="20"/>
          <w:szCs w:val="20"/>
          <w:color w:val="auto"/>
        </w:rPr>
      </w:pPr>
      <w:r>
        <w:rPr>
          <w:rFonts w:ascii="Arial" w:cs="Arial" w:eastAsia="Arial" w:hAnsi="Arial"/>
          <w:sz w:val="20"/>
          <w:szCs w:val="20"/>
          <w:color w:val="auto"/>
        </w:rPr>
        <w:t>The following tables present the changes in the Level 3 fair value category of which unobservable inputs are relied upon for the years ended December 31, 2025 and December 31, 2024:</w:t>
      </w:r>
    </w:p>
    <w:p>
      <w:pPr>
        <w:sectPr>
          <w:pgSz w:w="11900" w:h="16838" w:orient="portrait"/>
          <w:cols w:equalWidth="0" w:num="1">
            <w:col w:w="940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17</w:t>
      </w:r>
    </w:p>
    <w:p>
      <w:pPr>
        <w:sectPr>
          <w:pgSz w:w="11900" w:h="16838" w:orient="portrait"/>
          <w:cols w:equalWidth="0" w:num="1">
            <w:col w:w="9400"/>
          </w:cols>
          <w:pgMar w:left="1260" w:top="1440" w:right="1246" w:bottom="0" w:gutter="0" w:footer="0" w:header="0"/>
          <w:type w:val="continuous"/>
        </w:sectPr>
      </w:pPr>
    </w:p>
    <w:bookmarkStart w:id="232" w:name="page233"/>
    <w:bookmarkEnd w:id="232"/>
    <w:tbl>
      <w:tblPr>
        <w:tblLayout w:type="fixed"/>
        <w:tblInd w:w="760"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20" w:type="dxa"/>
            <w:vAlign w:val="bottom"/>
            <w:gridSpan w:val="2"/>
          </w:tcPr>
          <w:p>
            <w:pPr>
              <w:jc w:val="center"/>
              <w:spacing w:after="0"/>
              <w:rPr>
                <w:sz w:val="20"/>
                <w:szCs w:val="20"/>
                <w:color w:val="auto"/>
              </w:rPr>
            </w:pPr>
            <w:r>
              <w:rPr>
                <w:rFonts w:ascii="Arial" w:cs="Arial" w:eastAsia="Arial" w:hAnsi="Arial"/>
                <w:sz w:val="20"/>
                <w:szCs w:val="20"/>
                <w:color w:val="auto"/>
                <w:w w:val="90"/>
              </w:rPr>
              <w:t>(In Thousands)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24"/>
        </w:trPr>
        <w:tc>
          <w:tcPr>
            <w:tcW w:w="2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40" w:type="dxa"/>
            <w:vAlign w:val="bottom"/>
            <w:gridSpan w:val="5"/>
          </w:tcPr>
          <w:p>
            <w:pPr>
              <w:jc w:val="center"/>
              <w:ind w:right="120"/>
              <w:spacing w:after="0"/>
              <w:rPr>
                <w:sz w:val="20"/>
                <w:szCs w:val="20"/>
                <w:color w:val="auto"/>
              </w:rPr>
            </w:pPr>
            <w:r>
              <w:rPr>
                <w:rFonts w:ascii="Arial" w:cs="Arial" w:eastAsia="Arial" w:hAnsi="Arial"/>
                <w:sz w:val="20"/>
                <w:szCs w:val="20"/>
                <w:color w:val="auto"/>
                <w:w w:val="91"/>
              </w:rPr>
              <w:t>Fair Value Measurements Using Significant</w:t>
            </w:r>
          </w:p>
        </w:tc>
      </w:tr>
      <w:tr>
        <w:trPr>
          <w:trHeight w:val="314"/>
        </w:trPr>
        <w:tc>
          <w:tcPr>
            <w:tcW w:w="2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40" w:type="dxa"/>
            <w:vAlign w:val="bottom"/>
            <w:gridSpan w:val="5"/>
          </w:tcPr>
          <w:p>
            <w:pPr>
              <w:jc w:val="center"/>
              <w:ind w:right="120"/>
              <w:spacing w:after="0"/>
              <w:rPr>
                <w:sz w:val="20"/>
                <w:szCs w:val="20"/>
                <w:color w:val="auto"/>
              </w:rPr>
            </w:pPr>
            <w:r>
              <w:rPr>
                <w:rFonts w:ascii="Arial" w:cs="Arial" w:eastAsia="Arial" w:hAnsi="Arial"/>
                <w:sz w:val="20"/>
                <w:szCs w:val="20"/>
                <w:color w:val="auto"/>
                <w:w w:val="91"/>
              </w:rPr>
              <w:t>Unobservable Inputs (Level 3)</w:t>
            </w:r>
          </w:p>
        </w:tc>
      </w:tr>
      <w:tr>
        <w:trPr>
          <w:trHeight w:val="324"/>
        </w:trPr>
        <w:tc>
          <w:tcPr>
            <w:tcW w:w="2760" w:type="dxa"/>
            <w:vAlign w:val="bottom"/>
          </w:tcPr>
          <w:p>
            <w:pPr>
              <w:spacing w:after="0"/>
              <w:rPr>
                <w:sz w:val="24"/>
                <w:szCs w:val="24"/>
                <w:color w:val="auto"/>
              </w:rPr>
            </w:pPr>
          </w:p>
        </w:tc>
        <w:tc>
          <w:tcPr>
            <w:tcW w:w="1760" w:type="dxa"/>
            <w:vAlign w:val="bottom"/>
            <w:gridSpan w:val="2"/>
          </w:tcPr>
          <w:p>
            <w:pPr>
              <w:jc w:val="center"/>
              <w:ind w:left="60"/>
              <w:spacing w:after="0"/>
              <w:rPr>
                <w:sz w:val="20"/>
                <w:szCs w:val="20"/>
                <w:color w:val="auto"/>
              </w:rPr>
            </w:pPr>
            <w:r>
              <w:rPr>
                <w:rFonts w:ascii="Arial" w:cs="Arial" w:eastAsia="Arial" w:hAnsi="Arial"/>
                <w:sz w:val="20"/>
                <w:szCs w:val="20"/>
                <w:color w:val="auto"/>
                <w:w w:val="89"/>
              </w:rPr>
              <w:t>State and Local</w:t>
            </w:r>
          </w:p>
        </w:tc>
        <w:tc>
          <w:tcPr>
            <w:tcW w:w="1520" w:type="dxa"/>
            <w:vAlign w:val="bottom"/>
            <w:gridSpan w:val="2"/>
          </w:tcPr>
          <w:p>
            <w:pPr>
              <w:jc w:val="center"/>
              <w:spacing w:after="0"/>
              <w:rPr>
                <w:sz w:val="20"/>
                <w:szCs w:val="20"/>
                <w:color w:val="auto"/>
              </w:rPr>
            </w:pPr>
            <w:r>
              <w:rPr>
                <w:rFonts w:ascii="Arial" w:cs="Arial" w:eastAsia="Arial" w:hAnsi="Arial"/>
                <w:sz w:val="20"/>
                <w:szCs w:val="20"/>
                <w:color w:val="auto"/>
                <w:w w:val="89"/>
              </w:rPr>
              <w:t>State and Local</w:t>
            </w:r>
          </w:p>
        </w:tc>
        <w:tc>
          <w:tcPr>
            <w:tcW w:w="1480" w:type="dxa"/>
            <w:vAlign w:val="bottom"/>
            <w:gridSpan w:val="2"/>
          </w:tcPr>
          <w:p>
            <w:pPr>
              <w:jc w:val="center"/>
              <w:spacing w:after="0"/>
              <w:rPr>
                <w:sz w:val="20"/>
                <w:szCs w:val="20"/>
                <w:color w:val="auto"/>
              </w:rPr>
            </w:pPr>
            <w:r>
              <w:rPr>
                <w:rFonts w:ascii="Arial" w:cs="Arial" w:eastAsia="Arial" w:hAnsi="Arial"/>
                <w:sz w:val="20"/>
                <w:szCs w:val="20"/>
                <w:color w:val="auto"/>
                <w:w w:val="89"/>
              </w:rPr>
              <w:t>State and Local</w:t>
            </w:r>
          </w:p>
        </w:tc>
      </w:tr>
      <w:tr>
        <w:trPr>
          <w:trHeight w:val="314"/>
        </w:trPr>
        <w:tc>
          <w:tcPr>
            <w:tcW w:w="2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center"/>
              <w:ind w:right="160"/>
              <w:spacing w:after="0"/>
              <w:rPr>
                <w:sz w:val="20"/>
                <w:szCs w:val="20"/>
                <w:color w:val="auto"/>
              </w:rPr>
            </w:pPr>
            <w:r>
              <w:rPr>
                <w:rFonts w:ascii="Arial" w:cs="Arial" w:eastAsia="Arial" w:hAnsi="Arial"/>
                <w:sz w:val="20"/>
                <w:szCs w:val="20"/>
                <w:color w:val="auto"/>
                <w:w w:val="89"/>
              </w:rPr>
              <w:t>Governments</w:t>
            </w:r>
          </w:p>
        </w:tc>
        <w:tc>
          <w:tcPr>
            <w:tcW w:w="180" w:type="dxa"/>
            <w:vAlign w:val="bottom"/>
          </w:tcPr>
          <w:p>
            <w:pPr>
              <w:spacing w:after="0"/>
              <w:rPr>
                <w:sz w:val="24"/>
                <w:szCs w:val="24"/>
                <w:color w:val="auto"/>
              </w:rPr>
            </w:pPr>
          </w:p>
        </w:tc>
        <w:tc>
          <w:tcPr>
            <w:tcW w:w="1340" w:type="dxa"/>
            <w:vAlign w:val="bottom"/>
          </w:tcPr>
          <w:p>
            <w:pPr>
              <w:jc w:val="center"/>
              <w:ind w:right="160"/>
              <w:spacing w:after="0"/>
              <w:rPr>
                <w:sz w:val="20"/>
                <w:szCs w:val="20"/>
                <w:color w:val="auto"/>
              </w:rPr>
            </w:pPr>
            <w:r>
              <w:rPr>
                <w:rFonts w:ascii="Arial" w:cs="Arial" w:eastAsia="Arial" w:hAnsi="Arial"/>
                <w:sz w:val="20"/>
                <w:szCs w:val="20"/>
                <w:color w:val="auto"/>
                <w:w w:val="89"/>
              </w:rPr>
              <w:t>Governments</w:t>
            </w:r>
          </w:p>
        </w:tc>
        <w:tc>
          <w:tcPr>
            <w:tcW w:w="180" w:type="dxa"/>
            <w:vAlign w:val="bottom"/>
          </w:tcPr>
          <w:p>
            <w:pPr>
              <w:spacing w:after="0"/>
              <w:rPr>
                <w:sz w:val="24"/>
                <w:szCs w:val="24"/>
                <w:color w:val="auto"/>
              </w:rPr>
            </w:pPr>
          </w:p>
        </w:tc>
        <w:tc>
          <w:tcPr>
            <w:tcW w:w="1300" w:type="dxa"/>
            <w:vAlign w:val="bottom"/>
          </w:tcPr>
          <w:p>
            <w:pPr>
              <w:jc w:val="center"/>
              <w:ind w:right="120"/>
              <w:spacing w:after="0"/>
              <w:rPr>
                <w:sz w:val="20"/>
                <w:szCs w:val="20"/>
                <w:color w:val="auto"/>
              </w:rPr>
            </w:pPr>
            <w:r>
              <w:rPr>
                <w:rFonts w:ascii="Arial" w:cs="Arial" w:eastAsia="Arial" w:hAnsi="Arial"/>
                <w:sz w:val="20"/>
                <w:szCs w:val="20"/>
                <w:color w:val="auto"/>
                <w:w w:val="89"/>
              </w:rPr>
              <w:t>Governments</w:t>
            </w:r>
          </w:p>
        </w:tc>
      </w:tr>
      <w:tr>
        <w:trPr>
          <w:trHeight w:val="314"/>
        </w:trPr>
        <w:tc>
          <w:tcPr>
            <w:tcW w:w="2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center"/>
              <w:ind w:right="160"/>
              <w:spacing w:after="0"/>
              <w:rPr>
                <w:sz w:val="20"/>
                <w:szCs w:val="20"/>
                <w:color w:val="auto"/>
              </w:rPr>
            </w:pPr>
            <w:r>
              <w:rPr>
                <w:rFonts w:ascii="Arial" w:cs="Arial" w:eastAsia="Arial" w:hAnsi="Arial"/>
                <w:sz w:val="20"/>
                <w:szCs w:val="20"/>
                <w:color w:val="auto"/>
                <w:w w:val="92"/>
              </w:rPr>
              <w:t>Tax-Exempt</w:t>
            </w:r>
          </w:p>
        </w:tc>
        <w:tc>
          <w:tcPr>
            <w:tcW w:w="180" w:type="dxa"/>
            <w:vAlign w:val="bottom"/>
          </w:tcPr>
          <w:p>
            <w:pPr>
              <w:spacing w:after="0"/>
              <w:rPr>
                <w:sz w:val="24"/>
                <w:szCs w:val="24"/>
                <w:color w:val="auto"/>
              </w:rPr>
            </w:pPr>
          </w:p>
        </w:tc>
        <w:tc>
          <w:tcPr>
            <w:tcW w:w="1340" w:type="dxa"/>
            <w:vAlign w:val="bottom"/>
          </w:tcPr>
          <w:p>
            <w:pPr>
              <w:jc w:val="center"/>
              <w:ind w:right="160"/>
              <w:spacing w:after="0"/>
              <w:rPr>
                <w:sz w:val="20"/>
                <w:szCs w:val="20"/>
                <w:color w:val="auto"/>
              </w:rPr>
            </w:pPr>
            <w:r>
              <w:rPr>
                <w:rFonts w:ascii="Arial" w:cs="Arial" w:eastAsia="Arial" w:hAnsi="Arial"/>
                <w:sz w:val="20"/>
                <w:szCs w:val="20"/>
                <w:color w:val="auto"/>
                <w:w w:val="89"/>
              </w:rPr>
              <w:t>Taxable</w:t>
            </w:r>
          </w:p>
        </w:tc>
        <w:tc>
          <w:tcPr>
            <w:tcW w:w="180" w:type="dxa"/>
            <w:vAlign w:val="bottom"/>
          </w:tcPr>
          <w:p>
            <w:pPr>
              <w:spacing w:after="0"/>
              <w:rPr>
                <w:sz w:val="24"/>
                <w:szCs w:val="24"/>
                <w:color w:val="auto"/>
              </w:rPr>
            </w:pPr>
          </w:p>
        </w:tc>
        <w:tc>
          <w:tcPr>
            <w:tcW w:w="1300" w:type="dxa"/>
            <w:vAlign w:val="bottom"/>
          </w:tcPr>
          <w:p>
            <w:pPr>
              <w:jc w:val="center"/>
              <w:ind w:right="100"/>
              <w:spacing w:after="0"/>
              <w:rPr>
                <w:sz w:val="20"/>
                <w:szCs w:val="20"/>
                <w:color w:val="auto"/>
              </w:rPr>
            </w:pPr>
            <w:r>
              <w:rPr>
                <w:rFonts w:ascii="Arial" w:cs="Arial" w:eastAsia="Arial" w:hAnsi="Arial"/>
                <w:sz w:val="20"/>
                <w:szCs w:val="20"/>
                <w:color w:val="auto"/>
                <w:w w:val="94"/>
              </w:rPr>
              <w:t>Total</w:t>
            </w:r>
          </w:p>
        </w:tc>
      </w:tr>
      <w:tr>
        <w:trPr>
          <w:trHeight w:val="51"/>
        </w:trPr>
        <w:tc>
          <w:tcPr>
            <w:tcW w:w="2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94"/>
        </w:trPr>
        <w:tc>
          <w:tcPr>
            <w:tcW w:w="2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January 1, 2025</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353</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1,274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1,627</w:t>
            </w:r>
          </w:p>
        </w:tc>
      </w:tr>
      <w:tr>
        <w:trPr>
          <w:trHeight w:val="274"/>
        </w:trPr>
        <w:tc>
          <w:tcPr>
            <w:tcW w:w="2760" w:type="dxa"/>
            <w:vAlign w:val="bottom"/>
          </w:tcPr>
          <w:p>
            <w:pPr>
              <w:spacing w:after="0"/>
              <w:rPr>
                <w:sz w:val="20"/>
                <w:szCs w:val="20"/>
                <w:color w:val="auto"/>
              </w:rPr>
            </w:pPr>
            <w:r>
              <w:rPr>
                <w:rFonts w:ascii="Arial" w:cs="Arial" w:eastAsia="Arial" w:hAnsi="Arial"/>
                <w:sz w:val="20"/>
                <w:szCs w:val="20"/>
                <w:color w:val="auto"/>
              </w:rPr>
              <w:t>Change in Fair Value</w:t>
            </w:r>
          </w:p>
        </w:tc>
        <w:tc>
          <w:tcPr>
            <w:tcW w:w="420" w:type="dxa"/>
            <w:vAlign w:val="bottom"/>
          </w:tcPr>
          <w:p>
            <w:pPr>
              <w:spacing w:after="0"/>
              <w:rPr>
                <w:sz w:val="23"/>
                <w:szCs w:val="23"/>
                <w:color w:val="auto"/>
              </w:rPr>
            </w:pPr>
          </w:p>
        </w:tc>
        <w:tc>
          <w:tcPr>
            <w:tcW w:w="1340" w:type="dxa"/>
            <w:vAlign w:val="bottom"/>
          </w:tcPr>
          <w:p>
            <w:pPr>
              <w:jc w:val="right"/>
              <w:ind w:right="40"/>
              <w:spacing w:after="0"/>
              <w:rPr>
                <w:sz w:val="20"/>
                <w:szCs w:val="20"/>
                <w:color w:val="auto"/>
              </w:rPr>
            </w:pPr>
            <w:r>
              <w:rPr>
                <w:rFonts w:ascii="Arial" w:cs="Arial" w:eastAsia="Arial" w:hAnsi="Arial"/>
                <w:sz w:val="20"/>
                <w:szCs w:val="20"/>
                <w:color w:val="auto"/>
              </w:rPr>
              <w:t>2</w:t>
            </w: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1"/>
        </w:trPr>
        <w:tc>
          <w:tcPr>
            <w:tcW w:w="2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304"/>
        </w:trPr>
        <w:tc>
          <w:tcPr>
            <w:tcW w:w="2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Payments &amp; Maturities</w:t>
            </w:r>
          </w:p>
        </w:tc>
        <w:tc>
          <w:tcPr>
            <w:tcW w:w="42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(170)</w:t>
            </w:r>
          </w:p>
        </w:tc>
        <w:tc>
          <w:tcPr>
            <w:tcW w:w="1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(170)</w:t>
            </w:r>
          </w:p>
        </w:tc>
      </w:tr>
      <w:tr>
        <w:trPr>
          <w:trHeight w:val="319"/>
        </w:trPr>
        <w:tc>
          <w:tcPr>
            <w:tcW w:w="2760" w:type="dxa"/>
            <w:vAlign w:val="bottom"/>
          </w:tcPr>
          <w:p>
            <w:pPr>
              <w:spacing w:after="0"/>
              <w:rPr>
                <w:sz w:val="20"/>
                <w:szCs w:val="20"/>
                <w:color w:val="auto"/>
              </w:rPr>
            </w:pPr>
            <w:r>
              <w:rPr>
                <w:rFonts w:ascii="Arial" w:cs="Arial" w:eastAsia="Arial" w:hAnsi="Arial"/>
                <w:sz w:val="20"/>
                <w:szCs w:val="20"/>
                <w:color w:val="auto"/>
                <w:w w:val="99"/>
              </w:rPr>
              <w:t>Balance at December 31, 2025</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40"/>
              <w:spacing w:after="0"/>
              <w:rPr>
                <w:sz w:val="20"/>
                <w:szCs w:val="20"/>
                <w:color w:val="auto"/>
              </w:rPr>
            </w:pPr>
            <w:r>
              <w:rPr>
                <w:rFonts w:ascii="Arial" w:cs="Arial" w:eastAsia="Arial" w:hAnsi="Arial"/>
                <w:sz w:val="20"/>
                <w:szCs w:val="20"/>
                <w:color w:val="auto"/>
              </w:rPr>
              <w:t>185</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40"/>
              <w:spacing w:after="0"/>
              <w:rPr>
                <w:sz w:val="20"/>
                <w:szCs w:val="20"/>
                <w:color w:val="auto"/>
              </w:rPr>
            </w:pPr>
            <w:r>
              <w:rPr>
                <w:rFonts w:ascii="Arial" w:cs="Arial" w:eastAsia="Arial" w:hAnsi="Arial"/>
                <w:sz w:val="20"/>
                <w:szCs w:val="20"/>
                <w:color w:val="auto"/>
              </w:rPr>
              <w:t>1,270</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-1824355</wp:posOffset>
            </wp:positionV>
            <wp:extent cx="2770505" cy="63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6">
                      <a:extLst>
                        <a:ext uri="{28A0092B-C50C-407E-A947-70E740481C1C}"/>
                      </a:extLst>
                    </a:blip>
                    <a:srcRect/>
                    <a:stretch>
                      <a:fillRect/>
                    </a:stretch>
                  </pic:blipFill>
                  <pic:spPr bwMode="auto">
                    <a:xfrm>
                      <a:off x="0" y="0"/>
                      <a:ext cx="2770505" cy="63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-1418590</wp:posOffset>
            </wp:positionV>
            <wp:extent cx="2770505" cy="63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7">
                      <a:extLst>
                        <a:ext uri="{28A0092B-C50C-407E-A947-70E740481C1C}"/>
                      </a:extLst>
                    </a:blip>
                    <a:srcRect/>
                    <a:stretch>
                      <a:fillRect/>
                    </a:stretch>
                  </pic:blipFill>
                  <pic:spPr bwMode="auto">
                    <a:xfrm>
                      <a:off x="0" y="0"/>
                      <a:ext cx="2770505" cy="63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-813435</wp:posOffset>
            </wp:positionV>
            <wp:extent cx="2770505" cy="63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38">
                      <a:extLst>
                        <a:ext uri="{28A0092B-C50C-407E-A947-70E740481C1C}"/>
                      </a:extLst>
                    </a:blip>
                    <a:srcRect/>
                    <a:stretch>
                      <a:fillRect/>
                    </a:stretch>
                  </pic:blipFill>
                  <pic:spPr bwMode="auto">
                    <a:xfrm>
                      <a:off x="0" y="0"/>
                      <a:ext cx="2770505" cy="63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-208280</wp:posOffset>
            </wp:positionV>
            <wp:extent cx="2821940" cy="63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39">
                      <a:extLst>
                        <a:ext uri="{28A0092B-C50C-407E-A947-70E740481C1C}"/>
                      </a:extLst>
                    </a:blip>
                    <a:srcRect/>
                    <a:stretch>
                      <a:fillRect/>
                    </a:stretch>
                  </pic:blipFill>
                  <pic:spPr bwMode="auto">
                    <a:xfrm>
                      <a:off x="0" y="0"/>
                      <a:ext cx="2821940" cy="63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-1905</wp:posOffset>
            </wp:positionV>
            <wp:extent cx="2770505" cy="2857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0">
                      <a:extLst>
                        <a:ext uri="{28A0092B-C50C-407E-A947-70E740481C1C}"/>
                      </a:extLst>
                    </a:blip>
                    <a:srcRect/>
                    <a:stretch>
                      <a:fillRect/>
                    </a:stretch>
                  </pic:blipFill>
                  <pic:spPr bwMode="auto">
                    <a:xfrm>
                      <a:off x="0" y="0"/>
                      <a:ext cx="277050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13 / 17</w:t>
      </w:r>
    </w:p>
    <w:p>
      <w:pPr>
        <w:sectPr>
          <w:pgSz w:w="11900" w:h="16838" w:orient="portrait"/>
          <w:cols w:equalWidth="0" w:num="1">
            <w:col w:w="9026"/>
          </w:cols>
          <w:pgMar w:left="1440" w:top="1177" w:right="1440" w:bottom="0" w:gutter="0" w:footer="0" w:header="0"/>
          <w:type w:val="continuous"/>
        </w:sectPr>
      </w:pPr>
    </w:p>
    <w:bookmarkStart w:id="233" w:name="page234"/>
    <w:bookmarkEnd w:id="233"/>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60" w:type="dxa"/>
            <w:vAlign w:val="bottom"/>
            <w:gridSpan w:val="2"/>
          </w:tcPr>
          <w:p>
            <w:pPr>
              <w:jc w:val="center"/>
              <w:spacing w:after="0"/>
              <w:rPr>
                <w:sz w:val="20"/>
                <w:szCs w:val="20"/>
                <w:color w:val="auto"/>
              </w:rPr>
            </w:pPr>
            <w:r>
              <w:rPr>
                <w:rFonts w:ascii="Arial" w:cs="Arial" w:eastAsia="Arial" w:hAnsi="Arial"/>
                <w:sz w:val="20"/>
                <w:szCs w:val="20"/>
                <w:color w:val="auto"/>
                <w:w w:val="90"/>
              </w:rPr>
              <w:t>(In Thousands)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24"/>
        </w:trPr>
        <w:tc>
          <w:tcPr>
            <w:tcW w:w="2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40" w:type="dxa"/>
            <w:vAlign w:val="bottom"/>
            <w:gridSpan w:val="5"/>
          </w:tcPr>
          <w:p>
            <w:pPr>
              <w:jc w:val="center"/>
              <w:ind w:right="120"/>
              <w:spacing w:after="0"/>
              <w:rPr>
                <w:sz w:val="20"/>
                <w:szCs w:val="20"/>
                <w:color w:val="auto"/>
              </w:rPr>
            </w:pPr>
            <w:r>
              <w:rPr>
                <w:rFonts w:ascii="Arial" w:cs="Arial" w:eastAsia="Arial" w:hAnsi="Arial"/>
                <w:sz w:val="20"/>
                <w:szCs w:val="20"/>
                <w:color w:val="auto"/>
                <w:w w:val="91"/>
              </w:rPr>
              <w:t>Fair Value Measurements Using Significant</w:t>
            </w:r>
          </w:p>
        </w:tc>
      </w:tr>
      <w:tr>
        <w:trPr>
          <w:trHeight w:val="314"/>
        </w:trPr>
        <w:tc>
          <w:tcPr>
            <w:tcW w:w="2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40" w:type="dxa"/>
            <w:vAlign w:val="bottom"/>
            <w:gridSpan w:val="5"/>
          </w:tcPr>
          <w:p>
            <w:pPr>
              <w:jc w:val="center"/>
              <w:ind w:right="100"/>
              <w:spacing w:after="0"/>
              <w:rPr>
                <w:sz w:val="20"/>
                <w:szCs w:val="20"/>
                <w:color w:val="auto"/>
              </w:rPr>
            </w:pPr>
            <w:r>
              <w:rPr>
                <w:rFonts w:ascii="Arial" w:cs="Arial" w:eastAsia="Arial" w:hAnsi="Arial"/>
                <w:sz w:val="20"/>
                <w:szCs w:val="20"/>
                <w:color w:val="auto"/>
                <w:w w:val="92"/>
              </w:rPr>
              <w:t>Unobservable Inputs (Level 3)</w:t>
            </w:r>
          </w:p>
        </w:tc>
      </w:tr>
      <w:tr>
        <w:trPr>
          <w:trHeight w:val="324"/>
        </w:trPr>
        <w:tc>
          <w:tcPr>
            <w:tcW w:w="2760" w:type="dxa"/>
            <w:vAlign w:val="bottom"/>
          </w:tcPr>
          <w:p>
            <w:pPr>
              <w:spacing w:after="0"/>
              <w:rPr>
                <w:sz w:val="24"/>
                <w:szCs w:val="24"/>
                <w:color w:val="auto"/>
              </w:rPr>
            </w:pPr>
          </w:p>
        </w:tc>
        <w:tc>
          <w:tcPr>
            <w:tcW w:w="1780" w:type="dxa"/>
            <w:vAlign w:val="bottom"/>
            <w:gridSpan w:val="2"/>
          </w:tcPr>
          <w:p>
            <w:pPr>
              <w:jc w:val="center"/>
              <w:ind w:left="60"/>
              <w:spacing w:after="0"/>
              <w:rPr>
                <w:sz w:val="20"/>
                <w:szCs w:val="20"/>
                <w:color w:val="auto"/>
              </w:rPr>
            </w:pPr>
            <w:r>
              <w:rPr>
                <w:rFonts w:ascii="Arial" w:cs="Arial" w:eastAsia="Arial" w:hAnsi="Arial"/>
                <w:sz w:val="20"/>
                <w:szCs w:val="20"/>
                <w:color w:val="auto"/>
                <w:w w:val="90"/>
              </w:rPr>
              <w:t>State and Local</w:t>
            </w:r>
          </w:p>
        </w:tc>
        <w:tc>
          <w:tcPr>
            <w:tcW w:w="1460" w:type="dxa"/>
            <w:vAlign w:val="bottom"/>
            <w:gridSpan w:val="2"/>
          </w:tcPr>
          <w:p>
            <w:pPr>
              <w:jc w:val="center"/>
              <w:spacing w:after="0"/>
              <w:rPr>
                <w:sz w:val="20"/>
                <w:szCs w:val="20"/>
                <w:color w:val="auto"/>
              </w:rPr>
            </w:pPr>
            <w:r>
              <w:rPr>
                <w:rFonts w:ascii="Arial" w:cs="Arial" w:eastAsia="Arial" w:hAnsi="Arial"/>
                <w:sz w:val="20"/>
                <w:szCs w:val="20"/>
                <w:color w:val="auto"/>
                <w:w w:val="90"/>
              </w:rPr>
              <w:t>State and Local</w:t>
            </w:r>
          </w:p>
        </w:tc>
        <w:tc>
          <w:tcPr>
            <w:tcW w:w="1520" w:type="dxa"/>
            <w:vAlign w:val="bottom"/>
            <w:gridSpan w:val="2"/>
          </w:tcPr>
          <w:p>
            <w:pPr>
              <w:jc w:val="center"/>
              <w:spacing w:after="0"/>
              <w:rPr>
                <w:sz w:val="20"/>
                <w:szCs w:val="20"/>
                <w:color w:val="auto"/>
              </w:rPr>
            </w:pPr>
            <w:r>
              <w:rPr>
                <w:rFonts w:ascii="Arial" w:cs="Arial" w:eastAsia="Arial" w:hAnsi="Arial"/>
                <w:sz w:val="20"/>
                <w:szCs w:val="20"/>
                <w:color w:val="auto"/>
                <w:w w:val="89"/>
              </w:rPr>
              <w:t>State and Local</w:t>
            </w:r>
          </w:p>
        </w:tc>
      </w:tr>
      <w:tr>
        <w:trPr>
          <w:trHeight w:val="314"/>
        </w:trPr>
        <w:tc>
          <w:tcPr>
            <w:tcW w:w="2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center"/>
              <w:ind w:right="160"/>
              <w:spacing w:after="0"/>
              <w:rPr>
                <w:sz w:val="20"/>
                <w:szCs w:val="20"/>
                <w:color w:val="auto"/>
              </w:rPr>
            </w:pPr>
            <w:r>
              <w:rPr>
                <w:rFonts w:ascii="Arial" w:cs="Arial" w:eastAsia="Arial" w:hAnsi="Arial"/>
                <w:sz w:val="20"/>
                <w:szCs w:val="20"/>
                <w:color w:val="auto"/>
                <w:w w:val="88"/>
              </w:rPr>
              <w:t>Governments</w:t>
            </w:r>
          </w:p>
        </w:tc>
        <w:tc>
          <w:tcPr>
            <w:tcW w:w="160" w:type="dxa"/>
            <w:vAlign w:val="bottom"/>
          </w:tcPr>
          <w:p>
            <w:pPr>
              <w:spacing w:after="0"/>
              <w:rPr>
                <w:sz w:val="24"/>
                <w:szCs w:val="24"/>
                <w:color w:val="auto"/>
              </w:rPr>
            </w:pPr>
          </w:p>
        </w:tc>
        <w:tc>
          <w:tcPr>
            <w:tcW w:w="1300" w:type="dxa"/>
            <w:vAlign w:val="bottom"/>
          </w:tcPr>
          <w:p>
            <w:pPr>
              <w:jc w:val="center"/>
              <w:ind w:right="100"/>
              <w:spacing w:after="0"/>
              <w:rPr>
                <w:sz w:val="20"/>
                <w:szCs w:val="20"/>
                <w:color w:val="auto"/>
              </w:rPr>
            </w:pPr>
            <w:r>
              <w:rPr>
                <w:rFonts w:ascii="Arial" w:cs="Arial" w:eastAsia="Arial" w:hAnsi="Arial"/>
                <w:sz w:val="20"/>
                <w:szCs w:val="20"/>
                <w:color w:val="auto"/>
                <w:w w:val="88"/>
              </w:rPr>
              <w:t>Governments</w:t>
            </w:r>
          </w:p>
        </w:tc>
        <w:tc>
          <w:tcPr>
            <w:tcW w:w="220" w:type="dxa"/>
            <w:vAlign w:val="bottom"/>
          </w:tcPr>
          <w:p>
            <w:pPr>
              <w:spacing w:after="0"/>
              <w:rPr>
                <w:sz w:val="24"/>
                <w:szCs w:val="24"/>
                <w:color w:val="auto"/>
              </w:rPr>
            </w:pPr>
          </w:p>
        </w:tc>
        <w:tc>
          <w:tcPr>
            <w:tcW w:w="1300" w:type="dxa"/>
            <w:vAlign w:val="bottom"/>
          </w:tcPr>
          <w:p>
            <w:pPr>
              <w:jc w:val="center"/>
              <w:ind w:right="120"/>
              <w:spacing w:after="0"/>
              <w:rPr>
                <w:sz w:val="20"/>
                <w:szCs w:val="20"/>
                <w:color w:val="auto"/>
              </w:rPr>
            </w:pPr>
            <w:r>
              <w:rPr>
                <w:rFonts w:ascii="Arial" w:cs="Arial" w:eastAsia="Arial" w:hAnsi="Arial"/>
                <w:sz w:val="20"/>
                <w:szCs w:val="20"/>
                <w:color w:val="auto"/>
                <w:w w:val="89"/>
              </w:rPr>
              <w:t>Governments</w:t>
            </w:r>
          </w:p>
        </w:tc>
      </w:tr>
      <w:tr>
        <w:trPr>
          <w:trHeight w:val="314"/>
        </w:trPr>
        <w:tc>
          <w:tcPr>
            <w:tcW w:w="2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center"/>
              <w:ind w:right="140"/>
              <w:spacing w:after="0"/>
              <w:rPr>
                <w:sz w:val="20"/>
                <w:szCs w:val="20"/>
                <w:color w:val="auto"/>
              </w:rPr>
            </w:pPr>
            <w:r>
              <w:rPr>
                <w:rFonts w:ascii="Arial" w:cs="Arial" w:eastAsia="Arial" w:hAnsi="Arial"/>
                <w:sz w:val="20"/>
                <w:szCs w:val="20"/>
                <w:color w:val="auto"/>
                <w:w w:val="92"/>
              </w:rPr>
              <w:t>Tax-Exempt</w:t>
            </w:r>
          </w:p>
        </w:tc>
        <w:tc>
          <w:tcPr>
            <w:tcW w:w="160" w:type="dxa"/>
            <w:vAlign w:val="bottom"/>
          </w:tcPr>
          <w:p>
            <w:pPr>
              <w:spacing w:after="0"/>
              <w:rPr>
                <w:sz w:val="24"/>
                <w:szCs w:val="24"/>
                <w:color w:val="auto"/>
              </w:rPr>
            </w:pPr>
          </w:p>
        </w:tc>
        <w:tc>
          <w:tcPr>
            <w:tcW w:w="1300" w:type="dxa"/>
            <w:vAlign w:val="bottom"/>
          </w:tcPr>
          <w:p>
            <w:pPr>
              <w:jc w:val="center"/>
              <w:ind w:right="100"/>
              <w:spacing w:after="0"/>
              <w:rPr>
                <w:sz w:val="20"/>
                <w:szCs w:val="20"/>
                <w:color w:val="auto"/>
              </w:rPr>
            </w:pPr>
            <w:r>
              <w:rPr>
                <w:rFonts w:ascii="Arial" w:cs="Arial" w:eastAsia="Arial" w:hAnsi="Arial"/>
                <w:sz w:val="20"/>
                <w:szCs w:val="20"/>
                <w:color w:val="auto"/>
                <w:w w:val="92"/>
              </w:rPr>
              <w:t>Taxable</w:t>
            </w:r>
          </w:p>
        </w:tc>
        <w:tc>
          <w:tcPr>
            <w:tcW w:w="220" w:type="dxa"/>
            <w:vAlign w:val="bottom"/>
          </w:tcPr>
          <w:p>
            <w:pPr>
              <w:spacing w:after="0"/>
              <w:rPr>
                <w:sz w:val="24"/>
                <w:szCs w:val="24"/>
                <w:color w:val="auto"/>
              </w:rPr>
            </w:pPr>
          </w:p>
        </w:tc>
        <w:tc>
          <w:tcPr>
            <w:tcW w:w="1300" w:type="dxa"/>
            <w:vAlign w:val="bottom"/>
          </w:tcPr>
          <w:p>
            <w:pPr>
              <w:jc w:val="center"/>
              <w:ind w:right="100"/>
              <w:spacing w:after="0"/>
              <w:rPr>
                <w:sz w:val="20"/>
                <w:szCs w:val="20"/>
                <w:color w:val="auto"/>
              </w:rPr>
            </w:pPr>
            <w:r>
              <w:rPr>
                <w:rFonts w:ascii="Arial" w:cs="Arial" w:eastAsia="Arial" w:hAnsi="Arial"/>
                <w:sz w:val="20"/>
                <w:szCs w:val="20"/>
                <w:color w:val="auto"/>
                <w:w w:val="94"/>
              </w:rPr>
              <w:t>Total</w:t>
            </w:r>
          </w:p>
        </w:tc>
      </w:tr>
      <w:tr>
        <w:trPr>
          <w:trHeight w:val="51"/>
        </w:trPr>
        <w:tc>
          <w:tcPr>
            <w:tcW w:w="2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94"/>
        </w:trPr>
        <w:tc>
          <w:tcPr>
            <w:tcW w:w="2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January 1, 2024</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1,188</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1,272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2,460</w:t>
            </w:r>
          </w:p>
        </w:tc>
      </w:tr>
      <w:tr>
        <w:trPr>
          <w:trHeight w:val="274"/>
        </w:trPr>
        <w:tc>
          <w:tcPr>
            <w:tcW w:w="2760" w:type="dxa"/>
            <w:vAlign w:val="bottom"/>
          </w:tcPr>
          <w:p>
            <w:pPr>
              <w:spacing w:after="0"/>
              <w:rPr>
                <w:sz w:val="20"/>
                <w:szCs w:val="20"/>
                <w:color w:val="auto"/>
              </w:rPr>
            </w:pPr>
            <w:r>
              <w:rPr>
                <w:rFonts w:ascii="Arial" w:cs="Arial" w:eastAsia="Arial" w:hAnsi="Arial"/>
                <w:sz w:val="20"/>
                <w:szCs w:val="20"/>
                <w:color w:val="auto"/>
              </w:rPr>
              <w:t>Change in Fair Value</w:t>
            </w:r>
          </w:p>
        </w:tc>
        <w:tc>
          <w:tcPr>
            <w:tcW w:w="420" w:type="dxa"/>
            <w:vAlign w:val="bottom"/>
          </w:tcPr>
          <w:p>
            <w:pPr>
              <w:spacing w:after="0"/>
              <w:rPr>
                <w:sz w:val="23"/>
                <w:szCs w:val="23"/>
                <w:color w:val="auto"/>
              </w:rPr>
            </w:pPr>
          </w:p>
        </w:tc>
        <w:tc>
          <w:tcPr>
            <w:tcW w:w="136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1"/>
        </w:trPr>
        <w:tc>
          <w:tcPr>
            <w:tcW w:w="2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304"/>
        </w:trPr>
        <w:tc>
          <w:tcPr>
            <w:tcW w:w="2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Payments &amp; Maturities</w:t>
            </w:r>
          </w:p>
        </w:tc>
        <w:tc>
          <w:tcPr>
            <w:tcW w:w="4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(835)</w:t>
            </w:r>
          </w:p>
        </w:tc>
        <w:tc>
          <w:tcPr>
            <w:tcW w:w="1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(835)</w:t>
            </w:r>
          </w:p>
        </w:tc>
      </w:tr>
      <w:tr>
        <w:trPr>
          <w:trHeight w:val="319"/>
        </w:trPr>
        <w:tc>
          <w:tcPr>
            <w:tcW w:w="2760" w:type="dxa"/>
            <w:vAlign w:val="bottom"/>
          </w:tcPr>
          <w:p>
            <w:pPr>
              <w:spacing w:after="0"/>
              <w:rPr>
                <w:sz w:val="20"/>
                <w:szCs w:val="20"/>
                <w:color w:val="auto"/>
              </w:rPr>
            </w:pPr>
            <w:r>
              <w:rPr>
                <w:rFonts w:ascii="Arial" w:cs="Arial" w:eastAsia="Arial" w:hAnsi="Arial"/>
                <w:sz w:val="20"/>
                <w:szCs w:val="20"/>
                <w:color w:val="auto"/>
                <w:w w:val="99"/>
              </w:rPr>
              <w:t>Balance at December 31, 2024</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60"/>
              <w:spacing w:after="0"/>
              <w:rPr>
                <w:sz w:val="20"/>
                <w:szCs w:val="20"/>
                <w:color w:val="auto"/>
              </w:rPr>
            </w:pPr>
            <w:r>
              <w:rPr>
                <w:rFonts w:ascii="Arial" w:cs="Arial" w:eastAsia="Arial" w:hAnsi="Arial"/>
                <w:sz w:val="20"/>
                <w:szCs w:val="20"/>
                <w:color w:val="auto"/>
              </w:rPr>
              <w:t>353</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1,274</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1,627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-1824355</wp:posOffset>
            </wp:positionV>
            <wp:extent cx="2765425" cy="63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2">
                      <a:extLst>
                        <a:ext uri="{28A0092B-C50C-407E-A947-70E740481C1C}"/>
                      </a:extLst>
                    </a:blip>
                    <a:srcRect/>
                    <a:stretch>
                      <a:fillRect/>
                    </a:stretch>
                  </pic:blipFill>
                  <pic:spPr bwMode="auto">
                    <a:xfrm>
                      <a:off x="0" y="0"/>
                      <a:ext cx="2765425" cy="635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-1418590</wp:posOffset>
            </wp:positionV>
            <wp:extent cx="2765425" cy="63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3">
                      <a:extLst>
                        <a:ext uri="{28A0092B-C50C-407E-A947-70E740481C1C}"/>
                      </a:extLst>
                    </a:blip>
                    <a:srcRect/>
                    <a:stretch>
                      <a:fillRect/>
                    </a:stretch>
                  </pic:blipFill>
                  <pic:spPr bwMode="auto">
                    <a:xfrm>
                      <a:off x="0" y="0"/>
                      <a:ext cx="2765425" cy="635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-813435</wp:posOffset>
            </wp:positionV>
            <wp:extent cx="2765425" cy="63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4">
                      <a:extLst>
                        <a:ext uri="{28A0092B-C50C-407E-A947-70E740481C1C}"/>
                      </a:extLst>
                    </a:blip>
                    <a:srcRect/>
                    <a:stretch>
                      <a:fillRect/>
                    </a:stretch>
                  </pic:blipFill>
                  <pic:spPr bwMode="auto">
                    <a:xfrm>
                      <a:off x="0" y="0"/>
                      <a:ext cx="2765425" cy="635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-208280</wp:posOffset>
            </wp:positionV>
            <wp:extent cx="2816860" cy="635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5">
                      <a:extLst>
                        <a:ext uri="{28A0092B-C50C-407E-A947-70E740481C1C}"/>
                      </a:extLst>
                    </a:blip>
                    <a:srcRect/>
                    <a:stretch>
                      <a:fillRect/>
                    </a:stretch>
                  </pic:blipFill>
                  <pic:spPr bwMode="auto">
                    <a:xfrm>
                      <a:off x="0" y="0"/>
                      <a:ext cx="2816860" cy="635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-1905</wp:posOffset>
            </wp:positionV>
            <wp:extent cx="2765425" cy="2857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6">
                      <a:extLst>
                        <a:ext uri="{28A0092B-C50C-407E-A947-70E740481C1C}"/>
                      </a:extLst>
                    </a:blip>
                    <a:srcRect/>
                    <a:stretch>
                      <a:fillRect/>
                    </a:stretch>
                  </pic:blipFill>
                  <pic:spPr bwMode="auto">
                    <a:xfrm>
                      <a:off x="0" y="0"/>
                      <a:ext cx="2765425" cy="28575"/>
                    </a:xfrm>
                    <a:prstGeom prst="rect">
                      <a:avLst/>
                    </a:prstGeom>
                    <a:noFill/>
                  </pic:spPr>
                </pic:pic>
              </a:graphicData>
            </a:graphic>
          </wp:anchor>
        </w:drawing>
      </w:r>
    </w:p>
    <w:p>
      <w:pPr>
        <w:spacing w:after="0" w:line="360" w:lineRule="exact"/>
        <w:rPr>
          <w:sz w:val="20"/>
          <w:szCs w:val="20"/>
          <w:color w:val="auto"/>
        </w:rPr>
      </w:pPr>
    </w:p>
    <w:p>
      <w:pPr>
        <w:jc w:val="both"/>
        <w:ind w:left="620" w:right="40"/>
        <w:spacing w:after="0" w:line="307" w:lineRule="auto"/>
        <w:rPr>
          <w:sz w:val="20"/>
          <w:szCs w:val="20"/>
          <w:color w:val="auto"/>
        </w:rPr>
      </w:pPr>
      <w:r>
        <w:rPr>
          <w:rFonts w:ascii="Arial" w:cs="Arial" w:eastAsia="Arial" w:hAnsi="Arial"/>
          <w:sz w:val="20"/>
          <w:szCs w:val="20"/>
          <w:color w:val="auto"/>
        </w:rPr>
        <w:t>Most of the Company’s available for sale securities, including any bonds issued by local municipalities, have CUSIP numbers or have similar characteristics of those in the municipal markets, making them marketable and comparable as Level 2.</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There were no securities that transferred in or out of Level 3 during 2025 or 2024.</w:t>
      </w:r>
    </w:p>
    <w:p>
      <w:pPr>
        <w:spacing w:after="0" w:line="320" w:lineRule="exact"/>
        <w:rPr>
          <w:sz w:val="20"/>
          <w:szCs w:val="20"/>
          <w:color w:val="auto"/>
        </w:rPr>
      </w:pPr>
    </w:p>
    <w:p>
      <w:pPr>
        <w:jc w:val="both"/>
        <w:ind w:left="620" w:right="60"/>
        <w:spacing w:after="0" w:line="350" w:lineRule="auto"/>
        <w:rPr>
          <w:sz w:val="20"/>
          <w:szCs w:val="20"/>
          <w:color w:val="auto"/>
        </w:rPr>
      </w:pPr>
      <w:r>
        <w:rPr>
          <w:rFonts w:ascii="Arial" w:cs="Arial" w:eastAsia="Arial" w:hAnsi="Arial"/>
          <w:sz w:val="18"/>
          <w:szCs w:val="18"/>
          <w:color w:val="auto"/>
        </w:rPr>
        <w:t>The Company also has assets that, under certain conditions, are subject to measurement at fair value on a nonrecurring basis. At December 31, 2025 and 2024, such assets consist of collateral dependent loans and loan servicing rights. Collateral dependent loans categorized as Level 3 assets consist of non-homogeneous loans that have expected credit losses. The Company may also estimate the fair value of certain nonperforming loans using a discounted cash flow method of future cash flows using management's best estimate of key assumptions. These assumptions include future payment ability, timing of payment streams and estimated realizable values of available collateral (typically based on outside appraisals).</w:t>
      </w:r>
    </w:p>
    <w:p>
      <w:pPr>
        <w:spacing w:after="0" w:line="227" w:lineRule="exact"/>
        <w:rPr>
          <w:sz w:val="20"/>
          <w:szCs w:val="20"/>
          <w:color w:val="auto"/>
        </w:rPr>
      </w:pPr>
    </w:p>
    <w:p>
      <w:pPr>
        <w:ind w:left="620" w:right="80"/>
        <w:spacing w:after="0" w:line="302" w:lineRule="auto"/>
        <w:rPr>
          <w:sz w:val="20"/>
          <w:szCs w:val="20"/>
          <w:color w:val="auto"/>
        </w:rPr>
      </w:pPr>
      <w:r>
        <w:rPr>
          <w:rFonts w:ascii="Arial" w:cs="Arial" w:eastAsia="Arial" w:hAnsi="Arial"/>
          <w:sz w:val="20"/>
          <w:szCs w:val="20"/>
          <w:color w:val="auto"/>
        </w:rPr>
        <w:t>At December 31, 2025, collateral dependent loans categorized as Level 3 were $860 thousand and $3.0 million at December 31, 2024. The specific allocation for collateral dependent loans was</w:t>
      </w:r>
    </w:p>
    <w:p>
      <w:pPr>
        <w:spacing w:after="0" w:line="11" w:lineRule="exact"/>
        <w:rPr>
          <w:sz w:val="20"/>
          <w:szCs w:val="20"/>
          <w:color w:val="auto"/>
        </w:rPr>
      </w:pPr>
    </w:p>
    <w:p>
      <w:pPr>
        <w:ind w:left="620"/>
        <w:spacing w:after="0"/>
        <w:tabs>
          <w:tab w:leader="none" w:pos="1700" w:val="left"/>
          <w:tab w:leader="none" w:pos="3120" w:val="left"/>
          <w:tab w:leader="none" w:pos="3980" w:val="left"/>
          <w:tab w:leader="none" w:pos="4840" w:val="left"/>
          <w:tab w:leader="none" w:pos="6340" w:val="left"/>
          <w:tab w:leader="none" w:pos="7300" w:val="left"/>
          <w:tab w:leader="none" w:pos="838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20"/>
          <w:szCs w:val="20"/>
          <w:color w:val="auto"/>
        </w:rPr>
        <w:t>thousand</w:t>
      </w:r>
      <w:r>
        <w:rPr>
          <w:sz w:val="20"/>
          <w:szCs w:val="20"/>
          <w:color w:val="auto"/>
        </w:rPr>
        <w:tab/>
      </w:r>
      <w:r>
        <w:rPr>
          <w:rFonts w:ascii="Arial" w:cs="Arial" w:eastAsia="Arial" w:hAnsi="Arial"/>
          <w:sz w:val="20"/>
          <w:szCs w:val="20"/>
          <w:color w:val="auto"/>
        </w:rPr>
        <w:t>as</w:t>
      </w:r>
      <w:r>
        <w:rPr>
          <w:sz w:val="20"/>
          <w:szCs w:val="20"/>
          <w:color w:val="auto"/>
        </w:rPr>
        <w:tab/>
      </w:r>
      <w:r>
        <w:rPr>
          <w:rFonts w:ascii="Arial" w:cs="Arial" w:eastAsia="Arial" w:hAnsi="Arial"/>
          <w:sz w:val="20"/>
          <w:szCs w:val="20"/>
          <w:color w:val="auto"/>
        </w:rPr>
        <w:t>of</w:t>
      </w:r>
      <w:r>
        <w:rPr>
          <w:sz w:val="20"/>
          <w:szCs w:val="20"/>
          <w:color w:val="auto"/>
        </w:rPr>
        <w:tab/>
      </w:r>
      <w:r>
        <w:rPr>
          <w:rFonts w:ascii="Arial" w:cs="Arial" w:eastAsia="Arial" w:hAnsi="Arial"/>
          <w:sz w:val="20"/>
          <w:szCs w:val="20"/>
          <w:color w:val="auto"/>
        </w:rPr>
        <w:t>December</w:t>
      </w:r>
      <w:r>
        <w:rPr>
          <w:sz w:val="20"/>
          <w:szCs w:val="20"/>
          <w:color w:val="auto"/>
        </w:rPr>
        <w:tab/>
      </w: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2025</w:t>
      </w:r>
      <w:r>
        <w:rPr>
          <w:sz w:val="20"/>
          <w:szCs w:val="20"/>
          <w:color w:val="auto"/>
        </w:rPr>
        <w:tab/>
      </w:r>
      <w:r>
        <w:rPr>
          <w:rFonts w:ascii="Arial" w:cs="Arial" w:eastAsia="Arial" w:hAnsi="Arial"/>
          <w:sz w:val="17"/>
          <w:szCs w:val="17"/>
          <w:color w:val="auto"/>
        </w:rPr>
        <w:t>and</w:t>
      </w:r>
    </w:p>
    <w:p>
      <w:pPr>
        <w:spacing w:after="0" w:line="80" w:lineRule="exact"/>
        <w:rPr>
          <w:sz w:val="20"/>
          <w:szCs w:val="20"/>
          <w:color w:val="auto"/>
        </w:rPr>
      </w:pPr>
    </w:p>
    <w:p>
      <w:pPr>
        <w:ind w:left="620" w:right="60"/>
        <w:spacing w:after="0" w:line="302" w:lineRule="auto"/>
        <w:rPr>
          <w:sz w:val="20"/>
          <w:szCs w:val="20"/>
          <w:color w:val="auto"/>
        </w:rPr>
      </w:pPr>
      <w:r>
        <w:rPr>
          <w:rFonts w:ascii="Arial" w:cs="Arial" w:eastAsia="Arial" w:hAnsi="Arial"/>
          <w:sz w:val="20"/>
          <w:szCs w:val="20"/>
          <w:color w:val="auto"/>
        </w:rPr>
        <w:t>$52 thousand as of December 31, 2024. The specific allocations are accounted for in the allowance for credit losses (see Note 4).</w:t>
      </w:r>
    </w:p>
    <w:p>
      <w:pPr>
        <w:spacing w:after="0" w:line="261" w:lineRule="exact"/>
        <w:rPr>
          <w:sz w:val="20"/>
          <w:szCs w:val="20"/>
          <w:color w:val="auto"/>
        </w:rPr>
      </w:pPr>
    </w:p>
    <w:p>
      <w:pPr>
        <w:jc w:val="both"/>
        <w:ind w:left="620" w:right="20"/>
        <w:spacing w:after="0" w:line="310" w:lineRule="auto"/>
        <w:rPr>
          <w:sz w:val="20"/>
          <w:szCs w:val="20"/>
          <w:color w:val="auto"/>
        </w:rPr>
      </w:pPr>
      <w:r>
        <w:rPr>
          <w:rFonts w:ascii="Arial" w:cs="Arial" w:eastAsia="Arial" w:hAnsi="Arial"/>
          <w:sz w:val="20"/>
          <w:szCs w:val="20"/>
          <w:color w:val="auto"/>
        </w:rPr>
        <w:t>During 2024 and 2023, impairment was recognized on loan servicing rights based upon the independent third party’s quarterly valuations. A valuation allowance was established by strata to quantify the likely impairment of the value of the loan servicing rights to the Company. If the carrying amount of an individual strata exceeds the fair value, impairment was recorded on that strata so the servicing asset was carried at fair value.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17</w:t>
      </w:r>
    </w:p>
    <w:p>
      <w:pPr>
        <w:sectPr>
          <w:pgSz w:w="11900" w:h="16838" w:orient="portrait"/>
          <w:cols w:equalWidth="0" w:num="1">
            <w:col w:w="9400"/>
          </w:cols>
          <w:pgMar w:left="1260" w:top="1440" w:right="1246" w:bottom="0" w:gutter="0" w:footer="0" w:header="0"/>
          <w:type w:val="continuous"/>
        </w:sectPr>
      </w:pPr>
    </w:p>
    <w:bookmarkStart w:id="234" w:name="page235"/>
    <w:bookmarkEnd w:id="234"/>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following tables present assets measured at fair value on a nonrecurring basis: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0" w:type="dxa"/>
            <w:vAlign w:val="bottom"/>
            <w:gridSpan w:val="3"/>
          </w:tcPr>
          <w:p>
            <w:pPr>
              <w:jc w:val="center"/>
              <w:ind w:left="80"/>
              <w:spacing w:after="0"/>
              <w:rPr>
                <w:sz w:val="20"/>
                <w:szCs w:val="20"/>
                <w:color w:val="auto"/>
              </w:rPr>
            </w:pPr>
            <w:r>
              <w:rPr>
                <w:rFonts w:ascii="Arial" w:cs="Arial" w:eastAsia="Arial" w:hAnsi="Arial"/>
                <w:sz w:val="20"/>
                <w:szCs w:val="20"/>
                <w:color w:val="auto"/>
                <w:w w:val="90"/>
              </w:rPr>
              <w:t>(In Thousands)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24"/>
        </w:trPr>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80" w:type="dxa"/>
            <w:vAlign w:val="bottom"/>
            <w:gridSpan w:val="7"/>
          </w:tcPr>
          <w:p>
            <w:pPr>
              <w:jc w:val="center"/>
              <w:ind w:right="280"/>
              <w:spacing w:after="0"/>
              <w:rPr>
                <w:sz w:val="20"/>
                <w:szCs w:val="20"/>
                <w:color w:val="auto"/>
              </w:rPr>
            </w:pPr>
            <w:r>
              <w:rPr>
                <w:rFonts w:ascii="Arial" w:cs="Arial" w:eastAsia="Arial" w:hAnsi="Arial"/>
                <w:sz w:val="20"/>
                <w:szCs w:val="20"/>
                <w:color w:val="auto"/>
                <w:w w:val="89"/>
              </w:rPr>
              <w:t>Assets Measured at Fair Value on a Nonrecurring Basis at December 31, 2025</w:t>
            </w:r>
          </w:p>
        </w:tc>
      </w:tr>
      <w:tr>
        <w:trPr>
          <w:trHeight w:val="324"/>
        </w:trPr>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40" w:type="dxa"/>
            <w:vAlign w:val="bottom"/>
          </w:tcPr>
          <w:p>
            <w:pPr>
              <w:jc w:val="center"/>
              <w:ind w:left="80"/>
              <w:spacing w:after="0"/>
              <w:rPr>
                <w:sz w:val="20"/>
                <w:szCs w:val="20"/>
                <w:color w:val="auto"/>
              </w:rPr>
            </w:pPr>
            <w:r>
              <w:rPr>
                <w:rFonts w:ascii="Arial" w:cs="Arial" w:eastAsia="Arial" w:hAnsi="Arial"/>
                <w:sz w:val="20"/>
                <w:szCs w:val="20"/>
                <w:color w:val="auto"/>
                <w:w w:val="90"/>
              </w:rPr>
              <w:t>Quoted Prices in</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4"/>
        </w:trPr>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40" w:type="dxa"/>
            <w:vAlign w:val="bottom"/>
          </w:tcPr>
          <w:p>
            <w:pPr>
              <w:jc w:val="center"/>
              <w:ind w:left="80"/>
              <w:spacing w:after="0"/>
              <w:rPr>
                <w:sz w:val="20"/>
                <w:szCs w:val="20"/>
                <w:color w:val="auto"/>
              </w:rPr>
            </w:pPr>
            <w:r>
              <w:rPr>
                <w:rFonts w:ascii="Arial" w:cs="Arial" w:eastAsia="Arial" w:hAnsi="Arial"/>
                <w:sz w:val="20"/>
                <w:szCs w:val="20"/>
                <w:color w:val="auto"/>
                <w:w w:val="93"/>
              </w:rPr>
              <w:t>Markets for</w:t>
            </w:r>
          </w:p>
        </w:tc>
        <w:tc>
          <w:tcPr>
            <w:tcW w:w="240" w:type="dxa"/>
            <w:vAlign w:val="bottom"/>
          </w:tcPr>
          <w:p>
            <w:pPr>
              <w:spacing w:after="0"/>
              <w:rPr>
                <w:sz w:val="24"/>
                <w:szCs w:val="24"/>
                <w:color w:val="auto"/>
              </w:rPr>
            </w:pPr>
          </w:p>
        </w:tc>
        <w:tc>
          <w:tcPr>
            <w:tcW w:w="1720" w:type="dxa"/>
            <w:vAlign w:val="bottom"/>
          </w:tcPr>
          <w:p>
            <w:pPr>
              <w:jc w:val="center"/>
              <w:ind w:left="60"/>
              <w:spacing w:after="0"/>
              <w:rPr>
                <w:sz w:val="20"/>
                <w:szCs w:val="20"/>
                <w:color w:val="auto"/>
              </w:rPr>
            </w:pPr>
            <w:r>
              <w:rPr>
                <w:rFonts w:ascii="Arial" w:cs="Arial" w:eastAsia="Arial" w:hAnsi="Arial"/>
                <w:sz w:val="20"/>
                <w:szCs w:val="20"/>
                <w:color w:val="auto"/>
                <w:w w:val="95"/>
              </w:rPr>
              <w:t>Significant</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jc w:val="center"/>
              <w:ind w:right="280"/>
              <w:spacing w:after="0"/>
              <w:rPr>
                <w:sz w:val="20"/>
                <w:szCs w:val="20"/>
                <w:color w:val="auto"/>
              </w:rPr>
            </w:pPr>
            <w:r>
              <w:rPr>
                <w:rFonts w:ascii="Arial" w:cs="Arial" w:eastAsia="Arial" w:hAnsi="Arial"/>
                <w:sz w:val="20"/>
                <w:szCs w:val="20"/>
                <w:color w:val="auto"/>
                <w:w w:val="93"/>
              </w:rPr>
              <w:t>Significant</w:t>
            </w:r>
          </w:p>
        </w:tc>
      </w:tr>
      <w:tr>
        <w:trPr>
          <w:trHeight w:val="314"/>
        </w:trPr>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jc w:val="center"/>
              <w:ind w:right="300"/>
              <w:spacing w:after="0"/>
              <w:rPr>
                <w:sz w:val="20"/>
                <w:szCs w:val="20"/>
                <w:color w:val="auto"/>
              </w:rPr>
            </w:pPr>
            <w:r>
              <w:rPr>
                <w:rFonts w:ascii="Arial" w:cs="Arial" w:eastAsia="Arial" w:hAnsi="Arial"/>
                <w:sz w:val="20"/>
                <w:szCs w:val="20"/>
                <w:color w:val="auto"/>
                <w:w w:val="88"/>
              </w:rPr>
              <w:t>Balance at</w:t>
            </w:r>
          </w:p>
        </w:tc>
        <w:tc>
          <w:tcPr>
            <w:tcW w:w="1640" w:type="dxa"/>
            <w:vAlign w:val="bottom"/>
          </w:tcPr>
          <w:p>
            <w:pPr>
              <w:jc w:val="center"/>
              <w:ind w:left="80"/>
              <w:spacing w:after="0"/>
              <w:rPr>
                <w:sz w:val="20"/>
                <w:szCs w:val="20"/>
                <w:color w:val="auto"/>
              </w:rPr>
            </w:pPr>
            <w:r>
              <w:rPr>
                <w:rFonts w:ascii="Arial" w:cs="Arial" w:eastAsia="Arial" w:hAnsi="Arial"/>
                <w:sz w:val="20"/>
                <w:szCs w:val="20"/>
                <w:color w:val="auto"/>
                <w:w w:val="93"/>
              </w:rPr>
              <w:t>Identical</w:t>
            </w:r>
          </w:p>
        </w:tc>
        <w:tc>
          <w:tcPr>
            <w:tcW w:w="240" w:type="dxa"/>
            <w:vAlign w:val="bottom"/>
          </w:tcPr>
          <w:p>
            <w:pPr>
              <w:spacing w:after="0"/>
              <w:rPr>
                <w:sz w:val="24"/>
                <w:szCs w:val="24"/>
                <w:color w:val="auto"/>
              </w:rPr>
            </w:pPr>
          </w:p>
        </w:tc>
        <w:tc>
          <w:tcPr>
            <w:tcW w:w="1720" w:type="dxa"/>
            <w:vAlign w:val="bottom"/>
          </w:tcPr>
          <w:p>
            <w:pPr>
              <w:jc w:val="center"/>
              <w:ind w:left="80"/>
              <w:spacing w:after="0"/>
              <w:rPr>
                <w:sz w:val="20"/>
                <w:szCs w:val="20"/>
                <w:color w:val="auto"/>
              </w:rPr>
            </w:pPr>
            <w:r>
              <w:rPr>
                <w:rFonts w:ascii="Arial" w:cs="Arial" w:eastAsia="Arial" w:hAnsi="Arial"/>
                <w:sz w:val="20"/>
                <w:szCs w:val="20"/>
                <w:color w:val="auto"/>
                <w:w w:val="89"/>
              </w:rPr>
              <w:t>Observable Inputs</w:t>
            </w:r>
          </w:p>
        </w:tc>
        <w:tc>
          <w:tcPr>
            <w:tcW w:w="200" w:type="dxa"/>
            <w:vAlign w:val="bottom"/>
          </w:tcPr>
          <w:p>
            <w:pPr>
              <w:spacing w:after="0"/>
              <w:rPr>
                <w:sz w:val="24"/>
                <w:szCs w:val="24"/>
                <w:color w:val="auto"/>
              </w:rPr>
            </w:pPr>
          </w:p>
        </w:tc>
        <w:tc>
          <w:tcPr>
            <w:tcW w:w="1920" w:type="dxa"/>
            <w:vAlign w:val="bottom"/>
            <w:gridSpan w:val="2"/>
          </w:tcPr>
          <w:p>
            <w:pPr>
              <w:jc w:val="center"/>
              <w:spacing w:after="0"/>
              <w:rPr>
                <w:sz w:val="20"/>
                <w:szCs w:val="20"/>
                <w:color w:val="auto"/>
              </w:rPr>
            </w:pPr>
            <w:r>
              <w:rPr>
                <w:rFonts w:ascii="Arial" w:cs="Arial" w:eastAsia="Arial" w:hAnsi="Arial"/>
                <w:sz w:val="20"/>
                <w:szCs w:val="20"/>
                <w:color w:val="auto"/>
                <w:w w:val="90"/>
              </w:rPr>
              <w:t>Unobservable Inputs</w:t>
            </w:r>
          </w:p>
        </w:tc>
      </w:tr>
      <w:tr>
        <w:trPr>
          <w:trHeight w:val="314"/>
        </w:trPr>
        <w:tc>
          <w:tcPr>
            <w:tcW w:w="1760" w:type="dxa"/>
            <w:vAlign w:val="bottom"/>
          </w:tcPr>
          <w:p>
            <w:pPr>
              <w:spacing w:after="0"/>
              <w:rPr>
                <w:sz w:val="24"/>
                <w:szCs w:val="24"/>
                <w:color w:val="auto"/>
              </w:rPr>
            </w:pPr>
          </w:p>
        </w:tc>
        <w:tc>
          <w:tcPr>
            <w:tcW w:w="1920" w:type="dxa"/>
            <w:vAlign w:val="bottom"/>
            <w:gridSpan w:val="2"/>
          </w:tcPr>
          <w:p>
            <w:pPr>
              <w:jc w:val="center"/>
              <w:spacing w:after="0"/>
              <w:rPr>
                <w:sz w:val="20"/>
                <w:szCs w:val="20"/>
                <w:color w:val="auto"/>
              </w:rPr>
            </w:pPr>
            <w:r>
              <w:rPr>
                <w:rFonts w:ascii="Arial" w:cs="Arial" w:eastAsia="Arial" w:hAnsi="Arial"/>
                <w:sz w:val="20"/>
                <w:szCs w:val="20"/>
                <w:color w:val="auto"/>
                <w:w w:val="89"/>
              </w:rPr>
              <w:t>December 31, 2025</w:t>
            </w:r>
          </w:p>
        </w:tc>
        <w:tc>
          <w:tcPr>
            <w:tcW w:w="1640" w:type="dxa"/>
            <w:vAlign w:val="bottom"/>
          </w:tcPr>
          <w:p>
            <w:pPr>
              <w:jc w:val="center"/>
              <w:ind w:left="80"/>
              <w:spacing w:after="0"/>
              <w:rPr>
                <w:sz w:val="20"/>
                <w:szCs w:val="20"/>
                <w:color w:val="auto"/>
              </w:rPr>
            </w:pPr>
            <w:r>
              <w:rPr>
                <w:rFonts w:ascii="Arial" w:cs="Arial" w:eastAsia="Arial" w:hAnsi="Arial"/>
                <w:sz w:val="20"/>
                <w:szCs w:val="20"/>
                <w:color w:val="auto"/>
                <w:w w:val="90"/>
              </w:rPr>
              <w:t>Assets (Level 1)</w:t>
            </w:r>
          </w:p>
        </w:tc>
        <w:tc>
          <w:tcPr>
            <w:tcW w:w="240" w:type="dxa"/>
            <w:vAlign w:val="bottom"/>
          </w:tcPr>
          <w:p>
            <w:pPr>
              <w:spacing w:after="0"/>
              <w:rPr>
                <w:sz w:val="24"/>
                <w:szCs w:val="24"/>
                <w:color w:val="auto"/>
              </w:rPr>
            </w:pPr>
          </w:p>
        </w:tc>
        <w:tc>
          <w:tcPr>
            <w:tcW w:w="1720" w:type="dxa"/>
            <w:vAlign w:val="bottom"/>
          </w:tcPr>
          <w:p>
            <w:pPr>
              <w:jc w:val="center"/>
              <w:ind w:left="80"/>
              <w:spacing w:after="0"/>
              <w:rPr>
                <w:sz w:val="20"/>
                <w:szCs w:val="20"/>
                <w:color w:val="auto"/>
              </w:rPr>
            </w:pPr>
            <w:r>
              <w:rPr>
                <w:rFonts w:ascii="Arial" w:cs="Arial" w:eastAsia="Arial" w:hAnsi="Arial"/>
                <w:sz w:val="20"/>
                <w:szCs w:val="20"/>
                <w:color w:val="auto"/>
                <w:w w:val="95"/>
              </w:rPr>
              <w:t>(Level 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jc w:val="center"/>
              <w:ind w:right="280"/>
              <w:spacing w:after="0"/>
              <w:rPr>
                <w:sz w:val="20"/>
                <w:szCs w:val="20"/>
                <w:color w:val="auto"/>
              </w:rPr>
            </w:pPr>
            <w:r>
              <w:rPr>
                <w:rFonts w:ascii="Arial" w:cs="Arial" w:eastAsia="Arial" w:hAnsi="Arial"/>
                <w:sz w:val="20"/>
                <w:szCs w:val="20"/>
                <w:color w:val="auto"/>
                <w:w w:val="95"/>
              </w:rPr>
              <w:t>(Level 3)</w:t>
            </w:r>
          </w:p>
        </w:tc>
      </w:tr>
      <w:tr>
        <w:trPr>
          <w:trHeight w:val="51"/>
        </w:trPr>
        <w:tc>
          <w:tcPr>
            <w:tcW w:w="1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74"/>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w w:val="94"/>
              </w:rPr>
              <w:t>Collateral dependent</w:t>
            </w:r>
          </w:p>
        </w:tc>
        <w:tc>
          <w:tcPr>
            <w:tcW w:w="360" w:type="dxa"/>
            <w:vAlign w:val="bottom"/>
            <w:shd w:val="clear" w:color="auto" w:fill="CFF0FC"/>
          </w:tcPr>
          <w:p>
            <w:pPr>
              <w:spacing w:after="0"/>
              <w:rPr>
                <w:sz w:val="23"/>
                <w:szCs w:val="23"/>
                <w:color w:val="auto"/>
              </w:rPr>
            </w:pPr>
          </w:p>
        </w:tc>
        <w:tc>
          <w:tcPr>
            <w:tcW w:w="1560" w:type="dxa"/>
            <w:vAlign w:val="bottom"/>
            <w:shd w:val="clear" w:color="auto" w:fill="CFF0FC"/>
          </w:tcPr>
          <w:p>
            <w:pPr>
              <w:spacing w:after="0"/>
              <w:rPr>
                <w:sz w:val="23"/>
                <w:szCs w:val="23"/>
                <w:color w:val="auto"/>
              </w:rPr>
            </w:pPr>
          </w:p>
        </w:tc>
        <w:tc>
          <w:tcPr>
            <w:tcW w:w="16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7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560" w:type="dxa"/>
            <w:vAlign w:val="bottom"/>
            <w:shd w:val="clear" w:color="auto" w:fill="CFF0FC"/>
          </w:tcPr>
          <w:p>
            <w:pPr>
              <w:spacing w:after="0"/>
              <w:rPr>
                <w:sz w:val="23"/>
                <w:szCs w:val="23"/>
                <w:color w:val="auto"/>
              </w:rPr>
            </w:pPr>
          </w:p>
        </w:tc>
      </w:tr>
      <w:tr>
        <w:trPr>
          <w:trHeight w:val="321"/>
        </w:trPr>
        <w:tc>
          <w:tcPr>
            <w:tcW w:w="1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loans</w:t>
            </w:r>
          </w:p>
        </w:tc>
        <w:tc>
          <w:tcPr>
            <w:tcW w:w="3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715</w:t>
            </w:r>
          </w:p>
        </w:tc>
        <w:tc>
          <w:tcPr>
            <w:tcW w:w="1640" w:type="dxa"/>
            <w:vAlign w:val="bottom"/>
            <w:tcBorders>
              <w:bottom w:val="single" w:sz="8" w:color="CFF0FC"/>
            </w:tcBorders>
            <w:shd w:val="clear" w:color="auto" w:fill="CFF0FC"/>
          </w:tcPr>
          <w:p>
            <w:pPr>
              <w:jc w:val="right"/>
              <w:ind w:right="138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720" w:type="dxa"/>
            <w:vAlign w:val="bottom"/>
            <w:tcBorders>
              <w:bottom w:val="single" w:sz="8" w:color="CFF0FC"/>
            </w:tcBorders>
            <w:shd w:val="clear" w:color="auto" w:fill="CFF0FC"/>
          </w:tcPr>
          <w:p>
            <w:pPr>
              <w:jc w:val="right"/>
              <w:ind w:right="144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89"/>
              </w:rPr>
              <w:t>-</w:t>
            </w:r>
          </w:p>
        </w:tc>
        <w:tc>
          <w:tcPr>
            <w:tcW w:w="3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715</w:t>
            </w:r>
          </w:p>
        </w:tc>
      </w:tr>
      <w:tr>
        <w:trPr>
          <w:trHeight w:val="274"/>
        </w:trPr>
        <w:tc>
          <w:tcPr>
            <w:tcW w:w="1760" w:type="dxa"/>
            <w:vAlign w:val="bottom"/>
          </w:tcPr>
          <w:p>
            <w:pPr>
              <w:spacing w:after="0"/>
              <w:rPr>
                <w:sz w:val="20"/>
                <w:szCs w:val="20"/>
                <w:color w:val="auto"/>
              </w:rPr>
            </w:pPr>
            <w:r>
              <w:rPr>
                <w:rFonts w:ascii="Arial" w:cs="Arial" w:eastAsia="Arial" w:hAnsi="Arial"/>
                <w:sz w:val="20"/>
                <w:szCs w:val="20"/>
                <w:color w:val="auto"/>
              </w:rPr>
              <w:t>Loan servicing</w:t>
            </w: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300"/>
        </w:trPr>
        <w:tc>
          <w:tcPr>
            <w:tcW w:w="1760" w:type="dxa"/>
            <w:vAlign w:val="bottom"/>
          </w:tcPr>
          <w:p>
            <w:pPr>
              <w:ind w:left="200"/>
              <w:spacing w:after="0"/>
              <w:rPr>
                <w:sz w:val="20"/>
                <w:szCs w:val="20"/>
                <w:color w:val="auto"/>
              </w:rPr>
            </w:pPr>
            <w:r>
              <w:rPr>
                <w:rFonts w:ascii="Arial" w:cs="Arial" w:eastAsia="Arial" w:hAnsi="Arial"/>
                <w:sz w:val="20"/>
                <w:szCs w:val="20"/>
                <w:color w:val="auto"/>
              </w:rPr>
              <w:t>rights</w:t>
            </w:r>
          </w:p>
        </w:tc>
        <w:tc>
          <w:tcPr>
            <w:tcW w:w="360" w:type="dxa"/>
            <w:vAlign w:val="bottom"/>
          </w:tcPr>
          <w:p>
            <w:pPr>
              <w:spacing w:after="0"/>
              <w:rPr>
                <w:sz w:val="24"/>
                <w:szCs w:val="24"/>
                <w:color w:val="auto"/>
              </w:rPr>
            </w:pPr>
          </w:p>
        </w:tc>
        <w:tc>
          <w:tcPr>
            <w:tcW w:w="1560" w:type="dxa"/>
            <w:vAlign w:val="bottom"/>
          </w:tcPr>
          <w:p>
            <w:pPr>
              <w:jc w:val="right"/>
              <w:ind w:right="40"/>
              <w:spacing w:after="0"/>
              <w:rPr>
                <w:sz w:val="20"/>
                <w:szCs w:val="20"/>
                <w:color w:val="auto"/>
              </w:rPr>
            </w:pPr>
            <w:r>
              <w:rPr>
                <w:rFonts w:ascii="Arial" w:cs="Arial" w:eastAsia="Arial" w:hAnsi="Arial"/>
                <w:sz w:val="20"/>
                <w:szCs w:val="20"/>
                <w:color w:val="auto"/>
              </w:rPr>
              <w:t>1,556</w:t>
            </w:r>
          </w:p>
        </w:tc>
        <w:tc>
          <w:tcPr>
            <w:tcW w:w="1640" w:type="dxa"/>
            <w:vAlign w:val="bottom"/>
          </w:tcPr>
          <w:p>
            <w:pPr>
              <w:spacing w:after="0"/>
              <w:rPr>
                <w:sz w:val="24"/>
                <w:szCs w:val="24"/>
                <w:color w:val="auto"/>
              </w:rPr>
            </w:pPr>
          </w:p>
        </w:tc>
        <w:tc>
          <w:tcPr>
            <w:tcW w:w="2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720" w:type="dxa"/>
            <w:vAlign w:val="bottom"/>
          </w:tcPr>
          <w:p>
            <w:pPr>
              <w:spacing w:after="0"/>
              <w:rPr>
                <w:sz w:val="24"/>
                <w:szCs w:val="24"/>
                <w:color w:val="auto"/>
              </w:rPr>
            </w:pPr>
          </w:p>
        </w:tc>
        <w:tc>
          <w:tcPr>
            <w:tcW w:w="200" w:type="dxa"/>
            <w:vAlign w:val="bottom"/>
          </w:tcPr>
          <w:p>
            <w:pPr>
              <w:jc w:val="right"/>
              <w:ind w:right="20"/>
              <w:spacing w:after="0"/>
              <w:rPr>
                <w:sz w:val="20"/>
                <w:szCs w:val="20"/>
                <w:color w:val="auto"/>
              </w:rPr>
            </w:pPr>
            <w:r>
              <w:rPr>
                <w:rFonts w:ascii="Arial" w:cs="Arial" w:eastAsia="Arial" w:hAnsi="Arial"/>
                <w:sz w:val="20"/>
                <w:szCs w:val="20"/>
                <w:color w:val="auto"/>
                <w:w w:val="89"/>
              </w:rPr>
              <w:t>-</w:t>
            </w:r>
          </w:p>
        </w:tc>
        <w:tc>
          <w:tcPr>
            <w:tcW w:w="360" w:type="dxa"/>
            <w:vAlign w:val="bottom"/>
          </w:tcPr>
          <w:p>
            <w:pPr>
              <w:spacing w:after="0"/>
              <w:rPr>
                <w:sz w:val="24"/>
                <w:szCs w:val="24"/>
                <w:color w:val="auto"/>
              </w:rPr>
            </w:pPr>
          </w:p>
        </w:tc>
        <w:tc>
          <w:tcPr>
            <w:tcW w:w="1560" w:type="dxa"/>
            <w:vAlign w:val="bottom"/>
          </w:tcPr>
          <w:p>
            <w:pPr>
              <w:jc w:val="right"/>
              <w:ind w:right="20"/>
              <w:spacing w:after="0"/>
              <w:rPr>
                <w:sz w:val="20"/>
                <w:szCs w:val="20"/>
                <w:color w:val="auto"/>
              </w:rPr>
            </w:pPr>
            <w:r>
              <w:rPr>
                <w:rFonts w:ascii="Arial" w:cs="Arial" w:eastAsia="Arial" w:hAnsi="Arial"/>
                <w:sz w:val="20"/>
                <w:szCs w:val="20"/>
                <w:color w:val="auto"/>
              </w:rPr>
              <w:t>1,556</w:t>
            </w:r>
          </w:p>
        </w:tc>
      </w:tr>
      <w:tr>
        <w:trPr>
          <w:trHeight w:val="930"/>
        </w:trPr>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0" w:type="dxa"/>
            <w:vAlign w:val="bottom"/>
            <w:gridSpan w:val="3"/>
          </w:tcPr>
          <w:p>
            <w:pPr>
              <w:jc w:val="center"/>
              <w:ind w:left="100"/>
              <w:spacing w:after="0"/>
              <w:rPr>
                <w:sz w:val="20"/>
                <w:szCs w:val="20"/>
                <w:color w:val="auto"/>
              </w:rPr>
            </w:pPr>
            <w:r>
              <w:rPr>
                <w:rFonts w:ascii="Arial" w:cs="Arial" w:eastAsia="Arial" w:hAnsi="Arial"/>
                <w:sz w:val="20"/>
                <w:szCs w:val="20"/>
                <w:color w:val="auto"/>
                <w:w w:val="89"/>
              </w:rPr>
              <w:t>(In Thousands)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0"/>
        </w:trPr>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80" w:type="dxa"/>
            <w:vAlign w:val="bottom"/>
            <w:gridSpan w:val="7"/>
          </w:tcPr>
          <w:p>
            <w:pPr>
              <w:jc w:val="center"/>
              <w:ind w:right="260"/>
              <w:spacing w:after="0"/>
              <w:rPr>
                <w:sz w:val="20"/>
                <w:szCs w:val="20"/>
                <w:color w:val="auto"/>
              </w:rPr>
            </w:pPr>
            <w:r>
              <w:rPr>
                <w:rFonts w:ascii="Arial" w:cs="Arial" w:eastAsia="Arial" w:hAnsi="Arial"/>
                <w:sz w:val="20"/>
                <w:szCs w:val="20"/>
                <w:color w:val="auto"/>
                <w:w w:val="90"/>
              </w:rPr>
              <w:t>Assets Measured at Fair Value on a Nonrecurring Basis at December 31, 2024</w:t>
            </w:r>
          </w:p>
        </w:tc>
      </w:tr>
      <w:tr>
        <w:trPr>
          <w:trHeight w:val="310"/>
        </w:trPr>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40" w:type="dxa"/>
            <w:vAlign w:val="bottom"/>
          </w:tcPr>
          <w:p>
            <w:pPr>
              <w:jc w:val="center"/>
              <w:ind w:left="120"/>
              <w:spacing w:after="0"/>
              <w:rPr>
                <w:sz w:val="20"/>
                <w:szCs w:val="20"/>
                <w:color w:val="auto"/>
              </w:rPr>
            </w:pPr>
            <w:r>
              <w:rPr>
                <w:rFonts w:ascii="Arial" w:cs="Arial" w:eastAsia="Arial" w:hAnsi="Arial"/>
                <w:sz w:val="20"/>
                <w:szCs w:val="20"/>
                <w:color w:val="auto"/>
                <w:w w:val="90"/>
              </w:rPr>
              <w:t>Quoted Prices in</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00"/>
        </w:trPr>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40" w:type="dxa"/>
            <w:vAlign w:val="bottom"/>
          </w:tcPr>
          <w:p>
            <w:pPr>
              <w:jc w:val="center"/>
              <w:ind w:left="120"/>
              <w:spacing w:after="0"/>
              <w:rPr>
                <w:sz w:val="20"/>
                <w:szCs w:val="20"/>
                <w:color w:val="auto"/>
              </w:rPr>
            </w:pPr>
            <w:r>
              <w:rPr>
                <w:rFonts w:ascii="Arial" w:cs="Arial" w:eastAsia="Arial" w:hAnsi="Arial"/>
                <w:sz w:val="20"/>
                <w:szCs w:val="20"/>
                <w:color w:val="auto"/>
                <w:w w:val="93"/>
              </w:rPr>
              <w:t>Markets for</w:t>
            </w:r>
          </w:p>
        </w:tc>
        <w:tc>
          <w:tcPr>
            <w:tcW w:w="240" w:type="dxa"/>
            <w:vAlign w:val="bottom"/>
          </w:tcPr>
          <w:p>
            <w:pPr>
              <w:spacing w:after="0"/>
              <w:rPr>
                <w:sz w:val="24"/>
                <w:szCs w:val="24"/>
                <w:color w:val="auto"/>
              </w:rPr>
            </w:pPr>
          </w:p>
        </w:tc>
        <w:tc>
          <w:tcPr>
            <w:tcW w:w="1720" w:type="dxa"/>
            <w:vAlign w:val="bottom"/>
          </w:tcPr>
          <w:p>
            <w:pPr>
              <w:jc w:val="center"/>
              <w:ind w:left="100"/>
              <w:spacing w:after="0"/>
              <w:rPr>
                <w:sz w:val="20"/>
                <w:szCs w:val="20"/>
                <w:color w:val="auto"/>
              </w:rPr>
            </w:pPr>
            <w:r>
              <w:rPr>
                <w:rFonts w:ascii="Arial" w:cs="Arial" w:eastAsia="Arial" w:hAnsi="Arial"/>
                <w:sz w:val="20"/>
                <w:szCs w:val="20"/>
                <w:color w:val="auto"/>
                <w:w w:val="95"/>
              </w:rPr>
              <w:t>Significant</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jc w:val="center"/>
              <w:ind w:right="260"/>
              <w:spacing w:after="0"/>
              <w:rPr>
                <w:sz w:val="20"/>
                <w:szCs w:val="20"/>
                <w:color w:val="auto"/>
              </w:rPr>
            </w:pPr>
            <w:r>
              <w:rPr>
                <w:rFonts w:ascii="Arial" w:cs="Arial" w:eastAsia="Arial" w:hAnsi="Arial"/>
                <w:sz w:val="20"/>
                <w:szCs w:val="20"/>
                <w:color w:val="auto"/>
                <w:w w:val="95"/>
              </w:rPr>
              <w:t>Significant</w:t>
            </w:r>
          </w:p>
        </w:tc>
      </w:tr>
      <w:tr>
        <w:trPr>
          <w:trHeight w:val="300"/>
        </w:trPr>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jc w:val="center"/>
              <w:ind w:right="280"/>
              <w:spacing w:after="0"/>
              <w:rPr>
                <w:sz w:val="20"/>
                <w:szCs w:val="20"/>
                <w:color w:val="auto"/>
              </w:rPr>
            </w:pPr>
            <w:r>
              <w:rPr>
                <w:rFonts w:ascii="Arial" w:cs="Arial" w:eastAsia="Arial" w:hAnsi="Arial"/>
                <w:sz w:val="20"/>
                <w:szCs w:val="20"/>
                <w:color w:val="auto"/>
                <w:w w:val="86"/>
              </w:rPr>
              <w:t>Balance at</w:t>
            </w:r>
          </w:p>
        </w:tc>
        <w:tc>
          <w:tcPr>
            <w:tcW w:w="1640" w:type="dxa"/>
            <w:vAlign w:val="bottom"/>
          </w:tcPr>
          <w:p>
            <w:pPr>
              <w:jc w:val="center"/>
              <w:ind w:left="120"/>
              <w:spacing w:after="0"/>
              <w:rPr>
                <w:sz w:val="20"/>
                <w:szCs w:val="20"/>
                <w:color w:val="auto"/>
              </w:rPr>
            </w:pPr>
            <w:r>
              <w:rPr>
                <w:rFonts w:ascii="Arial" w:cs="Arial" w:eastAsia="Arial" w:hAnsi="Arial"/>
                <w:sz w:val="20"/>
                <w:szCs w:val="20"/>
                <w:color w:val="auto"/>
                <w:w w:val="93"/>
              </w:rPr>
              <w:t>Identical</w:t>
            </w:r>
          </w:p>
        </w:tc>
        <w:tc>
          <w:tcPr>
            <w:tcW w:w="240" w:type="dxa"/>
            <w:vAlign w:val="bottom"/>
          </w:tcPr>
          <w:p>
            <w:pPr>
              <w:spacing w:after="0"/>
              <w:rPr>
                <w:sz w:val="24"/>
                <w:szCs w:val="24"/>
                <w:color w:val="auto"/>
              </w:rPr>
            </w:pPr>
          </w:p>
        </w:tc>
        <w:tc>
          <w:tcPr>
            <w:tcW w:w="1720" w:type="dxa"/>
            <w:vAlign w:val="bottom"/>
          </w:tcPr>
          <w:p>
            <w:pPr>
              <w:jc w:val="center"/>
              <w:ind w:left="80"/>
              <w:spacing w:after="0"/>
              <w:rPr>
                <w:sz w:val="20"/>
                <w:szCs w:val="20"/>
                <w:color w:val="auto"/>
              </w:rPr>
            </w:pPr>
            <w:r>
              <w:rPr>
                <w:rFonts w:ascii="Arial" w:cs="Arial" w:eastAsia="Arial" w:hAnsi="Arial"/>
                <w:sz w:val="20"/>
                <w:szCs w:val="20"/>
                <w:color w:val="auto"/>
                <w:w w:val="89"/>
              </w:rPr>
              <w:t>Observable Inputs</w:t>
            </w:r>
          </w:p>
        </w:tc>
        <w:tc>
          <w:tcPr>
            <w:tcW w:w="200" w:type="dxa"/>
            <w:vAlign w:val="bottom"/>
          </w:tcPr>
          <w:p>
            <w:pPr>
              <w:spacing w:after="0"/>
              <w:rPr>
                <w:sz w:val="24"/>
                <w:szCs w:val="24"/>
                <w:color w:val="auto"/>
              </w:rPr>
            </w:pPr>
          </w:p>
        </w:tc>
        <w:tc>
          <w:tcPr>
            <w:tcW w:w="1920" w:type="dxa"/>
            <w:vAlign w:val="bottom"/>
            <w:gridSpan w:val="2"/>
          </w:tcPr>
          <w:p>
            <w:pPr>
              <w:jc w:val="center"/>
              <w:spacing w:after="0"/>
              <w:rPr>
                <w:sz w:val="20"/>
                <w:szCs w:val="20"/>
                <w:color w:val="auto"/>
              </w:rPr>
            </w:pPr>
            <w:r>
              <w:rPr>
                <w:rFonts w:ascii="Arial" w:cs="Arial" w:eastAsia="Arial" w:hAnsi="Arial"/>
                <w:sz w:val="20"/>
                <w:szCs w:val="20"/>
                <w:color w:val="auto"/>
                <w:w w:val="90"/>
              </w:rPr>
              <w:t>Unobservable Inputs</w:t>
            </w:r>
          </w:p>
        </w:tc>
      </w:tr>
      <w:tr>
        <w:trPr>
          <w:trHeight w:val="300"/>
        </w:trPr>
        <w:tc>
          <w:tcPr>
            <w:tcW w:w="1760" w:type="dxa"/>
            <w:vAlign w:val="bottom"/>
          </w:tcPr>
          <w:p>
            <w:pPr>
              <w:spacing w:after="0"/>
              <w:rPr>
                <w:sz w:val="24"/>
                <w:szCs w:val="24"/>
                <w:color w:val="auto"/>
              </w:rPr>
            </w:pPr>
          </w:p>
        </w:tc>
        <w:tc>
          <w:tcPr>
            <w:tcW w:w="1920" w:type="dxa"/>
            <w:vAlign w:val="bottom"/>
            <w:gridSpan w:val="2"/>
          </w:tcPr>
          <w:p>
            <w:pPr>
              <w:jc w:val="center"/>
              <w:spacing w:after="0"/>
              <w:rPr>
                <w:sz w:val="20"/>
                <w:szCs w:val="20"/>
                <w:color w:val="auto"/>
              </w:rPr>
            </w:pPr>
            <w:r>
              <w:rPr>
                <w:rFonts w:ascii="Arial" w:cs="Arial" w:eastAsia="Arial" w:hAnsi="Arial"/>
                <w:sz w:val="20"/>
                <w:szCs w:val="20"/>
                <w:color w:val="auto"/>
                <w:w w:val="89"/>
              </w:rPr>
              <w:t>December 31, 2024</w:t>
            </w:r>
          </w:p>
        </w:tc>
        <w:tc>
          <w:tcPr>
            <w:tcW w:w="1640" w:type="dxa"/>
            <w:vAlign w:val="bottom"/>
          </w:tcPr>
          <w:p>
            <w:pPr>
              <w:jc w:val="center"/>
              <w:ind w:left="120"/>
              <w:spacing w:after="0"/>
              <w:rPr>
                <w:sz w:val="20"/>
                <w:szCs w:val="20"/>
                <w:color w:val="auto"/>
              </w:rPr>
            </w:pPr>
            <w:r>
              <w:rPr>
                <w:rFonts w:ascii="Arial" w:cs="Arial" w:eastAsia="Arial" w:hAnsi="Arial"/>
                <w:sz w:val="20"/>
                <w:szCs w:val="20"/>
                <w:color w:val="auto"/>
                <w:w w:val="90"/>
              </w:rPr>
              <w:t>Assets (Level 1)</w:t>
            </w:r>
          </w:p>
        </w:tc>
        <w:tc>
          <w:tcPr>
            <w:tcW w:w="240" w:type="dxa"/>
            <w:vAlign w:val="bottom"/>
          </w:tcPr>
          <w:p>
            <w:pPr>
              <w:spacing w:after="0"/>
              <w:rPr>
                <w:sz w:val="24"/>
                <w:szCs w:val="24"/>
                <w:color w:val="auto"/>
              </w:rPr>
            </w:pPr>
          </w:p>
        </w:tc>
        <w:tc>
          <w:tcPr>
            <w:tcW w:w="1720" w:type="dxa"/>
            <w:vAlign w:val="bottom"/>
          </w:tcPr>
          <w:p>
            <w:pPr>
              <w:jc w:val="center"/>
              <w:ind w:left="80"/>
              <w:spacing w:after="0"/>
              <w:rPr>
                <w:sz w:val="20"/>
                <w:szCs w:val="20"/>
                <w:color w:val="auto"/>
              </w:rPr>
            </w:pPr>
            <w:r>
              <w:rPr>
                <w:rFonts w:ascii="Arial" w:cs="Arial" w:eastAsia="Arial" w:hAnsi="Arial"/>
                <w:sz w:val="20"/>
                <w:szCs w:val="20"/>
                <w:color w:val="auto"/>
                <w:w w:val="95"/>
              </w:rPr>
              <w:t>(Level 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jc w:val="center"/>
              <w:ind w:right="260"/>
              <w:spacing w:after="0"/>
              <w:rPr>
                <w:sz w:val="20"/>
                <w:szCs w:val="20"/>
                <w:color w:val="auto"/>
              </w:rPr>
            </w:pPr>
            <w:r>
              <w:rPr>
                <w:rFonts w:ascii="Arial" w:cs="Arial" w:eastAsia="Arial" w:hAnsi="Arial"/>
                <w:sz w:val="20"/>
                <w:szCs w:val="20"/>
                <w:color w:val="auto"/>
                <w:w w:val="92"/>
              </w:rPr>
              <w:t>(Level 3)</w:t>
            </w:r>
          </w:p>
        </w:tc>
      </w:tr>
      <w:tr>
        <w:trPr>
          <w:trHeight w:val="51"/>
        </w:trPr>
        <w:tc>
          <w:tcPr>
            <w:tcW w:w="1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59"/>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w w:val="94"/>
              </w:rPr>
              <w:t>Collateral dependent</w:t>
            </w:r>
          </w:p>
        </w:tc>
        <w:tc>
          <w:tcPr>
            <w:tcW w:w="36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16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r>
      <w:tr>
        <w:trPr>
          <w:trHeight w:val="321"/>
        </w:trPr>
        <w:tc>
          <w:tcPr>
            <w:tcW w:w="1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loans</w:t>
            </w:r>
          </w:p>
        </w:tc>
        <w:tc>
          <w:tcPr>
            <w:tcW w:w="3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2,988</w:t>
            </w:r>
          </w:p>
        </w:tc>
        <w:tc>
          <w:tcPr>
            <w:tcW w:w="1640" w:type="dxa"/>
            <w:vAlign w:val="bottom"/>
            <w:tcBorders>
              <w:bottom w:val="single" w:sz="8" w:color="CFF0FC"/>
            </w:tcBorders>
            <w:shd w:val="clear" w:color="auto" w:fill="CFF0FC"/>
          </w:tcPr>
          <w:p>
            <w:pPr>
              <w:jc w:val="right"/>
              <w:ind w:right="136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20" w:type="dxa"/>
            <w:vAlign w:val="bottom"/>
            <w:tcBorders>
              <w:bottom w:val="single" w:sz="8" w:color="CFF0FC"/>
            </w:tcBorders>
            <w:shd w:val="clear" w:color="auto" w:fill="CFF0FC"/>
          </w:tcPr>
          <w:p>
            <w:pPr>
              <w:jc w:val="right"/>
              <w:ind w:right="142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2,988</w:t>
            </w:r>
          </w:p>
        </w:tc>
      </w:tr>
      <w:tr>
        <w:trPr>
          <w:trHeight w:val="259"/>
        </w:trPr>
        <w:tc>
          <w:tcPr>
            <w:tcW w:w="1760" w:type="dxa"/>
            <w:vAlign w:val="bottom"/>
          </w:tcPr>
          <w:p>
            <w:pPr>
              <w:spacing w:after="0"/>
              <w:rPr>
                <w:sz w:val="20"/>
                <w:szCs w:val="20"/>
                <w:color w:val="auto"/>
              </w:rPr>
            </w:pPr>
            <w:r>
              <w:rPr>
                <w:rFonts w:ascii="Arial" w:cs="Arial" w:eastAsia="Arial" w:hAnsi="Arial"/>
                <w:sz w:val="20"/>
                <w:szCs w:val="20"/>
                <w:color w:val="auto"/>
              </w:rPr>
              <w:t>Loan servicing</w:t>
            </w:r>
          </w:p>
        </w:tc>
        <w:tc>
          <w:tcPr>
            <w:tcW w:w="3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00"/>
        </w:trPr>
        <w:tc>
          <w:tcPr>
            <w:tcW w:w="1760" w:type="dxa"/>
            <w:vAlign w:val="bottom"/>
          </w:tcPr>
          <w:p>
            <w:pPr>
              <w:ind w:left="200"/>
              <w:spacing w:after="0"/>
              <w:rPr>
                <w:sz w:val="20"/>
                <w:szCs w:val="20"/>
                <w:color w:val="auto"/>
              </w:rPr>
            </w:pPr>
            <w:r>
              <w:rPr>
                <w:rFonts w:ascii="Arial" w:cs="Arial" w:eastAsia="Arial" w:hAnsi="Arial"/>
                <w:sz w:val="20"/>
                <w:szCs w:val="20"/>
                <w:color w:val="auto"/>
              </w:rPr>
              <w:t>rights</w:t>
            </w:r>
          </w:p>
        </w:tc>
        <w:tc>
          <w:tcPr>
            <w:tcW w:w="3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w:t>
            </w:r>
          </w:p>
        </w:tc>
        <w:tc>
          <w:tcPr>
            <w:tcW w:w="16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7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1176020</wp:posOffset>
            </wp:positionH>
            <wp:positionV relativeFrom="paragraph">
              <wp:posOffset>-4095115</wp:posOffset>
            </wp:positionV>
            <wp:extent cx="4729480" cy="635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48">
                      <a:extLst>
                        <a:ext uri="{28A0092B-C50C-407E-A947-70E740481C1C}"/>
                      </a:extLst>
                    </a:blip>
                    <a:srcRect/>
                    <a:stretch>
                      <a:fillRect/>
                    </a:stretch>
                  </pic:blipFill>
                  <pic:spPr bwMode="auto">
                    <a:xfrm>
                      <a:off x="0" y="0"/>
                      <a:ext cx="4729480" cy="6350"/>
                    </a:xfrm>
                    <a:prstGeom prst="rect">
                      <a:avLst/>
                    </a:prstGeom>
                    <a:noFill/>
                  </pic:spPr>
                </pic:pic>
              </a:graphicData>
            </a:graphic>
          </wp:anchor>
        </w:drawing>
        <w:drawing>
          <wp:anchor simplePos="0" relativeHeight="251657728" behindDoc="1" locked="0" layoutInCell="0" allowOverlap="1">
            <wp:simplePos x="0" y="0"/>
            <wp:positionH relativeFrom="column">
              <wp:posOffset>1176020</wp:posOffset>
            </wp:positionH>
            <wp:positionV relativeFrom="paragraph">
              <wp:posOffset>-3889375</wp:posOffset>
            </wp:positionV>
            <wp:extent cx="4729480" cy="635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49">
                      <a:extLst>
                        <a:ext uri="{28A0092B-C50C-407E-A947-70E740481C1C}"/>
                      </a:extLst>
                    </a:blip>
                    <a:srcRect/>
                    <a:stretch>
                      <a:fillRect/>
                    </a:stretch>
                  </pic:blipFill>
                  <pic:spPr bwMode="auto">
                    <a:xfrm>
                      <a:off x="0" y="0"/>
                      <a:ext cx="4729480" cy="6350"/>
                    </a:xfrm>
                    <a:prstGeom prst="rect">
                      <a:avLst/>
                    </a:prstGeom>
                    <a:noFill/>
                  </pic:spPr>
                </pic:pic>
              </a:graphicData>
            </a:graphic>
          </wp:anchor>
        </w:drawing>
        <w:drawing>
          <wp:anchor simplePos="0" relativeHeight="251657728" behindDoc="1" locked="0" layoutInCell="0" allowOverlap="1">
            <wp:simplePos x="0" y="0"/>
            <wp:positionH relativeFrom="column">
              <wp:posOffset>1176020</wp:posOffset>
            </wp:positionH>
            <wp:positionV relativeFrom="paragraph">
              <wp:posOffset>-3084195</wp:posOffset>
            </wp:positionV>
            <wp:extent cx="4729480" cy="63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0">
                      <a:extLst>
                        <a:ext uri="{28A0092B-C50C-407E-A947-70E740481C1C}"/>
                      </a:extLst>
                    </a:blip>
                    <a:srcRect/>
                    <a:stretch>
                      <a:fillRect/>
                    </a:stretch>
                  </pic:blipFill>
                  <pic:spPr bwMode="auto">
                    <a:xfrm>
                      <a:off x="0" y="0"/>
                      <a:ext cx="4729480" cy="6350"/>
                    </a:xfrm>
                    <a:prstGeom prst="rect">
                      <a:avLst/>
                    </a:prstGeom>
                    <a:noFill/>
                  </pic:spPr>
                </pic:pic>
              </a:graphicData>
            </a:graphic>
          </wp:anchor>
        </w:drawing>
        <w:drawing>
          <wp:anchor simplePos="0" relativeHeight="251657728" behindDoc="1" locked="0" layoutInCell="0" allowOverlap="1">
            <wp:simplePos x="0" y="0"/>
            <wp:positionH relativeFrom="column">
              <wp:posOffset>1183005</wp:posOffset>
            </wp:positionH>
            <wp:positionV relativeFrom="paragraph">
              <wp:posOffset>-1706880</wp:posOffset>
            </wp:positionV>
            <wp:extent cx="4721860" cy="63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1">
                      <a:extLst>
                        <a:ext uri="{28A0092B-C50C-407E-A947-70E740481C1C}"/>
                      </a:extLst>
                    </a:blip>
                    <a:srcRect/>
                    <a:stretch>
                      <a:fillRect/>
                    </a:stretch>
                  </pic:blipFill>
                  <pic:spPr bwMode="auto">
                    <a:xfrm>
                      <a:off x="0" y="0"/>
                      <a:ext cx="4721860" cy="6350"/>
                    </a:xfrm>
                    <a:prstGeom prst="rect">
                      <a:avLst/>
                    </a:prstGeom>
                    <a:noFill/>
                  </pic:spPr>
                </pic:pic>
              </a:graphicData>
            </a:graphic>
          </wp:anchor>
        </w:drawing>
        <w:drawing>
          <wp:anchor simplePos="0" relativeHeight="251657728" behindDoc="1" locked="0" layoutInCell="0" allowOverlap="1">
            <wp:simplePos x="0" y="0"/>
            <wp:positionH relativeFrom="column">
              <wp:posOffset>1183005</wp:posOffset>
            </wp:positionH>
            <wp:positionV relativeFrom="paragraph">
              <wp:posOffset>-1510030</wp:posOffset>
            </wp:positionV>
            <wp:extent cx="4721860" cy="63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2">
                      <a:extLst>
                        <a:ext uri="{28A0092B-C50C-407E-A947-70E740481C1C}"/>
                      </a:extLst>
                    </a:blip>
                    <a:srcRect/>
                    <a:stretch>
                      <a:fillRect/>
                    </a:stretch>
                  </pic:blipFill>
                  <pic:spPr bwMode="auto">
                    <a:xfrm>
                      <a:off x="0" y="0"/>
                      <a:ext cx="4721860" cy="6350"/>
                    </a:xfrm>
                    <a:prstGeom prst="rect">
                      <a:avLst/>
                    </a:prstGeom>
                    <a:noFill/>
                  </pic:spPr>
                </pic:pic>
              </a:graphicData>
            </a:graphic>
          </wp:anchor>
        </w:drawing>
        <w:drawing>
          <wp:anchor simplePos="0" relativeHeight="251657728" behindDoc="1" locked="0" layoutInCell="0" allowOverlap="1">
            <wp:simplePos x="0" y="0"/>
            <wp:positionH relativeFrom="column">
              <wp:posOffset>1183005</wp:posOffset>
            </wp:positionH>
            <wp:positionV relativeFrom="paragraph">
              <wp:posOffset>-741680</wp:posOffset>
            </wp:positionV>
            <wp:extent cx="4721860" cy="635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3">
                      <a:extLst>
                        <a:ext uri="{28A0092B-C50C-407E-A947-70E740481C1C}"/>
                      </a:extLst>
                    </a:blip>
                    <a:srcRect/>
                    <a:stretch>
                      <a:fillRect/>
                    </a:stretch>
                  </pic:blipFill>
                  <pic:spPr bwMode="auto">
                    <a:xfrm>
                      <a:off x="0" y="0"/>
                      <a:ext cx="4721860" cy="6350"/>
                    </a:xfrm>
                    <a:prstGeom prst="rect">
                      <a:avLst/>
                    </a:prstGeom>
                    <a:noFill/>
                  </pic:spPr>
                </pic:pic>
              </a:graphicData>
            </a:graphic>
          </wp:anchor>
        </w:drawing>
      </w:r>
    </w:p>
    <w:p>
      <w:pPr>
        <w:spacing w:after="0" w:line="360" w:lineRule="exact"/>
        <w:rPr>
          <w:sz w:val="20"/>
          <w:szCs w:val="20"/>
          <w:color w:val="auto"/>
        </w:rPr>
      </w:pPr>
    </w:p>
    <w:p>
      <w:pPr>
        <w:ind w:left="620" w:right="100"/>
        <w:spacing w:after="0" w:line="302" w:lineRule="auto"/>
        <w:rPr>
          <w:sz w:val="20"/>
          <w:szCs w:val="20"/>
          <w:color w:val="auto"/>
        </w:rPr>
      </w:pPr>
      <w:r>
        <w:rPr>
          <w:rFonts w:ascii="Arial" w:cs="Arial" w:eastAsia="Arial" w:hAnsi="Arial"/>
          <w:sz w:val="20"/>
          <w:szCs w:val="20"/>
          <w:color w:val="auto"/>
        </w:rPr>
        <w:t>The following table presents quantitative information about unobservable inputs used in recurring and nonrecurring Level 3 fair value measurements: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800" w:type="dxa"/>
            <w:vAlign w:val="bottom"/>
          </w:tcPr>
          <w:p>
            <w:pPr>
              <w:spacing w:after="0"/>
              <w:rPr>
                <w:sz w:val="19"/>
                <w:szCs w:val="19"/>
                <w:color w:val="auto"/>
              </w:rPr>
            </w:pPr>
          </w:p>
        </w:tc>
        <w:tc>
          <w:tcPr>
            <w:tcW w:w="1520" w:type="dxa"/>
            <w:vAlign w:val="bottom"/>
            <w:gridSpan w:val="2"/>
          </w:tcPr>
          <w:p>
            <w:pPr>
              <w:jc w:val="center"/>
              <w:ind w:left="25"/>
              <w:spacing w:after="0"/>
              <w:rPr>
                <w:sz w:val="20"/>
                <w:szCs w:val="20"/>
                <w:color w:val="auto"/>
              </w:rPr>
            </w:pPr>
            <w:r>
              <w:rPr>
                <w:rFonts w:ascii="Arial" w:cs="Arial" w:eastAsia="Arial" w:hAnsi="Arial"/>
                <w:sz w:val="19"/>
                <w:szCs w:val="19"/>
                <w:color w:val="auto"/>
                <w:w w:val="90"/>
              </w:rPr>
              <w:t>(In Thousands)</w:t>
            </w:r>
          </w:p>
        </w:tc>
        <w:tc>
          <w:tcPr>
            <w:tcW w:w="19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09"/>
        </w:trPr>
        <w:tc>
          <w:tcPr>
            <w:tcW w:w="180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9"/>
                <w:szCs w:val="19"/>
                <w:color w:val="auto"/>
                <w:w w:val="90"/>
              </w:rPr>
              <w:t>Fair Value at</w:t>
            </w:r>
          </w:p>
        </w:tc>
        <w:tc>
          <w:tcPr>
            <w:tcW w:w="19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9"/>
                <w:szCs w:val="19"/>
                <w:color w:val="auto"/>
                <w:w w:val="85"/>
              </w:rPr>
              <w:t>Range</w:t>
            </w:r>
          </w:p>
        </w:tc>
      </w:tr>
      <w:tr>
        <w:trPr>
          <w:trHeight w:val="285"/>
        </w:trPr>
        <w:tc>
          <w:tcPr>
            <w:tcW w:w="180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9"/>
                <w:szCs w:val="19"/>
                <w:color w:val="auto"/>
                <w:w w:val="88"/>
              </w:rPr>
              <w:t>December 31,</w:t>
            </w:r>
          </w:p>
        </w:tc>
        <w:tc>
          <w:tcPr>
            <w:tcW w:w="19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9"/>
                <w:szCs w:val="19"/>
                <w:color w:val="auto"/>
                <w:w w:val="92"/>
              </w:rPr>
              <w:t>(Weighted</w:t>
            </w:r>
          </w:p>
        </w:tc>
      </w:tr>
      <w:tr>
        <w:trPr>
          <w:trHeight w:val="285"/>
        </w:trPr>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center"/>
              <w:ind w:right="265"/>
              <w:spacing w:after="0"/>
              <w:rPr>
                <w:sz w:val="20"/>
                <w:szCs w:val="20"/>
                <w:color w:val="auto"/>
              </w:rPr>
            </w:pPr>
            <w:r>
              <w:rPr>
                <w:rFonts w:ascii="Arial" w:cs="Arial" w:eastAsia="Arial" w:hAnsi="Arial"/>
                <w:sz w:val="19"/>
                <w:szCs w:val="19"/>
                <w:color w:val="auto"/>
                <w:w w:val="89"/>
              </w:rPr>
              <w:t>2025</w:t>
            </w:r>
          </w:p>
        </w:tc>
        <w:tc>
          <w:tcPr>
            <w:tcW w:w="1920" w:type="dxa"/>
            <w:vAlign w:val="bottom"/>
          </w:tcPr>
          <w:p>
            <w:pPr>
              <w:ind w:left="180"/>
              <w:spacing w:after="0"/>
              <w:rPr>
                <w:sz w:val="20"/>
                <w:szCs w:val="20"/>
                <w:color w:val="auto"/>
              </w:rPr>
            </w:pPr>
            <w:r>
              <w:rPr>
                <w:rFonts w:ascii="Arial" w:cs="Arial" w:eastAsia="Arial" w:hAnsi="Arial"/>
                <w:sz w:val="19"/>
                <w:szCs w:val="19"/>
                <w:color w:val="auto"/>
                <w:w w:val="99"/>
              </w:rPr>
              <w:t>Valuation Technique</w:t>
            </w:r>
          </w:p>
        </w:tc>
        <w:tc>
          <w:tcPr>
            <w:tcW w:w="2760" w:type="dxa"/>
            <w:vAlign w:val="bottom"/>
          </w:tcPr>
          <w:p>
            <w:pPr>
              <w:ind w:left="600"/>
              <w:spacing w:after="0"/>
              <w:rPr>
                <w:sz w:val="20"/>
                <w:szCs w:val="20"/>
                <w:color w:val="auto"/>
              </w:rPr>
            </w:pPr>
            <w:r>
              <w:rPr>
                <w:rFonts w:ascii="Arial" w:cs="Arial" w:eastAsia="Arial" w:hAnsi="Arial"/>
                <w:sz w:val="19"/>
                <w:szCs w:val="19"/>
                <w:color w:val="auto"/>
              </w:rPr>
              <w:t>Unobservable Inputs</w:t>
            </w:r>
          </w:p>
        </w:tc>
        <w:tc>
          <w:tcPr>
            <w:tcW w:w="1400" w:type="dxa"/>
            <w:vAlign w:val="bottom"/>
          </w:tcPr>
          <w:p>
            <w:pPr>
              <w:jc w:val="center"/>
              <w:spacing w:after="0"/>
              <w:rPr>
                <w:sz w:val="20"/>
                <w:szCs w:val="20"/>
                <w:color w:val="auto"/>
              </w:rPr>
            </w:pPr>
            <w:r>
              <w:rPr>
                <w:rFonts w:ascii="Arial" w:cs="Arial" w:eastAsia="Arial" w:hAnsi="Arial"/>
                <w:sz w:val="19"/>
                <w:szCs w:val="19"/>
                <w:color w:val="auto"/>
                <w:w w:val="90"/>
              </w:rPr>
              <w:t>Average)</w:t>
            </w:r>
          </w:p>
        </w:tc>
      </w:tr>
      <w:tr>
        <w:trPr>
          <w:trHeight w:val="48"/>
        </w:trPr>
        <w:tc>
          <w:tcPr>
            <w:tcW w:w="1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72"/>
        </w:trPr>
        <w:tc>
          <w:tcPr>
            <w:tcW w:w="1800" w:type="dxa"/>
            <w:vAlign w:val="bottom"/>
            <w:shd w:val="clear" w:color="auto" w:fill="CFF0FC"/>
          </w:tcPr>
          <w:p>
            <w:pPr>
              <w:spacing w:after="0"/>
              <w:rPr>
                <w:sz w:val="20"/>
                <w:szCs w:val="20"/>
                <w:color w:val="auto"/>
              </w:rPr>
            </w:pPr>
            <w:r>
              <w:rPr>
                <w:rFonts w:ascii="Arial" w:cs="Arial" w:eastAsia="Arial" w:hAnsi="Arial"/>
                <w:sz w:val="19"/>
                <w:szCs w:val="19"/>
                <w:color w:val="auto"/>
              </w:rPr>
              <w:t>State and local</w:t>
            </w:r>
          </w:p>
        </w:tc>
        <w:tc>
          <w:tcPr>
            <w:tcW w:w="46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1920" w:type="dxa"/>
            <w:vAlign w:val="bottom"/>
            <w:shd w:val="clear" w:color="auto" w:fill="CFF0FC"/>
          </w:tcPr>
          <w:p>
            <w:pPr>
              <w:spacing w:after="0"/>
              <w:rPr>
                <w:sz w:val="23"/>
                <w:szCs w:val="23"/>
                <w:color w:val="auto"/>
              </w:rPr>
            </w:pPr>
          </w:p>
        </w:tc>
        <w:tc>
          <w:tcPr>
            <w:tcW w:w="2760" w:type="dxa"/>
            <w:vAlign w:val="bottom"/>
            <w:shd w:val="clear" w:color="auto" w:fill="CFF0FC"/>
          </w:tcPr>
          <w:p>
            <w:pPr>
              <w:ind w:left="60"/>
              <w:spacing w:after="0"/>
              <w:rPr>
                <w:sz w:val="20"/>
                <w:szCs w:val="20"/>
                <w:color w:val="auto"/>
              </w:rPr>
            </w:pPr>
            <w:r>
              <w:rPr>
                <w:rFonts w:ascii="Arial" w:cs="Arial" w:eastAsia="Arial" w:hAnsi="Arial"/>
                <w:sz w:val="19"/>
                <w:szCs w:val="19"/>
                <w:color w:val="auto"/>
              </w:rPr>
              <w:t>Credit strength of underlying</w:t>
            </w:r>
          </w:p>
        </w:tc>
        <w:tc>
          <w:tcPr>
            <w:tcW w:w="14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0"/>
              </w:rPr>
              <w:t>3.26-3.75%</w:t>
            </w:r>
          </w:p>
        </w:tc>
      </w:tr>
      <w:tr>
        <w:trPr>
          <w:trHeight w:val="323"/>
        </w:trPr>
        <w:tc>
          <w:tcPr>
            <w:tcW w:w="18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9"/>
                <w:szCs w:val="19"/>
                <w:color w:val="auto"/>
              </w:rPr>
              <w:t>government</w:t>
            </w:r>
          </w:p>
        </w:tc>
        <w:tc>
          <w:tcPr>
            <w:tcW w:w="46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9"/>
                <w:szCs w:val="19"/>
                <w:color w:val="auto"/>
              </w:rPr>
              <w:t>$</w:t>
            </w:r>
          </w:p>
        </w:tc>
        <w:tc>
          <w:tcPr>
            <w:tcW w:w="106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9"/>
                <w:szCs w:val="19"/>
                <w:color w:val="auto"/>
              </w:rPr>
              <w:t>1,455</w:t>
            </w:r>
          </w:p>
        </w:tc>
        <w:tc>
          <w:tcPr>
            <w:tcW w:w="19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9"/>
                <w:szCs w:val="19"/>
                <w:color w:val="auto"/>
                <w:w w:val="94"/>
              </w:rPr>
              <w:t>Discounted Cash Flow</w:t>
            </w:r>
          </w:p>
        </w:tc>
        <w:tc>
          <w:tcPr>
            <w:tcW w:w="27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9"/>
                <w:szCs w:val="19"/>
                <w:color w:val="auto"/>
              </w:rPr>
              <w:t>project or entity / Discount rate</w:t>
            </w:r>
          </w:p>
        </w:tc>
        <w:tc>
          <w:tcPr>
            <w:tcW w:w="14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9"/>
                <w:szCs w:val="19"/>
                <w:color w:val="auto"/>
                <w:w w:val="93"/>
              </w:rPr>
              <w:t>(3.68%)</w:t>
            </w:r>
          </w:p>
        </w:tc>
      </w:tr>
      <w:tr>
        <w:trPr>
          <w:trHeight w:val="272"/>
        </w:trPr>
        <w:tc>
          <w:tcPr>
            <w:tcW w:w="1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760" w:type="dxa"/>
            <w:vAlign w:val="bottom"/>
          </w:tcPr>
          <w:p>
            <w:pPr>
              <w:ind w:left="60"/>
              <w:spacing w:after="0"/>
              <w:rPr>
                <w:sz w:val="20"/>
                <w:szCs w:val="20"/>
                <w:color w:val="auto"/>
              </w:rPr>
            </w:pPr>
            <w:r>
              <w:rPr>
                <w:rFonts w:ascii="Arial" w:cs="Arial" w:eastAsia="Arial" w:hAnsi="Arial"/>
                <w:sz w:val="19"/>
                <w:szCs w:val="19"/>
                <w:color w:val="auto"/>
                <w:w w:val="95"/>
              </w:rPr>
              <w:t>Discount to reflect current market</w:t>
            </w:r>
          </w:p>
        </w:tc>
        <w:tc>
          <w:tcPr>
            <w:tcW w:w="1400" w:type="dxa"/>
            <w:vAlign w:val="bottom"/>
          </w:tcPr>
          <w:p>
            <w:pPr>
              <w:spacing w:after="0"/>
              <w:rPr>
                <w:sz w:val="23"/>
                <w:szCs w:val="23"/>
                <w:color w:val="auto"/>
              </w:rPr>
            </w:pPr>
          </w:p>
        </w:tc>
      </w:tr>
      <w:tr>
        <w:trPr>
          <w:trHeight w:val="319"/>
        </w:trPr>
        <w:tc>
          <w:tcPr>
            <w:tcW w:w="1800" w:type="dxa"/>
            <w:vAlign w:val="bottom"/>
          </w:tcPr>
          <w:p>
            <w:pPr>
              <w:spacing w:after="0"/>
              <w:rPr>
                <w:sz w:val="20"/>
                <w:szCs w:val="20"/>
                <w:color w:val="auto"/>
              </w:rPr>
            </w:pPr>
            <w:r>
              <w:rPr>
                <w:rFonts w:ascii="Arial" w:cs="Arial" w:eastAsia="Arial" w:hAnsi="Arial"/>
                <w:sz w:val="19"/>
                <w:szCs w:val="19"/>
                <w:color w:val="auto"/>
              </w:rPr>
              <w:t>Collateral dependent</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ind w:left="100"/>
              <w:spacing w:after="0"/>
              <w:rPr>
                <w:sz w:val="20"/>
                <w:szCs w:val="20"/>
                <w:color w:val="auto"/>
              </w:rPr>
            </w:pPr>
            <w:r>
              <w:rPr>
                <w:rFonts w:ascii="Arial" w:cs="Arial" w:eastAsia="Arial" w:hAnsi="Arial"/>
                <w:sz w:val="19"/>
                <w:szCs w:val="19"/>
                <w:color w:val="auto"/>
              </w:rPr>
              <w:t>Collateral based</w:t>
            </w:r>
          </w:p>
        </w:tc>
        <w:tc>
          <w:tcPr>
            <w:tcW w:w="2760" w:type="dxa"/>
            <w:vAlign w:val="bottom"/>
          </w:tcPr>
          <w:p>
            <w:pPr>
              <w:ind w:left="60"/>
              <w:spacing w:after="0"/>
              <w:rPr>
                <w:sz w:val="20"/>
                <w:szCs w:val="20"/>
                <w:color w:val="auto"/>
              </w:rPr>
            </w:pPr>
            <w:r>
              <w:rPr>
                <w:rFonts w:ascii="Arial" w:cs="Arial" w:eastAsia="Arial" w:hAnsi="Arial"/>
                <w:sz w:val="19"/>
                <w:szCs w:val="19"/>
                <w:color w:val="auto"/>
              </w:rPr>
              <w:t>conditions and ultimate</w:t>
            </w:r>
          </w:p>
        </w:tc>
        <w:tc>
          <w:tcPr>
            <w:tcW w:w="1400" w:type="dxa"/>
            <w:vAlign w:val="bottom"/>
          </w:tcPr>
          <w:p>
            <w:pPr>
              <w:jc w:val="center"/>
              <w:spacing w:after="0"/>
              <w:rPr>
                <w:sz w:val="20"/>
                <w:szCs w:val="20"/>
                <w:color w:val="auto"/>
              </w:rPr>
            </w:pPr>
            <w:r>
              <w:rPr>
                <w:rFonts w:ascii="Arial" w:cs="Arial" w:eastAsia="Arial" w:hAnsi="Arial"/>
                <w:sz w:val="19"/>
                <w:szCs w:val="19"/>
                <w:color w:val="auto"/>
                <w:w w:val="91"/>
              </w:rPr>
              <w:t>20.00-50.00%</w:t>
            </w:r>
          </w:p>
        </w:tc>
      </w:tr>
      <w:tr>
        <w:trPr>
          <w:trHeight w:val="285"/>
        </w:trPr>
        <w:tc>
          <w:tcPr>
            <w:tcW w:w="1800" w:type="dxa"/>
            <w:vAlign w:val="bottom"/>
          </w:tcPr>
          <w:p>
            <w:pPr>
              <w:ind w:left="140"/>
              <w:spacing w:after="0"/>
              <w:rPr>
                <w:sz w:val="20"/>
                <w:szCs w:val="20"/>
                <w:color w:val="auto"/>
              </w:rPr>
            </w:pPr>
            <w:r>
              <w:rPr>
                <w:rFonts w:ascii="Arial" w:cs="Arial" w:eastAsia="Arial" w:hAnsi="Arial"/>
                <w:sz w:val="19"/>
                <w:szCs w:val="19"/>
                <w:color w:val="auto"/>
              </w:rPr>
              <w:t>loans</w:t>
            </w:r>
          </w:p>
        </w:tc>
        <w:tc>
          <w:tcPr>
            <w:tcW w:w="460" w:type="dxa"/>
            <w:vAlign w:val="bottom"/>
          </w:tcPr>
          <w:p>
            <w:pPr>
              <w:spacing w:after="0"/>
              <w:rPr>
                <w:sz w:val="24"/>
                <w:szCs w:val="24"/>
                <w:color w:val="auto"/>
              </w:rPr>
            </w:pPr>
          </w:p>
        </w:tc>
        <w:tc>
          <w:tcPr>
            <w:tcW w:w="1060" w:type="dxa"/>
            <w:vAlign w:val="bottom"/>
          </w:tcPr>
          <w:p>
            <w:pPr>
              <w:jc w:val="right"/>
              <w:ind w:right="25"/>
              <w:spacing w:after="0"/>
              <w:rPr>
                <w:sz w:val="20"/>
                <w:szCs w:val="20"/>
                <w:color w:val="auto"/>
              </w:rPr>
            </w:pPr>
            <w:r>
              <w:rPr>
                <w:rFonts w:ascii="Arial" w:cs="Arial" w:eastAsia="Arial" w:hAnsi="Arial"/>
                <w:sz w:val="19"/>
                <w:szCs w:val="19"/>
                <w:color w:val="auto"/>
              </w:rPr>
              <w:t>715</w:t>
            </w:r>
          </w:p>
        </w:tc>
        <w:tc>
          <w:tcPr>
            <w:tcW w:w="1920" w:type="dxa"/>
            <w:vAlign w:val="bottom"/>
          </w:tcPr>
          <w:p>
            <w:pPr>
              <w:ind w:left="100"/>
              <w:spacing w:after="0"/>
              <w:rPr>
                <w:sz w:val="20"/>
                <w:szCs w:val="20"/>
                <w:color w:val="auto"/>
              </w:rPr>
            </w:pPr>
            <w:r>
              <w:rPr>
                <w:rFonts w:ascii="Arial" w:cs="Arial" w:eastAsia="Arial" w:hAnsi="Arial"/>
                <w:sz w:val="19"/>
                <w:szCs w:val="19"/>
                <w:color w:val="auto"/>
              </w:rPr>
              <w:t>measurements</w:t>
            </w:r>
          </w:p>
        </w:tc>
        <w:tc>
          <w:tcPr>
            <w:tcW w:w="2760" w:type="dxa"/>
            <w:vAlign w:val="bottom"/>
          </w:tcPr>
          <w:p>
            <w:pPr>
              <w:ind w:left="60"/>
              <w:spacing w:after="0"/>
              <w:rPr>
                <w:sz w:val="20"/>
                <w:szCs w:val="20"/>
                <w:color w:val="auto"/>
              </w:rPr>
            </w:pPr>
            <w:r>
              <w:rPr>
                <w:rFonts w:ascii="Arial" w:cs="Arial" w:eastAsia="Arial" w:hAnsi="Arial"/>
                <w:sz w:val="19"/>
                <w:szCs w:val="19"/>
                <w:color w:val="auto"/>
              </w:rPr>
              <w:t>collectability</w:t>
            </w:r>
          </w:p>
        </w:tc>
        <w:tc>
          <w:tcPr>
            <w:tcW w:w="1400" w:type="dxa"/>
            <w:vAlign w:val="bottom"/>
          </w:tcPr>
          <w:p>
            <w:pPr>
              <w:jc w:val="center"/>
              <w:spacing w:after="0"/>
              <w:rPr>
                <w:sz w:val="20"/>
                <w:szCs w:val="20"/>
                <w:color w:val="auto"/>
              </w:rPr>
            </w:pPr>
            <w:r>
              <w:rPr>
                <w:rFonts w:ascii="Arial" w:cs="Arial" w:eastAsia="Arial" w:hAnsi="Arial"/>
                <w:sz w:val="19"/>
                <w:szCs w:val="19"/>
                <w:color w:val="auto"/>
                <w:w w:val="93"/>
              </w:rPr>
              <w:t>(24.68%)</w:t>
            </w:r>
          </w:p>
        </w:tc>
      </w:tr>
      <w:tr>
        <w:trPr>
          <w:trHeight w:val="38"/>
        </w:trPr>
        <w:tc>
          <w:tcPr>
            <w:tcW w:w="1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72"/>
        </w:trPr>
        <w:tc>
          <w:tcPr>
            <w:tcW w:w="18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1920" w:type="dxa"/>
            <w:vAlign w:val="bottom"/>
            <w:shd w:val="clear" w:color="auto" w:fill="CFF0FC"/>
          </w:tcPr>
          <w:p>
            <w:pPr>
              <w:spacing w:after="0"/>
              <w:rPr>
                <w:sz w:val="23"/>
                <w:szCs w:val="23"/>
                <w:color w:val="auto"/>
              </w:rPr>
            </w:pPr>
          </w:p>
        </w:tc>
        <w:tc>
          <w:tcPr>
            <w:tcW w:w="2760" w:type="dxa"/>
            <w:vAlign w:val="bottom"/>
            <w:shd w:val="clear" w:color="auto" w:fill="CFF0FC"/>
          </w:tcPr>
          <w:p>
            <w:pPr>
              <w:ind w:left="60"/>
              <w:spacing w:after="0"/>
              <w:rPr>
                <w:sz w:val="20"/>
                <w:szCs w:val="20"/>
                <w:color w:val="auto"/>
              </w:rPr>
            </w:pPr>
            <w:r>
              <w:rPr>
                <w:rFonts w:ascii="Arial" w:cs="Arial" w:eastAsia="Arial" w:hAnsi="Arial"/>
                <w:sz w:val="19"/>
                <w:szCs w:val="19"/>
                <w:color w:val="auto"/>
              </w:rPr>
              <w:t>Constant prepayment rate and</w:t>
            </w:r>
          </w:p>
        </w:tc>
        <w:tc>
          <w:tcPr>
            <w:tcW w:w="1400" w:type="dxa"/>
            <w:vAlign w:val="bottom"/>
            <w:shd w:val="clear" w:color="auto" w:fill="CFF0FC"/>
          </w:tcPr>
          <w:p>
            <w:pPr>
              <w:spacing w:after="0"/>
              <w:rPr>
                <w:sz w:val="23"/>
                <w:szCs w:val="23"/>
                <w:color w:val="auto"/>
              </w:rPr>
            </w:pPr>
          </w:p>
        </w:tc>
      </w:tr>
      <w:tr>
        <w:trPr>
          <w:trHeight w:val="319"/>
        </w:trPr>
        <w:tc>
          <w:tcPr>
            <w:tcW w:w="1800" w:type="dxa"/>
            <w:vAlign w:val="bottom"/>
            <w:shd w:val="clear" w:color="auto" w:fill="CFF0FC"/>
          </w:tcPr>
          <w:p>
            <w:pPr>
              <w:spacing w:after="0"/>
              <w:rPr>
                <w:sz w:val="20"/>
                <w:szCs w:val="20"/>
                <w:color w:val="auto"/>
              </w:rPr>
            </w:pPr>
            <w:r>
              <w:rPr>
                <w:rFonts w:ascii="Arial" w:cs="Arial" w:eastAsia="Arial" w:hAnsi="Arial"/>
                <w:sz w:val="19"/>
                <w:szCs w:val="19"/>
                <w:color w:val="auto"/>
              </w:rPr>
              <w:t>Loan servicing</w:t>
            </w:r>
          </w:p>
        </w:tc>
        <w:tc>
          <w:tcPr>
            <w:tcW w:w="46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1920" w:type="dxa"/>
            <w:vAlign w:val="bottom"/>
            <w:shd w:val="clear" w:color="auto" w:fill="CFF0FC"/>
          </w:tcPr>
          <w:p>
            <w:pPr>
              <w:spacing w:after="0"/>
              <w:rPr>
                <w:sz w:val="24"/>
                <w:szCs w:val="24"/>
                <w:color w:val="auto"/>
              </w:rPr>
            </w:pPr>
          </w:p>
        </w:tc>
        <w:tc>
          <w:tcPr>
            <w:tcW w:w="2760" w:type="dxa"/>
            <w:vAlign w:val="bottom"/>
            <w:shd w:val="clear" w:color="auto" w:fill="CFF0FC"/>
          </w:tcPr>
          <w:p>
            <w:pPr>
              <w:ind w:left="60"/>
              <w:spacing w:after="0"/>
              <w:rPr>
                <w:sz w:val="20"/>
                <w:szCs w:val="20"/>
                <w:color w:val="auto"/>
              </w:rPr>
            </w:pPr>
            <w:r>
              <w:rPr>
                <w:rFonts w:ascii="Arial" w:cs="Arial" w:eastAsia="Arial" w:hAnsi="Arial"/>
                <w:sz w:val="19"/>
                <w:szCs w:val="19"/>
                <w:color w:val="auto"/>
              </w:rPr>
              <w:t>probability of default / Discount</w:t>
            </w:r>
          </w:p>
        </w:tc>
        <w:tc>
          <w:tcPr>
            <w:tcW w:w="14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89"/>
              </w:rPr>
              <w:t>22.72-583.71%</w:t>
            </w:r>
          </w:p>
        </w:tc>
      </w:tr>
      <w:tr>
        <w:trPr>
          <w:trHeight w:val="285"/>
        </w:trPr>
        <w:tc>
          <w:tcPr>
            <w:tcW w:w="1800" w:type="dxa"/>
            <w:vAlign w:val="bottom"/>
            <w:shd w:val="clear" w:color="auto" w:fill="CFF0FC"/>
          </w:tcPr>
          <w:p>
            <w:pPr>
              <w:ind w:left="180"/>
              <w:spacing w:after="0"/>
              <w:rPr>
                <w:sz w:val="20"/>
                <w:szCs w:val="20"/>
                <w:color w:val="auto"/>
              </w:rPr>
            </w:pPr>
            <w:r>
              <w:rPr>
                <w:rFonts w:ascii="Arial" w:cs="Arial" w:eastAsia="Arial" w:hAnsi="Arial"/>
                <w:sz w:val="19"/>
                <w:szCs w:val="19"/>
                <w:color w:val="auto"/>
              </w:rPr>
              <w:t>rights</w:t>
            </w:r>
          </w:p>
        </w:tc>
        <w:tc>
          <w:tcPr>
            <w:tcW w:w="46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25"/>
              <w:spacing w:after="0"/>
              <w:rPr>
                <w:sz w:val="20"/>
                <w:szCs w:val="20"/>
                <w:color w:val="auto"/>
              </w:rPr>
            </w:pPr>
            <w:r>
              <w:rPr>
                <w:rFonts w:ascii="Arial" w:cs="Arial" w:eastAsia="Arial" w:hAnsi="Arial"/>
                <w:sz w:val="19"/>
                <w:szCs w:val="19"/>
                <w:color w:val="auto"/>
              </w:rPr>
              <w:t>1,556</w:t>
            </w:r>
          </w:p>
        </w:tc>
        <w:tc>
          <w:tcPr>
            <w:tcW w:w="1920" w:type="dxa"/>
            <w:vAlign w:val="bottom"/>
            <w:shd w:val="clear" w:color="auto" w:fill="CFF0FC"/>
          </w:tcPr>
          <w:p>
            <w:pPr>
              <w:ind w:left="100"/>
              <w:spacing w:after="0"/>
              <w:rPr>
                <w:sz w:val="20"/>
                <w:szCs w:val="20"/>
                <w:color w:val="auto"/>
              </w:rPr>
            </w:pPr>
            <w:r>
              <w:rPr>
                <w:rFonts w:ascii="Arial" w:cs="Arial" w:eastAsia="Arial" w:hAnsi="Arial"/>
                <w:sz w:val="19"/>
                <w:szCs w:val="19"/>
                <w:color w:val="auto"/>
                <w:w w:val="94"/>
              </w:rPr>
              <w:t>Discounted Cash Flow</w:t>
            </w:r>
          </w:p>
        </w:tc>
        <w:tc>
          <w:tcPr>
            <w:tcW w:w="2760" w:type="dxa"/>
            <w:vAlign w:val="bottom"/>
            <w:shd w:val="clear" w:color="auto" w:fill="CFF0FC"/>
          </w:tcPr>
          <w:p>
            <w:pPr>
              <w:ind w:left="60"/>
              <w:spacing w:after="0"/>
              <w:rPr>
                <w:sz w:val="20"/>
                <w:szCs w:val="20"/>
                <w:color w:val="auto"/>
              </w:rPr>
            </w:pPr>
            <w:r>
              <w:rPr>
                <w:rFonts w:ascii="Arial" w:cs="Arial" w:eastAsia="Arial" w:hAnsi="Arial"/>
                <w:sz w:val="19"/>
                <w:szCs w:val="19"/>
                <w:color w:val="auto"/>
              </w:rPr>
              <w:t>rate</w:t>
            </w:r>
          </w:p>
        </w:tc>
        <w:tc>
          <w:tcPr>
            <w:tcW w:w="140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3"/>
              </w:rPr>
              <w:t>(36.21%)</w:t>
            </w:r>
          </w:p>
        </w:tc>
      </w:tr>
      <w:tr>
        <w:trPr>
          <w:trHeight w:val="38"/>
        </w:trPr>
        <w:tc>
          <w:tcPr>
            <w:tcW w:w="180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920" w:type="dxa"/>
            <w:vAlign w:val="bottom"/>
            <w:shd w:val="clear" w:color="auto" w:fill="CFF0FC"/>
          </w:tcPr>
          <w:p>
            <w:pPr>
              <w:spacing w:after="0"/>
              <w:rPr>
                <w:sz w:val="3"/>
                <w:szCs w:val="3"/>
                <w:color w:val="auto"/>
              </w:rPr>
            </w:pPr>
          </w:p>
        </w:tc>
        <w:tc>
          <w:tcPr>
            <w:tcW w:w="2760" w:type="dxa"/>
            <w:vAlign w:val="bottom"/>
            <w:shd w:val="clear" w:color="auto" w:fill="CFF0FC"/>
          </w:tcPr>
          <w:p>
            <w:pPr>
              <w:spacing w:after="0"/>
              <w:rPr>
                <w:sz w:val="3"/>
                <w:szCs w:val="3"/>
                <w:color w:val="auto"/>
              </w:rPr>
            </w:pPr>
          </w:p>
        </w:tc>
        <w:tc>
          <w:tcPr>
            <w:tcW w:w="14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1283970</wp:posOffset>
            </wp:positionH>
            <wp:positionV relativeFrom="paragraph">
              <wp:posOffset>-2115820</wp:posOffset>
            </wp:positionV>
            <wp:extent cx="758825" cy="63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4">
                      <a:extLst>
                        <a:ext uri="{28A0092B-C50C-407E-A947-70E740481C1C}"/>
                      </a:extLst>
                    </a:blip>
                    <a:srcRect/>
                    <a:stretch>
                      <a:fillRect/>
                    </a:stretch>
                  </pic:blipFill>
                  <pic:spPr bwMode="auto">
                    <a:xfrm>
                      <a:off x="0" y="0"/>
                      <a:ext cx="758825" cy="6350"/>
                    </a:xfrm>
                    <a:prstGeom prst="rect">
                      <a:avLst/>
                    </a:prstGeom>
                    <a:noFill/>
                  </pic:spPr>
                </pic:pic>
              </a:graphicData>
            </a:graphic>
          </wp:anchor>
        </w:drawing>
        <w:drawing>
          <wp:anchor simplePos="0" relativeHeight="251657728" behindDoc="1" locked="0" layoutInCell="0" allowOverlap="1">
            <wp:simplePos x="0" y="0"/>
            <wp:positionH relativeFrom="column">
              <wp:posOffset>1283970</wp:posOffset>
            </wp:positionH>
            <wp:positionV relativeFrom="paragraph">
              <wp:posOffset>-1557020</wp:posOffset>
            </wp:positionV>
            <wp:extent cx="4679950" cy="63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5">
                      <a:extLst>
                        <a:ext uri="{28A0092B-C50C-407E-A947-70E740481C1C}"/>
                      </a:extLst>
                    </a:blip>
                    <a:srcRect/>
                    <a:stretch>
                      <a:fillRect/>
                    </a:stretch>
                  </pic:blipFill>
                  <pic:spPr bwMode="auto">
                    <a:xfrm>
                      <a:off x="0" y="0"/>
                      <a:ext cx="467995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17</w:t>
      </w:r>
    </w:p>
    <w:p>
      <w:pPr>
        <w:sectPr>
          <w:pgSz w:w="11900" w:h="16838" w:orient="portrait"/>
          <w:cols w:equalWidth="0" w:num="1">
            <w:col w:w="9400"/>
          </w:cols>
          <w:pgMar w:left="1260" w:top="1440" w:right="1246" w:bottom="0" w:gutter="0" w:footer="0" w:header="0"/>
          <w:type w:val="continuous"/>
        </w:sectPr>
      </w:pPr>
    </w:p>
    <w:bookmarkStart w:id="235" w:name="page236"/>
    <w:bookmarkEnd w:id="235"/>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800" w:type="dxa"/>
            <w:vAlign w:val="bottom"/>
          </w:tcPr>
          <w:p>
            <w:pPr>
              <w:spacing w:after="0"/>
              <w:rPr>
                <w:sz w:val="18"/>
                <w:szCs w:val="18"/>
                <w:color w:val="auto"/>
              </w:rPr>
            </w:pPr>
          </w:p>
        </w:tc>
        <w:tc>
          <w:tcPr>
            <w:tcW w:w="1540" w:type="dxa"/>
            <w:vAlign w:val="bottom"/>
            <w:gridSpan w:val="2"/>
          </w:tcPr>
          <w:p>
            <w:pPr>
              <w:jc w:val="center"/>
              <w:ind w:left="5"/>
              <w:spacing w:after="0"/>
              <w:rPr>
                <w:sz w:val="20"/>
                <w:szCs w:val="20"/>
                <w:color w:val="auto"/>
              </w:rPr>
            </w:pPr>
            <w:r>
              <w:rPr>
                <w:rFonts w:ascii="Arial" w:cs="Arial" w:eastAsia="Arial" w:hAnsi="Arial"/>
                <w:sz w:val="19"/>
                <w:szCs w:val="19"/>
                <w:color w:val="auto"/>
                <w:w w:val="90"/>
              </w:rPr>
              <w:t>(In Thousands)</w:t>
            </w:r>
          </w:p>
        </w:tc>
        <w:tc>
          <w:tcPr>
            <w:tcW w:w="18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95"/>
        </w:trPr>
        <w:tc>
          <w:tcPr>
            <w:tcW w:w="180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Arial" w:cs="Arial" w:eastAsia="Arial" w:hAnsi="Arial"/>
                <w:sz w:val="19"/>
                <w:szCs w:val="19"/>
                <w:color w:val="auto"/>
                <w:w w:val="90"/>
              </w:rPr>
              <w:t>Fair Value at</w:t>
            </w:r>
          </w:p>
        </w:tc>
        <w:tc>
          <w:tcPr>
            <w:tcW w:w="1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9"/>
                <w:szCs w:val="19"/>
                <w:color w:val="auto"/>
                <w:w w:val="89"/>
              </w:rPr>
              <w:t>Range</w:t>
            </w:r>
          </w:p>
        </w:tc>
      </w:tr>
      <w:tr>
        <w:trPr>
          <w:trHeight w:val="285"/>
        </w:trPr>
        <w:tc>
          <w:tcPr>
            <w:tcW w:w="180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Arial" w:cs="Arial" w:eastAsia="Arial" w:hAnsi="Arial"/>
                <w:sz w:val="19"/>
                <w:szCs w:val="19"/>
                <w:color w:val="auto"/>
                <w:w w:val="88"/>
              </w:rPr>
              <w:t>December 31,</w:t>
            </w:r>
          </w:p>
        </w:tc>
        <w:tc>
          <w:tcPr>
            <w:tcW w:w="1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9"/>
                <w:szCs w:val="19"/>
                <w:color w:val="auto"/>
                <w:w w:val="92"/>
              </w:rPr>
              <w:t>(Weighted</w:t>
            </w:r>
          </w:p>
        </w:tc>
      </w:tr>
      <w:tr>
        <w:trPr>
          <w:trHeight w:val="285"/>
        </w:trPr>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center"/>
              <w:ind w:right="305"/>
              <w:spacing w:after="0"/>
              <w:rPr>
                <w:sz w:val="20"/>
                <w:szCs w:val="20"/>
                <w:color w:val="auto"/>
              </w:rPr>
            </w:pPr>
            <w:r>
              <w:rPr>
                <w:rFonts w:ascii="Arial" w:cs="Arial" w:eastAsia="Arial" w:hAnsi="Arial"/>
                <w:sz w:val="19"/>
                <w:szCs w:val="19"/>
                <w:color w:val="auto"/>
                <w:w w:val="89"/>
              </w:rPr>
              <w:t>2024</w:t>
            </w:r>
          </w:p>
        </w:tc>
        <w:tc>
          <w:tcPr>
            <w:tcW w:w="1880" w:type="dxa"/>
            <w:vAlign w:val="bottom"/>
          </w:tcPr>
          <w:p>
            <w:pPr>
              <w:ind w:left="160"/>
              <w:spacing w:after="0"/>
              <w:rPr>
                <w:sz w:val="20"/>
                <w:szCs w:val="20"/>
                <w:color w:val="auto"/>
              </w:rPr>
            </w:pPr>
            <w:r>
              <w:rPr>
                <w:rFonts w:ascii="Arial" w:cs="Arial" w:eastAsia="Arial" w:hAnsi="Arial"/>
                <w:sz w:val="19"/>
                <w:szCs w:val="19"/>
                <w:color w:val="auto"/>
                <w:w w:val="98"/>
              </w:rPr>
              <w:t>Valuation Technique</w:t>
            </w:r>
          </w:p>
        </w:tc>
        <w:tc>
          <w:tcPr>
            <w:tcW w:w="2800" w:type="dxa"/>
            <w:vAlign w:val="bottom"/>
          </w:tcPr>
          <w:p>
            <w:pPr>
              <w:ind w:left="620"/>
              <w:spacing w:after="0"/>
              <w:rPr>
                <w:sz w:val="20"/>
                <w:szCs w:val="20"/>
                <w:color w:val="auto"/>
              </w:rPr>
            </w:pPr>
            <w:r>
              <w:rPr>
                <w:rFonts w:ascii="Arial" w:cs="Arial" w:eastAsia="Arial" w:hAnsi="Arial"/>
                <w:sz w:val="19"/>
                <w:szCs w:val="19"/>
                <w:color w:val="auto"/>
              </w:rPr>
              <w:t>Unobservable Inputs</w:t>
            </w:r>
          </w:p>
        </w:tc>
        <w:tc>
          <w:tcPr>
            <w:tcW w:w="1380" w:type="dxa"/>
            <w:vAlign w:val="bottom"/>
          </w:tcPr>
          <w:p>
            <w:pPr>
              <w:jc w:val="center"/>
              <w:spacing w:after="0"/>
              <w:rPr>
                <w:sz w:val="20"/>
                <w:szCs w:val="20"/>
                <w:color w:val="auto"/>
              </w:rPr>
            </w:pPr>
            <w:r>
              <w:rPr>
                <w:rFonts w:ascii="Arial" w:cs="Arial" w:eastAsia="Arial" w:hAnsi="Arial"/>
                <w:sz w:val="19"/>
                <w:szCs w:val="19"/>
                <w:color w:val="auto"/>
                <w:w w:val="90"/>
              </w:rPr>
              <w:t>Average)</w:t>
            </w:r>
          </w:p>
        </w:tc>
      </w:tr>
      <w:tr>
        <w:trPr>
          <w:trHeight w:val="48"/>
        </w:trPr>
        <w:tc>
          <w:tcPr>
            <w:tcW w:w="1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7"/>
        </w:trPr>
        <w:tc>
          <w:tcPr>
            <w:tcW w:w="1800" w:type="dxa"/>
            <w:vAlign w:val="bottom"/>
            <w:shd w:val="clear" w:color="auto" w:fill="CFF0FC"/>
          </w:tcPr>
          <w:p>
            <w:pPr>
              <w:spacing w:after="0"/>
              <w:rPr>
                <w:sz w:val="20"/>
                <w:szCs w:val="20"/>
                <w:color w:val="auto"/>
              </w:rPr>
            </w:pPr>
            <w:r>
              <w:rPr>
                <w:rFonts w:ascii="Arial" w:cs="Arial" w:eastAsia="Arial" w:hAnsi="Arial"/>
                <w:sz w:val="19"/>
                <w:szCs w:val="19"/>
                <w:color w:val="auto"/>
              </w:rPr>
              <w:t>State and local</w:t>
            </w:r>
          </w:p>
        </w:tc>
        <w:tc>
          <w:tcPr>
            <w:tcW w:w="4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880" w:type="dxa"/>
            <w:vAlign w:val="bottom"/>
            <w:shd w:val="clear" w:color="auto" w:fill="CFF0FC"/>
          </w:tcPr>
          <w:p>
            <w:pPr>
              <w:spacing w:after="0"/>
              <w:rPr>
                <w:sz w:val="22"/>
                <w:szCs w:val="22"/>
                <w:color w:val="auto"/>
              </w:rPr>
            </w:pPr>
          </w:p>
        </w:tc>
        <w:tc>
          <w:tcPr>
            <w:tcW w:w="2800" w:type="dxa"/>
            <w:vAlign w:val="bottom"/>
            <w:shd w:val="clear" w:color="auto" w:fill="CFF0FC"/>
          </w:tcPr>
          <w:p>
            <w:pPr>
              <w:ind w:left="80"/>
              <w:spacing w:after="0"/>
              <w:rPr>
                <w:sz w:val="20"/>
                <w:szCs w:val="20"/>
                <w:color w:val="auto"/>
              </w:rPr>
            </w:pPr>
            <w:r>
              <w:rPr>
                <w:rFonts w:ascii="Arial" w:cs="Arial" w:eastAsia="Arial" w:hAnsi="Arial"/>
                <w:sz w:val="19"/>
                <w:szCs w:val="19"/>
                <w:color w:val="auto"/>
              </w:rPr>
              <w:t>Credit strength of underlying</w:t>
            </w:r>
          </w:p>
        </w:tc>
        <w:tc>
          <w:tcPr>
            <w:tcW w:w="13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0"/>
              </w:rPr>
              <w:t>-3.61-4.52%</w:t>
            </w:r>
          </w:p>
        </w:tc>
      </w:tr>
      <w:tr>
        <w:trPr>
          <w:trHeight w:val="323"/>
        </w:trPr>
        <w:tc>
          <w:tcPr>
            <w:tcW w:w="18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9"/>
                <w:szCs w:val="19"/>
                <w:color w:val="auto"/>
              </w:rPr>
              <w:t>government</w:t>
            </w:r>
          </w:p>
        </w:tc>
        <w:tc>
          <w:tcPr>
            <w:tcW w:w="48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9"/>
                <w:szCs w:val="19"/>
                <w:color w:val="auto"/>
              </w:rPr>
              <w:t>$</w:t>
            </w:r>
          </w:p>
        </w:tc>
        <w:tc>
          <w:tcPr>
            <w:tcW w:w="106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9"/>
                <w:szCs w:val="19"/>
                <w:color w:val="auto"/>
              </w:rPr>
              <w:t>1,627</w:t>
            </w:r>
          </w:p>
        </w:tc>
        <w:tc>
          <w:tcPr>
            <w:tcW w:w="18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9"/>
                <w:szCs w:val="19"/>
                <w:color w:val="auto"/>
                <w:w w:val="93"/>
              </w:rPr>
              <w:t>Discounted Cash Flow</w:t>
            </w:r>
          </w:p>
        </w:tc>
        <w:tc>
          <w:tcPr>
            <w:tcW w:w="28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9"/>
                <w:szCs w:val="19"/>
                <w:color w:val="auto"/>
              </w:rPr>
              <w:t>project or entity / Discount rate</w:t>
            </w:r>
          </w:p>
        </w:tc>
        <w:tc>
          <w:tcPr>
            <w:tcW w:w="1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9"/>
                <w:szCs w:val="19"/>
                <w:color w:val="auto"/>
                <w:w w:val="93"/>
              </w:rPr>
              <w:t>(4.33%)</w:t>
            </w:r>
          </w:p>
        </w:tc>
      </w:tr>
      <w:tr>
        <w:trPr>
          <w:trHeight w:val="257"/>
        </w:trPr>
        <w:tc>
          <w:tcPr>
            <w:tcW w:w="1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800" w:type="dxa"/>
            <w:vAlign w:val="bottom"/>
          </w:tcPr>
          <w:p>
            <w:pPr>
              <w:ind w:left="80"/>
              <w:spacing w:after="0"/>
              <w:rPr>
                <w:sz w:val="20"/>
                <w:szCs w:val="20"/>
                <w:color w:val="auto"/>
              </w:rPr>
            </w:pPr>
            <w:r>
              <w:rPr>
                <w:rFonts w:ascii="Arial" w:cs="Arial" w:eastAsia="Arial" w:hAnsi="Arial"/>
                <w:sz w:val="19"/>
                <w:szCs w:val="19"/>
                <w:color w:val="auto"/>
                <w:w w:val="96"/>
              </w:rPr>
              <w:t>Discount to reflect current market</w:t>
            </w:r>
          </w:p>
        </w:tc>
        <w:tc>
          <w:tcPr>
            <w:tcW w:w="1380" w:type="dxa"/>
            <w:vAlign w:val="bottom"/>
          </w:tcPr>
          <w:p>
            <w:pPr>
              <w:spacing w:after="0"/>
              <w:rPr>
                <w:sz w:val="22"/>
                <w:szCs w:val="22"/>
                <w:color w:val="auto"/>
              </w:rPr>
            </w:pPr>
          </w:p>
        </w:tc>
      </w:tr>
      <w:tr>
        <w:trPr>
          <w:trHeight w:val="319"/>
        </w:trPr>
        <w:tc>
          <w:tcPr>
            <w:tcW w:w="1800" w:type="dxa"/>
            <w:vAlign w:val="bottom"/>
          </w:tcPr>
          <w:p>
            <w:pPr>
              <w:spacing w:after="0"/>
              <w:rPr>
                <w:sz w:val="20"/>
                <w:szCs w:val="20"/>
                <w:color w:val="auto"/>
              </w:rPr>
            </w:pPr>
            <w:r>
              <w:rPr>
                <w:rFonts w:ascii="Arial" w:cs="Arial" w:eastAsia="Arial" w:hAnsi="Arial"/>
                <w:sz w:val="19"/>
                <w:szCs w:val="19"/>
                <w:color w:val="auto"/>
              </w:rPr>
              <w:t>Collateral dependent</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80" w:type="dxa"/>
            <w:vAlign w:val="bottom"/>
          </w:tcPr>
          <w:p>
            <w:pPr>
              <w:ind w:left="80"/>
              <w:spacing w:after="0"/>
              <w:rPr>
                <w:sz w:val="20"/>
                <w:szCs w:val="20"/>
                <w:color w:val="auto"/>
              </w:rPr>
            </w:pPr>
            <w:r>
              <w:rPr>
                <w:rFonts w:ascii="Arial" w:cs="Arial" w:eastAsia="Arial" w:hAnsi="Arial"/>
                <w:sz w:val="19"/>
                <w:szCs w:val="19"/>
                <w:color w:val="auto"/>
              </w:rPr>
              <w:t>Collateral based</w:t>
            </w:r>
          </w:p>
        </w:tc>
        <w:tc>
          <w:tcPr>
            <w:tcW w:w="2800" w:type="dxa"/>
            <w:vAlign w:val="bottom"/>
          </w:tcPr>
          <w:p>
            <w:pPr>
              <w:ind w:left="80"/>
              <w:spacing w:after="0"/>
              <w:rPr>
                <w:sz w:val="20"/>
                <w:szCs w:val="20"/>
                <w:color w:val="auto"/>
              </w:rPr>
            </w:pPr>
            <w:r>
              <w:rPr>
                <w:rFonts w:ascii="Arial" w:cs="Arial" w:eastAsia="Arial" w:hAnsi="Arial"/>
                <w:sz w:val="19"/>
                <w:szCs w:val="19"/>
                <w:color w:val="auto"/>
              </w:rPr>
              <w:t>conditions and ultimate</w:t>
            </w:r>
          </w:p>
        </w:tc>
        <w:tc>
          <w:tcPr>
            <w:tcW w:w="1380" w:type="dxa"/>
            <w:vAlign w:val="bottom"/>
          </w:tcPr>
          <w:p>
            <w:pPr>
              <w:jc w:val="center"/>
              <w:spacing w:after="0"/>
              <w:rPr>
                <w:sz w:val="20"/>
                <w:szCs w:val="20"/>
                <w:color w:val="auto"/>
              </w:rPr>
            </w:pPr>
            <w:r>
              <w:rPr>
                <w:rFonts w:ascii="Arial" w:cs="Arial" w:eastAsia="Arial" w:hAnsi="Arial"/>
                <w:sz w:val="19"/>
                <w:szCs w:val="19"/>
                <w:color w:val="auto"/>
                <w:w w:val="91"/>
              </w:rPr>
              <w:t>20.00-30.00%</w:t>
            </w:r>
          </w:p>
        </w:tc>
      </w:tr>
      <w:tr>
        <w:trPr>
          <w:trHeight w:val="285"/>
        </w:trPr>
        <w:tc>
          <w:tcPr>
            <w:tcW w:w="1800" w:type="dxa"/>
            <w:vAlign w:val="bottom"/>
          </w:tcPr>
          <w:p>
            <w:pPr>
              <w:ind w:left="140"/>
              <w:spacing w:after="0"/>
              <w:rPr>
                <w:sz w:val="20"/>
                <w:szCs w:val="20"/>
                <w:color w:val="auto"/>
              </w:rPr>
            </w:pPr>
            <w:r>
              <w:rPr>
                <w:rFonts w:ascii="Arial" w:cs="Arial" w:eastAsia="Arial" w:hAnsi="Arial"/>
                <w:sz w:val="19"/>
                <w:szCs w:val="19"/>
                <w:color w:val="auto"/>
              </w:rPr>
              <w:t>loans</w:t>
            </w:r>
          </w:p>
        </w:tc>
        <w:tc>
          <w:tcPr>
            <w:tcW w:w="480" w:type="dxa"/>
            <w:vAlign w:val="bottom"/>
          </w:tcPr>
          <w:p>
            <w:pPr>
              <w:spacing w:after="0"/>
              <w:rPr>
                <w:sz w:val="24"/>
                <w:szCs w:val="24"/>
                <w:color w:val="auto"/>
              </w:rPr>
            </w:pPr>
          </w:p>
        </w:tc>
        <w:tc>
          <w:tcPr>
            <w:tcW w:w="1060" w:type="dxa"/>
            <w:vAlign w:val="bottom"/>
          </w:tcPr>
          <w:p>
            <w:pPr>
              <w:jc w:val="right"/>
              <w:ind w:right="45"/>
              <w:spacing w:after="0"/>
              <w:rPr>
                <w:sz w:val="20"/>
                <w:szCs w:val="20"/>
                <w:color w:val="auto"/>
              </w:rPr>
            </w:pPr>
            <w:r>
              <w:rPr>
                <w:rFonts w:ascii="Arial" w:cs="Arial" w:eastAsia="Arial" w:hAnsi="Arial"/>
                <w:sz w:val="19"/>
                <w:szCs w:val="19"/>
                <w:color w:val="auto"/>
              </w:rPr>
              <w:t>2,988</w:t>
            </w:r>
          </w:p>
        </w:tc>
        <w:tc>
          <w:tcPr>
            <w:tcW w:w="1880" w:type="dxa"/>
            <w:vAlign w:val="bottom"/>
          </w:tcPr>
          <w:p>
            <w:pPr>
              <w:ind w:left="80"/>
              <w:spacing w:after="0"/>
              <w:rPr>
                <w:sz w:val="20"/>
                <w:szCs w:val="20"/>
                <w:color w:val="auto"/>
              </w:rPr>
            </w:pPr>
            <w:r>
              <w:rPr>
                <w:rFonts w:ascii="Arial" w:cs="Arial" w:eastAsia="Arial" w:hAnsi="Arial"/>
                <w:sz w:val="19"/>
                <w:szCs w:val="19"/>
                <w:color w:val="auto"/>
              </w:rPr>
              <w:t>measurements</w:t>
            </w:r>
          </w:p>
        </w:tc>
        <w:tc>
          <w:tcPr>
            <w:tcW w:w="2800" w:type="dxa"/>
            <w:vAlign w:val="bottom"/>
          </w:tcPr>
          <w:p>
            <w:pPr>
              <w:ind w:left="80"/>
              <w:spacing w:after="0"/>
              <w:rPr>
                <w:sz w:val="20"/>
                <w:szCs w:val="20"/>
                <w:color w:val="auto"/>
              </w:rPr>
            </w:pPr>
            <w:r>
              <w:rPr>
                <w:rFonts w:ascii="Arial" w:cs="Arial" w:eastAsia="Arial" w:hAnsi="Arial"/>
                <w:sz w:val="19"/>
                <w:szCs w:val="19"/>
                <w:color w:val="auto"/>
              </w:rPr>
              <w:t>collectability</w:t>
            </w:r>
          </w:p>
        </w:tc>
        <w:tc>
          <w:tcPr>
            <w:tcW w:w="1380" w:type="dxa"/>
            <w:vAlign w:val="bottom"/>
          </w:tcPr>
          <w:p>
            <w:pPr>
              <w:jc w:val="center"/>
              <w:spacing w:after="0"/>
              <w:rPr>
                <w:sz w:val="20"/>
                <w:szCs w:val="20"/>
                <w:color w:val="auto"/>
              </w:rPr>
            </w:pPr>
            <w:r>
              <w:rPr>
                <w:rFonts w:ascii="Arial" w:cs="Arial" w:eastAsia="Arial" w:hAnsi="Arial"/>
                <w:sz w:val="19"/>
                <w:szCs w:val="19"/>
                <w:color w:val="auto"/>
                <w:w w:val="90"/>
              </w:rPr>
              <w:t>(20.78%)</w:t>
            </w:r>
          </w:p>
        </w:tc>
      </w:tr>
      <w:tr>
        <w:trPr>
          <w:trHeight w:val="38"/>
        </w:trPr>
        <w:tc>
          <w:tcPr>
            <w:tcW w:w="1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7"/>
        </w:trPr>
        <w:tc>
          <w:tcPr>
            <w:tcW w:w="18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880" w:type="dxa"/>
            <w:vAlign w:val="bottom"/>
            <w:shd w:val="clear" w:color="auto" w:fill="CFF0FC"/>
          </w:tcPr>
          <w:p>
            <w:pPr>
              <w:spacing w:after="0"/>
              <w:rPr>
                <w:sz w:val="22"/>
                <w:szCs w:val="22"/>
                <w:color w:val="auto"/>
              </w:rPr>
            </w:pPr>
          </w:p>
        </w:tc>
        <w:tc>
          <w:tcPr>
            <w:tcW w:w="2800" w:type="dxa"/>
            <w:vAlign w:val="bottom"/>
            <w:shd w:val="clear" w:color="auto" w:fill="CFF0FC"/>
          </w:tcPr>
          <w:p>
            <w:pPr>
              <w:ind w:left="80"/>
              <w:spacing w:after="0"/>
              <w:rPr>
                <w:sz w:val="20"/>
                <w:szCs w:val="20"/>
                <w:color w:val="auto"/>
              </w:rPr>
            </w:pPr>
            <w:r>
              <w:rPr>
                <w:rFonts w:ascii="Arial" w:cs="Arial" w:eastAsia="Arial" w:hAnsi="Arial"/>
                <w:sz w:val="19"/>
                <w:szCs w:val="19"/>
                <w:color w:val="auto"/>
              </w:rPr>
              <w:t>Constant prepayment rate and</w:t>
            </w:r>
          </w:p>
        </w:tc>
        <w:tc>
          <w:tcPr>
            <w:tcW w:w="1380" w:type="dxa"/>
            <w:vAlign w:val="bottom"/>
            <w:shd w:val="clear" w:color="auto" w:fill="CFF0FC"/>
          </w:tcPr>
          <w:p>
            <w:pPr>
              <w:spacing w:after="0"/>
              <w:rPr>
                <w:sz w:val="22"/>
                <w:szCs w:val="22"/>
                <w:color w:val="auto"/>
              </w:rPr>
            </w:pPr>
          </w:p>
        </w:tc>
      </w:tr>
      <w:tr>
        <w:trPr>
          <w:trHeight w:val="319"/>
        </w:trPr>
        <w:tc>
          <w:tcPr>
            <w:tcW w:w="1800" w:type="dxa"/>
            <w:vAlign w:val="bottom"/>
            <w:shd w:val="clear" w:color="auto" w:fill="CFF0FC"/>
          </w:tcPr>
          <w:p>
            <w:pPr>
              <w:spacing w:after="0"/>
              <w:rPr>
                <w:sz w:val="20"/>
                <w:szCs w:val="20"/>
                <w:color w:val="auto"/>
              </w:rPr>
            </w:pPr>
            <w:r>
              <w:rPr>
                <w:rFonts w:ascii="Arial" w:cs="Arial" w:eastAsia="Arial" w:hAnsi="Arial"/>
                <w:sz w:val="19"/>
                <w:szCs w:val="19"/>
                <w:color w:val="auto"/>
              </w:rPr>
              <w:t>Loan servicing</w:t>
            </w:r>
          </w:p>
        </w:tc>
        <w:tc>
          <w:tcPr>
            <w:tcW w:w="48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1880" w:type="dxa"/>
            <w:vAlign w:val="bottom"/>
            <w:shd w:val="clear" w:color="auto" w:fill="CFF0FC"/>
          </w:tcPr>
          <w:p>
            <w:pPr>
              <w:spacing w:after="0"/>
              <w:rPr>
                <w:sz w:val="24"/>
                <w:szCs w:val="24"/>
                <w:color w:val="auto"/>
              </w:rPr>
            </w:pPr>
          </w:p>
        </w:tc>
        <w:tc>
          <w:tcPr>
            <w:tcW w:w="2800" w:type="dxa"/>
            <w:vAlign w:val="bottom"/>
            <w:shd w:val="clear" w:color="auto" w:fill="CFF0FC"/>
          </w:tcPr>
          <w:p>
            <w:pPr>
              <w:ind w:left="80"/>
              <w:spacing w:after="0"/>
              <w:rPr>
                <w:sz w:val="20"/>
                <w:szCs w:val="20"/>
                <w:color w:val="auto"/>
              </w:rPr>
            </w:pPr>
            <w:r>
              <w:rPr>
                <w:rFonts w:ascii="Arial" w:cs="Arial" w:eastAsia="Arial" w:hAnsi="Arial"/>
                <w:sz w:val="19"/>
                <w:szCs w:val="19"/>
                <w:color w:val="auto"/>
              </w:rPr>
              <w:t>probability of default / Discount</w:t>
            </w:r>
          </w:p>
        </w:tc>
        <w:tc>
          <w:tcPr>
            <w:tcW w:w="13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1"/>
              </w:rPr>
              <w:t>9.36-618.70%</w:t>
            </w:r>
          </w:p>
        </w:tc>
      </w:tr>
      <w:tr>
        <w:trPr>
          <w:trHeight w:val="285"/>
        </w:trPr>
        <w:tc>
          <w:tcPr>
            <w:tcW w:w="1800" w:type="dxa"/>
            <w:vAlign w:val="bottom"/>
            <w:shd w:val="clear" w:color="auto" w:fill="CFF0FC"/>
          </w:tcPr>
          <w:p>
            <w:pPr>
              <w:ind w:left="180"/>
              <w:spacing w:after="0"/>
              <w:rPr>
                <w:sz w:val="20"/>
                <w:szCs w:val="20"/>
                <w:color w:val="auto"/>
              </w:rPr>
            </w:pPr>
            <w:r>
              <w:rPr>
                <w:rFonts w:ascii="Arial" w:cs="Arial" w:eastAsia="Arial" w:hAnsi="Arial"/>
                <w:sz w:val="19"/>
                <w:szCs w:val="19"/>
                <w:color w:val="auto"/>
              </w:rPr>
              <w:t>rights</w:t>
            </w:r>
          </w:p>
        </w:tc>
        <w:tc>
          <w:tcPr>
            <w:tcW w:w="48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w:t>
            </w:r>
          </w:p>
        </w:tc>
        <w:tc>
          <w:tcPr>
            <w:tcW w:w="1880" w:type="dxa"/>
            <w:vAlign w:val="bottom"/>
            <w:shd w:val="clear" w:color="auto" w:fill="CFF0FC"/>
          </w:tcPr>
          <w:p>
            <w:pPr>
              <w:ind w:left="80"/>
              <w:spacing w:after="0"/>
              <w:rPr>
                <w:sz w:val="20"/>
                <w:szCs w:val="20"/>
                <w:color w:val="auto"/>
              </w:rPr>
            </w:pPr>
            <w:r>
              <w:rPr>
                <w:rFonts w:ascii="Arial" w:cs="Arial" w:eastAsia="Arial" w:hAnsi="Arial"/>
                <w:sz w:val="19"/>
                <w:szCs w:val="19"/>
                <w:color w:val="auto"/>
                <w:w w:val="93"/>
              </w:rPr>
              <w:t>Discounted Cash Flow</w:t>
            </w:r>
          </w:p>
        </w:tc>
        <w:tc>
          <w:tcPr>
            <w:tcW w:w="2800" w:type="dxa"/>
            <w:vAlign w:val="bottom"/>
            <w:shd w:val="clear" w:color="auto" w:fill="CFF0FC"/>
          </w:tcPr>
          <w:p>
            <w:pPr>
              <w:ind w:left="80"/>
              <w:spacing w:after="0"/>
              <w:rPr>
                <w:sz w:val="20"/>
                <w:szCs w:val="20"/>
                <w:color w:val="auto"/>
              </w:rPr>
            </w:pPr>
            <w:r>
              <w:rPr>
                <w:rFonts w:ascii="Arial" w:cs="Arial" w:eastAsia="Arial" w:hAnsi="Arial"/>
                <w:sz w:val="19"/>
                <w:szCs w:val="19"/>
                <w:color w:val="auto"/>
              </w:rPr>
              <w:t>rate</w:t>
            </w:r>
          </w:p>
        </w:tc>
        <w:tc>
          <w:tcPr>
            <w:tcW w:w="138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3"/>
              </w:rPr>
              <w:t>(107.90%)</w:t>
            </w:r>
          </w:p>
        </w:tc>
      </w:tr>
      <w:tr>
        <w:trPr>
          <w:trHeight w:val="38"/>
        </w:trPr>
        <w:tc>
          <w:tcPr>
            <w:tcW w:w="1800" w:type="dxa"/>
            <w:vAlign w:val="bottom"/>
            <w:shd w:val="clear" w:color="auto" w:fill="CFF0FC"/>
          </w:tcPr>
          <w:p>
            <w:pPr>
              <w:spacing w:after="0"/>
              <w:rPr>
                <w:sz w:val="3"/>
                <w:szCs w:val="3"/>
                <w:color w:val="auto"/>
              </w:rPr>
            </w:pPr>
          </w:p>
        </w:tc>
        <w:tc>
          <w:tcPr>
            <w:tcW w:w="48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880" w:type="dxa"/>
            <w:vAlign w:val="bottom"/>
            <w:shd w:val="clear" w:color="auto" w:fill="CFF0FC"/>
          </w:tcPr>
          <w:p>
            <w:pPr>
              <w:spacing w:after="0"/>
              <w:rPr>
                <w:sz w:val="3"/>
                <w:szCs w:val="3"/>
                <w:color w:val="auto"/>
              </w:rPr>
            </w:pPr>
          </w:p>
        </w:tc>
        <w:tc>
          <w:tcPr>
            <w:tcW w:w="2800" w:type="dxa"/>
            <w:vAlign w:val="bottom"/>
            <w:shd w:val="clear" w:color="auto" w:fill="CFF0FC"/>
          </w:tcPr>
          <w:p>
            <w:pPr>
              <w:spacing w:after="0"/>
              <w:rPr>
                <w:sz w:val="3"/>
                <w:szCs w:val="3"/>
                <w:color w:val="auto"/>
              </w:rPr>
            </w:pPr>
          </w:p>
        </w:tc>
        <w:tc>
          <w:tcPr>
            <w:tcW w:w="138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1285875</wp:posOffset>
            </wp:positionH>
            <wp:positionV relativeFrom="paragraph">
              <wp:posOffset>-2078990</wp:posOffset>
            </wp:positionV>
            <wp:extent cx="751205" cy="6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6">
                      <a:extLst>
                        <a:ext uri="{28A0092B-C50C-407E-A947-70E740481C1C}"/>
                      </a:extLst>
                    </a:blip>
                    <a:srcRect/>
                    <a:stretch>
                      <a:fillRect/>
                    </a:stretch>
                  </pic:blipFill>
                  <pic:spPr bwMode="auto">
                    <a:xfrm>
                      <a:off x="0" y="0"/>
                      <a:ext cx="751205" cy="635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-1529715</wp:posOffset>
            </wp:positionV>
            <wp:extent cx="4678045" cy="63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7">
                      <a:extLst>
                        <a:ext uri="{28A0092B-C50C-407E-A947-70E740481C1C}"/>
                      </a:extLst>
                    </a:blip>
                    <a:srcRect/>
                    <a:stretch>
                      <a:fillRect/>
                    </a:stretch>
                  </pic:blipFill>
                  <pic:spPr bwMode="auto">
                    <a:xfrm>
                      <a:off x="0" y="0"/>
                      <a:ext cx="4678045" cy="635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5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17</w:t>
      </w:r>
    </w:p>
    <w:p>
      <w:pPr>
        <w:sectPr>
          <w:pgSz w:w="11900" w:h="16838" w:orient="portrait"/>
          <w:cols w:equalWidth="0" w:num="1">
            <w:col w:w="9400"/>
          </w:cols>
          <w:pgMar w:left="1260" w:top="1440" w:right="1246" w:bottom="0" w:gutter="0" w:footer="0" w:header="0"/>
          <w:type w:val="continuous"/>
        </w:sectPr>
      </w:pPr>
    </w:p>
    <w:bookmarkStart w:id="236" w:name="page237"/>
    <w:bookmarkEnd w:id="236"/>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20"/>
                <w:szCs w:val="20"/>
                <w:b w:val="1"/>
                <w:bCs w:val="1"/>
                <w:color w:val="auto"/>
                <w:w w:val="97"/>
              </w:rPr>
              <w:t>Note 21 – Condensed Financial Statements of Parent Company</w:t>
            </w: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944"/>
        </w:trPr>
        <w:tc>
          <w:tcPr>
            <w:tcW w:w="5880" w:type="dxa"/>
            <w:vAlign w:val="bottom"/>
          </w:tcPr>
          <w:p>
            <w:pPr>
              <w:ind w:left="2480"/>
              <w:spacing w:after="0"/>
              <w:rPr>
                <w:sz w:val="20"/>
                <w:szCs w:val="20"/>
                <w:color w:val="auto"/>
              </w:rPr>
            </w:pPr>
            <w:r>
              <w:rPr>
                <w:rFonts w:ascii="Arial" w:cs="Arial" w:eastAsia="Arial" w:hAnsi="Arial"/>
                <w:sz w:val="20"/>
                <w:szCs w:val="20"/>
                <w:b w:val="1"/>
                <w:bCs w:val="1"/>
                <w:color w:val="auto"/>
              </w:rPr>
              <w:t>Balance Sheets</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4"/>
        </w:trPr>
        <w:tc>
          <w:tcPr>
            <w:tcW w:w="5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20" w:type="dxa"/>
            <w:vAlign w:val="bottom"/>
            <w:gridSpan w:val="3"/>
          </w:tcPr>
          <w:p>
            <w:pPr>
              <w:jc w:val="right"/>
              <w:ind w:right="840"/>
              <w:spacing w:after="0"/>
              <w:rPr>
                <w:sz w:val="20"/>
                <w:szCs w:val="20"/>
                <w:color w:val="auto"/>
              </w:rPr>
            </w:pPr>
            <w:r>
              <w:rPr>
                <w:rFonts w:ascii="Arial" w:cs="Arial" w:eastAsia="Arial" w:hAnsi="Arial"/>
                <w:sz w:val="20"/>
                <w:szCs w:val="20"/>
                <w:color w:val="auto"/>
              </w:rPr>
              <w:t>(In Thousands)</w:t>
            </w:r>
          </w:p>
        </w:tc>
      </w:tr>
      <w:tr>
        <w:trPr>
          <w:trHeight w:val="324"/>
        </w:trPr>
        <w:tc>
          <w:tcPr>
            <w:tcW w:w="5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jc w:val="right"/>
              <w:ind w:right="480"/>
              <w:spacing w:after="0"/>
              <w:rPr>
                <w:sz w:val="20"/>
                <w:szCs w:val="20"/>
                <w:color w:val="auto"/>
              </w:rPr>
            </w:pPr>
            <w:r>
              <w:rPr>
                <w:rFonts w:ascii="Arial" w:cs="Arial" w:eastAsia="Arial" w:hAnsi="Arial"/>
                <w:sz w:val="20"/>
                <w:szCs w:val="20"/>
                <w:color w:val="auto"/>
              </w:rPr>
              <w:t>2025</w:t>
            </w:r>
          </w:p>
        </w:tc>
        <w:tc>
          <w:tcPr>
            <w:tcW w:w="420" w:type="dxa"/>
            <w:vAlign w:val="bottom"/>
          </w:tcPr>
          <w:p>
            <w:pPr>
              <w:spacing w:after="0"/>
              <w:rPr>
                <w:sz w:val="24"/>
                <w:szCs w:val="24"/>
                <w:color w:val="auto"/>
              </w:rPr>
            </w:pPr>
          </w:p>
        </w:tc>
        <w:tc>
          <w:tcPr>
            <w:tcW w:w="1140" w:type="dxa"/>
            <w:vAlign w:val="bottom"/>
          </w:tcPr>
          <w:p>
            <w:pPr>
              <w:jc w:val="right"/>
              <w:ind w:right="480"/>
              <w:spacing w:after="0"/>
              <w:rPr>
                <w:sz w:val="20"/>
                <w:szCs w:val="20"/>
                <w:color w:val="auto"/>
              </w:rPr>
            </w:pPr>
            <w:r>
              <w:rPr>
                <w:rFonts w:ascii="Arial" w:cs="Arial" w:eastAsia="Arial" w:hAnsi="Arial"/>
                <w:sz w:val="20"/>
                <w:szCs w:val="20"/>
                <w:color w:val="auto"/>
              </w:rPr>
              <w:t>2024</w:t>
            </w:r>
          </w:p>
        </w:tc>
      </w:tr>
      <w:tr>
        <w:trPr>
          <w:trHeight w:val="51"/>
        </w:trPr>
        <w:tc>
          <w:tcPr>
            <w:tcW w:w="5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94"/>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Assets</w:t>
            </w:r>
          </w:p>
        </w:tc>
        <w:tc>
          <w:tcPr>
            <w:tcW w:w="8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r>
      <w:tr>
        <w:trPr>
          <w:trHeight w:val="274"/>
        </w:trPr>
        <w:tc>
          <w:tcPr>
            <w:tcW w:w="5880" w:type="dxa"/>
            <w:vAlign w:val="bottom"/>
          </w:tcPr>
          <w:p>
            <w:pPr>
              <w:ind w:left="100"/>
              <w:spacing w:after="0"/>
              <w:rPr>
                <w:sz w:val="20"/>
                <w:szCs w:val="20"/>
                <w:color w:val="auto"/>
              </w:rPr>
            </w:pPr>
            <w:r>
              <w:rPr>
                <w:rFonts w:ascii="Arial" w:cs="Arial" w:eastAsia="Arial" w:hAnsi="Arial"/>
                <w:sz w:val="20"/>
                <w:szCs w:val="20"/>
                <w:color w:val="auto"/>
              </w:rPr>
              <w:t>Cash</w:t>
            </w:r>
          </w:p>
        </w:tc>
        <w:tc>
          <w:tcPr>
            <w:tcW w:w="80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0"/>
              <w:spacing w:after="0"/>
              <w:rPr>
                <w:sz w:val="20"/>
                <w:szCs w:val="20"/>
                <w:color w:val="auto"/>
              </w:rPr>
            </w:pPr>
            <w:r>
              <w:rPr>
                <w:rFonts w:ascii="Arial" w:cs="Arial" w:eastAsia="Arial" w:hAnsi="Arial"/>
                <w:sz w:val="20"/>
                <w:szCs w:val="20"/>
                <w:color w:val="auto"/>
              </w:rPr>
              <w:t>4,576</w:t>
            </w:r>
          </w:p>
        </w:tc>
        <w:tc>
          <w:tcPr>
            <w:tcW w:w="4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4,554</w:t>
            </w:r>
          </w:p>
        </w:tc>
      </w:tr>
      <w:tr>
        <w:trPr>
          <w:trHeight w:val="41"/>
        </w:trPr>
        <w:tc>
          <w:tcPr>
            <w:tcW w:w="5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4"/>
        </w:trPr>
        <w:tc>
          <w:tcPr>
            <w:tcW w:w="5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Interest-bearing time deposits</w:t>
            </w:r>
          </w:p>
        </w:tc>
        <w:tc>
          <w:tcPr>
            <w:tcW w:w="8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1,473</w:t>
            </w:r>
          </w:p>
        </w:tc>
        <w:tc>
          <w:tcPr>
            <w:tcW w:w="4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2,457</w:t>
            </w:r>
          </w:p>
        </w:tc>
      </w:tr>
      <w:tr>
        <w:trPr>
          <w:trHeight w:val="274"/>
        </w:trPr>
        <w:tc>
          <w:tcPr>
            <w:tcW w:w="5880" w:type="dxa"/>
            <w:vAlign w:val="bottom"/>
          </w:tcPr>
          <w:p>
            <w:pPr>
              <w:ind w:left="100"/>
              <w:spacing w:after="0"/>
              <w:rPr>
                <w:sz w:val="20"/>
                <w:szCs w:val="20"/>
                <w:color w:val="auto"/>
              </w:rPr>
            </w:pPr>
            <w:r>
              <w:rPr>
                <w:rFonts w:ascii="Arial" w:cs="Arial" w:eastAsia="Arial" w:hAnsi="Arial"/>
                <w:sz w:val="20"/>
                <w:szCs w:val="20"/>
                <w:color w:val="auto"/>
              </w:rPr>
              <w:t>Related party receivables:</w:t>
            </w: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41"/>
        </w:trPr>
        <w:tc>
          <w:tcPr>
            <w:tcW w:w="5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4"/>
        </w:trPr>
        <w:tc>
          <w:tcPr>
            <w:tcW w:w="58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Dividends and accounts receivable from subsidiary</w:t>
            </w:r>
          </w:p>
        </w:tc>
        <w:tc>
          <w:tcPr>
            <w:tcW w:w="8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4,420</w:t>
            </w:r>
          </w:p>
        </w:tc>
        <w:tc>
          <w:tcPr>
            <w:tcW w:w="4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4,010</w:t>
            </w:r>
          </w:p>
        </w:tc>
      </w:tr>
      <w:tr>
        <w:trPr>
          <w:trHeight w:val="274"/>
        </w:trPr>
        <w:tc>
          <w:tcPr>
            <w:tcW w:w="5880" w:type="dxa"/>
            <w:vAlign w:val="bottom"/>
          </w:tcPr>
          <w:p>
            <w:pPr>
              <w:ind w:left="100"/>
              <w:spacing w:after="0"/>
              <w:rPr>
                <w:sz w:val="20"/>
                <w:szCs w:val="20"/>
                <w:color w:val="auto"/>
              </w:rPr>
            </w:pPr>
            <w:r>
              <w:rPr>
                <w:rFonts w:ascii="Arial" w:cs="Arial" w:eastAsia="Arial" w:hAnsi="Arial"/>
                <w:sz w:val="20"/>
                <w:szCs w:val="20"/>
                <w:color w:val="auto"/>
              </w:rPr>
              <w:t>Accrued interest receivable - available-for-sale securities /</w:t>
            </w: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00"/>
        </w:trPr>
        <w:tc>
          <w:tcPr>
            <w:tcW w:w="5880" w:type="dxa"/>
            <w:vAlign w:val="bottom"/>
          </w:tcPr>
          <w:p>
            <w:pPr>
              <w:ind w:left="300"/>
              <w:spacing w:after="0"/>
              <w:rPr>
                <w:sz w:val="20"/>
                <w:szCs w:val="20"/>
                <w:color w:val="auto"/>
              </w:rPr>
            </w:pPr>
            <w:r>
              <w:rPr>
                <w:rFonts w:ascii="Arial" w:cs="Arial" w:eastAsia="Arial" w:hAnsi="Arial"/>
                <w:sz w:val="20"/>
                <w:szCs w:val="20"/>
                <w:color w:val="auto"/>
              </w:rPr>
              <w:t>interest-bearing time deposits</w:t>
            </w:r>
          </w:p>
        </w:tc>
        <w:tc>
          <w:tcPr>
            <w:tcW w:w="800" w:type="dxa"/>
            <w:vAlign w:val="bottom"/>
          </w:tcPr>
          <w:p>
            <w:pPr>
              <w:spacing w:after="0"/>
              <w:rPr>
                <w:sz w:val="24"/>
                <w:szCs w:val="24"/>
                <w:color w:val="auto"/>
              </w:rPr>
            </w:pPr>
          </w:p>
        </w:tc>
        <w:tc>
          <w:tcPr>
            <w:tcW w:w="1160" w:type="dxa"/>
            <w:vAlign w:val="bottom"/>
          </w:tcPr>
          <w:p>
            <w:pPr>
              <w:jc w:val="right"/>
              <w:ind w:right="20"/>
              <w:spacing w:after="0"/>
              <w:rPr>
                <w:sz w:val="20"/>
                <w:szCs w:val="20"/>
                <w:color w:val="auto"/>
              </w:rPr>
            </w:pPr>
            <w:r>
              <w:rPr>
                <w:rFonts w:ascii="Arial" w:cs="Arial" w:eastAsia="Arial" w:hAnsi="Arial"/>
                <w:sz w:val="20"/>
                <w:szCs w:val="20"/>
                <w:color w:val="auto"/>
              </w:rPr>
              <w:t>39</w:t>
            </w:r>
          </w:p>
        </w:tc>
        <w:tc>
          <w:tcPr>
            <w:tcW w:w="420" w:type="dxa"/>
            <w:vAlign w:val="bottom"/>
          </w:tcPr>
          <w:p>
            <w:pPr>
              <w:spacing w:after="0"/>
              <w:rPr>
                <w:sz w:val="24"/>
                <w:szCs w:val="24"/>
                <w:color w:val="auto"/>
              </w:rPr>
            </w:pP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47</w:t>
            </w:r>
          </w:p>
        </w:tc>
      </w:tr>
      <w:tr>
        <w:trPr>
          <w:trHeight w:val="41"/>
        </w:trPr>
        <w:tc>
          <w:tcPr>
            <w:tcW w:w="5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4"/>
        </w:trPr>
        <w:tc>
          <w:tcPr>
            <w:tcW w:w="5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Securities - available-for-sale</w:t>
            </w:r>
          </w:p>
        </w:tc>
        <w:tc>
          <w:tcPr>
            <w:tcW w:w="8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6,352</w:t>
            </w:r>
          </w:p>
        </w:tc>
        <w:tc>
          <w:tcPr>
            <w:tcW w:w="4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4,391</w:t>
            </w:r>
          </w:p>
        </w:tc>
      </w:tr>
      <w:tr>
        <w:trPr>
          <w:trHeight w:val="274"/>
        </w:trPr>
        <w:tc>
          <w:tcPr>
            <w:tcW w:w="5880" w:type="dxa"/>
            <w:vAlign w:val="bottom"/>
          </w:tcPr>
          <w:p>
            <w:pPr>
              <w:ind w:left="100"/>
              <w:spacing w:after="0"/>
              <w:rPr>
                <w:sz w:val="20"/>
                <w:szCs w:val="20"/>
                <w:color w:val="auto"/>
              </w:rPr>
            </w:pPr>
            <w:r>
              <w:rPr>
                <w:rFonts w:ascii="Arial" w:cs="Arial" w:eastAsia="Arial" w:hAnsi="Arial"/>
                <w:sz w:val="20"/>
                <w:szCs w:val="20"/>
                <w:color w:val="auto"/>
              </w:rPr>
              <w:t>Investment in subsidiaries</w:t>
            </w:r>
          </w:p>
        </w:tc>
        <w:tc>
          <w:tcPr>
            <w:tcW w:w="80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20"/>
                <w:szCs w:val="20"/>
                <w:color w:val="auto"/>
              </w:rPr>
              <w:t>392,653</w:t>
            </w:r>
          </w:p>
        </w:tc>
        <w:tc>
          <w:tcPr>
            <w:tcW w:w="42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358,127</w:t>
            </w:r>
          </w:p>
        </w:tc>
      </w:tr>
      <w:tr>
        <w:trPr>
          <w:trHeight w:val="41"/>
        </w:trPr>
        <w:tc>
          <w:tcPr>
            <w:tcW w:w="5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4"/>
        </w:trPr>
        <w:tc>
          <w:tcPr>
            <w:tcW w:w="5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Other assets</w:t>
            </w:r>
          </w:p>
        </w:tc>
        <w:tc>
          <w:tcPr>
            <w:tcW w:w="8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54</w:t>
            </w:r>
          </w:p>
        </w:tc>
        <w:tc>
          <w:tcPr>
            <w:tcW w:w="4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49</w:t>
            </w:r>
          </w:p>
        </w:tc>
      </w:tr>
      <w:tr>
        <w:trPr>
          <w:trHeight w:val="296"/>
        </w:trPr>
        <w:tc>
          <w:tcPr>
            <w:tcW w:w="5880" w:type="dxa"/>
            <w:vAlign w:val="bottom"/>
          </w:tcPr>
          <w:p>
            <w:pPr>
              <w:spacing w:after="0"/>
              <w:rPr>
                <w:sz w:val="20"/>
                <w:szCs w:val="20"/>
                <w:color w:val="auto"/>
              </w:rPr>
            </w:pPr>
            <w:r>
              <w:rPr>
                <w:rFonts w:ascii="Arial" w:cs="Arial" w:eastAsia="Arial" w:hAnsi="Arial"/>
                <w:sz w:val="20"/>
                <w:szCs w:val="20"/>
                <w:b w:val="1"/>
                <w:bCs w:val="1"/>
                <w:color w:val="auto"/>
              </w:rPr>
              <w:t>Total Assets</w:t>
            </w:r>
          </w:p>
        </w:tc>
        <w:tc>
          <w:tcPr>
            <w:tcW w:w="80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0"/>
              <w:spacing w:after="0"/>
              <w:rPr>
                <w:sz w:val="20"/>
                <w:szCs w:val="20"/>
                <w:color w:val="auto"/>
              </w:rPr>
            </w:pPr>
            <w:r>
              <w:rPr>
                <w:rFonts w:ascii="Arial" w:cs="Arial" w:eastAsia="Arial" w:hAnsi="Arial"/>
                <w:sz w:val="20"/>
                <w:szCs w:val="20"/>
                <w:color w:val="auto"/>
              </w:rPr>
              <w:t>409,567</w:t>
            </w:r>
          </w:p>
        </w:tc>
        <w:tc>
          <w:tcPr>
            <w:tcW w:w="4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373,635</w:t>
            </w:r>
          </w:p>
        </w:tc>
      </w:tr>
      <w:tr>
        <w:trPr>
          <w:trHeight w:val="63"/>
        </w:trPr>
        <w:tc>
          <w:tcPr>
            <w:tcW w:w="5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314"/>
        </w:trPr>
        <w:tc>
          <w:tcPr>
            <w:tcW w:w="588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r>
      <w:tr>
        <w:trPr>
          <w:trHeight w:val="274"/>
        </w:trPr>
        <w:tc>
          <w:tcPr>
            <w:tcW w:w="588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41"/>
        </w:trPr>
        <w:tc>
          <w:tcPr>
            <w:tcW w:w="5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4"/>
        </w:trPr>
        <w:tc>
          <w:tcPr>
            <w:tcW w:w="5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Subordinated notes, net of unamortized issuance costs</w:t>
            </w:r>
          </w:p>
        </w:tc>
        <w:tc>
          <w:tcPr>
            <w:tcW w:w="8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34,933</w:t>
            </w:r>
          </w:p>
        </w:tc>
        <w:tc>
          <w:tcPr>
            <w:tcW w:w="4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34,818</w:t>
            </w:r>
          </w:p>
        </w:tc>
      </w:tr>
      <w:tr>
        <w:trPr>
          <w:trHeight w:val="274"/>
        </w:trPr>
        <w:tc>
          <w:tcPr>
            <w:tcW w:w="5880" w:type="dxa"/>
            <w:vAlign w:val="bottom"/>
          </w:tcPr>
          <w:p>
            <w:pPr>
              <w:ind w:left="100"/>
              <w:spacing w:after="0"/>
              <w:rPr>
                <w:sz w:val="20"/>
                <w:szCs w:val="20"/>
                <w:color w:val="auto"/>
              </w:rPr>
            </w:pPr>
            <w:r>
              <w:rPr>
                <w:rFonts w:ascii="Arial" w:cs="Arial" w:eastAsia="Arial" w:hAnsi="Arial"/>
                <w:sz w:val="20"/>
                <w:szCs w:val="20"/>
                <w:color w:val="auto"/>
              </w:rPr>
              <w:t>Dividends payable</w:t>
            </w:r>
          </w:p>
        </w:tc>
        <w:tc>
          <w:tcPr>
            <w:tcW w:w="80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20"/>
                <w:szCs w:val="20"/>
                <w:color w:val="auto"/>
              </w:rPr>
              <w:t>3,125</w:t>
            </w: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4069715</wp:posOffset>
            </wp:positionH>
            <wp:positionV relativeFrom="paragraph">
              <wp:posOffset>-3206115</wp:posOffset>
            </wp:positionV>
            <wp:extent cx="1834515" cy="63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59">
                      <a:extLst>
                        <a:ext uri="{28A0092B-C50C-407E-A947-70E740481C1C}"/>
                      </a:extLst>
                    </a:blip>
                    <a:srcRect/>
                    <a:stretch>
                      <a:fillRect/>
                    </a:stretch>
                  </pic:blipFill>
                  <pic:spPr bwMode="auto">
                    <a:xfrm>
                      <a:off x="0" y="0"/>
                      <a:ext cx="1834515" cy="6350"/>
                    </a:xfrm>
                    <a:prstGeom prst="rect">
                      <a:avLst/>
                    </a:prstGeom>
                    <a:noFill/>
                  </pic:spPr>
                </pic:pic>
              </a:graphicData>
            </a:graphic>
          </wp:anchor>
        </w:drawing>
        <w:drawing>
          <wp:anchor simplePos="0" relativeHeight="251657728" behindDoc="1" locked="0" layoutInCell="0" allowOverlap="1">
            <wp:simplePos x="0" y="0"/>
            <wp:positionH relativeFrom="column">
              <wp:posOffset>4069715</wp:posOffset>
            </wp:positionH>
            <wp:positionV relativeFrom="paragraph">
              <wp:posOffset>-3000375</wp:posOffset>
            </wp:positionV>
            <wp:extent cx="1834515" cy="63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0">
                      <a:extLst>
                        <a:ext uri="{28A0092B-C50C-407E-A947-70E740481C1C}"/>
                      </a:extLst>
                    </a:blip>
                    <a:srcRect/>
                    <a:stretch>
                      <a:fillRect/>
                    </a:stretch>
                  </pic:blipFill>
                  <pic:spPr bwMode="auto">
                    <a:xfrm>
                      <a:off x="0" y="0"/>
                      <a:ext cx="1834515" cy="6350"/>
                    </a:xfrm>
                    <a:prstGeom prst="rect">
                      <a:avLst/>
                    </a:prstGeom>
                    <a:noFill/>
                  </pic:spPr>
                </pic:pic>
              </a:graphicData>
            </a:graphic>
          </wp:anchor>
        </w:drawing>
        <w:drawing>
          <wp:anchor simplePos="0" relativeHeight="251657728" behindDoc="1" locked="0" layoutInCell="0" allowOverlap="1">
            <wp:simplePos x="0" y="0"/>
            <wp:positionH relativeFrom="column">
              <wp:posOffset>4069715</wp:posOffset>
            </wp:positionH>
            <wp:positionV relativeFrom="paragraph">
              <wp:posOffset>-1006475</wp:posOffset>
            </wp:positionV>
            <wp:extent cx="1894205" cy="63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1">
                      <a:extLst>
                        <a:ext uri="{28A0092B-C50C-407E-A947-70E740481C1C}"/>
                      </a:extLst>
                    </a:blip>
                    <a:srcRect/>
                    <a:stretch>
                      <a:fillRect/>
                    </a:stretch>
                  </pic:blipFill>
                  <pic:spPr bwMode="auto">
                    <a:xfrm>
                      <a:off x="0" y="0"/>
                      <a:ext cx="1894205" cy="6350"/>
                    </a:xfrm>
                    <a:prstGeom prst="rect">
                      <a:avLst/>
                    </a:prstGeom>
                    <a:noFill/>
                  </pic:spPr>
                </pic:pic>
              </a:graphicData>
            </a:graphic>
          </wp:anchor>
        </w:drawing>
        <w:drawing>
          <wp:anchor simplePos="0" relativeHeight="251657728" behindDoc="1" locked="0" layoutInCell="0" allowOverlap="1">
            <wp:simplePos x="0" y="0"/>
            <wp:positionH relativeFrom="column">
              <wp:posOffset>4069715</wp:posOffset>
            </wp:positionH>
            <wp:positionV relativeFrom="paragraph">
              <wp:posOffset>-800735</wp:posOffset>
            </wp:positionV>
            <wp:extent cx="1834515" cy="2857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2">
                      <a:extLst>
                        <a:ext uri="{28A0092B-C50C-407E-A947-70E740481C1C}"/>
                      </a:extLst>
                    </a:blip>
                    <a:srcRect/>
                    <a:stretch>
                      <a:fillRect/>
                    </a:stretch>
                  </pic:blipFill>
                  <pic:spPr bwMode="auto">
                    <a:xfrm>
                      <a:off x="0" y="0"/>
                      <a:ext cx="1834515"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17</w:t>
      </w:r>
    </w:p>
    <w:p>
      <w:pPr>
        <w:sectPr>
          <w:pgSz w:w="11900" w:h="16838" w:orient="portrait"/>
          <w:cols w:equalWidth="0" w:num="1">
            <w:col w:w="9400"/>
          </w:cols>
          <w:pgMar w:left="1260" w:top="1440" w:right="1246" w:bottom="0" w:gutter="0" w:footer="0" w:header="0"/>
          <w:type w:val="continuous"/>
        </w:sectPr>
      </w:pPr>
    </w:p>
    <w:bookmarkStart w:id="237" w:name="page238"/>
    <w:bookmarkEnd w:id="237"/>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2,996</w:t>
      </w:r>
    </w:p>
    <w:p>
      <w:pPr>
        <w:spacing w:after="0" w:line="38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Accrued interest payable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100"/>
        <w:spacing w:after="0"/>
        <w:rPr>
          <w:sz w:val="20"/>
          <w:szCs w:val="20"/>
          <w:color w:val="auto"/>
        </w:rPr>
      </w:pPr>
      <w:r>
        <w:rPr>
          <w:rFonts w:ascii="Arial" w:cs="Arial" w:eastAsia="Arial" w:hAnsi="Arial"/>
          <w:sz w:val="17"/>
          <w:szCs w:val="17"/>
          <w:color w:val="auto"/>
        </w:rPr>
        <w:t>474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100"/>
        <w:spacing w:after="0"/>
        <w:rPr>
          <w:sz w:val="20"/>
          <w:szCs w:val="20"/>
          <w:color w:val="auto"/>
        </w:rPr>
      </w:pPr>
      <w:r>
        <w:rPr>
          <w:rFonts w:ascii="Arial" w:cs="Arial" w:eastAsia="Arial" w:hAnsi="Arial"/>
          <w:sz w:val="17"/>
          <w:szCs w:val="17"/>
          <w:color w:val="auto"/>
        </w:rPr>
        <w:t>474</w:t>
      </w:r>
    </w:p>
    <w:p>
      <w:pPr>
        <w:spacing w:after="0" w:line="39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Accrued expenses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100"/>
        <w:spacing w:after="0"/>
        <w:rPr>
          <w:sz w:val="20"/>
          <w:szCs w:val="20"/>
          <w:color w:val="auto"/>
        </w:rPr>
      </w:pPr>
      <w:r>
        <w:rPr>
          <w:rFonts w:ascii="Arial" w:cs="Arial" w:eastAsia="Arial" w:hAnsi="Arial"/>
          <w:sz w:val="17"/>
          <w:szCs w:val="17"/>
          <w:color w:val="auto"/>
        </w:rPr>
        <w:t>173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100"/>
        <w:spacing w:after="0"/>
        <w:rPr>
          <w:sz w:val="20"/>
          <w:szCs w:val="20"/>
          <w:color w:val="auto"/>
        </w:rPr>
      </w:pPr>
      <w:r>
        <w:rPr>
          <w:rFonts w:ascii="Arial" w:cs="Arial" w:eastAsia="Arial" w:hAnsi="Arial"/>
          <w:sz w:val="17"/>
          <w:szCs w:val="17"/>
          <w:color w:val="auto"/>
        </w:rPr>
        <w:t>136</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38,705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38,424</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 Equity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370,862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335,211</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Liabilities and Stockholders' Equity</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409,567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45</w:t>
      </w:r>
    </w:p>
    <w:p>
      <w:pPr>
        <w:sectPr>
          <w:pgSz w:w="11900" w:h="16838" w:orient="portrait"/>
          <w:cols w:equalWidth="0" w:num="1">
            <w:col w:w="9400"/>
          </w:cols>
          <w:pgMar w:left="1260" w:top="1440" w:right="1246" w:bottom="0" w:gutter="0" w:footer="0" w:header="0"/>
          <w:type w:val="continuous"/>
        </w:sectPr>
      </w:pPr>
    </w:p>
    <w:bookmarkStart w:id="238" w:name="page239"/>
    <w:bookmarkEnd w:id="238"/>
    <w:p>
      <w:pPr>
        <w:jc w:val="right"/>
        <w:spacing w:after="0"/>
        <w:rPr>
          <w:sz w:val="20"/>
          <w:szCs w:val="20"/>
          <w:color w:val="auto"/>
        </w:rPr>
      </w:pPr>
      <w:r>
        <w:rPr>
          <w:rFonts w:ascii="Arial" w:cs="Arial" w:eastAsia="Arial" w:hAnsi="Arial"/>
          <w:sz w:val="20"/>
          <w:szCs w:val="20"/>
          <w:color w:val="auto"/>
        </w:rPr>
        <w:t>373,635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520"/>
              <w:spacing w:after="0"/>
              <w:rPr>
                <w:sz w:val="20"/>
                <w:szCs w:val="20"/>
                <w:color w:val="auto"/>
              </w:rPr>
            </w:pPr>
            <w:r>
              <w:rPr>
                <w:rFonts w:ascii="Arial" w:cs="Arial" w:eastAsia="Arial" w:hAnsi="Arial"/>
                <w:sz w:val="20"/>
                <w:szCs w:val="20"/>
                <w:b w:val="1"/>
                <w:bCs w:val="1"/>
                <w:color w:val="auto"/>
                <w:w w:val="96"/>
              </w:rPr>
              <w:t>Statements of Income and Comprehensive Income</w:t>
            </w: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5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w w:val="93"/>
              </w:rPr>
              <w:t>(In Thousands)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ind w:right="380"/>
              <w:spacing w:after="0"/>
              <w:rPr>
                <w:sz w:val="20"/>
                <w:szCs w:val="20"/>
                <w:color w:val="auto"/>
              </w:rPr>
            </w:pPr>
            <w:r>
              <w:rPr>
                <w:rFonts w:ascii="Arial" w:cs="Arial" w:eastAsia="Arial" w:hAnsi="Arial"/>
                <w:sz w:val="20"/>
                <w:szCs w:val="20"/>
                <w:color w:val="auto"/>
              </w:rPr>
              <w:t>2025</w:t>
            </w:r>
          </w:p>
        </w:tc>
        <w:tc>
          <w:tcPr>
            <w:tcW w:w="340" w:type="dxa"/>
            <w:vAlign w:val="bottom"/>
          </w:tcPr>
          <w:p>
            <w:pPr>
              <w:spacing w:after="0"/>
              <w:rPr>
                <w:sz w:val="24"/>
                <w:szCs w:val="24"/>
                <w:color w:val="auto"/>
              </w:rPr>
            </w:pPr>
          </w:p>
        </w:tc>
        <w:tc>
          <w:tcPr>
            <w:tcW w:w="1040" w:type="dxa"/>
            <w:vAlign w:val="bottom"/>
          </w:tcPr>
          <w:p>
            <w:pPr>
              <w:jc w:val="right"/>
              <w:ind w:right="420"/>
              <w:spacing w:after="0"/>
              <w:rPr>
                <w:sz w:val="20"/>
                <w:szCs w:val="20"/>
                <w:color w:val="auto"/>
              </w:rPr>
            </w:pPr>
            <w:r>
              <w:rPr>
                <w:rFonts w:ascii="Arial" w:cs="Arial" w:eastAsia="Arial" w:hAnsi="Arial"/>
                <w:sz w:val="20"/>
                <w:szCs w:val="20"/>
                <w:color w:val="auto"/>
              </w:rPr>
              <w:t>2024</w:t>
            </w:r>
          </w:p>
        </w:tc>
        <w:tc>
          <w:tcPr>
            <w:tcW w:w="300" w:type="dxa"/>
            <w:vAlign w:val="bottom"/>
          </w:tcPr>
          <w:p>
            <w:pPr>
              <w:spacing w:after="0"/>
              <w:rPr>
                <w:sz w:val="24"/>
                <w:szCs w:val="24"/>
                <w:color w:val="auto"/>
              </w:rPr>
            </w:pPr>
          </w:p>
        </w:tc>
        <w:tc>
          <w:tcPr>
            <w:tcW w:w="1000" w:type="dxa"/>
            <w:vAlign w:val="bottom"/>
          </w:tcPr>
          <w:p>
            <w:pPr>
              <w:jc w:val="right"/>
              <w:ind w:right="380"/>
              <w:spacing w:after="0"/>
              <w:rPr>
                <w:sz w:val="20"/>
                <w:szCs w:val="20"/>
                <w:color w:val="auto"/>
              </w:rPr>
            </w:pPr>
            <w:r>
              <w:rPr>
                <w:rFonts w:ascii="Arial" w:cs="Arial" w:eastAsia="Arial" w:hAnsi="Arial"/>
                <w:sz w:val="20"/>
                <w:szCs w:val="20"/>
                <w:color w:val="auto"/>
              </w:rPr>
              <w:t>2023</w:t>
            </w:r>
          </w:p>
        </w:tc>
        <w:tc>
          <w:tcPr>
            <w:tcW w:w="0" w:type="dxa"/>
            <w:vAlign w:val="bottom"/>
          </w:tcPr>
          <w:p>
            <w:pPr>
              <w:spacing w:after="0"/>
              <w:rPr>
                <w:sz w:val="1"/>
                <w:szCs w:val="1"/>
                <w:color w:val="auto"/>
              </w:rPr>
            </w:pPr>
          </w:p>
        </w:tc>
      </w:tr>
      <w:tr>
        <w:trPr>
          <w:trHeight w:val="51"/>
        </w:trPr>
        <w:tc>
          <w:tcPr>
            <w:tcW w:w="5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Income</w:t>
            </w:r>
          </w:p>
        </w:tc>
        <w:tc>
          <w:tcPr>
            <w:tcW w:w="5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160" w:type="dxa"/>
            <w:vAlign w:val="bottom"/>
          </w:tcPr>
          <w:p>
            <w:pPr>
              <w:ind w:left="100"/>
              <w:spacing w:after="0"/>
              <w:rPr>
                <w:sz w:val="20"/>
                <w:szCs w:val="20"/>
                <w:color w:val="auto"/>
              </w:rPr>
            </w:pPr>
            <w:r>
              <w:rPr>
                <w:rFonts w:ascii="Arial" w:cs="Arial" w:eastAsia="Arial" w:hAnsi="Arial"/>
                <w:sz w:val="20"/>
                <w:szCs w:val="20"/>
                <w:color w:val="auto"/>
              </w:rPr>
              <w:t>Dividends from subsidiaries</w:t>
            </w:r>
          </w:p>
        </w:tc>
        <w:tc>
          <w:tcPr>
            <w:tcW w:w="5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13,700</w:t>
            </w:r>
          </w:p>
        </w:tc>
        <w:tc>
          <w:tcPr>
            <w:tcW w:w="3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12,100</w:t>
            </w:r>
          </w:p>
        </w:tc>
        <w:tc>
          <w:tcPr>
            <w:tcW w:w="3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7,500</w:t>
            </w: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51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Distributed earnings of dissolved subsidiary</w:t>
            </w:r>
          </w:p>
        </w:tc>
        <w:tc>
          <w:tcPr>
            <w:tcW w:w="5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1,005</w:t>
            </w:r>
          </w:p>
        </w:tc>
        <w:tc>
          <w:tcPr>
            <w:tcW w:w="0" w:type="dxa"/>
            <w:vAlign w:val="bottom"/>
          </w:tcPr>
          <w:p>
            <w:pPr>
              <w:spacing w:after="0"/>
              <w:rPr>
                <w:sz w:val="1"/>
                <w:szCs w:val="1"/>
                <w:color w:val="auto"/>
              </w:rPr>
            </w:pPr>
          </w:p>
        </w:tc>
      </w:tr>
      <w:tr>
        <w:trPr>
          <w:trHeight w:val="274"/>
        </w:trPr>
        <w:tc>
          <w:tcPr>
            <w:tcW w:w="5160" w:type="dxa"/>
            <w:vAlign w:val="bottom"/>
          </w:tcPr>
          <w:p>
            <w:pPr>
              <w:ind w:left="100"/>
              <w:spacing w:after="0"/>
              <w:rPr>
                <w:sz w:val="20"/>
                <w:szCs w:val="20"/>
                <w:color w:val="auto"/>
              </w:rPr>
            </w:pPr>
            <w:r>
              <w:rPr>
                <w:rFonts w:ascii="Arial" w:cs="Arial" w:eastAsia="Arial" w:hAnsi="Arial"/>
                <w:sz w:val="20"/>
                <w:szCs w:val="20"/>
                <w:color w:val="auto"/>
              </w:rPr>
              <w:t>Interest - available-for-sale securities / interest-bearing</w:t>
            </w:r>
          </w:p>
        </w:tc>
        <w:tc>
          <w:tcPr>
            <w:tcW w:w="540" w:type="dxa"/>
            <w:vAlign w:val="bottom"/>
          </w:tcPr>
          <w:p>
            <w:pPr>
              <w:spacing w:after="0"/>
              <w:rPr>
                <w:sz w:val="23"/>
                <w:szCs w:val="23"/>
                <w:color w:val="auto"/>
              </w:rPr>
            </w:pPr>
          </w:p>
        </w:tc>
        <w:tc>
          <w:tcPr>
            <w:tcW w:w="1020" w:type="dxa"/>
            <w:vAlign w:val="bottom"/>
            <w:vMerge w:val="restart"/>
          </w:tcPr>
          <w:p>
            <w:pPr>
              <w:jc w:val="right"/>
              <w:ind w:right="20"/>
              <w:spacing w:after="0"/>
              <w:rPr>
                <w:sz w:val="20"/>
                <w:szCs w:val="20"/>
                <w:color w:val="auto"/>
              </w:rPr>
            </w:pPr>
            <w:r>
              <w:rPr>
                <w:rFonts w:ascii="Arial" w:cs="Arial" w:eastAsia="Arial" w:hAnsi="Arial"/>
                <w:sz w:val="20"/>
                <w:szCs w:val="20"/>
                <w:color w:val="auto"/>
              </w:rPr>
              <w:t>269</w:t>
            </w:r>
          </w:p>
        </w:tc>
        <w:tc>
          <w:tcPr>
            <w:tcW w:w="340" w:type="dxa"/>
            <w:vAlign w:val="bottom"/>
          </w:tcPr>
          <w:p>
            <w:pPr>
              <w:spacing w:after="0"/>
              <w:rPr>
                <w:sz w:val="23"/>
                <w:szCs w:val="23"/>
                <w:color w:val="auto"/>
              </w:rPr>
            </w:pPr>
          </w:p>
        </w:tc>
        <w:tc>
          <w:tcPr>
            <w:tcW w:w="1040" w:type="dxa"/>
            <w:vAlign w:val="bottom"/>
            <w:vMerge w:val="restart"/>
          </w:tcPr>
          <w:p>
            <w:pPr>
              <w:jc w:val="right"/>
              <w:ind w:right="60"/>
              <w:spacing w:after="0"/>
              <w:rPr>
                <w:sz w:val="20"/>
                <w:szCs w:val="20"/>
                <w:color w:val="auto"/>
              </w:rPr>
            </w:pPr>
            <w:r>
              <w:rPr>
                <w:rFonts w:ascii="Arial" w:cs="Arial" w:eastAsia="Arial" w:hAnsi="Arial"/>
                <w:sz w:val="20"/>
                <w:szCs w:val="20"/>
                <w:color w:val="auto"/>
              </w:rPr>
              <w:t>240</w:t>
            </w:r>
          </w:p>
        </w:tc>
        <w:tc>
          <w:tcPr>
            <w:tcW w:w="300" w:type="dxa"/>
            <w:vAlign w:val="bottom"/>
          </w:tcPr>
          <w:p>
            <w:pPr>
              <w:spacing w:after="0"/>
              <w:rPr>
                <w:sz w:val="23"/>
                <w:szCs w:val="23"/>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20"/>
                <w:szCs w:val="20"/>
                <w:color w:val="auto"/>
              </w:rPr>
              <w:t>162</w:t>
            </w:r>
          </w:p>
        </w:tc>
        <w:tc>
          <w:tcPr>
            <w:tcW w:w="0" w:type="dxa"/>
            <w:vAlign w:val="bottom"/>
          </w:tcPr>
          <w:p>
            <w:pPr>
              <w:spacing w:after="0"/>
              <w:rPr>
                <w:sz w:val="1"/>
                <w:szCs w:val="1"/>
                <w:color w:val="auto"/>
              </w:rPr>
            </w:pPr>
          </w:p>
        </w:tc>
      </w:tr>
      <w:tr>
        <w:trPr>
          <w:trHeight w:val="150"/>
        </w:trPr>
        <w:tc>
          <w:tcPr>
            <w:tcW w:w="5160" w:type="dxa"/>
            <w:vAlign w:val="bottom"/>
            <w:vMerge w:val="restart"/>
          </w:tcPr>
          <w:p>
            <w:pPr>
              <w:ind w:left="240"/>
              <w:spacing w:after="0"/>
              <w:rPr>
                <w:sz w:val="20"/>
                <w:szCs w:val="20"/>
                <w:color w:val="auto"/>
              </w:rPr>
            </w:pPr>
            <w:r>
              <w:rPr>
                <w:rFonts w:ascii="Arial" w:cs="Arial" w:eastAsia="Arial" w:hAnsi="Arial"/>
                <w:sz w:val="20"/>
                <w:szCs w:val="20"/>
                <w:color w:val="auto"/>
              </w:rPr>
              <w:t>time deposits</w:t>
            </w:r>
          </w:p>
        </w:tc>
        <w:tc>
          <w:tcPr>
            <w:tcW w:w="5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Noninterest income</w:t>
            </w:r>
          </w:p>
        </w:tc>
        <w:tc>
          <w:tcPr>
            <w:tcW w:w="5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23</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74"/>
        </w:trPr>
        <w:tc>
          <w:tcPr>
            <w:tcW w:w="5160" w:type="dxa"/>
            <w:vAlign w:val="bottom"/>
          </w:tcPr>
          <w:p>
            <w:pPr>
              <w:ind w:left="200"/>
              <w:spacing w:after="0"/>
              <w:rPr>
                <w:sz w:val="20"/>
                <w:szCs w:val="20"/>
                <w:color w:val="auto"/>
              </w:rPr>
            </w:pPr>
            <w:r>
              <w:rPr>
                <w:rFonts w:ascii="Arial" w:cs="Arial" w:eastAsia="Arial" w:hAnsi="Arial"/>
                <w:sz w:val="20"/>
                <w:szCs w:val="20"/>
                <w:color w:val="auto"/>
              </w:rPr>
              <w:t>Total income</w:t>
            </w:r>
          </w:p>
        </w:tc>
        <w:tc>
          <w:tcPr>
            <w:tcW w:w="5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13,969</w:t>
            </w:r>
          </w:p>
        </w:tc>
        <w:tc>
          <w:tcPr>
            <w:tcW w:w="34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12,363</w:t>
            </w:r>
          </w:p>
        </w:tc>
        <w:tc>
          <w:tcPr>
            <w:tcW w:w="30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8,671</w:t>
            </w: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Expenses</w:t>
            </w:r>
          </w:p>
        </w:tc>
        <w:tc>
          <w:tcPr>
            <w:tcW w:w="5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160" w:type="dxa"/>
            <w:vAlign w:val="bottom"/>
          </w:tcPr>
          <w:p>
            <w:pPr>
              <w:ind w:left="100"/>
              <w:spacing w:after="0"/>
              <w:rPr>
                <w:sz w:val="20"/>
                <w:szCs w:val="20"/>
                <w:color w:val="auto"/>
              </w:rPr>
            </w:pPr>
            <w:r>
              <w:rPr>
                <w:rFonts w:ascii="Arial" w:cs="Arial" w:eastAsia="Arial" w:hAnsi="Arial"/>
                <w:sz w:val="20"/>
                <w:szCs w:val="20"/>
                <w:color w:val="auto"/>
              </w:rPr>
              <w:t>Interest expense</w:t>
            </w:r>
          </w:p>
        </w:tc>
        <w:tc>
          <w:tcPr>
            <w:tcW w:w="5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1,138</w:t>
            </w:r>
          </w:p>
        </w:tc>
        <w:tc>
          <w:tcPr>
            <w:tcW w:w="34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1,138</w:t>
            </w:r>
          </w:p>
        </w:tc>
        <w:tc>
          <w:tcPr>
            <w:tcW w:w="30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1,258</w:t>
            </w: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Operating expenses</w:t>
            </w:r>
          </w:p>
        </w:tc>
        <w:tc>
          <w:tcPr>
            <w:tcW w:w="5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1,203</w:t>
            </w: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1,178</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1,143</w:t>
            </w:r>
          </w:p>
        </w:tc>
        <w:tc>
          <w:tcPr>
            <w:tcW w:w="0" w:type="dxa"/>
            <w:vAlign w:val="bottom"/>
          </w:tcPr>
          <w:p>
            <w:pPr>
              <w:spacing w:after="0"/>
              <w:rPr>
                <w:sz w:val="1"/>
                <w:szCs w:val="1"/>
                <w:color w:val="auto"/>
              </w:rPr>
            </w:pPr>
          </w:p>
        </w:tc>
      </w:tr>
      <w:tr>
        <w:trPr>
          <w:trHeight w:val="279"/>
        </w:trPr>
        <w:tc>
          <w:tcPr>
            <w:tcW w:w="5160" w:type="dxa"/>
            <w:vAlign w:val="bottom"/>
          </w:tcPr>
          <w:p>
            <w:pPr>
              <w:ind w:left="200"/>
              <w:spacing w:after="0"/>
              <w:rPr>
                <w:sz w:val="20"/>
                <w:szCs w:val="20"/>
                <w:color w:val="auto"/>
              </w:rPr>
            </w:pPr>
            <w:r>
              <w:rPr>
                <w:rFonts w:ascii="Arial" w:cs="Arial" w:eastAsia="Arial" w:hAnsi="Arial"/>
                <w:sz w:val="20"/>
                <w:szCs w:val="20"/>
                <w:color w:val="auto"/>
              </w:rPr>
              <w:t>Total expenses</w:t>
            </w:r>
          </w:p>
        </w:tc>
        <w:tc>
          <w:tcPr>
            <w:tcW w:w="54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2,341</w:t>
            </w:r>
          </w:p>
        </w:tc>
        <w:tc>
          <w:tcPr>
            <w:tcW w:w="34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2,316</w:t>
            </w:r>
          </w:p>
        </w:tc>
        <w:tc>
          <w:tcPr>
            <w:tcW w:w="30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2,401</w:t>
            </w:r>
          </w:p>
        </w:tc>
        <w:tc>
          <w:tcPr>
            <w:tcW w:w="0" w:type="dxa"/>
            <w:vAlign w:val="bottom"/>
          </w:tcPr>
          <w:p>
            <w:pPr>
              <w:spacing w:after="0"/>
              <w:rPr>
                <w:sz w:val="1"/>
                <w:szCs w:val="1"/>
                <w:color w:val="auto"/>
              </w:rPr>
            </w:pPr>
          </w:p>
        </w:tc>
      </w:tr>
      <w:tr>
        <w:trPr>
          <w:trHeight w:val="46"/>
        </w:trPr>
        <w:tc>
          <w:tcPr>
            <w:tcW w:w="5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516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160" w:type="dxa"/>
            <w:vAlign w:val="bottom"/>
          </w:tcPr>
          <w:p>
            <w:pPr>
              <w:spacing w:after="0"/>
              <w:rPr>
                <w:sz w:val="20"/>
                <w:szCs w:val="20"/>
                <w:color w:val="auto"/>
              </w:rPr>
            </w:pPr>
            <w:r>
              <w:rPr>
                <w:rFonts w:ascii="Arial" w:cs="Arial" w:eastAsia="Arial" w:hAnsi="Arial"/>
                <w:sz w:val="20"/>
                <w:szCs w:val="20"/>
                <w:b w:val="1"/>
                <w:bCs w:val="1"/>
                <w:color w:val="auto"/>
              </w:rPr>
              <w:t>Income Before Income Taxes and Equity in</w:t>
            </w:r>
          </w:p>
        </w:tc>
        <w:tc>
          <w:tcPr>
            <w:tcW w:w="5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5160" w:type="dxa"/>
            <w:vAlign w:val="bottom"/>
          </w:tcPr>
          <w:p>
            <w:pPr>
              <w:ind w:left="140"/>
              <w:spacing w:after="0"/>
              <w:rPr>
                <w:sz w:val="20"/>
                <w:szCs w:val="20"/>
                <w:color w:val="auto"/>
              </w:rPr>
            </w:pPr>
            <w:r>
              <w:rPr>
                <w:rFonts w:ascii="Arial" w:cs="Arial" w:eastAsia="Arial" w:hAnsi="Arial"/>
                <w:sz w:val="20"/>
                <w:szCs w:val="20"/>
                <w:b w:val="1"/>
                <w:bCs w:val="1"/>
                <w:color w:val="auto"/>
              </w:rPr>
              <w:t>Undistributed Earnings of Subsidiaries</w:t>
            </w:r>
          </w:p>
        </w:tc>
        <w:tc>
          <w:tcPr>
            <w:tcW w:w="54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11,628</w:t>
            </w:r>
          </w:p>
        </w:tc>
        <w:tc>
          <w:tcPr>
            <w:tcW w:w="34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10,047</w:t>
            </w:r>
          </w:p>
        </w:tc>
        <w:tc>
          <w:tcPr>
            <w:tcW w:w="30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6,270</w:t>
            </w: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Income Tax Benefit</w:t>
            </w:r>
          </w:p>
        </w:tc>
        <w:tc>
          <w:tcPr>
            <w:tcW w:w="5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(453)</w:t>
            </w: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(452)</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(495)</w:t>
            </w:r>
          </w:p>
        </w:tc>
        <w:tc>
          <w:tcPr>
            <w:tcW w:w="0" w:type="dxa"/>
            <w:vAlign w:val="bottom"/>
          </w:tcPr>
          <w:p>
            <w:pPr>
              <w:spacing w:after="0"/>
              <w:rPr>
                <w:sz w:val="1"/>
                <w:szCs w:val="1"/>
                <w:color w:val="auto"/>
              </w:rPr>
            </w:pPr>
          </w:p>
        </w:tc>
      </w:tr>
      <w:tr>
        <w:trPr>
          <w:trHeight w:val="274"/>
        </w:trPr>
        <w:tc>
          <w:tcPr>
            <w:tcW w:w="5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12,081</w:t>
            </w:r>
          </w:p>
        </w:tc>
        <w:tc>
          <w:tcPr>
            <w:tcW w:w="34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10,499</w:t>
            </w:r>
          </w:p>
        </w:tc>
        <w:tc>
          <w:tcPr>
            <w:tcW w:w="30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6,765</w:t>
            </w: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Equity in undistributed earnings of subsidiaries</w:t>
            </w:r>
          </w:p>
        </w:tc>
        <w:tc>
          <w:tcPr>
            <w:tcW w:w="5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21,228</w:t>
            </w: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15,439</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16,022</w:t>
            </w:r>
          </w:p>
        </w:tc>
        <w:tc>
          <w:tcPr>
            <w:tcW w:w="0" w:type="dxa"/>
            <w:vAlign w:val="bottom"/>
          </w:tcPr>
          <w:p>
            <w:pPr>
              <w:spacing w:after="0"/>
              <w:rPr>
                <w:sz w:val="1"/>
                <w:szCs w:val="1"/>
                <w:color w:val="auto"/>
              </w:rPr>
            </w:pPr>
          </w:p>
        </w:tc>
      </w:tr>
      <w:tr>
        <w:trPr>
          <w:trHeight w:val="279"/>
        </w:trPr>
        <w:tc>
          <w:tcPr>
            <w:tcW w:w="5160" w:type="dxa"/>
            <w:vAlign w:val="bottom"/>
          </w:tcPr>
          <w:p>
            <w:pPr>
              <w:spacing w:after="0"/>
              <w:rPr>
                <w:sz w:val="20"/>
                <w:szCs w:val="20"/>
                <w:color w:val="auto"/>
              </w:rPr>
            </w:pPr>
            <w:r>
              <w:rPr>
                <w:rFonts w:ascii="Arial" w:cs="Arial" w:eastAsia="Arial" w:hAnsi="Arial"/>
                <w:sz w:val="20"/>
                <w:szCs w:val="20"/>
                <w:b w:val="1"/>
                <w:bCs w:val="1"/>
                <w:color w:val="auto"/>
              </w:rPr>
              <w:t>Net Income</w:t>
            </w:r>
          </w:p>
        </w:tc>
        <w:tc>
          <w:tcPr>
            <w:tcW w:w="54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33,309</w:t>
            </w:r>
          </w:p>
        </w:tc>
        <w:tc>
          <w:tcPr>
            <w:tcW w:w="34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25,938</w:t>
            </w:r>
          </w:p>
        </w:tc>
        <w:tc>
          <w:tcPr>
            <w:tcW w:w="30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22,787</w:t>
            </w:r>
          </w:p>
        </w:tc>
        <w:tc>
          <w:tcPr>
            <w:tcW w:w="0" w:type="dxa"/>
            <w:vAlign w:val="bottom"/>
          </w:tcPr>
          <w:p>
            <w:pPr>
              <w:spacing w:after="0"/>
              <w:rPr>
                <w:sz w:val="1"/>
                <w:szCs w:val="1"/>
                <w:color w:val="auto"/>
              </w:rPr>
            </w:pPr>
          </w:p>
        </w:tc>
      </w:tr>
      <w:tr>
        <w:trPr>
          <w:trHeight w:val="46"/>
        </w:trPr>
        <w:tc>
          <w:tcPr>
            <w:tcW w:w="5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Other Comprehensive Income:</w:t>
            </w:r>
          </w:p>
        </w:tc>
        <w:tc>
          <w:tcPr>
            <w:tcW w:w="5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60" w:type="dxa"/>
            <w:vAlign w:val="bottom"/>
          </w:tcPr>
          <w:p>
            <w:pPr>
              <w:ind w:left="100"/>
              <w:spacing w:after="0"/>
              <w:rPr>
                <w:sz w:val="20"/>
                <w:szCs w:val="20"/>
                <w:color w:val="auto"/>
              </w:rPr>
            </w:pPr>
            <w:r>
              <w:rPr>
                <w:rFonts w:ascii="Arial" w:cs="Arial" w:eastAsia="Arial" w:hAnsi="Arial"/>
                <w:sz w:val="20"/>
                <w:szCs w:val="20"/>
                <w:color w:val="auto"/>
              </w:rPr>
              <w:t>Unrealized gains on securities, net of taxes</w:t>
            </w:r>
          </w:p>
        </w:tc>
        <w:tc>
          <w:tcPr>
            <w:tcW w:w="54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13,335</w:t>
            </w:r>
          </w:p>
        </w:tc>
        <w:tc>
          <w:tcPr>
            <w:tcW w:w="34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3,789</w:t>
            </w:r>
          </w:p>
        </w:tc>
        <w:tc>
          <w:tcPr>
            <w:tcW w:w="30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9,221</w:t>
            </w: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9"/>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Comprehensive Income</w:t>
            </w:r>
          </w:p>
        </w:tc>
        <w:tc>
          <w:tcPr>
            <w:tcW w:w="5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46,644</w:t>
            </w:r>
          </w:p>
        </w:tc>
        <w:tc>
          <w:tcPr>
            <w:tcW w:w="3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29,727</w:t>
            </w:r>
          </w:p>
        </w:tc>
        <w:tc>
          <w:tcPr>
            <w:tcW w:w="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32,008</w:t>
            </w:r>
          </w:p>
        </w:tc>
        <w:tc>
          <w:tcPr>
            <w:tcW w:w="0" w:type="dxa"/>
            <w:vAlign w:val="bottom"/>
          </w:tcPr>
          <w:p>
            <w:pPr>
              <w:spacing w:after="0"/>
              <w:rPr>
                <w:sz w:val="1"/>
                <w:szCs w:val="1"/>
                <w:color w:val="auto"/>
              </w:rPr>
            </w:pPr>
          </w:p>
        </w:tc>
      </w:tr>
      <w:tr>
        <w:trPr>
          <w:trHeight w:val="799"/>
        </w:trPr>
        <w:tc>
          <w:tcPr>
            <w:tcW w:w="5160" w:type="dxa"/>
            <w:vAlign w:val="bottom"/>
          </w:tcPr>
          <w:p>
            <w:pPr>
              <w:ind w:left="4540"/>
              <w:spacing w:after="0"/>
              <w:rPr>
                <w:sz w:val="20"/>
                <w:szCs w:val="20"/>
                <w:color w:val="auto"/>
              </w:rPr>
            </w:pPr>
            <w:r>
              <w:rPr>
                <w:rFonts w:ascii="Arial" w:cs="Arial" w:eastAsia="Arial" w:hAnsi="Arial"/>
                <w:sz w:val="20"/>
                <w:szCs w:val="20"/>
                <w:color w:val="auto"/>
              </w:rPr>
              <w:t>115</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516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-5544820</wp:posOffset>
            </wp:positionV>
            <wp:extent cx="2423160" cy="63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3">
                      <a:extLst>
                        <a:ext uri="{28A0092B-C50C-407E-A947-70E740481C1C}"/>
                      </a:extLst>
                    </a:blip>
                    <a:srcRect/>
                    <a:stretch>
                      <a:fillRect/>
                    </a:stretch>
                  </pic:blipFill>
                  <pic:spPr bwMode="auto">
                    <a:xfrm>
                      <a:off x="0" y="0"/>
                      <a:ext cx="2423160" cy="635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-5339080</wp:posOffset>
            </wp:positionV>
            <wp:extent cx="2423160" cy="63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4">
                      <a:extLst>
                        <a:ext uri="{28A0092B-C50C-407E-A947-70E740481C1C}"/>
                      </a:extLst>
                    </a:blip>
                    <a:srcRect/>
                    <a:stretch>
                      <a:fillRect/>
                    </a:stretch>
                  </pic:blipFill>
                  <pic:spPr bwMode="auto">
                    <a:xfrm>
                      <a:off x="0" y="0"/>
                      <a:ext cx="2423160" cy="635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-4144010</wp:posOffset>
            </wp:positionV>
            <wp:extent cx="2482215" cy="63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5">
                      <a:extLst>
                        <a:ext uri="{28A0092B-C50C-407E-A947-70E740481C1C}"/>
                      </a:extLst>
                    </a:blip>
                    <a:srcRect/>
                    <a:stretch>
                      <a:fillRect/>
                    </a:stretch>
                  </pic:blipFill>
                  <pic:spPr bwMode="auto">
                    <a:xfrm>
                      <a:off x="0" y="0"/>
                      <a:ext cx="2482215" cy="635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-3338830</wp:posOffset>
            </wp:positionV>
            <wp:extent cx="2482215" cy="63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6">
                      <a:extLst>
                        <a:ext uri="{28A0092B-C50C-407E-A947-70E740481C1C}"/>
                      </a:extLst>
                    </a:blip>
                    <a:srcRect/>
                    <a:stretch>
                      <a:fillRect/>
                    </a:stretch>
                  </pic:blipFill>
                  <pic:spPr bwMode="auto">
                    <a:xfrm>
                      <a:off x="0" y="0"/>
                      <a:ext cx="2482215" cy="635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-3133090</wp:posOffset>
            </wp:positionV>
            <wp:extent cx="2423160" cy="63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7">
                      <a:extLst>
                        <a:ext uri="{28A0092B-C50C-407E-A947-70E740481C1C}"/>
                      </a:extLst>
                    </a:blip>
                    <a:srcRect/>
                    <a:stretch>
                      <a:fillRect/>
                    </a:stretch>
                  </pic:blipFill>
                  <pic:spPr bwMode="auto">
                    <a:xfrm>
                      <a:off x="0" y="0"/>
                      <a:ext cx="2423160" cy="635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-2336800</wp:posOffset>
            </wp:positionV>
            <wp:extent cx="2482215" cy="63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68">
                      <a:extLst>
                        <a:ext uri="{28A0092B-C50C-407E-A947-70E740481C1C}"/>
                      </a:extLst>
                    </a:blip>
                    <a:srcRect/>
                    <a:stretch>
                      <a:fillRect/>
                    </a:stretch>
                  </pic:blipFill>
                  <pic:spPr bwMode="auto">
                    <a:xfrm>
                      <a:off x="0" y="0"/>
                      <a:ext cx="2482215" cy="635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-1931670</wp:posOffset>
            </wp:positionV>
            <wp:extent cx="2482215" cy="63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69">
                      <a:extLst>
                        <a:ext uri="{28A0092B-C50C-407E-A947-70E740481C1C}"/>
                      </a:extLst>
                    </a:blip>
                    <a:srcRect/>
                    <a:stretch>
                      <a:fillRect/>
                    </a:stretch>
                  </pic:blipFill>
                  <pic:spPr bwMode="auto">
                    <a:xfrm>
                      <a:off x="0" y="0"/>
                      <a:ext cx="2482215" cy="635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-1725295</wp:posOffset>
            </wp:positionV>
            <wp:extent cx="2423160" cy="63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0">
                      <a:extLst>
                        <a:ext uri="{28A0092B-C50C-407E-A947-70E740481C1C}"/>
                      </a:extLst>
                    </a:blip>
                    <a:srcRect/>
                    <a:stretch>
                      <a:fillRect/>
                    </a:stretch>
                  </pic:blipFill>
                  <pic:spPr bwMode="auto">
                    <a:xfrm>
                      <a:off x="0" y="0"/>
                      <a:ext cx="2423160" cy="635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-1319530</wp:posOffset>
            </wp:positionV>
            <wp:extent cx="2423160" cy="63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1">
                      <a:extLst>
                        <a:ext uri="{28A0092B-C50C-407E-A947-70E740481C1C}"/>
                      </a:extLst>
                    </a:blip>
                    <a:srcRect/>
                    <a:stretch>
                      <a:fillRect/>
                    </a:stretch>
                  </pic:blipFill>
                  <pic:spPr bwMode="auto">
                    <a:xfrm>
                      <a:off x="0" y="0"/>
                      <a:ext cx="2423160" cy="635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-1113790</wp:posOffset>
            </wp:positionV>
            <wp:extent cx="2482215" cy="2857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2">
                      <a:extLst>
                        <a:ext uri="{28A0092B-C50C-407E-A947-70E740481C1C}"/>
                      </a:extLst>
                    </a:blip>
                    <a:srcRect/>
                    <a:stretch>
                      <a:fillRect/>
                    </a:stretch>
                  </pic:blipFill>
                  <pic:spPr bwMode="auto">
                    <a:xfrm>
                      <a:off x="0" y="0"/>
                      <a:ext cx="2482215"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3">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4">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45</w:t>
      </w:r>
    </w:p>
    <w:p>
      <w:pPr>
        <w:sectPr>
          <w:pgSz w:w="11900" w:h="16838" w:orient="portrait"/>
          <w:cols w:equalWidth="0" w:num="1">
            <w:col w:w="9400"/>
          </w:cols>
          <w:pgMar w:left="1260" w:top="1163" w:right="1246" w:bottom="0" w:gutter="0" w:footer="0" w:header="0"/>
          <w:type w:val="continuous"/>
        </w:sectPr>
      </w:pPr>
    </w:p>
    <w:bookmarkStart w:id="239" w:name="page240"/>
    <w:bookmarkEnd w:id="239"/>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ind w:left="1560"/>
              <w:spacing w:after="0"/>
              <w:rPr>
                <w:sz w:val="20"/>
                <w:szCs w:val="20"/>
                <w:color w:val="auto"/>
              </w:rPr>
            </w:pPr>
            <w:r>
              <w:rPr>
                <w:rFonts w:ascii="Arial" w:cs="Arial" w:eastAsia="Arial" w:hAnsi="Arial"/>
                <w:sz w:val="20"/>
                <w:szCs w:val="20"/>
                <w:b w:val="1"/>
                <w:bCs w:val="1"/>
                <w:color w:val="auto"/>
              </w:rPr>
              <w:t>Statements of Cash Flows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14"/>
        </w:trPr>
        <w:tc>
          <w:tcPr>
            <w:tcW w:w="5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w w:val="93"/>
              </w:rPr>
              <w:t>(In Thousands)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4"/>
        </w:trPr>
        <w:tc>
          <w:tcPr>
            <w:tcW w:w="5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ind w:right="380"/>
              <w:spacing w:after="0"/>
              <w:rPr>
                <w:sz w:val="20"/>
                <w:szCs w:val="20"/>
                <w:color w:val="auto"/>
              </w:rPr>
            </w:pPr>
            <w:r>
              <w:rPr>
                <w:rFonts w:ascii="Arial" w:cs="Arial" w:eastAsia="Arial" w:hAnsi="Arial"/>
                <w:sz w:val="20"/>
                <w:szCs w:val="20"/>
                <w:color w:val="auto"/>
              </w:rPr>
              <w:t>2025</w:t>
            </w:r>
          </w:p>
        </w:tc>
        <w:tc>
          <w:tcPr>
            <w:tcW w:w="340" w:type="dxa"/>
            <w:vAlign w:val="bottom"/>
          </w:tcPr>
          <w:p>
            <w:pPr>
              <w:spacing w:after="0"/>
              <w:rPr>
                <w:sz w:val="24"/>
                <w:szCs w:val="24"/>
                <w:color w:val="auto"/>
              </w:rPr>
            </w:pPr>
          </w:p>
        </w:tc>
        <w:tc>
          <w:tcPr>
            <w:tcW w:w="1040" w:type="dxa"/>
            <w:vAlign w:val="bottom"/>
          </w:tcPr>
          <w:p>
            <w:pPr>
              <w:jc w:val="right"/>
              <w:ind w:right="420"/>
              <w:spacing w:after="0"/>
              <w:rPr>
                <w:sz w:val="20"/>
                <w:szCs w:val="20"/>
                <w:color w:val="auto"/>
              </w:rPr>
            </w:pPr>
            <w:r>
              <w:rPr>
                <w:rFonts w:ascii="Arial" w:cs="Arial" w:eastAsia="Arial" w:hAnsi="Arial"/>
                <w:sz w:val="20"/>
                <w:szCs w:val="20"/>
                <w:color w:val="auto"/>
              </w:rPr>
              <w:t>2024</w:t>
            </w:r>
          </w:p>
        </w:tc>
        <w:tc>
          <w:tcPr>
            <w:tcW w:w="300" w:type="dxa"/>
            <w:vAlign w:val="bottom"/>
          </w:tcPr>
          <w:p>
            <w:pPr>
              <w:spacing w:after="0"/>
              <w:rPr>
                <w:sz w:val="24"/>
                <w:szCs w:val="24"/>
                <w:color w:val="auto"/>
              </w:rPr>
            </w:pPr>
          </w:p>
        </w:tc>
        <w:tc>
          <w:tcPr>
            <w:tcW w:w="1000" w:type="dxa"/>
            <w:vAlign w:val="bottom"/>
          </w:tcPr>
          <w:p>
            <w:pPr>
              <w:jc w:val="right"/>
              <w:ind w:right="380"/>
              <w:spacing w:after="0"/>
              <w:rPr>
                <w:sz w:val="20"/>
                <w:szCs w:val="20"/>
                <w:color w:val="auto"/>
              </w:rPr>
            </w:pPr>
            <w:r>
              <w:rPr>
                <w:rFonts w:ascii="Arial" w:cs="Arial" w:eastAsia="Arial" w:hAnsi="Arial"/>
                <w:sz w:val="20"/>
                <w:szCs w:val="20"/>
                <w:color w:val="auto"/>
              </w:rPr>
              <w:t>2023</w:t>
            </w:r>
          </w:p>
        </w:tc>
      </w:tr>
      <w:tr>
        <w:trPr>
          <w:trHeight w:val="51"/>
        </w:trPr>
        <w:tc>
          <w:tcPr>
            <w:tcW w:w="5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94"/>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4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r>
      <w:tr>
        <w:trPr>
          <w:trHeight w:val="274"/>
        </w:trPr>
        <w:tc>
          <w:tcPr>
            <w:tcW w:w="5280" w:type="dxa"/>
            <w:vAlign w:val="bottom"/>
          </w:tcPr>
          <w:p>
            <w:pPr>
              <w:ind w:left="100"/>
              <w:spacing w:after="0"/>
              <w:rPr>
                <w:sz w:val="20"/>
                <w:szCs w:val="20"/>
                <w:color w:val="auto"/>
              </w:rPr>
            </w:pPr>
            <w:r>
              <w:rPr>
                <w:rFonts w:ascii="Arial" w:cs="Arial" w:eastAsia="Arial" w:hAnsi="Arial"/>
                <w:sz w:val="20"/>
                <w:szCs w:val="20"/>
                <w:color w:val="auto"/>
              </w:rPr>
              <w:t>Net income</w:t>
            </w:r>
          </w:p>
        </w:tc>
        <w:tc>
          <w:tcPr>
            <w:tcW w:w="4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0"/>
              <w:spacing w:after="0"/>
              <w:rPr>
                <w:sz w:val="20"/>
                <w:szCs w:val="20"/>
                <w:color w:val="auto"/>
              </w:rPr>
            </w:pPr>
            <w:r>
              <w:rPr>
                <w:rFonts w:ascii="Arial" w:cs="Arial" w:eastAsia="Arial" w:hAnsi="Arial"/>
                <w:sz w:val="20"/>
                <w:szCs w:val="20"/>
                <w:color w:val="auto"/>
              </w:rPr>
              <w:t>33,309</w:t>
            </w:r>
          </w:p>
        </w:tc>
        <w:tc>
          <w:tcPr>
            <w:tcW w:w="3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25,938</w:t>
            </w:r>
          </w:p>
        </w:tc>
        <w:tc>
          <w:tcPr>
            <w:tcW w:w="3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22,787</w:t>
            </w:r>
          </w:p>
        </w:tc>
      </w:tr>
      <w:tr>
        <w:trPr>
          <w:trHeight w:val="41"/>
        </w:trPr>
        <w:tc>
          <w:tcPr>
            <w:tcW w:w="5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4"/>
        </w:trPr>
        <w:tc>
          <w:tcPr>
            <w:tcW w:w="5280" w:type="dxa"/>
            <w:vAlign w:val="bottom"/>
            <w:shd w:val="clear" w:color="auto" w:fill="CFF0FC"/>
          </w:tcPr>
          <w:p>
            <w:pPr>
              <w:ind w:left="100"/>
              <w:spacing w:after="0"/>
              <w:rPr>
                <w:sz w:val="20"/>
                <w:szCs w:val="20"/>
                <w:color w:val="auto"/>
              </w:rPr>
            </w:pPr>
            <w:r>
              <w:rPr>
                <w:rFonts w:ascii="Arial" w:cs="Arial" w:eastAsia="Arial" w:hAnsi="Arial"/>
                <w:sz w:val="20"/>
                <w:szCs w:val="20"/>
                <w:color w:val="auto"/>
              </w:rPr>
              <w:t>Adjustments to reconcile net income to net cash</w:t>
            </w:r>
          </w:p>
        </w:tc>
        <w:tc>
          <w:tcPr>
            <w:tcW w:w="42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r>
      <w:tr>
        <w:trPr>
          <w:trHeight w:val="321"/>
        </w:trPr>
        <w:tc>
          <w:tcPr>
            <w:tcW w:w="52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provided by operating activities:</w:t>
            </w:r>
          </w:p>
        </w:tc>
        <w:tc>
          <w:tcPr>
            <w:tcW w:w="4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r>
      <w:tr>
        <w:trPr>
          <w:trHeight w:val="274"/>
        </w:trPr>
        <w:tc>
          <w:tcPr>
            <w:tcW w:w="5280" w:type="dxa"/>
            <w:vAlign w:val="bottom"/>
          </w:tcPr>
          <w:p>
            <w:pPr>
              <w:ind w:left="100"/>
              <w:spacing w:after="0"/>
              <w:rPr>
                <w:sz w:val="20"/>
                <w:szCs w:val="20"/>
                <w:color w:val="auto"/>
              </w:rPr>
            </w:pPr>
            <w:r>
              <w:rPr>
                <w:rFonts w:ascii="Arial" w:cs="Arial" w:eastAsia="Arial" w:hAnsi="Arial"/>
                <w:sz w:val="20"/>
                <w:szCs w:val="20"/>
                <w:color w:val="auto"/>
              </w:rPr>
              <w:t>Equity in undistributed earnings of subsidiaries</w:t>
            </w: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(21,228)</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(15,439)</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(16,022)</w:t>
            </w:r>
          </w:p>
        </w:tc>
      </w:tr>
      <w:tr>
        <w:trPr>
          <w:trHeight w:val="41"/>
        </w:trPr>
        <w:tc>
          <w:tcPr>
            <w:tcW w:w="5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52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w w:val="95"/>
              </w:rPr>
              <w:t>Amortization of premiums on available-for-sale securities, net</w:t>
            </w:r>
          </w:p>
        </w:tc>
        <w:tc>
          <w:tcPr>
            <w:tcW w:w="4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(49)</w:t>
            </w: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13</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29</w:t>
            </w:r>
          </w:p>
        </w:tc>
      </w:tr>
      <w:tr>
        <w:trPr>
          <w:trHeight w:val="274"/>
        </w:trPr>
        <w:tc>
          <w:tcPr>
            <w:tcW w:w="5280" w:type="dxa"/>
            <w:vAlign w:val="bottom"/>
          </w:tcPr>
          <w:p>
            <w:pPr>
              <w:ind w:left="100"/>
              <w:spacing w:after="0"/>
              <w:rPr>
                <w:sz w:val="20"/>
                <w:szCs w:val="20"/>
                <w:color w:val="auto"/>
              </w:rPr>
            </w:pPr>
            <w:r>
              <w:rPr>
                <w:rFonts w:ascii="Arial" w:cs="Arial" w:eastAsia="Arial" w:hAnsi="Arial"/>
                <w:sz w:val="20"/>
                <w:szCs w:val="20"/>
                <w:color w:val="auto"/>
              </w:rPr>
              <w:t>Amortization of subordinated notes issuance fees</w:t>
            </w:r>
          </w:p>
        </w:tc>
        <w:tc>
          <w:tcPr>
            <w:tcW w:w="42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20"/>
                <w:szCs w:val="20"/>
                <w:color w:val="auto"/>
              </w:rPr>
              <w:t>115</w:t>
            </w:r>
          </w:p>
        </w:tc>
        <w:tc>
          <w:tcPr>
            <w:tcW w:w="34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116</w:t>
            </w:r>
          </w:p>
        </w:tc>
        <w:tc>
          <w:tcPr>
            <w:tcW w:w="30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116</w:t>
            </w:r>
          </w:p>
        </w:tc>
      </w:tr>
      <w:tr>
        <w:trPr>
          <w:trHeight w:val="41"/>
        </w:trPr>
        <w:tc>
          <w:tcPr>
            <w:tcW w:w="5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5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Stock-based compensation expense</w:t>
            </w:r>
          </w:p>
        </w:tc>
        <w:tc>
          <w:tcPr>
            <w:tcW w:w="4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1,394</w:t>
            </w: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1,361</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1,281</w:t>
            </w:r>
          </w:p>
        </w:tc>
      </w:tr>
      <w:tr>
        <w:trPr>
          <w:trHeight w:val="274"/>
        </w:trPr>
        <w:tc>
          <w:tcPr>
            <w:tcW w:w="5280" w:type="dxa"/>
            <w:vAlign w:val="bottom"/>
          </w:tcPr>
          <w:p>
            <w:pPr>
              <w:ind w:left="100"/>
              <w:spacing w:after="0"/>
              <w:rPr>
                <w:sz w:val="20"/>
                <w:szCs w:val="20"/>
                <w:color w:val="auto"/>
              </w:rPr>
            </w:pPr>
            <w:r>
              <w:rPr>
                <w:rFonts w:ascii="Arial" w:cs="Arial" w:eastAsia="Arial" w:hAnsi="Arial"/>
                <w:sz w:val="20"/>
                <w:szCs w:val="20"/>
                <w:color w:val="auto"/>
              </w:rPr>
              <w:t>Director stock awards</w:t>
            </w:r>
          </w:p>
        </w:tc>
        <w:tc>
          <w:tcPr>
            <w:tcW w:w="42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20"/>
                <w:szCs w:val="20"/>
                <w:color w:val="auto"/>
              </w:rPr>
              <w:t>189</w:t>
            </w:r>
          </w:p>
        </w:tc>
        <w:tc>
          <w:tcPr>
            <w:tcW w:w="34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188</w:t>
            </w:r>
          </w:p>
        </w:tc>
        <w:tc>
          <w:tcPr>
            <w:tcW w:w="30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180</w:t>
            </w:r>
          </w:p>
        </w:tc>
      </w:tr>
      <w:tr>
        <w:trPr>
          <w:trHeight w:val="41"/>
        </w:trPr>
        <w:tc>
          <w:tcPr>
            <w:tcW w:w="5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52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Changes in assets and liabilities:</w:t>
            </w:r>
          </w:p>
        </w:tc>
        <w:tc>
          <w:tcPr>
            <w:tcW w:w="4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r>
      <w:tr>
        <w:trPr>
          <w:trHeight w:val="284"/>
        </w:trPr>
        <w:tc>
          <w:tcPr>
            <w:tcW w:w="5280" w:type="dxa"/>
            <w:vAlign w:val="bottom"/>
          </w:tcPr>
          <w:p>
            <w:pPr>
              <w:ind w:left="200"/>
              <w:spacing w:after="0"/>
              <w:rPr>
                <w:sz w:val="20"/>
                <w:szCs w:val="20"/>
                <w:color w:val="auto"/>
              </w:rPr>
            </w:pPr>
            <w:r>
              <w:rPr>
                <w:rFonts w:ascii="Arial" w:cs="Arial" w:eastAsia="Arial" w:hAnsi="Arial"/>
                <w:sz w:val="20"/>
                <w:szCs w:val="20"/>
                <w:color w:val="auto"/>
              </w:rPr>
              <w:t>Other assets and liabilities</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(380)</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(100)</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(1,981)</w:t>
            </w:r>
          </w:p>
        </w:tc>
      </w:tr>
      <w:tr>
        <w:trPr>
          <w:trHeight w:val="41"/>
        </w:trPr>
        <w:tc>
          <w:tcPr>
            <w:tcW w:w="5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52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Net cash provided by operating activities</w:t>
            </w:r>
          </w:p>
        </w:tc>
        <w:tc>
          <w:tcPr>
            <w:tcW w:w="4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13,350</w:t>
            </w: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12,077</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6,390</w:t>
            </w:r>
          </w:p>
        </w:tc>
      </w:tr>
      <w:tr>
        <w:trPr>
          <w:trHeight w:val="274"/>
        </w:trPr>
        <w:tc>
          <w:tcPr>
            <w:tcW w:w="5280" w:type="dxa"/>
            <w:vAlign w:val="bottom"/>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41"/>
        </w:trPr>
        <w:tc>
          <w:tcPr>
            <w:tcW w:w="5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52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Activity in available-for-sale securities:</w:t>
            </w:r>
          </w:p>
        </w:tc>
        <w:tc>
          <w:tcPr>
            <w:tcW w:w="4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r>
      <w:tr>
        <w:trPr>
          <w:trHeight w:val="274"/>
        </w:trPr>
        <w:tc>
          <w:tcPr>
            <w:tcW w:w="5280" w:type="dxa"/>
            <w:vAlign w:val="bottom"/>
          </w:tcPr>
          <w:p>
            <w:pPr>
              <w:ind w:left="200"/>
              <w:spacing w:after="0"/>
              <w:rPr>
                <w:sz w:val="20"/>
                <w:szCs w:val="20"/>
                <w:color w:val="auto"/>
              </w:rPr>
            </w:pPr>
            <w:r>
              <w:rPr>
                <w:rFonts w:ascii="Arial" w:cs="Arial" w:eastAsia="Arial" w:hAnsi="Arial"/>
                <w:sz w:val="20"/>
                <w:szCs w:val="20"/>
                <w:color w:val="auto"/>
              </w:rPr>
              <w:t>Maturities, prepayments and calls</w:t>
            </w:r>
          </w:p>
        </w:tc>
        <w:tc>
          <w:tcPr>
            <w:tcW w:w="42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20"/>
                <w:szCs w:val="20"/>
                <w:color w:val="auto"/>
              </w:rPr>
              <w:t>855</w:t>
            </w:r>
          </w:p>
        </w:tc>
        <w:tc>
          <w:tcPr>
            <w:tcW w:w="34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1,580</w:t>
            </w:r>
          </w:p>
        </w:tc>
        <w:tc>
          <w:tcPr>
            <w:tcW w:w="30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1,445</w:t>
            </w:r>
          </w:p>
        </w:tc>
      </w:tr>
      <w:tr>
        <w:trPr>
          <w:trHeight w:val="41"/>
        </w:trPr>
        <w:tc>
          <w:tcPr>
            <w:tcW w:w="5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5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Sales</w:t>
            </w:r>
          </w:p>
        </w:tc>
        <w:tc>
          <w:tcPr>
            <w:tcW w:w="4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1,105</w:t>
            </w:r>
          </w:p>
        </w:tc>
      </w:tr>
      <w:tr>
        <w:trPr>
          <w:trHeight w:val="274"/>
        </w:trPr>
        <w:tc>
          <w:tcPr>
            <w:tcW w:w="5280" w:type="dxa"/>
            <w:vAlign w:val="bottom"/>
          </w:tcPr>
          <w:p>
            <w:pPr>
              <w:ind w:left="200"/>
              <w:spacing w:after="0"/>
              <w:rPr>
                <w:sz w:val="20"/>
                <w:szCs w:val="20"/>
                <w:color w:val="auto"/>
              </w:rPr>
            </w:pPr>
            <w:r>
              <w:rPr>
                <w:rFonts w:ascii="Arial" w:cs="Arial" w:eastAsia="Arial" w:hAnsi="Arial"/>
                <w:sz w:val="20"/>
                <w:szCs w:val="20"/>
                <w:color w:val="auto"/>
              </w:rPr>
              <w:t>Purchases</w:t>
            </w: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(2,720)</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(316)</w:t>
            </w:r>
          </w:p>
        </w:tc>
        <w:tc>
          <w:tcPr>
            <w:tcW w:w="30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5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52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Activity in certificates of deposit</w:t>
            </w:r>
          </w:p>
        </w:tc>
        <w:tc>
          <w:tcPr>
            <w:tcW w:w="4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r>
      <w:tr>
        <w:trPr>
          <w:trHeight w:val="274"/>
        </w:trPr>
        <w:tc>
          <w:tcPr>
            <w:tcW w:w="5280" w:type="dxa"/>
            <w:vAlign w:val="bottom"/>
          </w:tcPr>
          <w:p>
            <w:pPr>
              <w:ind w:left="200"/>
              <w:spacing w:after="0"/>
              <w:rPr>
                <w:sz w:val="20"/>
                <w:szCs w:val="20"/>
                <w:color w:val="auto"/>
              </w:rPr>
            </w:pPr>
            <w:r>
              <w:rPr>
                <w:rFonts w:ascii="Arial" w:cs="Arial" w:eastAsia="Arial" w:hAnsi="Arial"/>
                <w:sz w:val="20"/>
                <w:szCs w:val="20"/>
                <w:color w:val="auto"/>
              </w:rPr>
              <w:t>Maturities</w:t>
            </w:r>
          </w:p>
        </w:tc>
        <w:tc>
          <w:tcPr>
            <w:tcW w:w="42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20"/>
                <w:szCs w:val="20"/>
                <w:color w:val="auto"/>
              </w:rPr>
              <w:t>1,233</w:t>
            </w:r>
          </w:p>
        </w:tc>
        <w:tc>
          <w:tcPr>
            <w:tcW w:w="34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739</w:t>
            </w:r>
          </w:p>
        </w:tc>
        <w:tc>
          <w:tcPr>
            <w:tcW w:w="30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5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5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Purchases</w:t>
            </w:r>
          </w:p>
        </w:tc>
        <w:tc>
          <w:tcPr>
            <w:tcW w:w="4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(249)</w:t>
            </w: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(730)</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(498)</w:t>
            </w:r>
          </w:p>
        </w:tc>
      </w:tr>
      <w:tr>
        <w:trPr>
          <w:trHeight w:val="274"/>
        </w:trPr>
        <w:tc>
          <w:tcPr>
            <w:tcW w:w="5280" w:type="dxa"/>
            <w:vAlign w:val="bottom"/>
          </w:tcPr>
          <w:p>
            <w:pPr>
              <w:ind w:left="300"/>
              <w:spacing w:after="0"/>
              <w:rPr>
                <w:sz w:val="20"/>
                <w:szCs w:val="20"/>
                <w:color w:val="auto"/>
              </w:rPr>
            </w:pPr>
            <w:r>
              <w:rPr>
                <w:rFonts w:ascii="Arial" w:cs="Arial" w:eastAsia="Arial" w:hAnsi="Arial"/>
                <w:sz w:val="20"/>
                <w:szCs w:val="20"/>
                <w:color w:val="auto"/>
              </w:rPr>
              <w:t>Net cash (used in) provided by investing activities</w:t>
            </w: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(881)</w:t>
            </w:r>
          </w:p>
        </w:tc>
        <w:tc>
          <w:tcPr>
            <w:tcW w:w="34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1,273</w:t>
            </w:r>
          </w:p>
        </w:tc>
        <w:tc>
          <w:tcPr>
            <w:tcW w:w="30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2,052</w:t>
            </w:r>
          </w:p>
        </w:tc>
      </w:tr>
      <w:tr>
        <w:trPr>
          <w:trHeight w:val="41"/>
        </w:trPr>
        <w:tc>
          <w:tcPr>
            <w:tcW w:w="5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4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r>
      <w:tr>
        <w:trPr>
          <w:trHeight w:val="274"/>
        </w:trPr>
        <w:tc>
          <w:tcPr>
            <w:tcW w:w="5280" w:type="dxa"/>
            <w:vAlign w:val="bottom"/>
          </w:tcPr>
          <w:p>
            <w:pPr>
              <w:ind w:left="100"/>
              <w:spacing w:after="0"/>
              <w:rPr>
                <w:sz w:val="20"/>
                <w:szCs w:val="20"/>
                <w:color w:val="auto"/>
              </w:rPr>
            </w:pPr>
            <w:r>
              <w:rPr>
                <w:rFonts w:ascii="Arial" w:cs="Arial" w:eastAsia="Arial" w:hAnsi="Arial"/>
                <w:sz w:val="20"/>
                <w:szCs w:val="20"/>
                <w:color w:val="auto"/>
              </w:rPr>
              <w:t>Repayments of other borrowings</w:t>
            </w:r>
          </w:p>
        </w:tc>
        <w:tc>
          <w:tcPr>
            <w:tcW w:w="42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(10,000)</w:t>
            </w:r>
          </w:p>
        </w:tc>
      </w:tr>
      <w:tr>
        <w:trPr>
          <w:trHeight w:val="41"/>
        </w:trPr>
        <w:tc>
          <w:tcPr>
            <w:tcW w:w="5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52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Purchase of treasury stock</w:t>
            </w:r>
          </w:p>
        </w:tc>
        <w:tc>
          <w:tcPr>
            <w:tcW w:w="4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(362)</w:t>
            </w: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(664)</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(218)</w:t>
            </w:r>
          </w:p>
        </w:tc>
      </w:tr>
      <w:tr>
        <w:trPr>
          <w:trHeight w:val="284"/>
        </w:trPr>
        <w:tc>
          <w:tcPr>
            <w:tcW w:w="5280" w:type="dxa"/>
            <w:vAlign w:val="bottom"/>
          </w:tcPr>
          <w:p>
            <w:pPr>
              <w:ind w:left="100"/>
              <w:spacing w:after="0"/>
              <w:rPr>
                <w:sz w:val="20"/>
                <w:szCs w:val="20"/>
                <w:color w:val="auto"/>
              </w:rPr>
            </w:pPr>
            <w:r>
              <w:rPr>
                <w:rFonts w:ascii="Arial" w:cs="Arial" w:eastAsia="Arial" w:hAnsi="Arial"/>
                <w:sz w:val="20"/>
                <w:szCs w:val="20"/>
                <w:color w:val="auto"/>
              </w:rPr>
              <w:t>Payment of dividends</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(12,085)</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(11,922)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(11,335)</w:t>
            </w:r>
          </w:p>
        </w:tc>
      </w:tr>
      <w:tr>
        <w:trPr>
          <w:trHeight w:val="41"/>
        </w:trPr>
        <w:tc>
          <w:tcPr>
            <w:tcW w:w="5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304"/>
        </w:trPr>
        <w:tc>
          <w:tcPr>
            <w:tcW w:w="52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Net cash used in financing activities</w:t>
            </w:r>
          </w:p>
        </w:tc>
        <w:tc>
          <w:tcPr>
            <w:tcW w:w="4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(12,447)</w:t>
            </w: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(12,586)</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(21,553)</w:t>
            </w:r>
          </w:p>
        </w:tc>
      </w:tr>
      <w:tr>
        <w:trPr>
          <w:trHeight w:val="274"/>
        </w:trPr>
        <w:tc>
          <w:tcPr>
            <w:tcW w:w="5280" w:type="dxa"/>
            <w:vAlign w:val="bottom"/>
          </w:tcPr>
          <w:p>
            <w:pPr>
              <w:spacing w:after="0"/>
              <w:rPr>
                <w:sz w:val="20"/>
                <w:szCs w:val="20"/>
                <w:color w:val="auto"/>
              </w:rPr>
            </w:pPr>
            <w:r>
              <w:rPr>
                <w:rFonts w:ascii="Arial" w:cs="Arial" w:eastAsia="Arial" w:hAnsi="Arial"/>
                <w:sz w:val="20"/>
                <w:szCs w:val="20"/>
                <w:b w:val="1"/>
                <w:bCs w:val="1"/>
                <w:color w:val="auto"/>
              </w:rPr>
              <w:t>Net Change in Cash and Cash Equivalents</w:t>
            </w:r>
          </w:p>
        </w:tc>
        <w:tc>
          <w:tcPr>
            <w:tcW w:w="42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20"/>
                <w:szCs w:val="20"/>
                <w:color w:val="auto"/>
              </w:rPr>
              <w:t>22</w:t>
            </w:r>
          </w:p>
        </w:tc>
        <w:tc>
          <w:tcPr>
            <w:tcW w:w="34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764</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(13,111)</w:t>
            </w:r>
          </w:p>
        </w:tc>
      </w:tr>
      <w:tr>
        <w:trPr>
          <w:trHeight w:val="41"/>
        </w:trPr>
        <w:tc>
          <w:tcPr>
            <w:tcW w:w="5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304"/>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Cash and Cash Equivalents - Beginning of year</w:t>
            </w:r>
          </w:p>
        </w:tc>
        <w:tc>
          <w:tcPr>
            <w:tcW w:w="4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4,554</w:t>
            </w: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3,790</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16,901</w:t>
            </w:r>
          </w:p>
        </w:tc>
      </w:tr>
      <w:tr>
        <w:trPr>
          <w:trHeight w:val="274"/>
        </w:trPr>
        <w:tc>
          <w:tcPr>
            <w:tcW w:w="5280" w:type="dxa"/>
            <w:vAlign w:val="bottom"/>
          </w:tcPr>
          <w:p>
            <w:pPr>
              <w:spacing w:after="0"/>
              <w:rPr>
                <w:sz w:val="20"/>
                <w:szCs w:val="20"/>
                <w:color w:val="auto"/>
              </w:rPr>
            </w:pPr>
            <w:r>
              <w:rPr>
                <w:rFonts w:ascii="Arial" w:cs="Arial" w:eastAsia="Arial" w:hAnsi="Arial"/>
                <w:sz w:val="20"/>
                <w:szCs w:val="20"/>
                <w:b w:val="1"/>
                <w:bCs w:val="1"/>
                <w:color w:val="auto"/>
              </w:rPr>
              <w:t>Cash and Cash Equivalents - End of year</w:t>
            </w:r>
          </w:p>
        </w:tc>
        <w:tc>
          <w:tcPr>
            <w:tcW w:w="4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0"/>
              <w:spacing w:after="0"/>
              <w:rPr>
                <w:sz w:val="20"/>
                <w:szCs w:val="20"/>
                <w:color w:val="auto"/>
              </w:rPr>
            </w:pPr>
            <w:r>
              <w:rPr>
                <w:rFonts w:ascii="Arial" w:cs="Arial" w:eastAsia="Arial" w:hAnsi="Arial"/>
                <w:sz w:val="20"/>
                <w:szCs w:val="20"/>
                <w:color w:val="auto"/>
              </w:rPr>
              <w:t>4,576</w:t>
            </w:r>
          </w:p>
        </w:tc>
        <w:tc>
          <w:tcPr>
            <w:tcW w:w="3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4,554</w:t>
            </w:r>
          </w:p>
        </w:tc>
        <w:tc>
          <w:tcPr>
            <w:tcW w:w="3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0"/>
              <w:spacing w:after="0"/>
              <w:rPr>
                <w:sz w:val="20"/>
                <w:szCs w:val="20"/>
                <w:color w:val="auto"/>
              </w:rPr>
            </w:pPr>
            <w:r>
              <w:rPr>
                <w:rFonts w:ascii="Arial" w:cs="Arial" w:eastAsia="Arial" w:hAnsi="Arial"/>
                <w:sz w:val="20"/>
                <w:szCs w:val="20"/>
                <w:color w:val="auto"/>
              </w:rPr>
              <w:t>3,790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-5991860</wp:posOffset>
            </wp:positionV>
            <wp:extent cx="2424430" cy="635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5">
                      <a:extLst>
                        <a:ext uri="{28A0092B-C50C-407E-A947-70E740481C1C}"/>
                      </a:extLst>
                    </a:blip>
                    <a:srcRect/>
                    <a:stretch>
                      <a:fillRect/>
                    </a:stretch>
                  </pic:blipFill>
                  <pic:spPr bwMode="auto">
                    <a:xfrm>
                      <a:off x="0" y="0"/>
                      <a:ext cx="2424430" cy="6350"/>
                    </a:xfrm>
                    <a:prstGeom prst="rect">
                      <a:avLst/>
                    </a:prstGeom>
                    <a:noFill/>
                  </pic:spPr>
                </pic:pic>
              </a:graphicData>
            </a:graphic>
          </wp:anchor>
        </w:drawing>
        <w:drawing>
          <wp:anchor simplePos="0" relativeHeight="251657728" behindDoc="1" locked="0" layoutInCell="0" allowOverlap="1">
            <wp:simplePos x="0" y="0"/>
            <wp:positionH relativeFrom="column">
              <wp:posOffset>3479800</wp:posOffset>
            </wp:positionH>
            <wp:positionV relativeFrom="paragraph">
              <wp:posOffset>-5786120</wp:posOffset>
            </wp:positionV>
            <wp:extent cx="2424430" cy="63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6">
                      <a:extLst>
                        <a:ext uri="{28A0092B-C50C-407E-A947-70E740481C1C}"/>
                      </a:extLst>
                    </a:blip>
                    <a:srcRect/>
                    <a:stretch>
                      <a:fillRect/>
                    </a:stretch>
                  </pic:blipFill>
                  <pic:spPr bwMode="auto">
                    <a:xfrm>
                      <a:off x="0" y="0"/>
                      <a:ext cx="2424430" cy="6350"/>
                    </a:xfrm>
                    <a:prstGeom prst="rect">
                      <a:avLst/>
                    </a:prstGeom>
                    <a:noFill/>
                  </pic:spPr>
                </pic:pic>
              </a:graphicData>
            </a:graphic>
          </wp:anchor>
        </w:drawing>
        <w:drawing>
          <wp:anchor simplePos="0" relativeHeight="251657728" behindDoc="1" locked="0" layoutInCell="0" allowOverlap="1">
            <wp:simplePos x="0" y="0"/>
            <wp:positionH relativeFrom="column">
              <wp:posOffset>3479800</wp:posOffset>
            </wp:positionH>
            <wp:positionV relativeFrom="paragraph">
              <wp:posOffset>-3592830</wp:posOffset>
            </wp:positionV>
            <wp:extent cx="2424430" cy="635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7">
                      <a:extLst>
                        <a:ext uri="{28A0092B-C50C-407E-A947-70E740481C1C}"/>
                      </a:extLst>
                    </a:blip>
                    <a:srcRect/>
                    <a:stretch>
                      <a:fillRect/>
                    </a:stretch>
                  </pic:blipFill>
                  <pic:spPr bwMode="auto">
                    <a:xfrm>
                      <a:off x="0" y="0"/>
                      <a:ext cx="2424430" cy="6350"/>
                    </a:xfrm>
                    <a:prstGeom prst="rect">
                      <a:avLst/>
                    </a:prstGeom>
                    <a:noFill/>
                  </pic:spPr>
                </pic:pic>
              </a:graphicData>
            </a:graphic>
          </wp:anchor>
        </w:drawing>
        <w:drawing>
          <wp:anchor simplePos="0" relativeHeight="251657728" behindDoc="1" locked="0" layoutInCell="0" allowOverlap="1">
            <wp:simplePos x="0" y="0"/>
            <wp:positionH relativeFrom="column">
              <wp:posOffset>3479800</wp:posOffset>
            </wp:positionH>
            <wp:positionV relativeFrom="paragraph">
              <wp:posOffset>-791210</wp:posOffset>
            </wp:positionV>
            <wp:extent cx="2424430" cy="63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78">
                      <a:extLst>
                        <a:ext uri="{28A0092B-C50C-407E-A947-70E740481C1C}"/>
                      </a:extLst>
                    </a:blip>
                    <a:srcRect/>
                    <a:stretch>
                      <a:fillRect/>
                    </a:stretch>
                  </pic:blipFill>
                  <pic:spPr bwMode="auto">
                    <a:xfrm>
                      <a:off x="0" y="0"/>
                      <a:ext cx="2424430" cy="6350"/>
                    </a:xfrm>
                    <a:prstGeom prst="rect">
                      <a:avLst/>
                    </a:prstGeom>
                    <a:noFill/>
                  </pic:spPr>
                </pic:pic>
              </a:graphicData>
            </a:graphic>
          </wp:anchor>
        </w:drawing>
        <w:drawing>
          <wp:anchor simplePos="0" relativeHeight="251657728" behindDoc="1" locked="0" layoutInCell="0" allowOverlap="1">
            <wp:simplePos x="0" y="0"/>
            <wp:positionH relativeFrom="column">
              <wp:posOffset>3479800</wp:posOffset>
            </wp:positionH>
            <wp:positionV relativeFrom="paragraph">
              <wp:posOffset>-585470</wp:posOffset>
            </wp:positionV>
            <wp:extent cx="2484120" cy="63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79">
                      <a:extLst>
                        <a:ext uri="{28A0092B-C50C-407E-A947-70E740481C1C}"/>
                      </a:extLst>
                    </a:blip>
                    <a:srcRect/>
                    <a:stretch>
                      <a:fillRect/>
                    </a:stretch>
                  </pic:blipFill>
                  <pic:spPr bwMode="auto">
                    <a:xfrm>
                      <a:off x="0" y="0"/>
                      <a:ext cx="2484120" cy="6350"/>
                    </a:xfrm>
                    <a:prstGeom prst="rect">
                      <a:avLst/>
                    </a:prstGeom>
                    <a:noFill/>
                  </pic:spPr>
                </pic:pic>
              </a:graphicData>
            </a:graphic>
          </wp:anchor>
        </w:drawing>
        <w:drawing>
          <wp:anchor simplePos="0" relativeHeight="251657728" behindDoc="1" locked="0" layoutInCell="0" allowOverlap="1">
            <wp:simplePos x="0" y="0"/>
            <wp:positionH relativeFrom="column">
              <wp:posOffset>3479800</wp:posOffset>
            </wp:positionH>
            <wp:positionV relativeFrom="paragraph">
              <wp:posOffset>-179705</wp:posOffset>
            </wp:positionV>
            <wp:extent cx="2484120" cy="635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0">
                      <a:extLst>
                        <a:ext uri="{28A0092B-C50C-407E-A947-70E740481C1C}"/>
                      </a:extLst>
                    </a:blip>
                    <a:srcRect/>
                    <a:stretch>
                      <a:fillRect/>
                    </a:stretch>
                  </pic:blipFill>
                  <pic:spPr bwMode="auto">
                    <a:xfrm>
                      <a:off x="0" y="0"/>
                      <a:ext cx="2484120" cy="6350"/>
                    </a:xfrm>
                    <a:prstGeom prst="rect">
                      <a:avLst/>
                    </a:prstGeom>
                    <a:noFill/>
                  </pic:spPr>
                </pic:pic>
              </a:graphicData>
            </a:graphic>
          </wp:anchor>
        </w:drawing>
        <w:drawing>
          <wp:anchor simplePos="0" relativeHeight="251657728" behindDoc="1" locked="0" layoutInCell="0" allowOverlap="1">
            <wp:simplePos x="0" y="0"/>
            <wp:positionH relativeFrom="column">
              <wp:posOffset>3479800</wp:posOffset>
            </wp:positionH>
            <wp:positionV relativeFrom="paragraph">
              <wp:posOffset>26035</wp:posOffset>
            </wp:positionV>
            <wp:extent cx="2424430" cy="2857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1">
                      <a:extLst>
                        <a:ext uri="{28A0092B-C50C-407E-A947-70E740481C1C}"/>
                      </a:extLst>
                    </a:blip>
                    <a:srcRect/>
                    <a:stretch>
                      <a:fillRect/>
                    </a:stretch>
                  </pic:blipFill>
                  <pic:spPr bwMode="auto">
                    <a:xfrm>
                      <a:off x="0" y="0"/>
                      <a:ext cx="24244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45</w:t>
      </w:r>
    </w:p>
    <w:p>
      <w:pPr>
        <w:sectPr>
          <w:pgSz w:w="11900" w:h="16838" w:orient="portrait"/>
          <w:cols w:equalWidth="0" w:num="1">
            <w:col w:w="9400"/>
          </w:cols>
          <w:pgMar w:left="1260" w:top="1440" w:right="1246" w:bottom="0" w:gutter="0" w:footer="0" w:header="0"/>
          <w:type w:val="continuous"/>
        </w:sectPr>
      </w:pPr>
    </w:p>
    <w:bookmarkStart w:id="240" w:name="page241"/>
    <w:bookmarkEnd w:id="2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 / 45</w:t>
      </w:r>
    </w:p>
    <w:p>
      <w:pPr>
        <w:sectPr>
          <w:pgSz w:w="11900" w:h="16838" w:orient="portrait"/>
          <w:cols w:equalWidth="0" w:num="1">
            <w:col w:w="9026"/>
          </w:cols>
          <w:pgMar w:left="1440" w:top="1440" w:right="1440" w:bottom="0" w:gutter="0" w:footer="0" w:header="0"/>
          <w:type w:val="continuous"/>
        </w:sectPr>
      </w:pPr>
    </w:p>
    <w:bookmarkStart w:id="241" w:name="page242"/>
    <w:bookmarkEnd w:id="241"/>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22 – Quarterly Financial Data</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Quarterly Financial Data - 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Summary of Income:</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20"/>
          <w:szCs w:val="20"/>
          <w:color w:val="auto"/>
        </w:rPr>
        <w:t>Interest income</w:t>
      </w:r>
    </w:p>
    <w:p>
      <w:pPr>
        <w:spacing w:after="0" w:line="94" w:lineRule="exact"/>
        <w:rPr>
          <w:sz w:val="20"/>
          <w:szCs w:val="20"/>
          <w:color w:val="auto"/>
        </w:rPr>
      </w:pPr>
    </w:p>
    <w:p>
      <w:pPr>
        <w:ind w:left="80"/>
        <w:spacing w:after="0"/>
        <w:rPr>
          <w:sz w:val="20"/>
          <w:szCs w:val="20"/>
          <w:color w:val="auto"/>
        </w:rPr>
      </w:pPr>
      <w:r>
        <w:rPr>
          <w:rFonts w:ascii="Arial" w:cs="Arial" w:eastAsia="Arial" w:hAnsi="Arial"/>
          <w:sz w:val="20"/>
          <w:szCs w:val="20"/>
          <w:color w:val="auto"/>
        </w:rPr>
        <w:t>Interest expense</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Net Interest Income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Provision for Credit Losses - Loans</w:t>
      </w:r>
    </w:p>
    <w:p>
      <w:pPr>
        <w:spacing w:after="0" w:line="94" w:lineRule="exact"/>
        <w:rPr>
          <w:sz w:val="20"/>
          <w:szCs w:val="20"/>
          <w:color w:val="auto"/>
        </w:rPr>
      </w:pPr>
    </w:p>
    <w:p>
      <w:pPr>
        <w:ind w:right="500"/>
        <w:spacing w:after="0" w:line="302" w:lineRule="auto"/>
        <w:rPr>
          <w:sz w:val="20"/>
          <w:szCs w:val="20"/>
          <w:color w:val="auto"/>
        </w:rPr>
      </w:pPr>
      <w:r>
        <w:rPr>
          <w:rFonts w:ascii="Arial" w:cs="Arial" w:eastAsia="Arial" w:hAnsi="Arial"/>
          <w:sz w:val="20"/>
          <w:szCs w:val="20"/>
          <w:color w:val="auto"/>
        </w:rPr>
        <w:t>Provision for (Recovery of) Credit Losses - Off Balance</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Sheet Credit Exposures</w:t>
      </w:r>
    </w:p>
    <w:p>
      <w:pPr>
        <w:spacing w:after="0" w:line="94" w:lineRule="exact"/>
        <w:rPr>
          <w:sz w:val="20"/>
          <w:szCs w:val="20"/>
          <w:color w:val="auto"/>
        </w:rPr>
      </w:pPr>
    </w:p>
    <w:p>
      <w:pPr>
        <w:spacing w:after="0" w:line="328" w:lineRule="auto"/>
        <w:rPr>
          <w:sz w:val="20"/>
          <w:szCs w:val="20"/>
          <w:color w:val="auto"/>
        </w:rPr>
      </w:pPr>
      <w:r>
        <w:rPr>
          <w:rFonts w:ascii="Arial" w:cs="Arial" w:eastAsia="Arial" w:hAnsi="Arial"/>
          <w:sz w:val="20"/>
          <w:szCs w:val="20"/>
          <w:color w:val="auto"/>
        </w:rPr>
        <w:t>Net Interest Income After Provision for Credit Losses Other expense</w:t>
      </w:r>
    </w:p>
    <w:p>
      <w:pPr>
        <w:spacing w:after="0" w:line="10" w:lineRule="exact"/>
        <w:rPr>
          <w:sz w:val="20"/>
          <w:szCs w:val="20"/>
          <w:color w:val="auto"/>
        </w:rPr>
      </w:pPr>
    </w:p>
    <w:p>
      <w:pPr>
        <w:ind w:right="1720"/>
        <w:spacing w:after="0" w:line="328" w:lineRule="auto"/>
        <w:rPr>
          <w:sz w:val="20"/>
          <w:szCs w:val="20"/>
          <w:color w:val="auto"/>
        </w:rPr>
      </w:pPr>
      <w:r>
        <w:rPr>
          <w:rFonts w:ascii="Arial" w:cs="Arial" w:eastAsia="Arial" w:hAnsi="Arial"/>
          <w:sz w:val="20"/>
          <w:szCs w:val="20"/>
          <w:color w:val="auto"/>
        </w:rPr>
        <w:t>Net income before income taxes Income taxes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Net income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Earnings per Common Share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Average common shares outstanding</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4680" w:type="dxa"/>
            <w:vAlign w:val="bottom"/>
            <w:gridSpan w:val="7"/>
          </w:tcPr>
          <w:p>
            <w:pPr>
              <w:jc w:val="right"/>
              <w:ind w:right="780"/>
              <w:spacing w:after="0"/>
              <w:rPr>
                <w:sz w:val="20"/>
                <w:szCs w:val="20"/>
                <w:color w:val="auto"/>
              </w:rPr>
            </w:pPr>
            <w:r>
              <w:rPr>
                <w:rFonts w:ascii="Arial" w:cs="Arial" w:eastAsia="Arial" w:hAnsi="Arial"/>
                <w:sz w:val="20"/>
                <w:szCs w:val="20"/>
                <w:color w:val="auto"/>
              </w:rPr>
              <w:t>(In Thousands, Except Per Share Data)</w:t>
            </w:r>
          </w:p>
        </w:tc>
      </w:tr>
      <w:tr>
        <w:trPr>
          <w:trHeight w:val="324"/>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3"/>
          </w:tcPr>
          <w:p>
            <w:pPr>
              <w:jc w:val="right"/>
              <w:ind w:right="260"/>
              <w:spacing w:after="0"/>
              <w:rPr>
                <w:sz w:val="20"/>
                <w:szCs w:val="20"/>
                <w:color w:val="auto"/>
              </w:rPr>
            </w:pPr>
            <w:r>
              <w:rPr>
                <w:rFonts w:ascii="Arial" w:cs="Arial" w:eastAsia="Arial" w:hAnsi="Arial"/>
                <w:sz w:val="20"/>
                <w:szCs w:val="20"/>
                <w:color w:val="auto"/>
                <w:w w:val="93"/>
              </w:rPr>
              <w:t>Quarter Ended in 2025</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4"/>
        </w:trPr>
        <w:tc>
          <w:tcPr>
            <w:tcW w:w="100" w:type="dxa"/>
            <w:vAlign w:val="bottom"/>
          </w:tcPr>
          <w:p>
            <w:pPr>
              <w:spacing w:after="0"/>
              <w:rPr>
                <w:sz w:val="24"/>
                <w:szCs w:val="24"/>
                <w:color w:val="auto"/>
              </w:rPr>
            </w:pPr>
          </w:p>
        </w:tc>
        <w:tc>
          <w:tcPr>
            <w:tcW w:w="1060" w:type="dxa"/>
            <w:vAlign w:val="bottom"/>
          </w:tcPr>
          <w:p>
            <w:pPr>
              <w:jc w:val="right"/>
              <w:ind w:right="260"/>
              <w:spacing w:after="0"/>
              <w:rPr>
                <w:sz w:val="20"/>
                <w:szCs w:val="20"/>
                <w:color w:val="auto"/>
              </w:rPr>
            </w:pPr>
            <w:r>
              <w:rPr>
                <w:rFonts w:ascii="Arial" w:cs="Arial" w:eastAsia="Arial" w:hAnsi="Arial"/>
                <w:sz w:val="20"/>
                <w:szCs w:val="20"/>
                <w:color w:val="auto"/>
              </w:rPr>
              <w:t>Mar 31</w:t>
            </w:r>
          </w:p>
        </w:tc>
        <w:tc>
          <w:tcPr>
            <w:tcW w:w="180" w:type="dxa"/>
            <w:vAlign w:val="bottom"/>
          </w:tcPr>
          <w:p>
            <w:pPr>
              <w:spacing w:after="0"/>
              <w:rPr>
                <w:sz w:val="24"/>
                <w:szCs w:val="24"/>
                <w:color w:val="auto"/>
              </w:rPr>
            </w:pPr>
          </w:p>
        </w:tc>
        <w:tc>
          <w:tcPr>
            <w:tcW w:w="1040" w:type="dxa"/>
            <w:vAlign w:val="bottom"/>
          </w:tcPr>
          <w:p>
            <w:pPr>
              <w:jc w:val="right"/>
              <w:ind w:right="240"/>
              <w:spacing w:after="0"/>
              <w:rPr>
                <w:sz w:val="20"/>
                <w:szCs w:val="20"/>
                <w:color w:val="auto"/>
              </w:rPr>
            </w:pPr>
            <w:r>
              <w:rPr>
                <w:rFonts w:ascii="Arial" w:cs="Arial" w:eastAsia="Arial" w:hAnsi="Arial"/>
                <w:sz w:val="20"/>
                <w:szCs w:val="20"/>
                <w:color w:val="auto"/>
                <w:w w:val="95"/>
              </w:rPr>
              <w:t>June 30</w:t>
            </w:r>
          </w:p>
        </w:tc>
        <w:tc>
          <w:tcPr>
            <w:tcW w:w="180" w:type="dxa"/>
            <w:vAlign w:val="bottom"/>
          </w:tcPr>
          <w:p>
            <w:pPr>
              <w:spacing w:after="0"/>
              <w:rPr>
                <w:sz w:val="24"/>
                <w:szCs w:val="24"/>
                <w:color w:val="auto"/>
              </w:rPr>
            </w:pPr>
          </w:p>
        </w:tc>
        <w:tc>
          <w:tcPr>
            <w:tcW w:w="1060" w:type="dxa"/>
            <w:vAlign w:val="bottom"/>
          </w:tcPr>
          <w:p>
            <w:pPr>
              <w:jc w:val="right"/>
              <w:ind w:right="280"/>
              <w:spacing w:after="0"/>
              <w:rPr>
                <w:sz w:val="20"/>
                <w:szCs w:val="20"/>
                <w:color w:val="auto"/>
              </w:rPr>
            </w:pPr>
            <w:r>
              <w:rPr>
                <w:rFonts w:ascii="Arial" w:cs="Arial" w:eastAsia="Arial" w:hAnsi="Arial"/>
                <w:sz w:val="20"/>
                <w:szCs w:val="20"/>
                <w:color w:val="auto"/>
              </w:rPr>
              <w:t>Sep 30</w:t>
            </w:r>
          </w:p>
        </w:tc>
        <w:tc>
          <w:tcPr>
            <w:tcW w:w="180" w:type="dxa"/>
            <w:vAlign w:val="bottom"/>
          </w:tcPr>
          <w:p>
            <w:pPr>
              <w:spacing w:after="0"/>
              <w:rPr>
                <w:sz w:val="24"/>
                <w:szCs w:val="24"/>
                <w:color w:val="auto"/>
              </w:rPr>
            </w:pPr>
          </w:p>
        </w:tc>
        <w:tc>
          <w:tcPr>
            <w:tcW w:w="980" w:type="dxa"/>
            <w:vAlign w:val="bottom"/>
          </w:tcPr>
          <w:p>
            <w:pPr>
              <w:jc w:val="right"/>
              <w:ind w:right="200"/>
              <w:spacing w:after="0"/>
              <w:rPr>
                <w:sz w:val="20"/>
                <w:szCs w:val="20"/>
                <w:color w:val="auto"/>
              </w:rPr>
            </w:pPr>
            <w:r>
              <w:rPr>
                <w:rFonts w:ascii="Arial" w:cs="Arial" w:eastAsia="Arial" w:hAnsi="Arial"/>
                <w:sz w:val="20"/>
                <w:szCs w:val="20"/>
                <w:color w:val="auto"/>
              </w:rPr>
              <w:t>Dec 31</w:t>
            </w:r>
          </w:p>
        </w:tc>
      </w:tr>
      <w:tr>
        <w:trPr>
          <w:trHeight w:val="639"/>
        </w:trPr>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ind w:right="60"/>
              <w:spacing w:after="0"/>
              <w:rPr>
                <w:sz w:val="20"/>
                <w:szCs w:val="20"/>
                <w:color w:val="auto"/>
              </w:rPr>
            </w:pPr>
            <w:r>
              <w:rPr>
                <w:rFonts w:ascii="Arial" w:cs="Arial" w:eastAsia="Arial" w:hAnsi="Arial"/>
                <w:sz w:val="20"/>
                <w:szCs w:val="20"/>
                <w:color w:val="auto"/>
              </w:rPr>
              <w:t>41,002</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0"/>
              <w:spacing w:after="0"/>
              <w:rPr>
                <w:sz w:val="20"/>
                <w:szCs w:val="20"/>
                <w:color w:val="auto"/>
              </w:rPr>
            </w:pPr>
            <w:r>
              <w:rPr>
                <w:rFonts w:ascii="Arial" w:cs="Arial" w:eastAsia="Arial" w:hAnsi="Arial"/>
                <w:sz w:val="20"/>
                <w:szCs w:val="20"/>
                <w:color w:val="auto"/>
              </w:rPr>
              <w:t>43,492</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0"/>
              <w:spacing w:after="0"/>
              <w:rPr>
                <w:sz w:val="20"/>
                <w:szCs w:val="20"/>
                <w:color w:val="auto"/>
              </w:rPr>
            </w:pPr>
            <w:r>
              <w:rPr>
                <w:rFonts w:ascii="Arial" w:cs="Arial" w:eastAsia="Arial" w:hAnsi="Arial"/>
                <w:sz w:val="20"/>
                <w:szCs w:val="20"/>
                <w:color w:val="auto"/>
              </w:rPr>
              <w:t>44,484</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44,566</w:t>
            </w:r>
          </w:p>
        </w:tc>
      </w:tr>
      <w:tr>
        <w:trPr>
          <w:trHeight w:val="314"/>
        </w:trPr>
        <w:tc>
          <w:tcPr>
            <w:tcW w:w="10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20"/>
                <w:szCs w:val="20"/>
                <w:color w:val="auto"/>
              </w:rPr>
              <w:t>17,093</w:t>
            </w:r>
          </w:p>
        </w:tc>
        <w:tc>
          <w:tcPr>
            <w:tcW w:w="180" w:type="dxa"/>
            <w:vAlign w:val="bottom"/>
          </w:tcPr>
          <w:p>
            <w:pPr>
              <w:spacing w:after="0"/>
              <w:rPr>
                <w:sz w:val="24"/>
                <w:szCs w:val="24"/>
                <w:color w:val="auto"/>
              </w:rPr>
            </w:pPr>
          </w:p>
        </w:tc>
        <w:tc>
          <w:tcPr>
            <w:tcW w:w="1040" w:type="dxa"/>
            <w:vAlign w:val="bottom"/>
          </w:tcPr>
          <w:p>
            <w:pPr>
              <w:jc w:val="right"/>
              <w:ind w:right="40"/>
              <w:spacing w:after="0"/>
              <w:rPr>
                <w:sz w:val="20"/>
                <w:szCs w:val="20"/>
                <w:color w:val="auto"/>
              </w:rPr>
            </w:pPr>
            <w:r>
              <w:rPr>
                <w:rFonts w:ascii="Arial" w:cs="Arial" w:eastAsia="Arial" w:hAnsi="Arial"/>
                <w:sz w:val="20"/>
                <w:szCs w:val="20"/>
                <w:color w:val="auto"/>
              </w:rPr>
              <w:t>17,781</w:t>
            </w:r>
          </w:p>
        </w:tc>
        <w:tc>
          <w:tcPr>
            <w:tcW w:w="18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20"/>
                <w:szCs w:val="20"/>
                <w:color w:val="auto"/>
              </w:rPr>
              <w:t>17,583</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16,795</w:t>
            </w:r>
          </w:p>
        </w:tc>
      </w:tr>
      <w:tr>
        <w:trPr>
          <w:trHeight w:val="324"/>
        </w:trPr>
        <w:tc>
          <w:tcPr>
            <w:tcW w:w="10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20"/>
                <w:szCs w:val="20"/>
                <w:color w:val="auto"/>
              </w:rPr>
              <w:t>23,909</w:t>
            </w:r>
          </w:p>
        </w:tc>
        <w:tc>
          <w:tcPr>
            <w:tcW w:w="180" w:type="dxa"/>
            <w:vAlign w:val="bottom"/>
          </w:tcPr>
          <w:p>
            <w:pPr>
              <w:spacing w:after="0"/>
              <w:rPr>
                <w:sz w:val="24"/>
                <w:szCs w:val="24"/>
                <w:color w:val="auto"/>
              </w:rPr>
            </w:pPr>
          </w:p>
        </w:tc>
        <w:tc>
          <w:tcPr>
            <w:tcW w:w="1040" w:type="dxa"/>
            <w:vAlign w:val="bottom"/>
          </w:tcPr>
          <w:p>
            <w:pPr>
              <w:jc w:val="right"/>
              <w:ind w:right="40"/>
              <w:spacing w:after="0"/>
              <w:rPr>
                <w:sz w:val="20"/>
                <w:szCs w:val="20"/>
                <w:color w:val="auto"/>
              </w:rPr>
            </w:pPr>
            <w:r>
              <w:rPr>
                <w:rFonts w:ascii="Arial" w:cs="Arial" w:eastAsia="Arial" w:hAnsi="Arial"/>
                <w:sz w:val="20"/>
                <w:szCs w:val="20"/>
                <w:color w:val="auto"/>
              </w:rPr>
              <w:t>25,711</w:t>
            </w:r>
          </w:p>
        </w:tc>
        <w:tc>
          <w:tcPr>
            <w:tcW w:w="18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20"/>
                <w:szCs w:val="20"/>
                <w:color w:val="auto"/>
              </w:rPr>
              <w:t>26,901</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27,771</w:t>
            </w:r>
          </w:p>
        </w:tc>
      </w:tr>
      <w:tr>
        <w:trPr>
          <w:trHeight w:val="314"/>
        </w:trPr>
        <w:tc>
          <w:tcPr>
            <w:tcW w:w="10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20"/>
                <w:szCs w:val="20"/>
                <w:color w:val="auto"/>
              </w:rPr>
              <w:t>811</w:t>
            </w:r>
          </w:p>
        </w:tc>
        <w:tc>
          <w:tcPr>
            <w:tcW w:w="180" w:type="dxa"/>
            <w:vAlign w:val="bottom"/>
          </w:tcPr>
          <w:p>
            <w:pPr>
              <w:spacing w:after="0"/>
              <w:rPr>
                <w:sz w:val="24"/>
                <w:szCs w:val="24"/>
                <w:color w:val="auto"/>
              </w:rPr>
            </w:pPr>
          </w:p>
        </w:tc>
        <w:tc>
          <w:tcPr>
            <w:tcW w:w="1040" w:type="dxa"/>
            <w:vAlign w:val="bottom"/>
          </w:tcPr>
          <w:p>
            <w:pPr>
              <w:jc w:val="right"/>
              <w:ind w:right="40"/>
              <w:spacing w:after="0"/>
              <w:rPr>
                <w:sz w:val="20"/>
                <w:szCs w:val="20"/>
                <w:color w:val="auto"/>
              </w:rPr>
            </w:pPr>
            <w:r>
              <w:rPr>
                <w:rFonts w:ascii="Arial" w:cs="Arial" w:eastAsia="Arial" w:hAnsi="Arial"/>
                <w:sz w:val="20"/>
                <w:szCs w:val="20"/>
                <w:color w:val="auto"/>
              </w:rPr>
              <w:t>661</w:t>
            </w:r>
          </w:p>
        </w:tc>
        <w:tc>
          <w:tcPr>
            <w:tcW w:w="18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20"/>
                <w:szCs w:val="20"/>
                <w:color w:val="auto"/>
              </w:rPr>
              <w:t>557</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567</w:t>
            </w:r>
          </w:p>
        </w:tc>
      </w:tr>
      <w:tr>
        <w:trPr>
          <w:trHeight w:val="904"/>
        </w:trPr>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(260)</w:t>
            </w:r>
          </w:p>
        </w:tc>
        <w:tc>
          <w:tcPr>
            <w:tcW w:w="180" w:type="dxa"/>
            <w:vAlign w:val="bottom"/>
          </w:tcPr>
          <w:p>
            <w:pPr>
              <w:spacing w:after="0"/>
              <w:rPr>
                <w:sz w:val="24"/>
                <w:szCs w:val="24"/>
                <w:color w:val="auto"/>
              </w:rPr>
            </w:pPr>
          </w:p>
        </w:tc>
        <w:tc>
          <w:tcPr>
            <w:tcW w:w="1040" w:type="dxa"/>
            <w:vAlign w:val="bottom"/>
          </w:tcPr>
          <w:p>
            <w:pPr>
              <w:jc w:val="right"/>
              <w:ind w:right="40"/>
              <w:spacing w:after="0"/>
              <w:rPr>
                <w:sz w:val="20"/>
                <w:szCs w:val="20"/>
                <w:color w:val="auto"/>
              </w:rPr>
            </w:pPr>
            <w:r>
              <w:rPr>
                <w:rFonts w:ascii="Arial" w:cs="Arial" w:eastAsia="Arial" w:hAnsi="Arial"/>
                <w:sz w:val="20"/>
                <w:szCs w:val="20"/>
                <w:color w:val="auto"/>
              </w:rPr>
              <w:t>27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(272)</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24"/>
        </w:trPr>
        <w:tc>
          <w:tcPr>
            <w:tcW w:w="10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20"/>
                <w:szCs w:val="20"/>
                <w:color w:val="auto"/>
              </w:rPr>
              <w:t>23,358</w:t>
            </w:r>
          </w:p>
        </w:tc>
        <w:tc>
          <w:tcPr>
            <w:tcW w:w="180" w:type="dxa"/>
            <w:vAlign w:val="bottom"/>
          </w:tcPr>
          <w:p>
            <w:pPr>
              <w:spacing w:after="0"/>
              <w:rPr>
                <w:sz w:val="24"/>
                <w:szCs w:val="24"/>
                <w:color w:val="auto"/>
              </w:rPr>
            </w:pPr>
          </w:p>
        </w:tc>
        <w:tc>
          <w:tcPr>
            <w:tcW w:w="1040" w:type="dxa"/>
            <w:vAlign w:val="bottom"/>
          </w:tcPr>
          <w:p>
            <w:pPr>
              <w:jc w:val="right"/>
              <w:ind w:right="40"/>
              <w:spacing w:after="0"/>
              <w:rPr>
                <w:sz w:val="20"/>
                <w:szCs w:val="20"/>
                <w:color w:val="auto"/>
              </w:rPr>
            </w:pPr>
            <w:r>
              <w:rPr>
                <w:rFonts w:ascii="Arial" w:cs="Arial" w:eastAsia="Arial" w:hAnsi="Arial"/>
                <w:sz w:val="20"/>
                <w:szCs w:val="20"/>
                <w:color w:val="auto"/>
              </w:rPr>
              <w:t>25,023</w:t>
            </w:r>
          </w:p>
        </w:tc>
        <w:tc>
          <w:tcPr>
            <w:tcW w:w="18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20"/>
                <w:szCs w:val="20"/>
                <w:color w:val="auto"/>
              </w:rPr>
              <w:t>26,616</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27,205</w:t>
            </w:r>
          </w:p>
        </w:tc>
      </w:tr>
      <w:tr>
        <w:trPr>
          <w:trHeight w:val="314"/>
        </w:trPr>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(14,598)</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(15,325)</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(15,382)</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(14,372)</w:t>
            </w:r>
          </w:p>
        </w:tc>
      </w:tr>
      <w:tr>
        <w:trPr>
          <w:trHeight w:val="324"/>
        </w:trPr>
        <w:tc>
          <w:tcPr>
            <w:tcW w:w="10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20"/>
                <w:szCs w:val="20"/>
                <w:color w:val="auto"/>
              </w:rPr>
              <w:t>8,760</w:t>
            </w:r>
          </w:p>
        </w:tc>
        <w:tc>
          <w:tcPr>
            <w:tcW w:w="180" w:type="dxa"/>
            <w:vAlign w:val="bottom"/>
          </w:tcPr>
          <w:p>
            <w:pPr>
              <w:spacing w:after="0"/>
              <w:rPr>
                <w:sz w:val="24"/>
                <w:szCs w:val="24"/>
                <w:color w:val="auto"/>
              </w:rPr>
            </w:pPr>
          </w:p>
        </w:tc>
        <w:tc>
          <w:tcPr>
            <w:tcW w:w="1040" w:type="dxa"/>
            <w:vAlign w:val="bottom"/>
          </w:tcPr>
          <w:p>
            <w:pPr>
              <w:jc w:val="right"/>
              <w:ind w:right="40"/>
              <w:spacing w:after="0"/>
              <w:rPr>
                <w:sz w:val="20"/>
                <w:szCs w:val="20"/>
                <w:color w:val="auto"/>
              </w:rPr>
            </w:pPr>
            <w:r>
              <w:rPr>
                <w:rFonts w:ascii="Arial" w:cs="Arial" w:eastAsia="Arial" w:hAnsi="Arial"/>
                <w:sz w:val="20"/>
                <w:szCs w:val="20"/>
                <w:color w:val="auto"/>
              </w:rPr>
              <w:t>9,698</w:t>
            </w:r>
          </w:p>
        </w:tc>
        <w:tc>
          <w:tcPr>
            <w:tcW w:w="18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20"/>
                <w:szCs w:val="20"/>
                <w:color w:val="auto"/>
              </w:rPr>
              <w:t>11,234</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12,833</w:t>
            </w:r>
          </w:p>
        </w:tc>
      </w:tr>
      <w:tr>
        <w:trPr>
          <w:trHeight w:val="314"/>
        </w:trPr>
        <w:tc>
          <w:tcPr>
            <w:tcW w:w="10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20"/>
                <w:szCs w:val="20"/>
                <w:color w:val="auto"/>
              </w:rPr>
              <w:t>1,808</w:t>
            </w:r>
          </w:p>
        </w:tc>
        <w:tc>
          <w:tcPr>
            <w:tcW w:w="180" w:type="dxa"/>
            <w:vAlign w:val="bottom"/>
          </w:tcPr>
          <w:p>
            <w:pPr>
              <w:spacing w:after="0"/>
              <w:rPr>
                <w:sz w:val="24"/>
                <w:szCs w:val="24"/>
                <w:color w:val="auto"/>
              </w:rPr>
            </w:pPr>
          </w:p>
        </w:tc>
        <w:tc>
          <w:tcPr>
            <w:tcW w:w="1040" w:type="dxa"/>
            <w:vAlign w:val="bottom"/>
          </w:tcPr>
          <w:p>
            <w:pPr>
              <w:jc w:val="right"/>
              <w:ind w:right="40"/>
              <w:spacing w:after="0"/>
              <w:rPr>
                <w:sz w:val="20"/>
                <w:szCs w:val="20"/>
                <w:color w:val="auto"/>
              </w:rPr>
            </w:pPr>
            <w:r>
              <w:rPr>
                <w:rFonts w:ascii="Arial" w:cs="Arial" w:eastAsia="Arial" w:hAnsi="Arial"/>
                <w:sz w:val="20"/>
                <w:szCs w:val="20"/>
                <w:color w:val="auto"/>
              </w:rPr>
              <w:t>1,988</w:t>
            </w:r>
          </w:p>
        </w:tc>
        <w:tc>
          <w:tcPr>
            <w:tcW w:w="18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20"/>
                <w:szCs w:val="20"/>
                <w:color w:val="auto"/>
              </w:rPr>
              <w:t>2,380</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3,040</w:t>
            </w:r>
          </w:p>
        </w:tc>
      </w:tr>
      <w:tr>
        <w:trPr>
          <w:trHeight w:val="324"/>
        </w:trPr>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ind w:right="60"/>
              <w:spacing w:after="0"/>
              <w:rPr>
                <w:sz w:val="20"/>
                <w:szCs w:val="20"/>
                <w:color w:val="auto"/>
              </w:rPr>
            </w:pPr>
            <w:r>
              <w:rPr>
                <w:rFonts w:ascii="Arial" w:cs="Arial" w:eastAsia="Arial" w:hAnsi="Arial"/>
                <w:sz w:val="20"/>
                <w:szCs w:val="20"/>
                <w:color w:val="auto"/>
              </w:rPr>
              <w:t>6,952</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0"/>
              <w:spacing w:after="0"/>
              <w:rPr>
                <w:sz w:val="20"/>
                <w:szCs w:val="20"/>
                <w:color w:val="auto"/>
              </w:rPr>
            </w:pPr>
            <w:r>
              <w:rPr>
                <w:rFonts w:ascii="Arial" w:cs="Arial" w:eastAsia="Arial" w:hAnsi="Arial"/>
                <w:sz w:val="20"/>
                <w:szCs w:val="20"/>
                <w:color w:val="auto"/>
              </w:rPr>
              <w:t>7,710</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0"/>
              <w:spacing w:after="0"/>
              <w:rPr>
                <w:sz w:val="20"/>
                <w:szCs w:val="20"/>
                <w:color w:val="auto"/>
              </w:rPr>
            </w:pPr>
            <w:r>
              <w:rPr>
                <w:rFonts w:ascii="Arial" w:cs="Arial" w:eastAsia="Arial" w:hAnsi="Arial"/>
                <w:sz w:val="20"/>
                <w:szCs w:val="20"/>
                <w:color w:val="auto"/>
              </w:rPr>
              <w:t>8,854</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9,793</w:t>
            </w:r>
          </w:p>
        </w:tc>
      </w:tr>
      <w:tr>
        <w:trPr>
          <w:trHeight w:val="359"/>
        </w:trPr>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ind w:right="60"/>
              <w:spacing w:after="0"/>
              <w:rPr>
                <w:sz w:val="20"/>
                <w:szCs w:val="20"/>
                <w:color w:val="auto"/>
              </w:rPr>
            </w:pPr>
            <w:r>
              <w:rPr>
                <w:rFonts w:ascii="Arial" w:cs="Arial" w:eastAsia="Arial" w:hAnsi="Arial"/>
                <w:sz w:val="20"/>
                <w:szCs w:val="20"/>
                <w:color w:val="auto"/>
              </w:rPr>
              <w:t>0.51</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0"/>
              <w:spacing w:after="0"/>
              <w:rPr>
                <w:sz w:val="20"/>
                <w:szCs w:val="20"/>
                <w:color w:val="auto"/>
              </w:rPr>
            </w:pPr>
            <w:r>
              <w:rPr>
                <w:rFonts w:ascii="Arial" w:cs="Arial" w:eastAsia="Arial" w:hAnsi="Arial"/>
                <w:sz w:val="20"/>
                <w:szCs w:val="20"/>
                <w:color w:val="auto"/>
              </w:rPr>
              <w:t>0.56</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0"/>
              <w:spacing w:after="0"/>
              <w:rPr>
                <w:sz w:val="20"/>
                <w:szCs w:val="20"/>
                <w:color w:val="auto"/>
              </w:rPr>
            </w:pPr>
            <w:r>
              <w:rPr>
                <w:rFonts w:ascii="Arial" w:cs="Arial" w:eastAsia="Arial" w:hAnsi="Arial"/>
                <w:sz w:val="20"/>
                <w:szCs w:val="20"/>
                <w:color w:val="auto"/>
              </w:rPr>
              <w:t>0.64</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0.71</w:t>
            </w:r>
          </w:p>
        </w:tc>
      </w:tr>
      <w:tr>
        <w:trPr>
          <w:trHeight w:val="359"/>
        </w:trPr>
        <w:tc>
          <w:tcPr>
            <w:tcW w:w="10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20"/>
                <w:szCs w:val="20"/>
                <w:color w:val="auto"/>
                <w:w w:val="87"/>
              </w:rPr>
              <w:t>13,706,003</w:t>
            </w:r>
          </w:p>
        </w:tc>
        <w:tc>
          <w:tcPr>
            <w:tcW w:w="180" w:type="dxa"/>
            <w:vAlign w:val="bottom"/>
          </w:tcPr>
          <w:p>
            <w:pPr>
              <w:spacing w:after="0"/>
              <w:rPr>
                <w:sz w:val="24"/>
                <w:szCs w:val="24"/>
                <w:color w:val="auto"/>
              </w:rPr>
            </w:pPr>
          </w:p>
        </w:tc>
        <w:tc>
          <w:tcPr>
            <w:tcW w:w="1040" w:type="dxa"/>
            <w:vAlign w:val="bottom"/>
          </w:tcPr>
          <w:p>
            <w:pPr>
              <w:jc w:val="right"/>
              <w:ind w:right="40"/>
              <w:spacing w:after="0"/>
              <w:rPr>
                <w:sz w:val="20"/>
                <w:szCs w:val="20"/>
                <w:color w:val="auto"/>
              </w:rPr>
            </w:pPr>
            <w:r>
              <w:rPr>
                <w:rFonts w:ascii="Arial" w:cs="Arial" w:eastAsia="Arial" w:hAnsi="Arial"/>
                <w:sz w:val="20"/>
                <w:szCs w:val="20"/>
                <w:color w:val="auto"/>
                <w:w w:val="87"/>
              </w:rPr>
              <w:t>13,720,339</w:t>
            </w:r>
          </w:p>
        </w:tc>
        <w:tc>
          <w:tcPr>
            <w:tcW w:w="18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20"/>
                <w:szCs w:val="20"/>
                <w:color w:val="auto"/>
                <w:w w:val="89"/>
              </w:rPr>
              <w:t>13,733,858</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w w:val="87"/>
              </w:rPr>
              <w:t>13,749,420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-3444240</wp:posOffset>
            </wp:positionV>
            <wp:extent cx="5967730" cy="34994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3">
                      <a:extLst>
                        <a:ext uri="{28A0092B-C50C-407E-A947-70E740481C1C}"/>
                      </a:extLst>
                    </a:blip>
                    <a:srcRect/>
                    <a:stretch>
                      <a:fillRect/>
                    </a:stretch>
                  </pic:blipFill>
                  <pic:spPr bwMode="auto">
                    <a:xfrm>
                      <a:off x="0" y="0"/>
                      <a:ext cx="5967730" cy="349948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4300" w:space="280"/>
            <w:col w:w="4820"/>
          </w:cols>
          <w:pgMar w:left="1260" w:top="1440" w:right="1246" w:bottom="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60" w:type="dxa"/>
            <w:vAlign w:val="bottom"/>
            <w:gridSpan w:val="6"/>
          </w:tcPr>
          <w:p>
            <w:pPr>
              <w:jc w:val="right"/>
              <w:spacing w:after="0"/>
              <w:rPr>
                <w:sz w:val="20"/>
                <w:szCs w:val="20"/>
                <w:color w:val="auto"/>
              </w:rPr>
            </w:pPr>
            <w:r>
              <w:rPr>
                <w:rFonts w:ascii="Arial" w:cs="Arial" w:eastAsia="Arial" w:hAnsi="Arial"/>
                <w:sz w:val="20"/>
                <w:szCs w:val="20"/>
                <w:color w:val="auto"/>
              </w:rPr>
              <w:t>(In Thousands, Except Per Share Data)</w:t>
            </w:r>
          </w:p>
        </w:tc>
        <w:tc>
          <w:tcPr>
            <w:tcW w:w="920" w:type="dxa"/>
            <w:vAlign w:val="bottom"/>
          </w:tcPr>
          <w:p>
            <w:pPr>
              <w:spacing w:after="0"/>
              <w:rPr>
                <w:sz w:val="19"/>
                <w:szCs w:val="19"/>
                <w:color w:val="auto"/>
              </w:rPr>
            </w:pPr>
          </w:p>
        </w:tc>
      </w:tr>
      <w:tr>
        <w:trPr>
          <w:trHeight w:val="324"/>
        </w:trPr>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3"/>
          </w:tcPr>
          <w:p>
            <w:pPr>
              <w:jc w:val="right"/>
              <w:ind w:right="260"/>
              <w:spacing w:after="0"/>
              <w:rPr>
                <w:sz w:val="20"/>
                <w:szCs w:val="20"/>
                <w:color w:val="auto"/>
              </w:rPr>
            </w:pPr>
            <w:r>
              <w:rPr>
                <w:rFonts w:ascii="Arial" w:cs="Arial" w:eastAsia="Arial" w:hAnsi="Arial"/>
                <w:sz w:val="20"/>
                <w:szCs w:val="20"/>
                <w:color w:val="auto"/>
                <w:w w:val="91"/>
              </w:rPr>
              <w:t>Quarter Ended in 2024</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260"/>
              <w:spacing w:after="0"/>
              <w:rPr>
                <w:sz w:val="20"/>
                <w:szCs w:val="20"/>
                <w:color w:val="auto"/>
              </w:rPr>
            </w:pPr>
            <w:r>
              <w:rPr>
                <w:rFonts w:ascii="Arial" w:cs="Arial" w:eastAsia="Arial" w:hAnsi="Arial"/>
                <w:sz w:val="20"/>
                <w:szCs w:val="20"/>
                <w:color w:val="auto"/>
              </w:rPr>
              <w:t>Mar 31</w:t>
            </w:r>
          </w:p>
        </w:tc>
        <w:tc>
          <w:tcPr>
            <w:tcW w:w="220" w:type="dxa"/>
            <w:vAlign w:val="bottom"/>
          </w:tcPr>
          <w:p>
            <w:pPr>
              <w:spacing w:after="0"/>
              <w:rPr>
                <w:sz w:val="24"/>
                <w:szCs w:val="24"/>
                <w:color w:val="auto"/>
              </w:rPr>
            </w:pPr>
          </w:p>
        </w:tc>
        <w:tc>
          <w:tcPr>
            <w:tcW w:w="1000" w:type="dxa"/>
            <w:vAlign w:val="bottom"/>
          </w:tcPr>
          <w:p>
            <w:pPr>
              <w:jc w:val="right"/>
              <w:ind w:right="240"/>
              <w:spacing w:after="0"/>
              <w:rPr>
                <w:sz w:val="20"/>
                <w:szCs w:val="20"/>
                <w:color w:val="auto"/>
              </w:rPr>
            </w:pPr>
            <w:r>
              <w:rPr>
                <w:rFonts w:ascii="Arial" w:cs="Arial" w:eastAsia="Arial" w:hAnsi="Arial"/>
                <w:sz w:val="20"/>
                <w:szCs w:val="20"/>
                <w:color w:val="auto"/>
                <w:w w:val="89"/>
              </w:rPr>
              <w:t>June 30</w:t>
            </w:r>
          </w:p>
        </w:tc>
        <w:tc>
          <w:tcPr>
            <w:tcW w:w="240" w:type="dxa"/>
            <w:vAlign w:val="bottom"/>
          </w:tcPr>
          <w:p>
            <w:pPr>
              <w:spacing w:after="0"/>
              <w:rPr>
                <w:sz w:val="24"/>
                <w:szCs w:val="24"/>
                <w:color w:val="auto"/>
              </w:rPr>
            </w:pPr>
          </w:p>
        </w:tc>
        <w:tc>
          <w:tcPr>
            <w:tcW w:w="1000" w:type="dxa"/>
            <w:vAlign w:val="bottom"/>
          </w:tcPr>
          <w:p>
            <w:pPr>
              <w:jc w:val="right"/>
              <w:ind w:right="280"/>
              <w:spacing w:after="0"/>
              <w:rPr>
                <w:sz w:val="20"/>
                <w:szCs w:val="20"/>
                <w:color w:val="auto"/>
              </w:rPr>
            </w:pPr>
            <w:r>
              <w:rPr>
                <w:rFonts w:ascii="Arial" w:cs="Arial" w:eastAsia="Arial" w:hAnsi="Arial"/>
                <w:sz w:val="20"/>
                <w:szCs w:val="20"/>
                <w:color w:val="auto"/>
                <w:w w:val="94"/>
              </w:rPr>
              <w:t>Sep 30</w:t>
            </w:r>
          </w:p>
        </w:tc>
        <w:tc>
          <w:tcPr>
            <w:tcW w:w="280" w:type="dxa"/>
            <w:vAlign w:val="bottom"/>
          </w:tcPr>
          <w:p>
            <w:pPr>
              <w:spacing w:after="0"/>
              <w:rPr>
                <w:sz w:val="24"/>
                <w:szCs w:val="24"/>
                <w:color w:val="auto"/>
              </w:rPr>
            </w:pPr>
          </w:p>
        </w:tc>
        <w:tc>
          <w:tcPr>
            <w:tcW w:w="920" w:type="dxa"/>
            <w:vAlign w:val="bottom"/>
          </w:tcPr>
          <w:p>
            <w:pPr>
              <w:jc w:val="right"/>
              <w:ind w:right="240"/>
              <w:spacing w:after="0"/>
              <w:rPr>
                <w:sz w:val="20"/>
                <w:szCs w:val="20"/>
                <w:color w:val="auto"/>
              </w:rPr>
            </w:pPr>
            <w:r>
              <w:rPr>
                <w:rFonts w:ascii="Arial" w:cs="Arial" w:eastAsia="Arial" w:hAnsi="Arial"/>
                <w:sz w:val="20"/>
                <w:szCs w:val="20"/>
                <w:color w:val="auto"/>
                <w:w w:val="88"/>
              </w:rPr>
              <w:t>Dec 31</w:t>
            </w:r>
          </w:p>
        </w:tc>
      </w:tr>
      <w:tr>
        <w:trPr>
          <w:trHeight w:val="51"/>
        </w:trPr>
        <w:tc>
          <w:tcPr>
            <w:tcW w:w="4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94"/>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Summary of Income:</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r>
      <w:tr>
        <w:trPr>
          <w:trHeight w:val="274"/>
        </w:trPr>
        <w:tc>
          <w:tcPr>
            <w:tcW w:w="4440" w:type="dxa"/>
            <w:vAlign w:val="bottom"/>
          </w:tcPr>
          <w:p>
            <w:pPr>
              <w:ind w:left="80"/>
              <w:spacing w:after="0"/>
              <w:rPr>
                <w:sz w:val="20"/>
                <w:szCs w:val="20"/>
                <w:color w:val="auto"/>
              </w:rPr>
            </w:pPr>
            <w:r>
              <w:rPr>
                <w:rFonts w:ascii="Arial" w:cs="Arial" w:eastAsia="Arial" w:hAnsi="Arial"/>
                <w:sz w:val="20"/>
                <w:szCs w:val="20"/>
                <w:color w:val="auto"/>
              </w:rPr>
              <w:t>Interest income</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60"/>
              <w:spacing w:after="0"/>
              <w:rPr>
                <w:sz w:val="20"/>
                <w:szCs w:val="20"/>
                <w:color w:val="auto"/>
              </w:rPr>
            </w:pPr>
            <w:r>
              <w:rPr>
                <w:rFonts w:ascii="Arial" w:cs="Arial" w:eastAsia="Arial" w:hAnsi="Arial"/>
                <w:sz w:val="20"/>
                <w:szCs w:val="20"/>
                <w:color w:val="auto"/>
              </w:rPr>
              <w:t>38,654</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40"/>
              <w:spacing w:after="0"/>
              <w:rPr>
                <w:sz w:val="20"/>
                <w:szCs w:val="20"/>
                <w:color w:val="auto"/>
              </w:rPr>
            </w:pPr>
            <w:r>
              <w:rPr>
                <w:rFonts w:ascii="Arial" w:cs="Arial" w:eastAsia="Arial" w:hAnsi="Arial"/>
                <w:sz w:val="20"/>
                <w:szCs w:val="20"/>
                <w:color w:val="auto"/>
              </w:rPr>
              <w:t>41,166</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40"/>
              <w:spacing w:after="0"/>
              <w:rPr>
                <w:sz w:val="20"/>
                <w:szCs w:val="20"/>
                <w:color w:val="auto"/>
              </w:rPr>
            </w:pPr>
            <w:r>
              <w:rPr>
                <w:rFonts w:ascii="Arial" w:cs="Arial" w:eastAsia="Arial" w:hAnsi="Arial"/>
                <w:sz w:val="20"/>
                <w:szCs w:val="20"/>
                <w:color w:val="auto"/>
              </w:rPr>
              <w:t>41,901</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41,851</w:t>
            </w:r>
          </w:p>
        </w:tc>
      </w:tr>
      <w:tr>
        <w:trPr>
          <w:trHeight w:val="41"/>
        </w:trPr>
        <w:tc>
          <w:tcPr>
            <w:tcW w:w="4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304"/>
        </w:trPr>
        <w:tc>
          <w:tcPr>
            <w:tcW w:w="44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Interest expense</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18,536</w:t>
            </w:r>
          </w:p>
        </w:tc>
        <w:tc>
          <w:tcPr>
            <w:tcW w:w="2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19,791</w:t>
            </w:r>
          </w:p>
        </w:tc>
        <w:tc>
          <w:tcPr>
            <w:tcW w:w="2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20,312</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19,021</w:t>
            </w:r>
          </w:p>
        </w:tc>
      </w:tr>
      <w:tr>
        <w:trPr>
          <w:trHeight w:val="274"/>
        </w:trPr>
        <w:tc>
          <w:tcPr>
            <w:tcW w:w="4440" w:type="dxa"/>
            <w:vAlign w:val="bottom"/>
          </w:tcPr>
          <w:p>
            <w:pPr>
              <w:ind w:left="160"/>
              <w:spacing w:after="0"/>
              <w:rPr>
                <w:sz w:val="20"/>
                <w:szCs w:val="20"/>
                <w:color w:val="auto"/>
              </w:rPr>
            </w:pPr>
            <w:r>
              <w:rPr>
                <w:rFonts w:ascii="Arial" w:cs="Arial" w:eastAsia="Arial" w:hAnsi="Arial"/>
                <w:sz w:val="20"/>
                <w:szCs w:val="20"/>
                <w:color w:val="auto"/>
              </w:rPr>
              <w:t>Net Interest Income</w:t>
            </w:r>
          </w:p>
        </w:tc>
        <w:tc>
          <w:tcPr>
            <w:tcW w:w="280" w:type="dxa"/>
            <w:vAlign w:val="bottom"/>
          </w:tcPr>
          <w:p>
            <w:pPr>
              <w:spacing w:after="0"/>
              <w:rPr>
                <w:sz w:val="23"/>
                <w:szCs w:val="23"/>
                <w:color w:val="auto"/>
              </w:rPr>
            </w:pPr>
          </w:p>
        </w:tc>
        <w:tc>
          <w:tcPr>
            <w:tcW w:w="1020" w:type="dxa"/>
            <w:vAlign w:val="bottom"/>
          </w:tcPr>
          <w:p>
            <w:pPr>
              <w:jc w:val="right"/>
              <w:ind w:right="60"/>
              <w:spacing w:after="0"/>
              <w:rPr>
                <w:sz w:val="20"/>
                <w:szCs w:val="20"/>
                <w:color w:val="auto"/>
              </w:rPr>
            </w:pPr>
            <w:r>
              <w:rPr>
                <w:rFonts w:ascii="Arial" w:cs="Arial" w:eastAsia="Arial" w:hAnsi="Arial"/>
                <w:sz w:val="20"/>
                <w:szCs w:val="20"/>
                <w:color w:val="auto"/>
              </w:rPr>
              <w:t>20,118</w:t>
            </w:r>
          </w:p>
        </w:tc>
        <w:tc>
          <w:tcPr>
            <w:tcW w:w="22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20"/>
                <w:szCs w:val="20"/>
                <w:color w:val="auto"/>
              </w:rPr>
              <w:t>21,375</w:t>
            </w:r>
          </w:p>
        </w:tc>
        <w:tc>
          <w:tcPr>
            <w:tcW w:w="24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20"/>
                <w:szCs w:val="20"/>
                <w:color w:val="auto"/>
              </w:rPr>
              <w:t>21,589</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22,830</w:t>
            </w:r>
          </w:p>
        </w:tc>
      </w:tr>
      <w:tr>
        <w:trPr>
          <w:trHeight w:val="41"/>
        </w:trPr>
        <w:tc>
          <w:tcPr>
            <w:tcW w:w="4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304"/>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Provision for (Recovery of) Credit Losses - Loans</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(289)</w:t>
            </w:r>
          </w:p>
        </w:tc>
        <w:tc>
          <w:tcPr>
            <w:tcW w:w="2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605</w:t>
            </w:r>
          </w:p>
        </w:tc>
        <w:tc>
          <w:tcPr>
            <w:tcW w:w="2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282</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346</w:t>
            </w:r>
          </w:p>
        </w:tc>
      </w:tr>
      <w:tr>
        <w:trPr>
          <w:trHeight w:val="274"/>
        </w:trPr>
        <w:tc>
          <w:tcPr>
            <w:tcW w:w="4440" w:type="dxa"/>
            <w:vAlign w:val="bottom"/>
          </w:tcPr>
          <w:p>
            <w:pPr>
              <w:spacing w:after="0"/>
              <w:rPr>
                <w:sz w:val="20"/>
                <w:szCs w:val="20"/>
                <w:color w:val="auto"/>
              </w:rPr>
            </w:pPr>
            <w:r>
              <w:rPr>
                <w:rFonts w:ascii="Arial" w:cs="Arial" w:eastAsia="Arial" w:hAnsi="Arial"/>
                <w:sz w:val="20"/>
                <w:szCs w:val="20"/>
                <w:color w:val="auto"/>
              </w:rPr>
              <w:t>Recovery of Credit Losses - Off Balance</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00"/>
        </w:trPr>
        <w:tc>
          <w:tcPr>
            <w:tcW w:w="4440" w:type="dxa"/>
            <w:vAlign w:val="bottom"/>
          </w:tcPr>
          <w:p>
            <w:pPr>
              <w:ind w:left="140"/>
              <w:spacing w:after="0"/>
              <w:rPr>
                <w:sz w:val="20"/>
                <w:szCs w:val="20"/>
                <w:color w:val="auto"/>
              </w:rPr>
            </w:pPr>
            <w:r>
              <w:rPr>
                <w:rFonts w:ascii="Arial" w:cs="Arial" w:eastAsia="Arial" w:hAnsi="Arial"/>
                <w:sz w:val="20"/>
                <w:szCs w:val="20"/>
                <w:color w:val="auto"/>
              </w:rPr>
              <w:t>Sheet Credit Exposures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(266)</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(267)</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41"/>
        </w:trPr>
        <w:tc>
          <w:tcPr>
            <w:tcW w:w="4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4"/>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w w:val="94"/>
              </w:rPr>
              <w:t>Net Interest Income After Provision for Credit Losses</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20,673</w:t>
            </w:r>
          </w:p>
        </w:tc>
        <w:tc>
          <w:tcPr>
            <w:tcW w:w="2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20,788</w:t>
            </w:r>
          </w:p>
        </w:tc>
        <w:tc>
          <w:tcPr>
            <w:tcW w:w="2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21,574</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22,604</w:t>
            </w:r>
          </w:p>
        </w:tc>
      </w:tr>
      <w:tr>
        <w:trPr>
          <w:trHeight w:val="284"/>
        </w:trPr>
        <w:tc>
          <w:tcPr>
            <w:tcW w:w="4440" w:type="dxa"/>
            <w:vAlign w:val="bottom"/>
          </w:tcPr>
          <w:p>
            <w:pPr>
              <w:spacing w:after="0"/>
              <w:rPr>
                <w:sz w:val="20"/>
                <w:szCs w:val="20"/>
                <w:color w:val="auto"/>
              </w:rPr>
            </w:pPr>
            <w:r>
              <w:rPr>
                <w:rFonts w:ascii="Arial" w:cs="Arial" w:eastAsia="Arial" w:hAnsi="Arial"/>
                <w:sz w:val="20"/>
                <w:szCs w:val="20"/>
                <w:color w:val="auto"/>
              </w:rPr>
              <w:t>Other expense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(13,895)</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(13,629)</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(13,465)</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(12,077)</w:t>
            </w:r>
          </w:p>
        </w:tc>
      </w:tr>
      <w:tr>
        <w:trPr>
          <w:trHeight w:val="41"/>
        </w:trPr>
        <w:tc>
          <w:tcPr>
            <w:tcW w:w="4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4"/>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income before income taxes</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6,778</w:t>
            </w:r>
          </w:p>
        </w:tc>
        <w:tc>
          <w:tcPr>
            <w:tcW w:w="2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7,159</w:t>
            </w:r>
          </w:p>
        </w:tc>
        <w:tc>
          <w:tcPr>
            <w:tcW w:w="2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8,109</w:t>
            </w:r>
          </w:p>
        </w:tc>
        <w:tc>
          <w:tcPr>
            <w:tcW w:w="2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10,527</w:t>
            </w:r>
          </w:p>
        </w:tc>
      </w:tr>
      <w:tr>
        <w:trPr>
          <w:trHeight w:val="284"/>
        </w:trPr>
        <w:tc>
          <w:tcPr>
            <w:tcW w:w="4440" w:type="dxa"/>
            <w:vAlign w:val="bottom"/>
          </w:tcPr>
          <w:p>
            <w:pPr>
              <w:spacing w:after="0"/>
              <w:rPr>
                <w:sz w:val="20"/>
                <w:szCs w:val="20"/>
                <w:color w:val="auto"/>
              </w:rPr>
            </w:pPr>
            <w:r>
              <w:rPr>
                <w:rFonts w:ascii="Arial" w:cs="Arial" w:eastAsia="Arial" w:hAnsi="Arial"/>
                <w:sz w:val="20"/>
                <w:szCs w:val="20"/>
                <w:color w:val="auto"/>
              </w:rPr>
              <w:t>Income taxes</w:t>
            </w:r>
          </w:p>
        </w:tc>
        <w:tc>
          <w:tcPr>
            <w:tcW w:w="280" w:type="dxa"/>
            <w:vAlign w:val="bottom"/>
          </w:tcPr>
          <w:p>
            <w:pPr>
              <w:spacing w:after="0"/>
              <w:rPr>
                <w:sz w:val="24"/>
                <w:szCs w:val="24"/>
                <w:color w:val="auto"/>
              </w:rPr>
            </w:pPr>
          </w:p>
        </w:tc>
        <w:tc>
          <w:tcPr>
            <w:tcW w:w="1020" w:type="dxa"/>
            <w:vAlign w:val="bottom"/>
          </w:tcPr>
          <w:p>
            <w:pPr>
              <w:jc w:val="right"/>
              <w:ind w:right="60"/>
              <w:spacing w:after="0"/>
              <w:rPr>
                <w:sz w:val="20"/>
                <w:szCs w:val="20"/>
                <w:color w:val="auto"/>
              </w:rPr>
            </w:pPr>
            <w:r>
              <w:rPr>
                <w:rFonts w:ascii="Arial" w:cs="Arial" w:eastAsia="Arial" w:hAnsi="Arial"/>
                <w:sz w:val="20"/>
                <w:szCs w:val="20"/>
                <w:color w:val="auto"/>
              </w:rPr>
              <w:t>1,419</w:t>
            </w:r>
          </w:p>
        </w:tc>
        <w:tc>
          <w:tcPr>
            <w:tcW w:w="22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Arial" w:cs="Arial" w:eastAsia="Arial" w:hAnsi="Arial"/>
                <w:sz w:val="20"/>
                <w:szCs w:val="20"/>
                <w:color w:val="auto"/>
              </w:rPr>
              <w:t>1,477</w:t>
            </w:r>
          </w:p>
        </w:tc>
        <w:tc>
          <w:tcPr>
            <w:tcW w:w="24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Arial" w:cs="Arial" w:eastAsia="Arial" w:hAnsi="Arial"/>
                <w:sz w:val="20"/>
                <w:szCs w:val="20"/>
                <w:color w:val="auto"/>
              </w:rPr>
              <w:t>1,593</w:t>
            </w:r>
          </w:p>
        </w:tc>
        <w:tc>
          <w:tcPr>
            <w:tcW w:w="28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2,146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-2604135</wp:posOffset>
            </wp:positionV>
            <wp:extent cx="3001645" cy="63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4">
                      <a:extLst>
                        <a:ext uri="{28A0092B-C50C-407E-A947-70E740481C1C}"/>
                      </a:extLst>
                    </a:blip>
                    <a:srcRect/>
                    <a:stretch>
                      <a:fillRect/>
                    </a:stretch>
                  </pic:blipFill>
                  <pic:spPr bwMode="auto">
                    <a:xfrm>
                      <a:off x="0" y="0"/>
                      <a:ext cx="3001645" cy="63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-2398395</wp:posOffset>
            </wp:positionV>
            <wp:extent cx="3001645" cy="63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5">
                      <a:extLst>
                        <a:ext uri="{28A0092B-C50C-407E-A947-70E740481C1C}"/>
                      </a:extLst>
                    </a:blip>
                    <a:srcRect/>
                    <a:stretch>
                      <a:fillRect/>
                    </a:stretch>
                  </pic:blipFill>
                  <pic:spPr bwMode="auto">
                    <a:xfrm>
                      <a:off x="0" y="0"/>
                      <a:ext cx="3001645" cy="63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-2192020</wp:posOffset>
            </wp:positionV>
            <wp:extent cx="3001645" cy="63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6">
                      <a:extLst>
                        <a:ext uri="{28A0092B-C50C-407E-A947-70E740481C1C}"/>
                      </a:extLst>
                    </a:blip>
                    <a:srcRect/>
                    <a:stretch>
                      <a:fillRect/>
                    </a:stretch>
                  </pic:blipFill>
                  <pic:spPr bwMode="auto">
                    <a:xfrm>
                      <a:off x="0" y="0"/>
                      <a:ext cx="3001645" cy="63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-1586865</wp:posOffset>
            </wp:positionV>
            <wp:extent cx="3060700" cy="63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7">
                      <a:extLst>
                        <a:ext uri="{28A0092B-C50C-407E-A947-70E740481C1C}"/>
                      </a:extLst>
                    </a:blip>
                    <a:srcRect/>
                    <a:stretch>
                      <a:fillRect/>
                    </a:stretch>
                  </pic:blipFill>
                  <pic:spPr bwMode="auto">
                    <a:xfrm>
                      <a:off x="0" y="0"/>
                      <a:ext cx="3060700" cy="63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-1181100</wp:posOffset>
            </wp:positionV>
            <wp:extent cx="3060700" cy="63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88">
                      <a:extLst>
                        <a:ext uri="{28A0092B-C50C-407E-A947-70E740481C1C}"/>
                      </a:extLst>
                    </a:blip>
                    <a:srcRect/>
                    <a:stretch>
                      <a:fillRect/>
                    </a:stretch>
                  </pic:blipFill>
                  <pic:spPr bwMode="auto">
                    <a:xfrm>
                      <a:off x="0" y="0"/>
                      <a:ext cx="3060700" cy="63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-385445</wp:posOffset>
            </wp:positionV>
            <wp:extent cx="3001645" cy="63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89">
                      <a:extLst>
                        <a:ext uri="{28A0092B-C50C-407E-A947-70E740481C1C}"/>
                      </a:extLst>
                    </a:blip>
                    <a:srcRect/>
                    <a:stretch>
                      <a:fillRect/>
                    </a:stretch>
                  </pic:blipFill>
                  <pic:spPr bwMode="auto">
                    <a:xfrm>
                      <a:off x="0" y="0"/>
                      <a:ext cx="3001645" cy="63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19685</wp:posOffset>
            </wp:positionV>
            <wp:extent cx="3001645" cy="63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0">
                      <a:extLst>
                        <a:ext uri="{28A0092B-C50C-407E-A947-70E740481C1C}"/>
                      </a:extLst>
                    </a:blip>
                    <a:srcRect/>
                    <a:stretch>
                      <a:fillRect/>
                    </a:stretch>
                  </pic:blipFill>
                  <pic:spPr bwMode="auto">
                    <a:xfrm>
                      <a:off x="0" y="0"/>
                      <a:ext cx="300164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45</w:t>
      </w:r>
    </w:p>
    <w:p>
      <w:pPr>
        <w:sectPr>
          <w:pgSz w:w="11900" w:h="16838" w:orient="portrait"/>
          <w:cols w:equalWidth="0" w:num="1">
            <w:col w:w="9400"/>
          </w:cols>
          <w:pgMar w:left="1260" w:top="1440" w:right="1246" w:bottom="0" w:gutter="0" w:footer="0" w:header="0"/>
          <w:type w:val="continuous"/>
        </w:sectPr>
      </w:pPr>
    </w:p>
    <w:bookmarkStart w:id="242" w:name="page243"/>
    <w:bookmarkEnd w:id="242"/>
    <w:tbl>
      <w:tblPr>
        <w:tblLayout w:type="fixed"/>
        <w:tblInd w:w="0" w:type="dxa"/>
        <w:tblCellMar>
          <w:top w:w="0" w:type="dxa"/>
          <w:left w:w="0" w:type="dxa"/>
          <w:bottom w:w="0" w:type="dxa"/>
          <w:right w:w="0" w:type="dxa"/>
        </w:tblCellMar>
      </w:tblPr>
      <w:tr>
        <w:trPr>
          <w:trHeight w:val="339"/>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income</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5,359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5,682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6,516</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8,381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580" w:type="dxa"/>
            <w:vAlign w:val="bottom"/>
          </w:tcPr>
          <w:p>
            <w:pPr>
              <w:spacing w:after="0"/>
              <w:rPr>
                <w:sz w:val="20"/>
                <w:szCs w:val="20"/>
                <w:color w:val="auto"/>
              </w:rPr>
            </w:pPr>
            <w:r>
              <w:rPr>
                <w:rFonts w:ascii="Arial" w:cs="Arial" w:eastAsia="Arial" w:hAnsi="Arial"/>
                <w:sz w:val="20"/>
                <w:szCs w:val="20"/>
                <w:color w:val="auto"/>
              </w:rPr>
              <w:t>Earnings per Common Share</w:t>
            </w: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0.39</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0.42</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0.48</w:t>
            </w:r>
          </w:p>
        </w:tc>
        <w:tc>
          <w:tcPr>
            <w:tcW w:w="2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0.61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580" w:type="dxa"/>
            <w:vAlign w:val="bottom"/>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020" w:type="dxa"/>
            <w:vAlign w:val="bottom"/>
            <w:vMerge w:val="restart"/>
            <w:shd w:val="clear" w:color="auto" w:fill="CFF0FC"/>
          </w:tcPr>
          <w:p>
            <w:pPr>
              <w:jc w:val="right"/>
              <w:ind w:right="20"/>
              <w:spacing w:after="0"/>
              <w:rPr>
                <w:sz w:val="20"/>
                <w:szCs w:val="20"/>
                <w:color w:val="auto"/>
              </w:rPr>
            </w:pPr>
            <w:r>
              <w:rPr>
                <w:rFonts w:ascii="Arial" w:cs="Arial" w:eastAsia="Arial" w:hAnsi="Arial"/>
                <w:sz w:val="20"/>
                <w:szCs w:val="20"/>
                <w:color w:val="auto"/>
                <w:w w:val="87"/>
              </w:rPr>
              <w:t>13,671,166</w:t>
            </w:r>
          </w:p>
        </w:tc>
        <w:tc>
          <w:tcPr>
            <w:tcW w:w="220" w:type="dxa"/>
            <w:vAlign w:val="bottom"/>
            <w:shd w:val="clear" w:color="auto" w:fill="CFF0FC"/>
          </w:tcPr>
          <w:p>
            <w:pPr>
              <w:spacing w:after="0"/>
              <w:rPr>
                <w:sz w:val="3"/>
                <w:szCs w:val="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w w:val="87"/>
              </w:rPr>
              <w:t>13,681,501</w:t>
            </w:r>
          </w:p>
        </w:tc>
        <w:tc>
          <w:tcPr>
            <w:tcW w:w="220" w:type="dxa"/>
            <w:vAlign w:val="bottom"/>
            <w:shd w:val="clear" w:color="auto" w:fill="CFF0FC"/>
          </w:tcPr>
          <w:p>
            <w:pPr>
              <w:spacing w:after="0"/>
              <w:rPr>
                <w:sz w:val="3"/>
                <w:szCs w:val="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w w:val="89"/>
              </w:rPr>
              <w:t>13,687,119</w:t>
            </w:r>
          </w:p>
        </w:tc>
        <w:tc>
          <w:tcPr>
            <w:tcW w:w="2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w w:val="87"/>
              </w:rPr>
              <w:t>13,699,869</w:t>
            </w: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4580" w:type="dxa"/>
            <w:vAlign w:val="bottom"/>
            <w:shd w:val="clear" w:color="auto" w:fill="CFF0FC"/>
          </w:tcPr>
          <w:p>
            <w:pPr>
              <w:spacing w:after="0"/>
              <w:rPr>
                <w:sz w:val="20"/>
                <w:szCs w:val="20"/>
                <w:color w:val="auto"/>
              </w:rPr>
            </w:pPr>
            <w:r>
              <w:rPr>
                <w:rFonts w:ascii="Arial" w:cs="Arial" w:eastAsia="Arial" w:hAnsi="Arial"/>
                <w:sz w:val="20"/>
                <w:szCs w:val="20"/>
                <w:color w:val="auto"/>
              </w:rPr>
              <w:t>Average common shares outstanding</w:t>
            </w:r>
          </w:p>
        </w:tc>
        <w:tc>
          <w:tcPr>
            <w:tcW w:w="100" w:type="dxa"/>
            <w:vAlign w:val="bottom"/>
            <w:shd w:val="clear" w:color="auto" w:fill="CFF0FC"/>
          </w:tcPr>
          <w:p>
            <w:pPr>
              <w:spacing w:after="0"/>
              <w:rPr>
                <w:sz w:val="24"/>
                <w:szCs w:val="24"/>
                <w:color w:val="auto"/>
              </w:rPr>
            </w:pPr>
          </w:p>
        </w:tc>
        <w:tc>
          <w:tcPr>
            <w:tcW w:w="1020" w:type="dxa"/>
            <w:vAlign w:val="bottom"/>
            <w:vMerge w:val="continue"/>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00" w:type="dxa"/>
            <w:vAlign w:val="bottom"/>
            <w:vMerge w:val="continue"/>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920" w:type="dxa"/>
            <w:vAlign w:val="bottom"/>
            <w:vMerge w:val="continue"/>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20" w:type="dxa"/>
            <w:vAlign w:val="bottom"/>
            <w:vMerge w:val="continue"/>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5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-484505</wp:posOffset>
            </wp:positionV>
            <wp:extent cx="3060700" cy="2857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1">
                      <a:extLst>
                        <a:ext uri="{28A0092B-C50C-407E-A947-70E740481C1C}"/>
                      </a:extLst>
                    </a:blip>
                    <a:srcRect/>
                    <a:stretch>
                      <a:fillRect/>
                    </a:stretch>
                  </pic:blipFill>
                  <pic:spPr bwMode="auto">
                    <a:xfrm>
                      <a:off x="0" y="0"/>
                      <a:ext cx="3060700" cy="2857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-255905</wp:posOffset>
            </wp:positionV>
            <wp:extent cx="3060700" cy="2857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2">
                      <a:extLst>
                        <a:ext uri="{28A0092B-C50C-407E-A947-70E740481C1C}"/>
                      </a:extLst>
                    </a:blip>
                    <a:srcRect/>
                    <a:stretch>
                      <a:fillRect/>
                    </a:stretch>
                  </pic:blipFill>
                  <pic:spPr bwMode="auto">
                    <a:xfrm>
                      <a:off x="0" y="0"/>
                      <a:ext cx="3060700" cy="2857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-27940</wp:posOffset>
            </wp:positionV>
            <wp:extent cx="3060700" cy="2857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3">
                      <a:extLst>
                        <a:ext uri="{28A0092B-C50C-407E-A947-70E740481C1C}"/>
                      </a:extLst>
                    </a:blip>
                    <a:srcRect/>
                    <a:stretch>
                      <a:fillRect/>
                    </a:stretch>
                  </pic:blipFill>
                  <pic:spPr bwMode="auto">
                    <a:xfrm>
                      <a:off x="0" y="0"/>
                      <a:ext cx="3060700" cy="285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23 - Segment Reporting</w:t>
      </w:r>
    </w:p>
    <w:p>
      <w:pPr>
        <w:spacing w:after="0" w:line="200" w:lineRule="exact"/>
        <w:rPr>
          <w:sz w:val="20"/>
          <w:szCs w:val="20"/>
          <w:color w:val="auto"/>
        </w:rPr>
      </w:pPr>
    </w:p>
    <w:p>
      <w:pPr>
        <w:jc w:val="both"/>
        <w:ind w:right="40"/>
        <w:spacing w:after="0" w:line="311" w:lineRule="auto"/>
        <w:rPr>
          <w:sz w:val="20"/>
          <w:szCs w:val="20"/>
          <w:color w:val="auto"/>
        </w:rPr>
      </w:pPr>
      <w:r>
        <w:rPr>
          <w:rFonts w:ascii="Arial" w:cs="Arial" w:eastAsia="Arial" w:hAnsi="Arial"/>
          <w:sz w:val="20"/>
          <w:szCs w:val="20"/>
          <w:color w:val="auto"/>
        </w:rPr>
        <w:t>The Company has one reportable operating segment, commercial banking. While our chief operating decision makers (CODM) monitor revenue streams of various products and services, the identifiable segments’ operations are managed, and financial performance is evaluated on a Company wide basis. The commercial banking segment provides a broad array of financial products and services including commercial, agricultural, and residential mortgage as well as consumer lending activities, commercial and consumer banking services, wealth advisory services and insurance to individual and business clients through most of its banking center locations in Ohio, Indiana, and Michigan.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45</w:t>
      </w:r>
    </w:p>
    <w:p>
      <w:pPr>
        <w:sectPr>
          <w:pgSz w:w="11900" w:h="16838" w:orient="portrait"/>
          <w:cols w:equalWidth="0" w:num="1">
            <w:col w:w="9400"/>
          </w:cols>
          <w:pgMar w:left="1260" w:top="1133" w:right="1246" w:bottom="0" w:gutter="0" w:footer="0" w:header="0"/>
          <w:type w:val="continuous"/>
        </w:sectPr>
      </w:pPr>
    </w:p>
    <w:bookmarkStart w:id="243" w:name="page244"/>
    <w:bookmarkEnd w:id="243"/>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Farmers &amp; Merchants Bancorp, Inc. and Subsidiaries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December 31, 2025, 2024,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60"/>
        <w:spacing w:after="0" w:line="378" w:lineRule="auto"/>
        <w:rPr>
          <w:sz w:val="20"/>
          <w:szCs w:val="20"/>
          <w:color w:val="auto"/>
        </w:rPr>
      </w:pPr>
      <w:r>
        <w:rPr>
          <w:rFonts w:ascii="Arial" w:cs="Arial" w:eastAsia="Arial" w:hAnsi="Arial"/>
          <w:sz w:val="17"/>
          <w:szCs w:val="17"/>
          <w:color w:val="auto"/>
        </w:rPr>
        <w:t>The accounting policies of the commercial banking segment are the same as those described in Note 1 of the Notes to Consolidated Financial Statements. The CODM assess performance for the commercial banking segment and decide how to allocate resources based on net income which is also reported on the Consolidated Statements of Income as net income. The measure of segment assets is reported on the Consolidated Balance Sheets as total assets.</w:t>
      </w:r>
    </w:p>
    <w:p>
      <w:pPr>
        <w:spacing w:after="0" w:line="209" w:lineRule="exact"/>
        <w:rPr>
          <w:sz w:val="20"/>
          <w:szCs w:val="20"/>
          <w:color w:val="auto"/>
        </w:rPr>
      </w:pPr>
    </w:p>
    <w:p>
      <w:pPr>
        <w:jc w:val="both"/>
        <w:ind w:right="60"/>
        <w:spacing w:after="0" w:line="349" w:lineRule="auto"/>
        <w:rPr>
          <w:sz w:val="20"/>
          <w:szCs w:val="20"/>
          <w:color w:val="auto"/>
        </w:rPr>
      </w:pPr>
      <w:r>
        <w:rPr>
          <w:rFonts w:ascii="Arial" w:cs="Arial" w:eastAsia="Arial" w:hAnsi="Arial"/>
          <w:sz w:val="18"/>
          <w:szCs w:val="18"/>
          <w:color w:val="auto"/>
        </w:rPr>
        <w:t>The CODM use net income to evaluate income generated from segment assets (return on average total assets) in deciding whether to reinvest profits into the commercial banking segment or to pay dividends or fund acquisitions. Net income is also used by the CODM to monitor budget versus actual results. Net income as well as other common company-wide financial performance and credit quality metrics such as return on average assets, return on average equity, earnings per common share, net interest margin, operating efficiency and nonaccrual loans to total loans, among others, are used for competitive analysis by benchmarking to the Company’s competitors as well as used in assessing the performance of the segment and for establishing management’s compensation. Loans, investments and deposits provide revenue in the banking operation. Interest expense, provisions for credit losses, salaries, wages and associated employee benefits, and data processing are the significant expenses in the banking operation.</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The Company’s CODM are the President and senior management team of the Company.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24 – Subsequent Events</w:t>
      </w:r>
    </w:p>
    <w:p>
      <w:pPr>
        <w:spacing w:after="0" w:line="200" w:lineRule="exact"/>
        <w:rPr>
          <w:sz w:val="20"/>
          <w:szCs w:val="20"/>
          <w:color w:val="auto"/>
        </w:rPr>
      </w:pPr>
    </w:p>
    <w:p>
      <w:pPr>
        <w:jc w:val="both"/>
        <w:ind w:right="100"/>
        <w:spacing w:after="0" w:line="330" w:lineRule="auto"/>
        <w:rPr>
          <w:sz w:val="20"/>
          <w:szCs w:val="20"/>
          <w:color w:val="auto"/>
        </w:rPr>
      </w:pPr>
      <w:r>
        <w:rPr>
          <w:rFonts w:ascii="Arial" w:cs="Arial" w:eastAsia="Arial" w:hAnsi="Arial"/>
          <w:sz w:val="19"/>
          <w:szCs w:val="19"/>
          <w:color w:val="auto"/>
        </w:rPr>
        <w:t>On January 27, 2026, the Company announced the authorization by its Board of Directors for the Company’s repurchase, either on the open market, or in privately negotiated transactions, of up to 650,000 shares of its outstanding common stock commencing January 27, 2026 and ending December 31, 2026.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45</w:t>
      </w:r>
    </w:p>
    <w:p>
      <w:pPr>
        <w:sectPr>
          <w:pgSz w:w="11900" w:h="16838" w:orient="portrait"/>
          <w:cols w:equalWidth="0" w:num="1">
            <w:col w:w="9400"/>
          </w:cols>
          <w:pgMar w:left="1260" w:top="1440" w:right="1246" w:bottom="0" w:gutter="0" w:footer="0" w:header="0"/>
          <w:type w:val="continuous"/>
        </w:sectPr>
      </w:pPr>
    </w:p>
    <w:bookmarkStart w:id="244" w:name="page245"/>
    <w:bookmarkEnd w:id="244"/>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00"/>
        <w:spacing w:after="0" w:line="428" w:lineRule="auto"/>
        <w:rPr>
          <w:sz w:val="20"/>
          <w:szCs w:val="20"/>
          <w:color w:val="auto"/>
        </w:rPr>
      </w:pPr>
      <w:r>
        <w:rPr>
          <w:rFonts w:ascii="Arial" w:cs="Arial" w:eastAsia="Arial" w:hAnsi="Arial"/>
          <w:sz w:val="20"/>
          <w:szCs w:val="20"/>
          <w:b w:val="1"/>
          <w:bCs w:val="1"/>
          <w:u w:val="single" w:color="auto"/>
          <w:color w:val="auto"/>
        </w:rPr>
        <w:t xml:space="preserve">ITEM 9. CHANGE IN AND DISAGREEMENTS WITH ACCOUNTING AND FINANCIAL DISCLOSURE </w:t>
      </w:r>
      <w:r>
        <w:rPr>
          <w:rFonts w:ascii="Arial" w:cs="Arial" w:eastAsia="Arial" w:hAnsi="Arial"/>
          <w:sz w:val="20"/>
          <w:szCs w:val="20"/>
          <w:color w:val="auto"/>
        </w:rPr>
        <w:t>No disagreements exist on accounting and financial disclosures or related matter.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9a. CONTROLS AND PROCEDURES</w:t>
      </w:r>
    </w:p>
    <w:p>
      <w:pPr>
        <w:spacing w:after="0" w:line="310"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MANAGEMENT REPORT REGARDING</w:t>
      </w:r>
    </w:p>
    <w:p>
      <w:pPr>
        <w:spacing w:after="0" w:line="7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DISCLOSURE CONTROLS AND PROCEDURES</w:t>
      </w:r>
    </w:p>
    <w:p>
      <w:pPr>
        <w:spacing w:after="0" w:line="200" w:lineRule="exact"/>
        <w:rPr>
          <w:sz w:val="20"/>
          <w:szCs w:val="20"/>
          <w:color w:val="auto"/>
        </w:rPr>
      </w:pPr>
    </w:p>
    <w:p>
      <w:pPr>
        <w:jc w:val="both"/>
        <w:ind w:right="40"/>
        <w:spacing w:after="0" w:line="329" w:lineRule="auto"/>
        <w:rPr>
          <w:sz w:val="20"/>
          <w:szCs w:val="20"/>
          <w:color w:val="auto"/>
        </w:rPr>
      </w:pPr>
      <w:r>
        <w:rPr>
          <w:rFonts w:ascii="Arial" w:cs="Arial" w:eastAsia="Arial" w:hAnsi="Arial"/>
          <w:sz w:val="19"/>
          <w:szCs w:val="19"/>
          <w:color w:val="auto"/>
        </w:rPr>
        <w:t>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31, 2025, pursuant to Exchange Act 13a-15. Based upon that evaluation, the Chief Executive Officer and Chief Financial Officer concluded that the Company’s disclosure controls and procedures were effective as of December 31, 2025, in timely alerting them to material information relating to the Company (including its consolidated subsidiaries) required to be included in the Company’s periodic SEC filings.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 REPORT REGARDING INTERNAL CONTROL AND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COMPLIANCE WITH DESIGNATED LAWS AND REGULATIONS</w:t>
      </w:r>
    </w:p>
    <w:p>
      <w:pPr>
        <w:spacing w:after="0" w:line="200"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Management of Farmers &amp; Merchants Bancorp, Inc. and its subsidiary is responsible for preparing the Bank’s annual financial statements. Management is also responsible for establishing and maintaining internal control over financial reporting presented in conformity with both generally accepted accounting principles and regulatory reporting in conformity with the Federal Financial Institutions Examination Council Instructions for Consolidated Reports of Condition and Income (call report instructions). The Bank’s internal control contains monitoring mechanisms, and actions are taken to correct deficiencies identified.</w:t>
      </w:r>
    </w:p>
    <w:p>
      <w:pPr>
        <w:spacing w:after="0" w:line="243" w:lineRule="exact"/>
        <w:rPr>
          <w:sz w:val="20"/>
          <w:szCs w:val="20"/>
          <w:color w:val="auto"/>
        </w:rPr>
      </w:pPr>
    </w:p>
    <w:p>
      <w:pPr>
        <w:jc w:val="both"/>
        <w:ind w:right="40"/>
        <w:spacing w:after="0" w:line="309" w:lineRule="auto"/>
        <w:rPr>
          <w:sz w:val="20"/>
          <w:szCs w:val="20"/>
          <w:color w:val="auto"/>
        </w:rPr>
      </w:pPr>
      <w:r>
        <w:rPr>
          <w:rFonts w:ascii="Arial" w:cs="Arial" w:eastAsia="Arial" w:hAnsi="Arial"/>
          <w:sz w:val="20"/>
          <w:szCs w:val="20"/>
          <w:color w:val="auto"/>
        </w:rPr>
        <w:t>There are inherent limitations in the effectiveness of any internal control, including the possibility of human error and the circumvention or overriding of controls. Accordingly, even effective internal control can provide only reasonable assurance with respect to financial statement preparation. Further, because of changes in conditions, the effectiveness of internal control may vary over time.</w:t>
      </w:r>
    </w:p>
    <w:p>
      <w:pPr>
        <w:spacing w:after="0" w:line="256" w:lineRule="exact"/>
        <w:rPr>
          <w:sz w:val="20"/>
          <w:szCs w:val="20"/>
          <w:color w:val="auto"/>
        </w:rPr>
      </w:pPr>
    </w:p>
    <w:p>
      <w:pPr>
        <w:jc w:val="both"/>
        <w:ind w:right="40"/>
        <w:spacing w:after="0" w:line="355" w:lineRule="auto"/>
        <w:rPr>
          <w:sz w:val="20"/>
          <w:szCs w:val="20"/>
          <w:color w:val="auto"/>
        </w:rPr>
      </w:pPr>
      <w:r>
        <w:rPr>
          <w:rFonts w:ascii="Arial" w:cs="Arial" w:eastAsia="Arial" w:hAnsi="Arial"/>
          <w:sz w:val="18"/>
          <w:szCs w:val="18"/>
          <w:color w:val="auto"/>
        </w:rPr>
        <w:t>It is also management’s responsibility to ensure satisfactory compliance with all designated laws and regulations and in particular, those laws and regulations concerning loans to insiders. The federal laws concerning loans to insiders are codified at 12 USC 375a and 375b, and the federal regulations are set forth at 12 CFR 23.5, 31, and 215.</w:t>
      </w:r>
    </w:p>
    <w:p>
      <w:pPr>
        <w:spacing w:after="0" w:line="222" w:lineRule="exact"/>
        <w:rPr>
          <w:sz w:val="20"/>
          <w:szCs w:val="20"/>
          <w:color w:val="auto"/>
        </w:rPr>
      </w:pPr>
    </w:p>
    <w:p>
      <w:pPr>
        <w:jc w:val="both"/>
        <w:ind w:right="40"/>
        <w:spacing w:after="0" w:line="350"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based on the framework in the 2013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2025.</w:t>
      </w:r>
    </w:p>
    <w:p>
      <w:pPr>
        <w:spacing w:after="0" w:line="227" w:lineRule="exact"/>
        <w:rPr>
          <w:sz w:val="20"/>
          <w:szCs w:val="20"/>
          <w:color w:val="auto"/>
        </w:rPr>
      </w:pPr>
    </w:p>
    <w:p>
      <w:pPr>
        <w:jc w:val="both"/>
        <w:ind w:right="40"/>
        <w:spacing w:after="0" w:line="274" w:lineRule="exact"/>
        <w:rPr>
          <w:sz w:val="20"/>
          <w:szCs w:val="20"/>
          <w:color w:val="auto"/>
        </w:rPr>
      </w:pPr>
      <w:r>
        <w:rPr>
          <w:rFonts w:ascii="Arial" w:cs="Arial" w:eastAsia="Arial" w:hAnsi="Arial"/>
          <w:sz w:val="19"/>
          <w:szCs w:val="19"/>
          <w:color w:val="auto"/>
        </w:rPr>
        <w:t>Our independent registered public accounting firm, Plante &amp; Moran, PLLC, has audited the effectiveness of our internal control over financial reporting. The report of our independent registered public accounting firm is included in Item 8, Financial Statements and Supplementary Data of this Annual Report on Form 10</w:t>
      </w:r>
      <w:r>
        <w:rPr>
          <w:rFonts w:ascii="MS PMincho" w:cs="MS PMincho" w:eastAsia="MS PMincho" w:hAnsi="MS PMincho"/>
          <w:sz w:val="19"/>
          <w:szCs w:val="19"/>
          <w:color w:val="auto"/>
        </w:rPr>
        <w:t>‑</w:t>
      </w:r>
      <w:r>
        <w:rPr>
          <w:rFonts w:ascii="Arial" w:cs="Arial" w:eastAsia="Arial" w:hAnsi="Arial"/>
          <w:sz w:val="19"/>
          <w:szCs w:val="19"/>
          <w:color w:val="auto"/>
        </w:rPr>
        <w:t>K.</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 / 45</w:t>
      </w:r>
    </w:p>
    <w:p>
      <w:pPr>
        <w:sectPr>
          <w:pgSz w:w="11900" w:h="16838" w:orient="portrait"/>
          <w:cols w:equalWidth="0" w:num="1">
            <w:col w:w="9380"/>
          </w:cols>
          <w:pgMar w:left="1260" w:top="1440" w:right="1266" w:bottom="0" w:gutter="0" w:footer="0" w:header="0"/>
          <w:type w:val="continuous"/>
        </w:sectPr>
      </w:pPr>
    </w:p>
    <w:bookmarkStart w:id="245" w:name="page246"/>
    <w:bookmarkEnd w:id="245"/>
    <w:p>
      <w:pPr>
        <w:jc w:val="both"/>
        <w:spacing w:after="0" w:line="307" w:lineRule="auto"/>
        <w:rPr>
          <w:sz w:val="20"/>
          <w:szCs w:val="20"/>
          <w:color w:val="auto"/>
        </w:rPr>
      </w:pPr>
      <w:r>
        <w:rPr>
          <w:rFonts w:ascii="Arial" w:cs="Arial" w:eastAsia="Arial" w:hAnsi="Arial"/>
          <w:sz w:val="20"/>
          <w:szCs w:val="20"/>
          <w:color w:val="auto"/>
        </w:rPr>
        <w:t>There was no change in the Company’s internal control over financial reporting that occurred during the Company’s fiscal quarter ended December 31, 2025 that has materially affected, or is reasonably likely to materially affect, the Company’s internal control over financial reporting.</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9b. OTHER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Andrew J. Briggs entered into a 10b5-1 Trading Plan dated December 16, 2025.</w:t>
      </w:r>
    </w:p>
    <w:p>
      <w:pPr>
        <w:spacing w:after="0" w:line="200" w:lineRule="exact"/>
        <w:rPr>
          <w:sz w:val="20"/>
          <w:szCs w:val="20"/>
          <w:color w:val="auto"/>
        </w:rPr>
      </w:pPr>
    </w:p>
    <w:p>
      <w:pPr>
        <w:spacing w:after="0" w:line="240" w:lineRule="exact"/>
        <w:rPr>
          <w:sz w:val="20"/>
          <w:szCs w:val="20"/>
          <w:color w:val="auto"/>
        </w:rPr>
      </w:pPr>
    </w:p>
    <w:p>
      <w:pPr>
        <w:ind w:right="260"/>
        <w:spacing w:after="0" w:line="428" w:lineRule="auto"/>
        <w:rPr>
          <w:sz w:val="20"/>
          <w:szCs w:val="20"/>
          <w:color w:val="auto"/>
        </w:rPr>
      </w:pPr>
      <w:r>
        <w:rPr>
          <w:rFonts w:ascii="Arial" w:cs="Arial" w:eastAsia="Arial" w:hAnsi="Arial"/>
          <w:sz w:val="20"/>
          <w:szCs w:val="20"/>
          <w:b w:val="1"/>
          <w:bCs w:val="1"/>
          <w:u w:val="single" w:color="auto"/>
          <w:color w:val="auto"/>
        </w:rPr>
        <w:t xml:space="preserve">ITEM 9c. DISCLOSURE REGARDING FOREIGN JURISDICTIONS THAT PREVENT INSPECTIONS </w:t>
      </w:r>
      <w:r>
        <w:rPr>
          <w:rFonts w:ascii="Arial" w:cs="Arial" w:eastAsia="Arial" w:hAnsi="Arial"/>
          <w:sz w:val="20"/>
          <w:szCs w:val="20"/>
          <w:color w:val="auto"/>
        </w:rPr>
        <w:t>Not applicable.</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 / 45</w:t>
      </w:r>
    </w:p>
    <w:p>
      <w:pPr>
        <w:sectPr>
          <w:pgSz w:w="11900" w:h="16838" w:orient="portrait"/>
          <w:cols w:equalWidth="0" w:num="1">
            <w:col w:w="9340"/>
          </w:cols>
          <w:pgMar w:left="1260" w:top="1173" w:right="1306" w:bottom="0" w:gutter="0" w:footer="0" w:header="0"/>
          <w:type w:val="continuous"/>
        </w:sectPr>
      </w:pPr>
    </w:p>
    <w:bookmarkStart w:id="246" w:name="page247"/>
    <w:bookmarkEnd w:id="2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III</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10. DIRECTORS AND EXECUTIVE OFFICERS OF THE REGISTRANT</w:t>
      </w:r>
    </w:p>
    <w:p>
      <w:pPr>
        <w:spacing w:after="0" w:line="310" w:lineRule="exact"/>
        <w:rPr>
          <w:sz w:val="20"/>
          <w:szCs w:val="20"/>
          <w:color w:val="auto"/>
        </w:rPr>
      </w:pPr>
    </w:p>
    <w:p>
      <w:pPr>
        <w:jc w:val="center"/>
        <w:ind w:right="-173"/>
        <w:spacing w:after="0"/>
        <w:rPr>
          <w:sz w:val="20"/>
          <w:szCs w:val="20"/>
          <w:color w:val="auto"/>
        </w:rPr>
      </w:pPr>
      <w:r>
        <w:rPr>
          <w:rFonts w:ascii="Arial" w:cs="Arial" w:eastAsia="Arial" w:hAnsi="Arial"/>
          <w:sz w:val="20"/>
          <w:szCs w:val="20"/>
          <w:b w:val="1"/>
          <w:bCs w:val="1"/>
          <w:color w:val="auto"/>
        </w:rPr>
        <w:t>BOARD OF DIRECTORS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called for herein is presented below:</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20"/>
                <w:szCs w:val="20"/>
                <w:b w:val="1"/>
                <w:bCs w:val="1"/>
                <w:color w:val="auto"/>
              </w:rPr>
              <w:t>Principal Occupation or</w:t>
            </w:r>
          </w:p>
        </w:tc>
        <w:tc>
          <w:tcPr>
            <w:tcW w:w="880" w:type="dxa"/>
            <w:vAlign w:val="bottom"/>
            <w:gridSpan w:val="2"/>
          </w:tcPr>
          <w:p>
            <w:pPr>
              <w:spacing w:after="0"/>
              <w:rPr>
                <w:sz w:val="20"/>
                <w:szCs w:val="20"/>
                <w:color w:val="auto"/>
              </w:rPr>
            </w:pPr>
            <w:r>
              <w:rPr>
                <w:rFonts w:ascii="Arial" w:cs="Arial" w:eastAsia="Arial" w:hAnsi="Arial"/>
                <w:sz w:val="20"/>
                <w:szCs w:val="20"/>
                <w:b w:val="1"/>
                <w:bCs w:val="1"/>
                <w:color w:val="auto"/>
                <w:w w:val="93"/>
              </w:rPr>
              <w:t>Year First</w:t>
            </w:r>
          </w:p>
        </w:tc>
      </w:tr>
      <w:tr>
        <w:trPr>
          <w:trHeight w:val="280"/>
        </w:trPr>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b w:val="1"/>
                <w:bCs w:val="1"/>
                <w:color w:val="auto"/>
              </w:rPr>
              <w:t>Employment for Past Five Years</w:t>
            </w:r>
          </w:p>
        </w:tc>
        <w:tc>
          <w:tcPr>
            <w:tcW w:w="880" w:type="dxa"/>
            <w:vAlign w:val="bottom"/>
            <w:gridSpan w:val="2"/>
          </w:tcPr>
          <w:p>
            <w:pPr>
              <w:spacing w:after="0"/>
              <w:rPr>
                <w:sz w:val="20"/>
                <w:szCs w:val="20"/>
                <w:color w:val="auto"/>
              </w:rPr>
            </w:pPr>
            <w:r>
              <w:rPr>
                <w:rFonts w:ascii="Arial" w:cs="Arial" w:eastAsia="Arial" w:hAnsi="Arial"/>
                <w:sz w:val="20"/>
                <w:szCs w:val="20"/>
                <w:b w:val="1"/>
                <w:bCs w:val="1"/>
                <w:color w:val="auto"/>
              </w:rPr>
              <w:t>Became</w:t>
            </w:r>
          </w:p>
        </w:tc>
      </w:tr>
      <w:tr>
        <w:trPr>
          <w:trHeight w:val="20"/>
        </w:trPr>
        <w:tc>
          <w:tcPr>
            <w:tcW w:w="2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80"/>
        </w:trPr>
        <w:tc>
          <w:tcPr>
            <w:tcW w:w="500" w:type="dxa"/>
            <w:vAlign w:val="bottom"/>
          </w:tcPr>
          <w:p>
            <w:pPr>
              <w:spacing w:after="0"/>
              <w:rPr>
                <w:sz w:val="20"/>
                <w:szCs w:val="20"/>
                <w:color w:val="auto"/>
              </w:rPr>
            </w:pPr>
            <w:r>
              <w:rPr>
                <w:rFonts w:ascii="Arial" w:cs="Arial" w:eastAsia="Arial" w:hAnsi="Arial"/>
                <w:sz w:val="20"/>
                <w:szCs w:val="20"/>
                <w:b w:val="1"/>
                <w:bCs w:val="1"/>
                <w:color w:val="auto"/>
                <w:w w:val="88"/>
              </w:rPr>
              <w:t>Name</w:t>
            </w:r>
          </w:p>
        </w:tc>
        <w:tc>
          <w:tcPr>
            <w:tcW w:w="174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20"/>
                <w:szCs w:val="20"/>
                <w:b w:val="1"/>
                <w:bCs w:val="1"/>
                <w:color w:val="auto"/>
              </w:rPr>
              <w:t>Age</w:t>
            </w:r>
          </w:p>
        </w:tc>
        <w:tc>
          <w:tcPr>
            <w:tcW w:w="2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20"/>
                <w:szCs w:val="20"/>
                <w:b w:val="1"/>
                <w:bCs w:val="1"/>
                <w:color w:val="auto"/>
              </w:rPr>
              <w:t>Director</w:t>
            </w:r>
          </w:p>
        </w:tc>
      </w:tr>
      <w:tr>
        <w:trPr>
          <w:trHeight w:val="20"/>
        </w:trPr>
        <w:tc>
          <w:tcPr>
            <w:tcW w:w="5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00"/>
        </w:trPr>
        <w:tc>
          <w:tcPr>
            <w:tcW w:w="2240" w:type="dxa"/>
            <w:vAlign w:val="bottom"/>
            <w:gridSpan w:val="2"/>
          </w:tcPr>
          <w:p>
            <w:pPr>
              <w:spacing w:after="0"/>
              <w:rPr>
                <w:sz w:val="20"/>
                <w:szCs w:val="20"/>
                <w:color w:val="auto"/>
              </w:rPr>
            </w:pPr>
            <w:r>
              <w:rPr>
                <w:rFonts w:ascii="Arial" w:cs="Arial" w:eastAsia="Arial" w:hAnsi="Arial"/>
                <w:sz w:val="20"/>
                <w:szCs w:val="20"/>
                <w:color w:val="auto"/>
              </w:rPr>
              <w:t>Ahmed Alomari</w:t>
            </w:r>
          </w:p>
        </w:tc>
        <w:tc>
          <w:tcPr>
            <w:tcW w:w="340" w:type="dxa"/>
            <w:vAlign w:val="bottom"/>
          </w:tcPr>
          <w:p>
            <w:pPr>
              <w:spacing w:after="0"/>
              <w:rPr>
                <w:sz w:val="20"/>
                <w:szCs w:val="20"/>
                <w:color w:val="auto"/>
              </w:rPr>
            </w:pPr>
            <w:r>
              <w:rPr>
                <w:rFonts w:ascii="Arial" w:cs="Arial" w:eastAsia="Arial" w:hAnsi="Arial"/>
                <w:sz w:val="20"/>
                <w:szCs w:val="20"/>
                <w:color w:val="auto"/>
              </w:rPr>
              <w:t>55</w:t>
            </w: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Executive Vice President</w:t>
            </w:r>
          </w:p>
        </w:tc>
        <w:tc>
          <w:tcPr>
            <w:tcW w:w="720" w:type="dxa"/>
            <w:vAlign w:val="bottom"/>
          </w:tcPr>
          <w:p>
            <w:pPr>
              <w:spacing w:after="0"/>
              <w:rPr>
                <w:sz w:val="20"/>
                <w:szCs w:val="20"/>
                <w:color w:val="auto"/>
              </w:rPr>
            </w:pPr>
            <w:r>
              <w:rPr>
                <w:rFonts w:ascii="Arial" w:cs="Arial" w:eastAsia="Arial" w:hAnsi="Arial"/>
                <w:sz w:val="20"/>
                <w:szCs w:val="20"/>
                <w:color w:val="auto"/>
              </w:rPr>
              <w:t>2025</w:t>
            </w:r>
          </w:p>
        </w:tc>
        <w:tc>
          <w:tcPr>
            <w:tcW w:w="160" w:type="dxa"/>
            <w:vAlign w:val="bottom"/>
          </w:tcPr>
          <w:p>
            <w:pPr>
              <w:spacing w:after="0"/>
              <w:rPr>
                <w:sz w:val="24"/>
                <w:szCs w:val="24"/>
                <w:color w:val="auto"/>
              </w:rPr>
            </w:pPr>
          </w:p>
        </w:tc>
      </w:tr>
      <w:tr>
        <w:trPr>
          <w:trHeight w:val="300"/>
        </w:trPr>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Buchanan Technologies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00"/>
        </w:trPr>
        <w:tc>
          <w:tcPr>
            <w:tcW w:w="2240" w:type="dxa"/>
            <w:vAlign w:val="bottom"/>
            <w:gridSpan w:val="2"/>
          </w:tcPr>
          <w:p>
            <w:pPr>
              <w:spacing w:after="0"/>
              <w:rPr>
                <w:sz w:val="20"/>
                <w:szCs w:val="20"/>
                <w:color w:val="auto"/>
              </w:rPr>
            </w:pPr>
            <w:r>
              <w:rPr>
                <w:rFonts w:ascii="Arial" w:cs="Arial" w:eastAsia="Arial" w:hAnsi="Arial"/>
                <w:sz w:val="20"/>
                <w:szCs w:val="20"/>
                <w:color w:val="auto"/>
              </w:rPr>
              <w:t>Ian D. Boyce</w:t>
            </w:r>
          </w:p>
        </w:tc>
        <w:tc>
          <w:tcPr>
            <w:tcW w:w="340" w:type="dxa"/>
            <w:vAlign w:val="bottom"/>
          </w:tcPr>
          <w:p>
            <w:pPr>
              <w:spacing w:after="0"/>
              <w:rPr>
                <w:sz w:val="20"/>
                <w:szCs w:val="20"/>
                <w:color w:val="auto"/>
              </w:rPr>
            </w:pPr>
            <w:r>
              <w:rPr>
                <w:rFonts w:ascii="Arial" w:cs="Arial" w:eastAsia="Arial" w:hAnsi="Arial"/>
                <w:sz w:val="20"/>
                <w:szCs w:val="20"/>
                <w:color w:val="auto"/>
              </w:rPr>
              <w:t>58</w:t>
            </w: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Founding Member and Managing Partner</w:t>
            </w:r>
          </w:p>
        </w:tc>
        <w:tc>
          <w:tcPr>
            <w:tcW w:w="720" w:type="dxa"/>
            <w:vAlign w:val="bottom"/>
          </w:tcPr>
          <w:p>
            <w:pPr>
              <w:spacing w:after="0"/>
              <w:rPr>
                <w:sz w:val="20"/>
                <w:szCs w:val="20"/>
                <w:color w:val="auto"/>
              </w:rPr>
            </w:pPr>
            <w:r>
              <w:rPr>
                <w:rFonts w:ascii="Arial" w:cs="Arial" w:eastAsia="Arial" w:hAnsi="Arial"/>
                <w:sz w:val="20"/>
                <w:szCs w:val="20"/>
                <w:color w:val="auto"/>
              </w:rPr>
              <w:t>2024</w:t>
            </w:r>
          </w:p>
        </w:tc>
        <w:tc>
          <w:tcPr>
            <w:tcW w:w="160" w:type="dxa"/>
            <w:vAlign w:val="bottom"/>
          </w:tcPr>
          <w:p>
            <w:pPr>
              <w:spacing w:after="0"/>
              <w:rPr>
                <w:sz w:val="24"/>
                <w:szCs w:val="24"/>
                <w:color w:val="auto"/>
              </w:rPr>
            </w:pPr>
          </w:p>
        </w:tc>
      </w:tr>
      <w:tr>
        <w:trPr>
          <w:trHeight w:val="300"/>
        </w:trPr>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Dickmeyer Boyce Financial Management</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00"/>
        </w:trPr>
        <w:tc>
          <w:tcPr>
            <w:tcW w:w="2240" w:type="dxa"/>
            <w:vAlign w:val="bottom"/>
            <w:gridSpan w:val="2"/>
          </w:tcPr>
          <w:p>
            <w:pPr>
              <w:spacing w:after="0"/>
              <w:rPr>
                <w:sz w:val="20"/>
                <w:szCs w:val="20"/>
                <w:color w:val="auto"/>
              </w:rPr>
            </w:pPr>
            <w:r>
              <w:rPr>
                <w:rFonts w:ascii="Arial" w:cs="Arial" w:eastAsia="Arial" w:hAnsi="Arial"/>
                <w:sz w:val="20"/>
                <w:szCs w:val="20"/>
                <w:color w:val="auto"/>
              </w:rPr>
              <w:t>Andrew J. Briggs</w:t>
            </w:r>
          </w:p>
        </w:tc>
        <w:tc>
          <w:tcPr>
            <w:tcW w:w="340" w:type="dxa"/>
            <w:vAlign w:val="bottom"/>
          </w:tcPr>
          <w:p>
            <w:pPr>
              <w:spacing w:after="0"/>
              <w:rPr>
                <w:sz w:val="20"/>
                <w:szCs w:val="20"/>
                <w:color w:val="auto"/>
              </w:rPr>
            </w:pPr>
            <w:r>
              <w:rPr>
                <w:rFonts w:ascii="Arial" w:cs="Arial" w:eastAsia="Arial" w:hAnsi="Arial"/>
                <w:sz w:val="20"/>
                <w:szCs w:val="20"/>
                <w:color w:val="auto"/>
              </w:rPr>
              <w:t>71</w:t>
            </w: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w w:val="92"/>
              </w:rPr>
              <w:t>Retired and former Chairman of Limberlost Bancshares, Inc.</w:t>
            </w:r>
          </w:p>
        </w:tc>
        <w:tc>
          <w:tcPr>
            <w:tcW w:w="720" w:type="dxa"/>
            <w:vAlign w:val="bottom"/>
          </w:tcPr>
          <w:p>
            <w:pPr>
              <w:spacing w:after="0"/>
              <w:rPr>
                <w:sz w:val="20"/>
                <w:szCs w:val="20"/>
                <w:color w:val="auto"/>
              </w:rPr>
            </w:pPr>
            <w:r>
              <w:rPr>
                <w:rFonts w:ascii="Arial" w:cs="Arial" w:eastAsia="Arial" w:hAnsi="Arial"/>
                <w:sz w:val="20"/>
                <w:szCs w:val="20"/>
                <w:color w:val="auto"/>
              </w:rPr>
              <w:t>2019</w:t>
            </w:r>
          </w:p>
        </w:tc>
        <w:tc>
          <w:tcPr>
            <w:tcW w:w="160" w:type="dxa"/>
            <w:vAlign w:val="bottom"/>
          </w:tcPr>
          <w:p>
            <w:pPr>
              <w:spacing w:after="0"/>
              <w:rPr>
                <w:sz w:val="24"/>
                <w:szCs w:val="24"/>
                <w:color w:val="auto"/>
              </w:rPr>
            </w:pPr>
          </w:p>
        </w:tc>
      </w:tr>
      <w:tr>
        <w:trPr>
          <w:trHeight w:val="300"/>
        </w:trPr>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and President of its wholly-owned subsidiary Bank of</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0"/>
        </w:trPr>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Geneva</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00"/>
        </w:trPr>
        <w:tc>
          <w:tcPr>
            <w:tcW w:w="2240" w:type="dxa"/>
            <w:vAlign w:val="bottom"/>
            <w:gridSpan w:val="2"/>
          </w:tcPr>
          <w:p>
            <w:pPr>
              <w:spacing w:after="0"/>
              <w:rPr>
                <w:sz w:val="20"/>
                <w:szCs w:val="20"/>
                <w:color w:val="auto"/>
              </w:rPr>
            </w:pPr>
            <w:r>
              <w:rPr>
                <w:rFonts w:ascii="Arial" w:cs="Arial" w:eastAsia="Arial" w:hAnsi="Arial"/>
                <w:sz w:val="20"/>
                <w:szCs w:val="20"/>
                <w:color w:val="auto"/>
              </w:rPr>
              <w:t>Lars B. Eller</w:t>
            </w:r>
          </w:p>
        </w:tc>
        <w:tc>
          <w:tcPr>
            <w:tcW w:w="340" w:type="dxa"/>
            <w:vAlign w:val="bottom"/>
          </w:tcPr>
          <w:p>
            <w:pPr>
              <w:spacing w:after="0"/>
              <w:rPr>
                <w:sz w:val="20"/>
                <w:szCs w:val="20"/>
                <w:color w:val="auto"/>
              </w:rPr>
            </w:pPr>
            <w:r>
              <w:rPr>
                <w:rFonts w:ascii="Arial" w:cs="Arial" w:eastAsia="Arial" w:hAnsi="Arial"/>
                <w:sz w:val="20"/>
                <w:szCs w:val="20"/>
                <w:color w:val="auto"/>
              </w:rPr>
              <w:t>59</w:t>
            </w: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President and CEO of the Company and</w:t>
            </w:r>
          </w:p>
        </w:tc>
        <w:tc>
          <w:tcPr>
            <w:tcW w:w="720" w:type="dxa"/>
            <w:vAlign w:val="bottom"/>
          </w:tcPr>
          <w:p>
            <w:pPr>
              <w:spacing w:after="0"/>
              <w:rPr>
                <w:sz w:val="20"/>
                <w:szCs w:val="20"/>
                <w:color w:val="auto"/>
              </w:rPr>
            </w:pPr>
            <w:r>
              <w:rPr>
                <w:rFonts w:ascii="Arial" w:cs="Arial" w:eastAsia="Arial" w:hAnsi="Arial"/>
                <w:sz w:val="20"/>
                <w:szCs w:val="20"/>
                <w:color w:val="auto"/>
              </w:rPr>
              <w:t>2018</w:t>
            </w:r>
          </w:p>
        </w:tc>
        <w:tc>
          <w:tcPr>
            <w:tcW w:w="160" w:type="dxa"/>
            <w:vAlign w:val="bottom"/>
          </w:tcPr>
          <w:p>
            <w:pPr>
              <w:spacing w:after="0"/>
              <w:rPr>
                <w:sz w:val="24"/>
                <w:szCs w:val="24"/>
                <w:color w:val="auto"/>
              </w:rPr>
            </w:pPr>
          </w:p>
        </w:tc>
      </w:tr>
      <w:tr>
        <w:trPr>
          <w:trHeight w:val="300"/>
        </w:trPr>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The Farmers &amp; Merchants State Bank</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00"/>
        </w:trPr>
        <w:tc>
          <w:tcPr>
            <w:tcW w:w="2240" w:type="dxa"/>
            <w:vAlign w:val="bottom"/>
            <w:gridSpan w:val="2"/>
          </w:tcPr>
          <w:p>
            <w:pPr>
              <w:spacing w:after="0"/>
              <w:rPr>
                <w:sz w:val="20"/>
                <w:szCs w:val="20"/>
                <w:color w:val="auto"/>
              </w:rPr>
            </w:pPr>
            <w:r>
              <w:rPr>
                <w:rFonts w:ascii="Arial" w:cs="Arial" w:eastAsia="Arial" w:hAnsi="Arial"/>
                <w:sz w:val="20"/>
                <w:szCs w:val="20"/>
                <w:color w:val="auto"/>
              </w:rPr>
              <w:t>Kevin G. Frey</w:t>
            </w:r>
          </w:p>
        </w:tc>
        <w:tc>
          <w:tcPr>
            <w:tcW w:w="340" w:type="dxa"/>
            <w:vAlign w:val="bottom"/>
          </w:tcPr>
          <w:p>
            <w:pPr>
              <w:spacing w:after="0"/>
              <w:rPr>
                <w:sz w:val="20"/>
                <w:szCs w:val="20"/>
                <w:color w:val="auto"/>
              </w:rPr>
            </w:pPr>
            <w:r>
              <w:rPr>
                <w:rFonts w:ascii="Arial" w:cs="Arial" w:eastAsia="Arial" w:hAnsi="Arial"/>
                <w:sz w:val="20"/>
                <w:szCs w:val="20"/>
                <w:color w:val="auto"/>
              </w:rPr>
              <w:t>55</w:t>
            </w: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President of E.H. Frey &amp; Sons, Inc.</w:t>
            </w:r>
          </w:p>
        </w:tc>
        <w:tc>
          <w:tcPr>
            <w:tcW w:w="720" w:type="dxa"/>
            <w:vAlign w:val="bottom"/>
          </w:tcPr>
          <w:p>
            <w:pPr>
              <w:spacing w:after="0"/>
              <w:rPr>
                <w:sz w:val="20"/>
                <w:szCs w:val="20"/>
                <w:color w:val="auto"/>
              </w:rPr>
            </w:pPr>
            <w:r>
              <w:rPr>
                <w:rFonts w:ascii="Arial" w:cs="Arial" w:eastAsia="Arial" w:hAnsi="Arial"/>
                <w:sz w:val="20"/>
                <w:szCs w:val="20"/>
                <w:color w:val="auto"/>
              </w:rPr>
              <w:t>2024</w:t>
            </w:r>
          </w:p>
        </w:tc>
        <w:tc>
          <w:tcPr>
            <w:tcW w:w="160" w:type="dxa"/>
            <w:vAlign w:val="bottom"/>
          </w:tcPr>
          <w:p>
            <w:pPr>
              <w:spacing w:after="0"/>
              <w:rPr>
                <w:sz w:val="24"/>
                <w:szCs w:val="24"/>
                <w:color w:val="auto"/>
              </w:rPr>
            </w:pPr>
          </w:p>
        </w:tc>
      </w:tr>
      <w:tr>
        <w:trPr>
          <w:trHeight w:val="600"/>
        </w:trPr>
        <w:tc>
          <w:tcPr>
            <w:tcW w:w="2240" w:type="dxa"/>
            <w:vAlign w:val="bottom"/>
            <w:gridSpan w:val="2"/>
          </w:tcPr>
          <w:p>
            <w:pPr>
              <w:spacing w:after="0"/>
              <w:rPr>
                <w:sz w:val="20"/>
                <w:szCs w:val="20"/>
                <w:color w:val="auto"/>
              </w:rPr>
            </w:pPr>
            <w:r>
              <w:rPr>
                <w:rFonts w:ascii="Arial" w:cs="Arial" w:eastAsia="Arial" w:hAnsi="Arial"/>
                <w:sz w:val="20"/>
                <w:szCs w:val="20"/>
                <w:color w:val="auto"/>
              </w:rPr>
              <w:t>Lori A. Johnston</w:t>
            </w:r>
          </w:p>
        </w:tc>
        <w:tc>
          <w:tcPr>
            <w:tcW w:w="340" w:type="dxa"/>
            <w:vAlign w:val="bottom"/>
          </w:tcPr>
          <w:p>
            <w:pPr>
              <w:spacing w:after="0"/>
              <w:rPr>
                <w:sz w:val="20"/>
                <w:szCs w:val="20"/>
                <w:color w:val="auto"/>
              </w:rPr>
            </w:pPr>
            <w:r>
              <w:rPr>
                <w:rFonts w:ascii="Arial" w:cs="Arial" w:eastAsia="Arial" w:hAnsi="Arial"/>
                <w:sz w:val="20"/>
                <w:szCs w:val="20"/>
                <w:color w:val="auto"/>
              </w:rPr>
              <w:t>64</w:t>
            </w: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w w:val="96"/>
              </w:rPr>
              <w:t>EVP-President, Paramount Health Care at Medical Mutual</w:t>
            </w:r>
          </w:p>
        </w:tc>
        <w:tc>
          <w:tcPr>
            <w:tcW w:w="720" w:type="dxa"/>
            <w:vAlign w:val="bottom"/>
          </w:tcPr>
          <w:p>
            <w:pPr>
              <w:spacing w:after="0"/>
              <w:rPr>
                <w:sz w:val="20"/>
                <w:szCs w:val="20"/>
                <w:color w:val="auto"/>
              </w:rPr>
            </w:pPr>
            <w:r>
              <w:rPr>
                <w:rFonts w:ascii="Arial" w:cs="Arial" w:eastAsia="Arial" w:hAnsi="Arial"/>
                <w:sz w:val="20"/>
                <w:szCs w:val="20"/>
                <w:color w:val="auto"/>
              </w:rPr>
              <w:t>2020</w:t>
            </w:r>
          </w:p>
        </w:tc>
        <w:tc>
          <w:tcPr>
            <w:tcW w:w="160" w:type="dxa"/>
            <w:vAlign w:val="bottom"/>
          </w:tcPr>
          <w:p>
            <w:pPr>
              <w:spacing w:after="0"/>
              <w:rPr>
                <w:sz w:val="24"/>
                <w:szCs w:val="24"/>
                <w:color w:val="auto"/>
              </w:rPr>
            </w:pPr>
          </w:p>
        </w:tc>
      </w:tr>
      <w:tr>
        <w:trPr>
          <w:trHeight w:val="600"/>
        </w:trPr>
        <w:tc>
          <w:tcPr>
            <w:tcW w:w="2240" w:type="dxa"/>
            <w:vAlign w:val="bottom"/>
            <w:gridSpan w:val="2"/>
          </w:tcPr>
          <w:p>
            <w:pPr>
              <w:spacing w:after="0"/>
              <w:rPr>
                <w:sz w:val="20"/>
                <w:szCs w:val="20"/>
                <w:color w:val="auto"/>
              </w:rPr>
            </w:pPr>
            <w:r>
              <w:rPr>
                <w:rFonts w:ascii="Arial" w:cs="Arial" w:eastAsia="Arial" w:hAnsi="Arial"/>
                <w:sz w:val="20"/>
                <w:szCs w:val="20"/>
                <w:color w:val="auto"/>
              </w:rPr>
              <w:t>Dr. Marcia S. Latta</w:t>
            </w:r>
          </w:p>
        </w:tc>
        <w:tc>
          <w:tcPr>
            <w:tcW w:w="340" w:type="dxa"/>
            <w:vAlign w:val="bottom"/>
          </w:tcPr>
          <w:p>
            <w:pPr>
              <w:spacing w:after="0"/>
              <w:rPr>
                <w:sz w:val="20"/>
                <w:szCs w:val="20"/>
                <w:color w:val="auto"/>
              </w:rPr>
            </w:pPr>
            <w:r>
              <w:rPr>
                <w:rFonts w:ascii="Arial" w:cs="Arial" w:eastAsia="Arial" w:hAnsi="Arial"/>
                <w:sz w:val="20"/>
                <w:szCs w:val="20"/>
                <w:color w:val="auto"/>
              </w:rPr>
              <w:t>64</w:t>
            </w: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Principal, Latta Strategies</w:t>
            </w:r>
          </w:p>
        </w:tc>
        <w:tc>
          <w:tcPr>
            <w:tcW w:w="720" w:type="dxa"/>
            <w:vAlign w:val="bottom"/>
          </w:tcPr>
          <w:p>
            <w:pPr>
              <w:spacing w:after="0"/>
              <w:rPr>
                <w:sz w:val="20"/>
                <w:szCs w:val="20"/>
                <w:color w:val="auto"/>
              </w:rPr>
            </w:pPr>
            <w:r>
              <w:rPr>
                <w:rFonts w:ascii="Arial" w:cs="Arial" w:eastAsia="Arial" w:hAnsi="Arial"/>
                <w:sz w:val="20"/>
                <w:szCs w:val="20"/>
                <w:color w:val="auto"/>
              </w:rPr>
              <w:t>2009</w:t>
            </w:r>
          </w:p>
        </w:tc>
        <w:tc>
          <w:tcPr>
            <w:tcW w:w="160" w:type="dxa"/>
            <w:vAlign w:val="bottom"/>
          </w:tcPr>
          <w:p>
            <w:pPr>
              <w:spacing w:after="0"/>
              <w:rPr>
                <w:sz w:val="24"/>
                <w:szCs w:val="24"/>
                <w:color w:val="auto"/>
              </w:rPr>
            </w:pPr>
          </w:p>
        </w:tc>
      </w:tr>
      <w:tr>
        <w:trPr>
          <w:trHeight w:val="300"/>
        </w:trPr>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Retired Vice President of University Advancement,</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0"/>
        </w:trPr>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The University of Findlay</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00"/>
        </w:trPr>
        <w:tc>
          <w:tcPr>
            <w:tcW w:w="2240" w:type="dxa"/>
            <w:vAlign w:val="bottom"/>
            <w:gridSpan w:val="2"/>
          </w:tcPr>
          <w:p>
            <w:pPr>
              <w:spacing w:after="0"/>
              <w:rPr>
                <w:sz w:val="20"/>
                <w:szCs w:val="20"/>
                <w:color w:val="auto"/>
              </w:rPr>
            </w:pPr>
            <w:r>
              <w:rPr>
                <w:rFonts w:ascii="Arial" w:cs="Arial" w:eastAsia="Arial" w:hAnsi="Arial"/>
                <w:sz w:val="20"/>
                <w:szCs w:val="20"/>
                <w:color w:val="auto"/>
              </w:rPr>
              <w:t>Steven J. Planson</w:t>
            </w:r>
          </w:p>
        </w:tc>
        <w:tc>
          <w:tcPr>
            <w:tcW w:w="340" w:type="dxa"/>
            <w:vAlign w:val="bottom"/>
          </w:tcPr>
          <w:p>
            <w:pPr>
              <w:spacing w:after="0"/>
              <w:rPr>
                <w:sz w:val="20"/>
                <w:szCs w:val="20"/>
                <w:color w:val="auto"/>
              </w:rPr>
            </w:pPr>
            <w:r>
              <w:rPr>
                <w:rFonts w:ascii="Arial" w:cs="Arial" w:eastAsia="Arial" w:hAnsi="Arial"/>
                <w:sz w:val="20"/>
                <w:szCs w:val="20"/>
                <w:color w:val="auto"/>
              </w:rPr>
              <w:t>66</w:t>
            </w: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President, Planson Farms, Inc.</w:t>
            </w:r>
          </w:p>
        </w:tc>
        <w:tc>
          <w:tcPr>
            <w:tcW w:w="720" w:type="dxa"/>
            <w:vAlign w:val="bottom"/>
          </w:tcPr>
          <w:p>
            <w:pPr>
              <w:spacing w:after="0"/>
              <w:rPr>
                <w:sz w:val="20"/>
                <w:szCs w:val="20"/>
                <w:color w:val="auto"/>
              </w:rPr>
            </w:pPr>
            <w:r>
              <w:rPr>
                <w:rFonts w:ascii="Arial" w:cs="Arial" w:eastAsia="Arial" w:hAnsi="Arial"/>
                <w:sz w:val="20"/>
                <w:szCs w:val="20"/>
                <w:color w:val="auto"/>
              </w:rPr>
              <w:t>2008</w:t>
            </w:r>
          </w:p>
        </w:tc>
        <w:tc>
          <w:tcPr>
            <w:tcW w:w="160" w:type="dxa"/>
            <w:vAlign w:val="bottom"/>
          </w:tcPr>
          <w:p>
            <w:pPr>
              <w:spacing w:after="0"/>
              <w:rPr>
                <w:sz w:val="24"/>
                <w:szCs w:val="24"/>
                <w:color w:val="auto"/>
              </w:rPr>
            </w:pPr>
          </w:p>
        </w:tc>
      </w:tr>
      <w:tr>
        <w:trPr>
          <w:trHeight w:val="600"/>
        </w:trPr>
        <w:tc>
          <w:tcPr>
            <w:tcW w:w="2240" w:type="dxa"/>
            <w:vAlign w:val="bottom"/>
            <w:gridSpan w:val="2"/>
          </w:tcPr>
          <w:p>
            <w:pPr>
              <w:spacing w:after="0"/>
              <w:rPr>
                <w:sz w:val="20"/>
                <w:szCs w:val="20"/>
                <w:color w:val="auto"/>
              </w:rPr>
            </w:pPr>
            <w:r>
              <w:rPr>
                <w:rFonts w:ascii="Arial" w:cs="Arial" w:eastAsia="Arial" w:hAnsi="Arial"/>
                <w:sz w:val="20"/>
                <w:szCs w:val="20"/>
                <w:color w:val="auto"/>
              </w:rPr>
              <w:t>Kevin J. Sauder</w:t>
            </w:r>
          </w:p>
        </w:tc>
        <w:tc>
          <w:tcPr>
            <w:tcW w:w="340" w:type="dxa"/>
            <w:vAlign w:val="bottom"/>
          </w:tcPr>
          <w:p>
            <w:pPr>
              <w:spacing w:after="0"/>
              <w:rPr>
                <w:sz w:val="20"/>
                <w:szCs w:val="20"/>
                <w:color w:val="auto"/>
              </w:rPr>
            </w:pPr>
            <w:r>
              <w:rPr>
                <w:rFonts w:ascii="Arial" w:cs="Arial" w:eastAsia="Arial" w:hAnsi="Arial"/>
                <w:sz w:val="20"/>
                <w:szCs w:val="20"/>
                <w:color w:val="auto"/>
              </w:rPr>
              <w:t>65</w:t>
            </w: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Retired and former President, Chief Executive Officer,</w:t>
            </w:r>
          </w:p>
        </w:tc>
        <w:tc>
          <w:tcPr>
            <w:tcW w:w="720" w:type="dxa"/>
            <w:vAlign w:val="bottom"/>
          </w:tcPr>
          <w:p>
            <w:pPr>
              <w:spacing w:after="0"/>
              <w:rPr>
                <w:sz w:val="20"/>
                <w:szCs w:val="20"/>
                <w:color w:val="auto"/>
              </w:rPr>
            </w:pPr>
            <w:r>
              <w:rPr>
                <w:rFonts w:ascii="Arial" w:cs="Arial" w:eastAsia="Arial" w:hAnsi="Arial"/>
                <w:sz w:val="20"/>
                <w:szCs w:val="20"/>
                <w:color w:val="auto"/>
              </w:rPr>
              <w:t>2004</w:t>
            </w:r>
          </w:p>
        </w:tc>
        <w:tc>
          <w:tcPr>
            <w:tcW w:w="160" w:type="dxa"/>
            <w:vAlign w:val="bottom"/>
          </w:tcPr>
          <w:p>
            <w:pPr>
              <w:spacing w:after="0"/>
              <w:rPr>
                <w:sz w:val="24"/>
                <w:szCs w:val="24"/>
                <w:color w:val="auto"/>
              </w:rPr>
            </w:pPr>
          </w:p>
        </w:tc>
      </w:tr>
      <w:tr>
        <w:trPr>
          <w:trHeight w:val="300"/>
        </w:trPr>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Sauder Woodworking Co.</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00"/>
        </w:trPr>
        <w:tc>
          <w:tcPr>
            <w:tcW w:w="2240" w:type="dxa"/>
            <w:vAlign w:val="bottom"/>
            <w:gridSpan w:val="2"/>
          </w:tcPr>
          <w:p>
            <w:pPr>
              <w:spacing w:after="0"/>
              <w:rPr>
                <w:sz w:val="20"/>
                <w:szCs w:val="20"/>
                <w:color w:val="auto"/>
              </w:rPr>
            </w:pPr>
            <w:r>
              <w:rPr>
                <w:rFonts w:ascii="Arial" w:cs="Arial" w:eastAsia="Arial" w:hAnsi="Arial"/>
                <w:sz w:val="20"/>
                <w:szCs w:val="20"/>
                <w:color w:val="auto"/>
              </w:rPr>
              <w:t>Frank R. Simon</w:t>
            </w:r>
          </w:p>
        </w:tc>
        <w:tc>
          <w:tcPr>
            <w:tcW w:w="340" w:type="dxa"/>
            <w:vAlign w:val="bottom"/>
          </w:tcPr>
          <w:p>
            <w:pPr>
              <w:spacing w:after="0"/>
              <w:rPr>
                <w:sz w:val="20"/>
                <w:szCs w:val="20"/>
                <w:color w:val="auto"/>
              </w:rPr>
            </w:pPr>
            <w:r>
              <w:rPr>
                <w:rFonts w:ascii="Arial" w:cs="Arial" w:eastAsia="Arial" w:hAnsi="Arial"/>
                <w:sz w:val="20"/>
                <w:szCs w:val="20"/>
                <w:color w:val="auto"/>
              </w:rPr>
              <w:t>56</w:t>
            </w: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Founder &amp; Managing Member / Attorney</w:t>
            </w:r>
          </w:p>
        </w:tc>
        <w:tc>
          <w:tcPr>
            <w:tcW w:w="720" w:type="dxa"/>
            <w:vAlign w:val="bottom"/>
          </w:tcPr>
          <w:p>
            <w:pPr>
              <w:spacing w:after="0"/>
              <w:rPr>
                <w:sz w:val="20"/>
                <w:szCs w:val="20"/>
                <w:color w:val="auto"/>
              </w:rPr>
            </w:pPr>
            <w:r>
              <w:rPr>
                <w:rFonts w:ascii="Arial" w:cs="Arial" w:eastAsia="Arial" w:hAnsi="Arial"/>
                <w:sz w:val="20"/>
                <w:szCs w:val="20"/>
                <w:color w:val="auto"/>
              </w:rPr>
              <w:t>2021</w:t>
            </w:r>
          </w:p>
        </w:tc>
        <w:tc>
          <w:tcPr>
            <w:tcW w:w="160" w:type="dxa"/>
            <w:vAlign w:val="bottom"/>
          </w:tcPr>
          <w:p>
            <w:pPr>
              <w:spacing w:after="0"/>
              <w:rPr>
                <w:sz w:val="24"/>
                <w:szCs w:val="24"/>
                <w:color w:val="auto"/>
              </w:rPr>
            </w:pPr>
          </w:p>
        </w:tc>
      </w:tr>
      <w:tr>
        <w:trPr>
          <w:trHeight w:val="300"/>
        </w:trPr>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Simon PLC Attorneys &amp; Counselors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00"/>
        </w:trPr>
        <w:tc>
          <w:tcPr>
            <w:tcW w:w="2240" w:type="dxa"/>
            <w:vAlign w:val="bottom"/>
            <w:gridSpan w:val="2"/>
          </w:tcPr>
          <w:p>
            <w:pPr>
              <w:spacing w:after="0"/>
              <w:rPr>
                <w:sz w:val="20"/>
                <w:szCs w:val="20"/>
                <w:color w:val="auto"/>
              </w:rPr>
            </w:pPr>
            <w:r>
              <w:rPr>
                <w:rFonts w:ascii="Arial" w:cs="Arial" w:eastAsia="Arial" w:hAnsi="Arial"/>
                <w:sz w:val="20"/>
                <w:szCs w:val="20"/>
                <w:color w:val="auto"/>
              </w:rPr>
              <w:t>David P. Vernon</w:t>
            </w:r>
          </w:p>
        </w:tc>
        <w:tc>
          <w:tcPr>
            <w:tcW w:w="340" w:type="dxa"/>
            <w:vAlign w:val="bottom"/>
          </w:tcPr>
          <w:p>
            <w:pPr>
              <w:spacing w:after="0"/>
              <w:rPr>
                <w:sz w:val="20"/>
                <w:szCs w:val="20"/>
                <w:color w:val="auto"/>
              </w:rPr>
            </w:pPr>
            <w:r>
              <w:rPr>
                <w:rFonts w:ascii="Arial" w:cs="Arial" w:eastAsia="Arial" w:hAnsi="Arial"/>
                <w:sz w:val="20"/>
                <w:szCs w:val="20"/>
                <w:color w:val="auto"/>
              </w:rPr>
              <w:t>59</w:t>
            </w: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Owner, Licensed Funeral Director &amp; Embalmer</w:t>
            </w:r>
          </w:p>
        </w:tc>
        <w:tc>
          <w:tcPr>
            <w:tcW w:w="720" w:type="dxa"/>
            <w:vAlign w:val="bottom"/>
          </w:tcPr>
          <w:p>
            <w:pPr>
              <w:spacing w:after="0"/>
              <w:rPr>
                <w:sz w:val="20"/>
                <w:szCs w:val="20"/>
                <w:color w:val="auto"/>
              </w:rPr>
            </w:pPr>
            <w:r>
              <w:rPr>
                <w:rFonts w:ascii="Arial" w:cs="Arial" w:eastAsia="Arial" w:hAnsi="Arial"/>
                <w:sz w:val="20"/>
                <w:szCs w:val="20"/>
                <w:color w:val="auto"/>
              </w:rPr>
              <w:t>2021</w:t>
            </w:r>
          </w:p>
        </w:tc>
        <w:tc>
          <w:tcPr>
            <w:tcW w:w="160" w:type="dxa"/>
            <w:vAlign w:val="bottom"/>
          </w:tcPr>
          <w:p>
            <w:pPr>
              <w:spacing w:after="0"/>
              <w:rPr>
                <w:sz w:val="24"/>
                <w:szCs w:val="24"/>
                <w:color w:val="auto"/>
              </w:rPr>
            </w:pPr>
          </w:p>
        </w:tc>
      </w:tr>
      <w:tr>
        <w:trPr>
          <w:trHeight w:val="300"/>
        </w:trPr>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Vernon Family Funeral Homes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10 / 45</w:t>
      </w:r>
    </w:p>
    <w:p>
      <w:pPr>
        <w:sectPr>
          <w:pgSz w:w="11900" w:h="16838" w:orient="portrait"/>
          <w:cols w:equalWidth="0" w:num="1">
            <w:col w:w="9206"/>
          </w:cols>
          <w:pgMar w:left="1260" w:top="1440" w:right="1440" w:bottom="0" w:gutter="0" w:footer="0" w:header="0"/>
          <w:type w:val="continuous"/>
        </w:sectPr>
      </w:pPr>
    </w:p>
    <w:bookmarkStart w:id="247" w:name="page248"/>
    <w:bookmarkEnd w:id="247"/>
    <w:p>
      <w:pPr>
        <w:spacing w:after="0" w:line="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Directors are elected annually at the annual meeting of shareholders.</w:t>
      </w:r>
    </w:p>
    <w:p>
      <w:pPr>
        <w:sectPr>
          <w:pgSz w:w="11900" w:h="16838" w:orient="portrait"/>
          <w:cols w:equalWidth="0" w:num="1">
            <w:col w:w="9026"/>
          </w:cols>
          <w:pgMar w:left="1440" w:top="1440" w:right="1440" w:bottom="0" w:gutter="0" w:footer="0" w:header="0"/>
        </w:sectPr>
      </w:pPr>
    </w:p>
    <w:p>
      <w:pPr>
        <w:spacing w:after="0" w:line="345"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 / 45</w:t>
      </w:r>
    </w:p>
    <w:p>
      <w:pPr>
        <w:sectPr>
          <w:pgSz w:w="11900" w:h="16838" w:orient="portrait"/>
          <w:cols w:equalWidth="0" w:num="1">
            <w:col w:w="9026"/>
          </w:cols>
          <w:pgMar w:left="1440" w:top="1440" w:right="1440" w:bottom="0" w:gutter="0" w:footer="0" w:header="0"/>
          <w:type w:val="continuous"/>
        </w:sectPr>
      </w:pPr>
    </w:p>
    <w:bookmarkStart w:id="248" w:name="page249"/>
    <w:bookmarkEnd w:id="248"/>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40" w:type="dxa"/>
            <w:vAlign w:val="bottom"/>
            <w:gridSpan w:val="6"/>
          </w:tcPr>
          <w:p>
            <w:pPr>
              <w:spacing w:after="0"/>
              <w:rPr>
                <w:sz w:val="20"/>
                <w:szCs w:val="20"/>
                <w:color w:val="auto"/>
              </w:rPr>
            </w:pPr>
            <w:r>
              <w:rPr>
                <w:rFonts w:ascii="Arial" w:cs="Arial" w:eastAsia="Arial" w:hAnsi="Arial"/>
                <w:sz w:val="20"/>
                <w:szCs w:val="20"/>
                <w:b w:val="1"/>
                <w:bCs w:val="1"/>
                <w:color w:val="auto"/>
              </w:rPr>
              <w:t>NAMED EXECUTIVE OFFICERS</w:t>
            </w:r>
          </w:p>
        </w:tc>
      </w:tr>
      <w:tr>
        <w:trPr>
          <w:trHeight w:val="20"/>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630"/>
        </w:trPr>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20"/>
                <w:szCs w:val="20"/>
                <w:color w:val="auto"/>
              </w:rPr>
              <w:t>Principal Occupation &amp; Offices Held with</w:t>
            </w:r>
          </w:p>
        </w:tc>
      </w:tr>
      <w:tr>
        <w:trPr>
          <w:trHeight w:val="280"/>
        </w:trPr>
        <w:tc>
          <w:tcPr>
            <w:tcW w:w="480" w:type="dxa"/>
            <w:vAlign w:val="bottom"/>
          </w:tcPr>
          <w:p>
            <w:pPr>
              <w:spacing w:after="0"/>
              <w:rPr>
                <w:sz w:val="20"/>
                <w:szCs w:val="20"/>
                <w:color w:val="auto"/>
              </w:rPr>
            </w:pPr>
            <w:r>
              <w:rPr>
                <w:rFonts w:ascii="Arial" w:cs="Arial" w:eastAsia="Arial" w:hAnsi="Arial"/>
                <w:sz w:val="20"/>
                <w:szCs w:val="20"/>
                <w:color w:val="auto"/>
                <w:w w:val="86"/>
              </w:rPr>
              <w:t>Name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0"/>
                <w:szCs w:val="20"/>
                <w:color w:val="auto"/>
                <w:w w:val="89"/>
              </w:rPr>
              <w:t>Age</w:t>
            </w:r>
          </w:p>
        </w:tc>
        <w:tc>
          <w:tcPr>
            <w:tcW w:w="40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20"/>
                <w:szCs w:val="20"/>
                <w:color w:val="auto"/>
              </w:rPr>
              <w:t>Corporation &amp; Bank for Past Five Years</w:t>
            </w:r>
          </w:p>
        </w:tc>
      </w:tr>
      <w:tr>
        <w:trPr>
          <w:trHeight w:val="20"/>
        </w:trPr>
        <w:tc>
          <w:tcPr>
            <w:tcW w:w="4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40" w:type="dxa"/>
            <w:vAlign w:val="bottom"/>
            <w:gridSpan w:val="2"/>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600"/>
        </w:trPr>
        <w:tc>
          <w:tcPr>
            <w:tcW w:w="2040" w:type="dxa"/>
            <w:vAlign w:val="bottom"/>
            <w:gridSpan w:val="2"/>
          </w:tcPr>
          <w:p>
            <w:pPr>
              <w:spacing w:after="0"/>
              <w:rPr>
                <w:sz w:val="20"/>
                <w:szCs w:val="20"/>
                <w:color w:val="auto"/>
              </w:rPr>
            </w:pPr>
            <w:r>
              <w:rPr>
                <w:rFonts w:ascii="Arial" w:cs="Arial" w:eastAsia="Arial" w:hAnsi="Arial"/>
                <w:sz w:val="20"/>
                <w:szCs w:val="20"/>
                <w:color w:val="auto"/>
              </w:rPr>
              <w:t>Kevin J. Sauder</w:t>
            </w:r>
          </w:p>
        </w:tc>
        <w:tc>
          <w:tcPr>
            <w:tcW w:w="440" w:type="dxa"/>
            <w:vAlign w:val="bottom"/>
            <w:gridSpan w:val="2"/>
          </w:tcPr>
          <w:p>
            <w:pPr>
              <w:ind w:left="100"/>
              <w:spacing w:after="0"/>
              <w:rPr>
                <w:sz w:val="20"/>
                <w:szCs w:val="20"/>
                <w:color w:val="auto"/>
              </w:rPr>
            </w:pPr>
            <w:r>
              <w:rPr>
                <w:rFonts w:ascii="Arial" w:cs="Arial" w:eastAsia="Arial" w:hAnsi="Arial"/>
                <w:sz w:val="20"/>
                <w:szCs w:val="20"/>
                <w:color w:val="auto"/>
              </w:rPr>
              <w:t>65</w:t>
            </w:r>
          </w:p>
        </w:tc>
        <w:tc>
          <w:tcPr>
            <w:tcW w:w="40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20"/>
                <w:szCs w:val="20"/>
                <w:color w:val="auto"/>
              </w:rPr>
              <w:t>Chairman</w:t>
            </w:r>
          </w:p>
        </w:tc>
      </w:tr>
      <w:tr>
        <w:trPr>
          <w:trHeight w:val="671"/>
        </w:trPr>
        <w:tc>
          <w:tcPr>
            <w:tcW w:w="2040" w:type="dxa"/>
            <w:vAlign w:val="bottom"/>
            <w:gridSpan w:val="2"/>
          </w:tcPr>
          <w:p>
            <w:pPr>
              <w:spacing w:after="0"/>
              <w:rPr>
                <w:sz w:val="20"/>
                <w:szCs w:val="20"/>
                <w:color w:val="auto"/>
              </w:rPr>
            </w:pPr>
            <w:r>
              <w:rPr>
                <w:rFonts w:ascii="Arial" w:cs="Arial" w:eastAsia="Arial" w:hAnsi="Arial"/>
                <w:sz w:val="20"/>
                <w:szCs w:val="20"/>
                <w:color w:val="auto"/>
              </w:rPr>
              <w:t>Lars B. Eller</w:t>
            </w:r>
          </w:p>
        </w:tc>
        <w:tc>
          <w:tcPr>
            <w:tcW w:w="440" w:type="dxa"/>
            <w:vAlign w:val="bottom"/>
            <w:gridSpan w:val="2"/>
          </w:tcPr>
          <w:p>
            <w:pPr>
              <w:ind w:left="100"/>
              <w:spacing w:after="0"/>
              <w:rPr>
                <w:sz w:val="20"/>
                <w:szCs w:val="20"/>
                <w:color w:val="auto"/>
              </w:rPr>
            </w:pPr>
            <w:r>
              <w:rPr>
                <w:rFonts w:ascii="Arial" w:cs="Arial" w:eastAsia="Arial" w:hAnsi="Arial"/>
                <w:sz w:val="20"/>
                <w:szCs w:val="20"/>
                <w:color w:val="auto"/>
              </w:rPr>
              <w:t>59</w:t>
            </w:r>
          </w:p>
        </w:tc>
        <w:tc>
          <w:tcPr>
            <w:tcW w:w="40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20"/>
                <w:szCs w:val="20"/>
                <w:color w:val="auto"/>
                <w:w w:val="96"/>
              </w:rPr>
              <w:t xml:space="preserve">President and Chief Executive Officer (“PEO”) </w:t>
            </w:r>
            <w:r>
              <w:rPr>
                <w:rFonts w:ascii="Arial" w:cs="Arial" w:eastAsia="Arial" w:hAnsi="Arial"/>
                <w:sz w:val="26"/>
                <w:szCs w:val="26"/>
                <w:color w:val="auto"/>
                <w:w w:val="96"/>
                <w:vertAlign w:val="superscript"/>
              </w:rPr>
              <w:t>(1)</w:t>
            </w:r>
          </w:p>
        </w:tc>
      </w:tr>
      <w:tr>
        <w:trPr>
          <w:trHeight w:val="529"/>
        </w:trPr>
        <w:tc>
          <w:tcPr>
            <w:tcW w:w="2040" w:type="dxa"/>
            <w:vAlign w:val="bottom"/>
            <w:gridSpan w:val="2"/>
          </w:tcPr>
          <w:p>
            <w:pPr>
              <w:spacing w:after="0"/>
              <w:rPr>
                <w:sz w:val="20"/>
                <w:szCs w:val="20"/>
                <w:color w:val="auto"/>
              </w:rPr>
            </w:pPr>
            <w:r>
              <w:rPr>
                <w:rFonts w:ascii="Arial" w:cs="Arial" w:eastAsia="Arial" w:hAnsi="Arial"/>
                <w:sz w:val="20"/>
                <w:szCs w:val="20"/>
                <w:color w:val="auto"/>
              </w:rPr>
              <w:t>Barbara J. Britenriker</w:t>
            </w:r>
          </w:p>
        </w:tc>
        <w:tc>
          <w:tcPr>
            <w:tcW w:w="440" w:type="dxa"/>
            <w:vAlign w:val="bottom"/>
            <w:gridSpan w:val="2"/>
          </w:tcPr>
          <w:p>
            <w:pPr>
              <w:ind w:left="100"/>
              <w:spacing w:after="0"/>
              <w:rPr>
                <w:sz w:val="20"/>
                <w:szCs w:val="20"/>
                <w:color w:val="auto"/>
              </w:rPr>
            </w:pPr>
            <w:r>
              <w:rPr>
                <w:rFonts w:ascii="Arial" w:cs="Arial" w:eastAsia="Arial" w:hAnsi="Arial"/>
                <w:sz w:val="20"/>
                <w:szCs w:val="20"/>
                <w:color w:val="auto"/>
              </w:rPr>
              <w:t>64</w:t>
            </w:r>
          </w:p>
        </w:tc>
        <w:tc>
          <w:tcPr>
            <w:tcW w:w="40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20"/>
                <w:szCs w:val="20"/>
                <w:color w:val="auto"/>
              </w:rPr>
              <w:t>Executive Vice President</w:t>
            </w:r>
          </w:p>
        </w:tc>
      </w:tr>
      <w:tr>
        <w:trPr>
          <w:trHeight w:val="345"/>
        </w:trPr>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20"/>
                <w:szCs w:val="20"/>
                <w:color w:val="auto"/>
                <w:w w:val="94"/>
              </w:rPr>
              <w:t xml:space="preserve">Chief Financial Officer (“PFO”) </w:t>
            </w:r>
            <w:r>
              <w:rPr>
                <w:rFonts w:ascii="Arial" w:cs="Arial" w:eastAsia="Arial" w:hAnsi="Arial"/>
                <w:sz w:val="26"/>
                <w:szCs w:val="26"/>
                <w:color w:val="auto"/>
                <w:w w:val="94"/>
                <w:vertAlign w:val="superscript"/>
              </w:rPr>
              <w:t>(1)</w:t>
            </w:r>
            <w:r>
              <w:rPr>
                <w:rFonts w:ascii="Arial" w:cs="Arial" w:eastAsia="Arial" w:hAnsi="Arial"/>
                <w:sz w:val="20"/>
                <w:szCs w:val="20"/>
                <w:color w:val="auto"/>
                <w:w w:val="94"/>
              </w:rPr>
              <w:t xml:space="preserve"> and Chief Retail</w:t>
            </w:r>
          </w:p>
        </w:tc>
      </w:tr>
      <w:tr>
        <w:trPr>
          <w:trHeight w:val="326"/>
        </w:trPr>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20"/>
                <w:szCs w:val="20"/>
                <w:color w:val="auto"/>
              </w:rPr>
              <w:t xml:space="preserve">Banking Officer </w:t>
            </w:r>
            <w:r>
              <w:rPr>
                <w:rFonts w:ascii="Arial" w:cs="Arial" w:eastAsia="Arial" w:hAnsi="Arial"/>
                <w:sz w:val="26"/>
                <w:szCs w:val="26"/>
                <w:color w:val="auto"/>
                <w:vertAlign w:val="superscript"/>
              </w:rPr>
              <w:t>(2)</w:t>
            </w:r>
          </w:p>
        </w:tc>
      </w:tr>
      <w:tr>
        <w:trPr>
          <w:trHeight w:val="529"/>
        </w:trPr>
        <w:tc>
          <w:tcPr>
            <w:tcW w:w="2040" w:type="dxa"/>
            <w:vAlign w:val="bottom"/>
            <w:gridSpan w:val="2"/>
          </w:tcPr>
          <w:p>
            <w:pPr>
              <w:spacing w:after="0"/>
              <w:rPr>
                <w:sz w:val="20"/>
                <w:szCs w:val="20"/>
                <w:color w:val="auto"/>
              </w:rPr>
            </w:pPr>
            <w:r>
              <w:rPr>
                <w:rFonts w:ascii="Arial" w:cs="Arial" w:eastAsia="Arial" w:hAnsi="Arial"/>
                <w:sz w:val="20"/>
                <w:szCs w:val="20"/>
                <w:color w:val="auto"/>
              </w:rPr>
              <w:t>David R. Gerken</w:t>
            </w:r>
          </w:p>
        </w:tc>
        <w:tc>
          <w:tcPr>
            <w:tcW w:w="440" w:type="dxa"/>
            <w:vAlign w:val="bottom"/>
            <w:gridSpan w:val="2"/>
          </w:tcPr>
          <w:p>
            <w:pPr>
              <w:ind w:left="100"/>
              <w:spacing w:after="0"/>
              <w:rPr>
                <w:sz w:val="20"/>
                <w:szCs w:val="20"/>
                <w:color w:val="auto"/>
              </w:rPr>
            </w:pPr>
            <w:r>
              <w:rPr>
                <w:rFonts w:ascii="Arial" w:cs="Arial" w:eastAsia="Arial" w:hAnsi="Arial"/>
                <w:sz w:val="20"/>
                <w:szCs w:val="20"/>
                <w:color w:val="auto"/>
              </w:rPr>
              <w:t>54</w:t>
            </w:r>
          </w:p>
        </w:tc>
        <w:tc>
          <w:tcPr>
            <w:tcW w:w="40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20"/>
                <w:szCs w:val="20"/>
                <w:color w:val="auto"/>
                <w:w w:val="92"/>
              </w:rPr>
              <w:t>Executive Vice President and Chief Lending Officer</w:t>
            </w:r>
          </w:p>
        </w:tc>
      </w:tr>
      <w:tr>
        <w:trPr>
          <w:trHeight w:val="192"/>
        </w:trPr>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Arial" w:cs="Arial" w:eastAsia="Arial" w:hAnsi="Arial"/>
                <w:sz w:val="13"/>
                <w:szCs w:val="13"/>
                <w:color w:val="auto"/>
              </w:rPr>
              <w:t>(3)</w:t>
            </w: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779"/>
        </w:trPr>
        <w:tc>
          <w:tcPr>
            <w:tcW w:w="2040" w:type="dxa"/>
            <w:vAlign w:val="bottom"/>
            <w:gridSpan w:val="2"/>
          </w:tcPr>
          <w:p>
            <w:pPr>
              <w:spacing w:after="0"/>
              <w:rPr>
                <w:sz w:val="20"/>
                <w:szCs w:val="20"/>
                <w:color w:val="auto"/>
              </w:rPr>
            </w:pPr>
            <w:r>
              <w:rPr>
                <w:rFonts w:ascii="Arial" w:cs="Arial" w:eastAsia="Arial" w:hAnsi="Arial"/>
                <w:sz w:val="20"/>
                <w:szCs w:val="20"/>
                <w:color w:val="auto"/>
              </w:rPr>
              <w:t>Eric D. Faust</w:t>
            </w:r>
          </w:p>
        </w:tc>
        <w:tc>
          <w:tcPr>
            <w:tcW w:w="440" w:type="dxa"/>
            <w:vAlign w:val="bottom"/>
            <w:gridSpan w:val="2"/>
          </w:tcPr>
          <w:p>
            <w:pPr>
              <w:ind w:left="100"/>
              <w:spacing w:after="0"/>
              <w:rPr>
                <w:sz w:val="20"/>
                <w:szCs w:val="20"/>
                <w:color w:val="auto"/>
              </w:rPr>
            </w:pPr>
            <w:r>
              <w:rPr>
                <w:rFonts w:ascii="Arial" w:cs="Arial" w:eastAsia="Arial" w:hAnsi="Arial"/>
                <w:sz w:val="20"/>
                <w:szCs w:val="20"/>
                <w:color w:val="auto"/>
              </w:rPr>
              <w:t>39</w:t>
            </w:r>
          </w:p>
        </w:tc>
        <w:tc>
          <w:tcPr>
            <w:tcW w:w="40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20"/>
                <w:szCs w:val="20"/>
                <w:color w:val="auto"/>
                <w:w w:val="93"/>
              </w:rPr>
              <w:t xml:space="preserve">Executive Vice President and Chief Risk Officer </w:t>
            </w:r>
            <w:r>
              <w:rPr>
                <w:rFonts w:ascii="Arial" w:cs="Arial" w:eastAsia="Arial" w:hAnsi="Arial"/>
                <w:sz w:val="26"/>
                <w:szCs w:val="26"/>
                <w:color w:val="auto"/>
                <w:w w:val="93"/>
                <w:vertAlign w:val="superscript"/>
              </w:rPr>
              <w:t>(4)</w:t>
            </w:r>
          </w:p>
        </w:tc>
      </w:tr>
      <w:tr>
        <w:trPr>
          <w:trHeight w:val="529"/>
        </w:trPr>
        <w:tc>
          <w:tcPr>
            <w:tcW w:w="2040" w:type="dxa"/>
            <w:vAlign w:val="bottom"/>
            <w:gridSpan w:val="2"/>
          </w:tcPr>
          <w:p>
            <w:pPr>
              <w:spacing w:after="0"/>
              <w:rPr>
                <w:sz w:val="20"/>
                <w:szCs w:val="20"/>
                <w:color w:val="auto"/>
              </w:rPr>
            </w:pPr>
            <w:r>
              <w:rPr>
                <w:rFonts w:ascii="Arial" w:cs="Arial" w:eastAsia="Arial" w:hAnsi="Arial"/>
                <w:sz w:val="20"/>
                <w:szCs w:val="20"/>
                <w:color w:val="auto"/>
              </w:rPr>
              <w:t>Andrew S. Baker</w:t>
            </w:r>
          </w:p>
        </w:tc>
        <w:tc>
          <w:tcPr>
            <w:tcW w:w="440" w:type="dxa"/>
            <w:vAlign w:val="bottom"/>
            <w:gridSpan w:val="2"/>
          </w:tcPr>
          <w:p>
            <w:pPr>
              <w:ind w:left="100"/>
              <w:spacing w:after="0"/>
              <w:rPr>
                <w:sz w:val="20"/>
                <w:szCs w:val="20"/>
                <w:color w:val="auto"/>
              </w:rPr>
            </w:pPr>
            <w:r>
              <w:rPr>
                <w:rFonts w:ascii="Arial" w:cs="Arial" w:eastAsia="Arial" w:hAnsi="Arial"/>
                <w:sz w:val="20"/>
                <w:szCs w:val="20"/>
                <w:color w:val="auto"/>
              </w:rPr>
              <w:t>53</w:t>
            </w:r>
          </w:p>
        </w:tc>
        <w:tc>
          <w:tcPr>
            <w:tcW w:w="40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20"/>
                <w:szCs w:val="20"/>
                <w:color w:val="auto"/>
                <w:w w:val="97"/>
              </w:rPr>
              <w:t>Senior Vice President and Chief Strategy Officer</w:t>
            </w:r>
          </w:p>
        </w:tc>
      </w:tr>
      <w:tr>
        <w:trPr>
          <w:trHeight w:val="371"/>
        </w:trPr>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20"/>
                <w:szCs w:val="20"/>
                <w:color w:val="auto"/>
              </w:rPr>
              <w:t xml:space="preserve">and Chief Retail Banking Officer </w:t>
            </w:r>
            <w:r>
              <w:rPr>
                <w:rFonts w:ascii="Arial" w:cs="Arial" w:eastAsia="Arial" w:hAnsi="Arial"/>
                <w:sz w:val="26"/>
                <w:szCs w:val="26"/>
                <w:color w:val="auto"/>
                <w:vertAlign w:val="superscript"/>
              </w:rPr>
              <w:t>(5)</w:t>
            </w:r>
          </w:p>
        </w:tc>
      </w:tr>
    </w:tbl>
    <w:p>
      <w:pPr>
        <w:spacing w:after="0" w:line="30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70" w:lineRule="exact"/>
        <w:rPr>
          <w:sz w:val="20"/>
          <w:szCs w:val="20"/>
          <w:color w:val="auto"/>
        </w:rPr>
      </w:pPr>
    </w:p>
    <w:p>
      <w:pPr>
        <w:ind w:left="920" w:right="740" w:hanging="166"/>
        <w:spacing w:after="0" w:line="231" w:lineRule="auto"/>
        <w:tabs>
          <w:tab w:leader="none" w:pos="980" w:val="left"/>
        </w:tabs>
        <w:numPr>
          <w:ilvl w:val="0"/>
          <w:numId w:val="29"/>
        </w:numPr>
        <w:rPr>
          <w:rFonts w:ascii="Arial" w:cs="Arial" w:eastAsia="Arial" w:hAnsi="Arial"/>
          <w:sz w:val="27"/>
          <w:szCs w:val="27"/>
          <w:color w:val="auto"/>
          <w:vertAlign w:val="superscript"/>
        </w:rPr>
      </w:pPr>
      <w:r>
        <w:rPr>
          <w:rFonts w:ascii="Arial" w:cs="Arial" w:eastAsia="Arial" w:hAnsi="Arial"/>
          <w:sz w:val="20"/>
          <w:szCs w:val="20"/>
          <w:color w:val="auto"/>
        </w:rPr>
        <w:t>The designation PEO means principal executive officer and PFO means principal financial officer under the rules of the SEC.</w:t>
      </w:r>
    </w:p>
    <w:p>
      <w:pPr>
        <w:spacing w:after="0" w:line="379" w:lineRule="exact"/>
        <w:rPr>
          <w:rFonts w:ascii="Arial" w:cs="Arial" w:eastAsia="Arial" w:hAnsi="Arial"/>
          <w:sz w:val="27"/>
          <w:szCs w:val="27"/>
          <w:color w:val="auto"/>
          <w:vertAlign w:val="superscript"/>
        </w:rPr>
      </w:pPr>
    </w:p>
    <w:p>
      <w:pPr>
        <w:jc w:val="both"/>
        <w:ind w:left="920" w:right="720" w:hanging="166"/>
        <w:spacing w:after="0" w:line="277" w:lineRule="auto"/>
        <w:tabs>
          <w:tab w:leader="none" w:pos="990" w:val="left"/>
        </w:tabs>
        <w:numPr>
          <w:ilvl w:val="0"/>
          <w:numId w:val="29"/>
        </w:numPr>
        <w:rPr>
          <w:rFonts w:ascii="Arial" w:cs="Arial" w:eastAsia="Arial" w:hAnsi="Arial"/>
          <w:sz w:val="27"/>
          <w:szCs w:val="27"/>
          <w:color w:val="auto"/>
          <w:vertAlign w:val="superscript"/>
        </w:rPr>
      </w:pPr>
      <w:r>
        <w:rPr>
          <w:rFonts w:ascii="Arial" w:cs="Arial" w:eastAsia="Arial" w:hAnsi="Arial"/>
          <w:sz w:val="20"/>
          <w:szCs w:val="20"/>
          <w:color w:val="auto"/>
        </w:rPr>
        <w:t>Ms. Britenriker was Executive Vice President and Chief Financial Officer of the Company. Ms. Britenriker served as Executive Vice President and Chief Retail Banking Officer of the Bank from January 7, 2019 to October 16, 2023 and resumed the position of Executive Vice President and Chief Financial Officer of the Bank on October 16 2023.</w:t>
      </w:r>
    </w:p>
    <w:p>
      <w:pPr>
        <w:spacing w:after="0" w:line="345" w:lineRule="exact"/>
        <w:rPr>
          <w:rFonts w:ascii="Arial" w:cs="Arial" w:eastAsia="Arial" w:hAnsi="Arial"/>
          <w:sz w:val="27"/>
          <w:szCs w:val="27"/>
          <w:color w:val="auto"/>
          <w:vertAlign w:val="superscript"/>
        </w:rPr>
      </w:pPr>
    </w:p>
    <w:p>
      <w:pPr>
        <w:jc w:val="both"/>
        <w:ind w:left="920" w:right="720" w:hanging="166"/>
        <w:spacing w:after="0" w:line="285" w:lineRule="auto"/>
        <w:tabs>
          <w:tab w:leader="none" w:pos="963" w:val="left"/>
        </w:tabs>
        <w:numPr>
          <w:ilvl w:val="0"/>
          <w:numId w:val="29"/>
        </w:numPr>
        <w:rPr>
          <w:rFonts w:ascii="Arial" w:cs="Arial" w:eastAsia="Arial" w:hAnsi="Arial"/>
          <w:sz w:val="25"/>
          <w:szCs w:val="25"/>
          <w:color w:val="auto"/>
          <w:vertAlign w:val="superscript"/>
        </w:rPr>
      </w:pPr>
      <w:r>
        <w:rPr>
          <w:rFonts w:ascii="Arial" w:cs="Arial" w:eastAsia="Arial" w:hAnsi="Arial"/>
          <w:sz w:val="19"/>
          <w:szCs w:val="19"/>
          <w:color w:val="auto"/>
        </w:rPr>
        <w:t>Mr. Gerken served as Senior Vice President and Senior Commercial Banking Manager from January 18, 2019 to January 21, 2024. Mr. Gerken was named Executive Vice President and Chief Lending Officer on January 22, 2024.</w:t>
      </w:r>
    </w:p>
    <w:p>
      <w:pPr>
        <w:spacing w:after="0" w:line="329" w:lineRule="exact"/>
        <w:rPr>
          <w:sz w:val="20"/>
          <w:szCs w:val="20"/>
          <w:color w:val="auto"/>
        </w:rPr>
      </w:pPr>
    </w:p>
    <w:p>
      <w:pPr>
        <w:ind w:left="760"/>
        <w:spacing w:after="0"/>
        <w:rPr>
          <w:sz w:val="20"/>
          <w:szCs w:val="20"/>
          <w:color w:val="auto"/>
        </w:rPr>
      </w:pPr>
      <w:r>
        <w:rPr>
          <w:rFonts w:ascii="Arial" w:cs="Arial" w:eastAsia="Arial" w:hAnsi="Arial"/>
          <w:sz w:val="13"/>
          <w:szCs w:val="13"/>
          <w:color w:val="auto"/>
        </w:rPr>
        <w:t>(4)</w:t>
      </w:r>
    </w:p>
    <w:p>
      <w:pPr>
        <w:spacing w:after="0" w:line="161" w:lineRule="exact"/>
        <w:rPr>
          <w:sz w:val="20"/>
          <w:szCs w:val="20"/>
          <w:color w:val="auto"/>
        </w:rPr>
      </w:pPr>
    </w:p>
    <w:p>
      <w:pPr>
        <w:ind w:left="920" w:right="720"/>
        <w:spacing w:after="0" w:line="363" w:lineRule="auto"/>
        <w:rPr>
          <w:sz w:val="20"/>
          <w:szCs w:val="20"/>
          <w:color w:val="auto"/>
        </w:rPr>
      </w:pPr>
      <w:r>
        <w:rPr>
          <w:rFonts w:ascii="Arial" w:cs="Arial" w:eastAsia="Arial" w:hAnsi="Arial"/>
          <w:sz w:val="18"/>
          <w:szCs w:val="18"/>
          <w:color w:val="auto"/>
        </w:rPr>
        <w:t>Mr. Faust served as Senior Vice President and Chief Risk Officer from September 14, 2022 to May 19, 2025. Mr. Faust was named Executive Vice President and Chief Risk Officer on May 20, 2025.</w:t>
      </w:r>
    </w:p>
    <w:p>
      <w:pPr>
        <w:spacing w:after="0" w:line="274" w:lineRule="exact"/>
        <w:rPr>
          <w:sz w:val="20"/>
          <w:szCs w:val="20"/>
          <w:color w:val="auto"/>
        </w:rPr>
      </w:pPr>
    </w:p>
    <w:p>
      <w:pPr>
        <w:jc w:val="both"/>
        <w:ind w:left="920" w:right="740" w:hanging="166"/>
        <w:spacing w:after="0" w:line="262" w:lineRule="auto"/>
        <w:tabs>
          <w:tab w:leader="none" w:pos="989" w:val="left"/>
        </w:tabs>
        <w:numPr>
          <w:ilvl w:val="0"/>
          <w:numId w:val="30"/>
        </w:numPr>
        <w:rPr>
          <w:rFonts w:ascii="Arial" w:cs="Arial" w:eastAsia="Arial" w:hAnsi="Arial"/>
          <w:sz w:val="27"/>
          <w:szCs w:val="27"/>
          <w:color w:val="auto"/>
          <w:vertAlign w:val="superscript"/>
        </w:rPr>
      </w:pPr>
      <w:r>
        <w:rPr>
          <w:rFonts w:ascii="Arial" w:cs="Arial" w:eastAsia="Arial" w:hAnsi="Arial"/>
          <w:sz w:val="20"/>
          <w:szCs w:val="20"/>
          <w:color w:val="auto"/>
        </w:rPr>
        <w:t>Mr. Baker was named Senior Vice President and Retail Banking Officer on October 16, 2023, and served as Chief Retail Banking Officer until January 8, 2025. Mr. Baker was named Chief Strategy Officer on January 19, 2025.</w:t>
      </w:r>
    </w:p>
    <w:p>
      <w:pPr>
        <w:sectPr>
          <w:pgSz w:w="11900" w:h="16838" w:orient="portrait"/>
          <w:cols w:equalWidth="0" w:num="1">
            <w:col w:w="9880"/>
          </w:cols>
          <w:pgMar w:left="1440" w:top="1440" w:right="5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12 / 45</w:t>
      </w:r>
    </w:p>
    <w:p>
      <w:pPr>
        <w:sectPr>
          <w:pgSz w:w="11900" w:h="16838" w:orient="portrait"/>
          <w:cols w:equalWidth="0" w:num="1">
            <w:col w:w="9880"/>
          </w:cols>
          <w:pgMar w:left="1440" w:top="1440" w:right="586" w:bottom="0" w:gutter="0" w:footer="0" w:header="0"/>
          <w:type w:val="continuous"/>
        </w:sectPr>
      </w:pPr>
    </w:p>
    <w:bookmarkStart w:id="249" w:name="page250"/>
    <w:bookmarkEnd w:id="249"/>
    <w:p>
      <w:pPr>
        <w:ind w:left="440"/>
        <w:spacing w:after="0"/>
        <w:rPr>
          <w:sz w:val="20"/>
          <w:szCs w:val="20"/>
          <w:color w:val="auto"/>
        </w:rPr>
      </w:pPr>
      <w:r>
        <w:rPr>
          <w:rFonts w:ascii="Arial" w:cs="Arial" w:eastAsia="Arial" w:hAnsi="Arial"/>
          <w:sz w:val="18"/>
          <w:szCs w:val="18"/>
          <w:color w:val="auto"/>
        </w:rPr>
        <w:t>Any remaining information required by Item 401 of Regulation S-K is presented in the proxy statement to be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furnished in connection with the solicitation of proxies on behalf of the Board of Directors of the Registrant</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for use at its Annual Meeting to be held on April 20, 2026, and is incorporated herein by reference to the</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sections of the proxy statement captioned “ Nominations for Members of the Board of Director, “”Our Board</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Composition” and “PROPOSAL ONE – Election of Directors and Information Concerning Directors and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Officers.” The information called for under Item 405 of Regulation S-K and called for under paragraphs (d)</w:t>
      </w:r>
    </w:p>
    <w:p>
      <w:pPr>
        <w:spacing w:after="0" w:line="93" w:lineRule="exact"/>
        <w:rPr>
          <w:sz w:val="20"/>
          <w:szCs w:val="20"/>
          <w:color w:val="auto"/>
        </w:rPr>
      </w:pPr>
    </w:p>
    <w:p>
      <w:pPr>
        <w:ind w:left="440"/>
        <w:spacing w:after="0" w:line="350" w:lineRule="auto"/>
        <w:tabs>
          <w:tab w:leader="none" w:pos="7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and (d)(5) of Item 407 is presented in the proxy statement to be furnished in connection with the solicitation of proxies on behalf of the Board of Directors of the Registrant for use at its Annual Meeting to be on April 20, 2026 and incorporated herein by reference to sections of the proxy statement captioned “Delinquent Section 16(a) Reports,” “Audit Committee Report” and “Committees of the Board of Directors.” The information called for under paragraph (b) of Item 408 is presented in the proxy statement to be furnished in connection with the solicitation of proxies on behalf of the Board of Directors of the Registrant for use at its Annual Meeting to be on April 20, 2026 and incorporated herein by reference to the section of the proxy statement captioned “Insider Trading Arrangements and Policies.”</w:t>
      </w:r>
    </w:p>
    <w:p>
      <w:pPr>
        <w:spacing w:after="0" w:line="225" w:lineRule="exact"/>
        <w:rPr>
          <w:sz w:val="20"/>
          <w:szCs w:val="20"/>
          <w:color w:val="auto"/>
        </w:rPr>
      </w:pPr>
    </w:p>
    <w:p>
      <w:pPr>
        <w:jc w:val="both"/>
        <w:ind w:left="440" w:right="60"/>
        <w:spacing w:after="0" w:line="329" w:lineRule="auto"/>
        <w:rPr>
          <w:sz w:val="20"/>
          <w:szCs w:val="20"/>
          <w:color w:val="auto"/>
        </w:rPr>
      </w:pPr>
      <w:r>
        <w:rPr>
          <w:rFonts w:ascii="Arial" w:cs="Arial" w:eastAsia="Arial" w:hAnsi="Arial"/>
          <w:sz w:val="19"/>
          <w:szCs w:val="19"/>
          <w:color w:val="auto"/>
        </w:rPr>
        <w:t>The Board of Directors of the Company adopted a Code of Business Conduct and Ethics (the “Code”) at its meeting on February 13, 2004. While the Sarbanes-Oxley Act of 2002 mandates the adoption of a code of ethics for the most senior executive officers of all public companies, the Code adopted by the Corporation's Board of Directors is broader in the activities covered and applies to all officers, directors and employees of the Corporation and the Bank, including the chief executive officer, chief financial officer, principal accounting officer and other senior officers performing</w:t>
      </w:r>
    </w:p>
    <w:p>
      <w:pPr>
        <w:spacing w:after="0" w:line="233"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69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13 / 45</w:t>
      </w:r>
    </w:p>
    <w:p>
      <w:pPr>
        <w:sectPr>
          <w:pgSz w:w="11900" w:h="16838" w:orient="portrait"/>
          <w:cols w:equalWidth="0" w:num="1">
            <w:col w:w="9220"/>
          </w:cols>
          <w:pgMar w:left="1440" w:top="1173" w:right="1246" w:bottom="0" w:gutter="0" w:footer="0" w:header="0"/>
          <w:type w:val="continuous"/>
        </w:sectPr>
      </w:pPr>
    </w:p>
    <w:bookmarkStart w:id="250" w:name="page251"/>
    <w:bookmarkEnd w:id="2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440"/>
        <w:spacing w:after="0" w:line="329" w:lineRule="auto"/>
        <w:rPr>
          <w:sz w:val="20"/>
          <w:szCs w:val="20"/>
          <w:color w:val="auto"/>
        </w:rPr>
      </w:pPr>
      <w:r>
        <w:rPr>
          <w:rFonts w:ascii="Arial" w:cs="Arial" w:eastAsia="Arial" w:hAnsi="Arial"/>
          <w:sz w:val="19"/>
          <w:szCs w:val="19"/>
          <w:color w:val="auto"/>
        </w:rPr>
        <w:t>accounting, auditing, financial management or similar functions. The administration of the Code has been delegated to the Audit Committee of the Board of Directors, a Committee comprised entirely of “independent directors.” The Code addresses topics such as compliance with laws and regulations, honest and ethical conduct, conflicts of interest, confidentiality and protection of Corporation assets, fair dealing and accurate and timely periodic reports, and also provides for enforcement mechanisms. The Board and management of the Corporation intends to continue to monitor not only the developing legal requirements in this area, but also the best practices of comparable companies, to assure that the Corporation maintains sound corporate governance practices in the future. Annual testing and review of the Code is conducted and attested to by signatures of all officers and directors of the Company.</w:t>
      </w:r>
    </w:p>
    <w:p>
      <w:pPr>
        <w:spacing w:after="0" w:line="244" w:lineRule="exact"/>
        <w:rPr>
          <w:sz w:val="20"/>
          <w:szCs w:val="20"/>
          <w:color w:val="auto"/>
        </w:rPr>
      </w:pPr>
    </w:p>
    <w:p>
      <w:pPr>
        <w:ind w:left="440"/>
        <w:spacing w:after="0" w:line="311" w:lineRule="auto"/>
        <w:rPr>
          <w:sz w:val="20"/>
          <w:szCs w:val="20"/>
          <w:color w:val="auto"/>
        </w:rPr>
      </w:pPr>
      <w:r>
        <w:rPr>
          <w:rFonts w:ascii="Arial" w:cs="Arial" w:eastAsia="Arial" w:hAnsi="Arial"/>
          <w:sz w:val="20"/>
          <w:szCs w:val="20"/>
          <w:color w:val="auto"/>
        </w:rPr>
        <w:t>A copy of the Corporation's Code is available on the website of the Bank (www.fm.bank). In addition, a copy of the Code is available to any shareholder free of charge upon request. Shareholders desiring a copy of the Code should address written requests to Mr. Lars B. Eller, President, Chief Executive Officer of Farmers &amp; Merchants Bancorp, Inc., 307 North Defiance Street, Archbold, Ohio 43502, and are asked to mark Code of Business Conduct and Ethics on the outside of the envelope containing the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69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14 / 45</w:t>
      </w:r>
    </w:p>
    <w:p>
      <w:pPr>
        <w:sectPr>
          <w:pgSz w:w="11900" w:h="16838" w:orient="portrait"/>
          <w:cols w:equalWidth="0" w:num="1">
            <w:col w:w="9220"/>
          </w:cols>
          <w:pgMar w:left="1440" w:top="1440" w:right="1246" w:bottom="0" w:gutter="0" w:footer="0" w:header="0"/>
          <w:type w:val="continuous"/>
        </w:sectPr>
      </w:pPr>
    </w:p>
    <w:bookmarkStart w:id="251" w:name="page252"/>
    <w:bookmarkEnd w:id="251"/>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11. EXECUTIVE COMPENSATION</w:t>
      </w:r>
    </w:p>
    <w:p>
      <w:pPr>
        <w:spacing w:after="0" w:line="200" w:lineRule="exact"/>
        <w:rPr>
          <w:sz w:val="20"/>
          <w:szCs w:val="20"/>
          <w:color w:val="auto"/>
        </w:rPr>
      </w:pPr>
    </w:p>
    <w:p>
      <w:pPr>
        <w:jc w:val="both"/>
        <w:ind w:right="40"/>
        <w:spacing w:after="0" w:line="351" w:lineRule="auto"/>
        <w:rPr>
          <w:sz w:val="20"/>
          <w:szCs w:val="20"/>
          <w:color w:val="auto"/>
        </w:rPr>
      </w:pPr>
      <w:r>
        <w:rPr>
          <w:rFonts w:ascii="Arial" w:cs="Arial" w:eastAsia="Arial" w:hAnsi="Arial"/>
          <w:sz w:val="18"/>
          <w:szCs w:val="18"/>
          <w:color w:val="auto"/>
        </w:rPr>
        <w:t>The information called for herein by Item 402 and paragraphs (e)(4) and (e)(5) of Item 407, Regulations S-K is presented in the proxy statement to be furnished in connection with the solicitation of proxies on behalf of the Board of Directors of the Registrant for use at its Annual Meeting to be held on April 20, 2026, and is incorporated herein by reference to the sections of the proxy statement captioned “Compensation Discussion and Analysis,” “Compensation Committee Report on Executive Compensation,” and “Related Party Transactions.”</w:t>
      </w:r>
    </w:p>
    <w:p>
      <w:pPr>
        <w:spacing w:after="0" w:line="346" w:lineRule="exact"/>
        <w:rPr>
          <w:sz w:val="20"/>
          <w:szCs w:val="20"/>
          <w:color w:val="auto"/>
        </w:rPr>
      </w:pPr>
    </w:p>
    <w:p>
      <w:pPr>
        <w:ind w:right="120"/>
        <w:spacing w:after="0" w:line="302" w:lineRule="auto"/>
        <w:rPr>
          <w:sz w:val="20"/>
          <w:szCs w:val="20"/>
          <w:color w:val="auto"/>
        </w:rPr>
      </w:pPr>
      <w:r>
        <w:rPr>
          <w:rFonts w:ascii="Arial" w:cs="Arial" w:eastAsia="Arial" w:hAnsi="Arial"/>
          <w:sz w:val="20"/>
          <w:szCs w:val="20"/>
          <w:b w:val="1"/>
          <w:bCs w:val="1"/>
          <w:u w:val="single" w:color="auto"/>
          <w:color w:val="auto"/>
        </w:rPr>
        <w:t>ITEM 12. SECURITY OWNERSHIP OF CERTAIN BENEFICIAL OWNERS AND MANAGEMENT AND RELATED STOCKHOLDER MATTERS</w:t>
      </w:r>
    </w:p>
    <w:p>
      <w:pPr>
        <w:spacing w:after="0" w:line="141" w:lineRule="exact"/>
        <w:rPr>
          <w:sz w:val="20"/>
          <w:szCs w:val="20"/>
          <w:color w:val="auto"/>
        </w:rPr>
      </w:pPr>
    </w:p>
    <w:p>
      <w:pPr>
        <w:jc w:val="both"/>
        <w:ind w:right="40"/>
        <w:spacing w:after="0" w:line="330" w:lineRule="auto"/>
        <w:rPr>
          <w:sz w:val="20"/>
          <w:szCs w:val="20"/>
          <w:color w:val="auto"/>
        </w:rPr>
      </w:pPr>
      <w:r>
        <w:rPr>
          <w:rFonts w:ascii="Arial" w:cs="Arial" w:eastAsia="Arial" w:hAnsi="Arial"/>
          <w:sz w:val="19"/>
          <w:szCs w:val="19"/>
          <w:color w:val="auto"/>
        </w:rPr>
        <w:t>The information called for by Item 403 of Regulation S-K is presented in the proxy statement to be furnished in connection with the solicitation of proxies on behalf of the Board of Directors of the Registrant for use at its Annual Meeting to be held Monday, April 20, 2026 and is incorporated herein by reference to the section of the proxy statement captioned “Security Ownership of Certain Beneficial Owners and Named Executive Officers.”</w:t>
      </w:r>
    </w:p>
    <w:p>
      <w:pPr>
        <w:spacing w:after="0" w:line="238" w:lineRule="exact"/>
        <w:rPr>
          <w:sz w:val="20"/>
          <w:szCs w:val="20"/>
          <w:color w:val="auto"/>
        </w:rPr>
      </w:pPr>
    </w:p>
    <w:p>
      <w:pPr>
        <w:jc w:val="both"/>
        <w:spacing w:after="0" w:line="350" w:lineRule="auto"/>
        <w:rPr>
          <w:sz w:val="20"/>
          <w:szCs w:val="20"/>
          <w:color w:val="auto"/>
        </w:rPr>
      </w:pPr>
      <w:r>
        <w:rPr>
          <w:rFonts w:ascii="Arial" w:cs="Arial" w:eastAsia="Arial" w:hAnsi="Arial"/>
          <w:sz w:val="18"/>
          <w:szCs w:val="18"/>
          <w:color w:val="auto"/>
        </w:rPr>
        <w:t>On April 16, 2015, the Company’s shareholders approved the Farmers &amp; Merchants Bancorp, Inc. 2015 Long-Term Stock Incentive Plan (which replaced the expired 2005 Long-Term Stock Incentive Plan). The plan authorizes the issuance of up to 1,600,000 (adjusted for a two-for-one stock split) of the Company’s common shares in the form of stock options, restricted stock, performance shares, and unrestricted stock to employees of the Company and its subsidiaries. The Company has made awards of restricted stock under the Plan, which awards are subject to time vesting. This requires the executive or employee to remain employed with the Company or the Bank, as the case may be, until the awards have vested, or such shares of restricted stock will be forfeited. During 2025, 20,731 shares were awarded to 14 employees and 5,000 were forfeited under its long term incentive plan.</w:t>
      </w:r>
    </w:p>
    <w:p>
      <w:pPr>
        <w:spacing w:after="0" w:line="32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4860" w:type="dxa"/>
            <w:vAlign w:val="bottom"/>
            <w:gridSpan w:val="4"/>
          </w:tcPr>
          <w:p>
            <w:pPr>
              <w:jc w:val="center"/>
              <w:spacing w:after="0"/>
              <w:rPr>
                <w:sz w:val="20"/>
                <w:szCs w:val="20"/>
                <w:color w:val="auto"/>
              </w:rPr>
            </w:pPr>
            <w:r>
              <w:rPr>
                <w:rFonts w:ascii="Arial" w:cs="Arial" w:eastAsia="Arial" w:hAnsi="Arial"/>
                <w:sz w:val="20"/>
                <w:szCs w:val="20"/>
                <w:color w:val="auto"/>
                <w:w w:val="91"/>
              </w:rPr>
              <w:t>Equity Compensation 2015 Plan Information</w:t>
            </w:r>
          </w:p>
        </w:tc>
      </w:tr>
      <w:tr>
        <w:trPr>
          <w:trHeight w:val="324"/>
        </w:trPr>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4"/>
              </w:rPr>
              <w:t>Number of</w:t>
            </w:r>
          </w:p>
        </w:tc>
      </w:tr>
      <w:tr>
        <w:trPr>
          <w:trHeight w:val="300"/>
        </w:trPr>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7"/>
              </w:rPr>
              <w:t>securities</w:t>
            </w:r>
          </w:p>
        </w:tc>
      </w:tr>
      <w:tr>
        <w:trPr>
          <w:trHeight w:val="300"/>
        </w:trPr>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3"/>
              </w:rPr>
              <w:t>remaining</w:t>
            </w:r>
          </w:p>
        </w:tc>
      </w:tr>
      <w:tr>
        <w:trPr>
          <w:trHeight w:val="300"/>
        </w:trPr>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4"/>
              </w:rPr>
              <w:t>available for</w:t>
            </w:r>
          </w:p>
        </w:tc>
      </w:tr>
      <w:tr>
        <w:trPr>
          <w:trHeight w:val="300"/>
        </w:trPr>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9"/>
              </w:rPr>
              <w:t>future issuance</w:t>
            </w:r>
          </w:p>
        </w:tc>
      </w:tr>
      <w:tr>
        <w:trPr>
          <w:trHeight w:val="300"/>
        </w:trPr>
        <w:tc>
          <w:tcPr>
            <w:tcW w:w="36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4"/>
              </w:rPr>
              <w:t>Number of</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9"/>
              </w:rPr>
              <w:t>under</w:t>
            </w:r>
          </w:p>
        </w:tc>
      </w:tr>
      <w:tr>
        <w:trPr>
          <w:trHeight w:val="300"/>
        </w:trPr>
        <w:tc>
          <w:tcPr>
            <w:tcW w:w="36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9"/>
              </w:rPr>
              <w:t>securities to be</w:t>
            </w:r>
          </w:p>
        </w:tc>
        <w:tc>
          <w:tcPr>
            <w:tcW w:w="1480" w:type="dxa"/>
            <w:vAlign w:val="bottom"/>
          </w:tcPr>
          <w:p>
            <w:pPr>
              <w:jc w:val="center"/>
              <w:ind w:left="100"/>
              <w:spacing w:after="0"/>
              <w:rPr>
                <w:sz w:val="20"/>
                <w:szCs w:val="20"/>
                <w:color w:val="auto"/>
              </w:rPr>
            </w:pPr>
            <w:r>
              <w:rPr>
                <w:rFonts w:ascii="Arial" w:cs="Arial" w:eastAsia="Arial" w:hAnsi="Arial"/>
                <w:sz w:val="20"/>
                <w:szCs w:val="20"/>
                <w:color w:val="auto"/>
                <w:w w:val="92"/>
              </w:rPr>
              <w:t>Weighted-</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3"/>
              </w:rPr>
              <w:t>equity</w:t>
            </w:r>
          </w:p>
        </w:tc>
      </w:tr>
      <w:tr>
        <w:trPr>
          <w:trHeight w:val="300"/>
        </w:trPr>
        <w:tc>
          <w:tcPr>
            <w:tcW w:w="3600" w:type="dxa"/>
            <w:vAlign w:val="bottom"/>
          </w:tcPr>
          <w:p>
            <w:pPr>
              <w:spacing w:after="0"/>
              <w:rPr>
                <w:sz w:val="24"/>
                <w:szCs w:val="24"/>
                <w:color w:val="auto"/>
              </w:rPr>
            </w:pPr>
          </w:p>
        </w:tc>
        <w:tc>
          <w:tcPr>
            <w:tcW w:w="1600" w:type="dxa"/>
            <w:vAlign w:val="bottom"/>
          </w:tcPr>
          <w:p>
            <w:pPr>
              <w:jc w:val="right"/>
              <w:ind w:right="280"/>
              <w:spacing w:after="0"/>
              <w:rPr>
                <w:sz w:val="20"/>
                <w:szCs w:val="20"/>
                <w:color w:val="auto"/>
              </w:rPr>
            </w:pPr>
            <w:r>
              <w:rPr>
                <w:rFonts w:ascii="Arial" w:cs="Arial" w:eastAsia="Arial" w:hAnsi="Arial"/>
                <w:sz w:val="20"/>
                <w:szCs w:val="20"/>
                <w:color w:val="auto"/>
              </w:rPr>
              <w:t>issued upon</w:t>
            </w:r>
          </w:p>
        </w:tc>
        <w:tc>
          <w:tcPr>
            <w:tcW w:w="1480" w:type="dxa"/>
            <w:vAlign w:val="bottom"/>
          </w:tcPr>
          <w:p>
            <w:pPr>
              <w:jc w:val="center"/>
              <w:ind w:left="40"/>
              <w:spacing w:after="0"/>
              <w:rPr>
                <w:sz w:val="20"/>
                <w:szCs w:val="20"/>
                <w:color w:val="auto"/>
              </w:rPr>
            </w:pPr>
            <w:r>
              <w:rPr>
                <w:rFonts w:ascii="Arial" w:cs="Arial" w:eastAsia="Arial" w:hAnsi="Arial"/>
                <w:sz w:val="20"/>
                <w:szCs w:val="20"/>
                <w:color w:val="auto"/>
                <w:w w:val="87"/>
              </w:rPr>
              <w:t>average exercise</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8"/>
              </w:rPr>
              <w:t>compensation</w:t>
            </w:r>
          </w:p>
        </w:tc>
      </w:tr>
      <w:tr>
        <w:trPr>
          <w:trHeight w:val="300"/>
        </w:trPr>
        <w:tc>
          <w:tcPr>
            <w:tcW w:w="36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8"/>
              </w:rPr>
              <w:t>exercise</w:t>
            </w:r>
          </w:p>
        </w:tc>
        <w:tc>
          <w:tcPr>
            <w:tcW w:w="1480" w:type="dxa"/>
            <w:vAlign w:val="bottom"/>
          </w:tcPr>
          <w:p>
            <w:pPr>
              <w:jc w:val="center"/>
              <w:ind w:left="40"/>
              <w:spacing w:after="0"/>
              <w:rPr>
                <w:sz w:val="20"/>
                <w:szCs w:val="20"/>
                <w:color w:val="auto"/>
              </w:rPr>
            </w:pPr>
            <w:r>
              <w:rPr>
                <w:rFonts w:ascii="Arial" w:cs="Arial" w:eastAsia="Arial" w:hAnsi="Arial"/>
                <w:sz w:val="20"/>
                <w:szCs w:val="20"/>
                <w:color w:val="auto"/>
                <w:w w:val="94"/>
              </w:rPr>
              <w:t>price of</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2"/>
              </w:rPr>
              <w:t>plans (excluding</w:t>
            </w:r>
          </w:p>
        </w:tc>
      </w:tr>
      <w:tr>
        <w:trPr>
          <w:trHeight w:val="300"/>
        </w:trPr>
        <w:tc>
          <w:tcPr>
            <w:tcW w:w="36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2"/>
              </w:rPr>
              <w:t>of outstanding</w:t>
            </w:r>
          </w:p>
        </w:tc>
        <w:tc>
          <w:tcPr>
            <w:tcW w:w="1480" w:type="dxa"/>
            <w:vAlign w:val="bottom"/>
          </w:tcPr>
          <w:p>
            <w:pPr>
              <w:jc w:val="center"/>
              <w:ind w:left="40"/>
              <w:spacing w:after="0"/>
              <w:rPr>
                <w:sz w:val="20"/>
                <w:szCs w:val="20"/>
                <w:color w:val="auto"/>
              </w:rPr>
            </w:pPr>
            <w:r>
              <w:rPr>
                <w:rFonts w:ascii="Arial" w:cs="Arial" w:eastAsia="Arial" w:hAnsi="Arial"/>
                <w:sz w:val="20"/>
                <w:szCs w:val="20"/>
                <w:color w:val="auto"/>
                <w:w w:val="90"/>
              </w:rPr>
              <w:t>outstanding</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7"/>
              </w:rPr>
              <w:t>securities</w:t>
            </w:r>
          </w:p>
        </w:tc>
      </w:tr>
      <w:tr>
        <w:trPr>
          <w:trHeight w:val="300"/>
        </w:trPr>
        <w:tc>
          <w:tcPr>
            <w:tcW w:w="36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0"/>
              </w:rPr>
              <w:t>options, warrants</w:t>
            </w:r>
          </w:p>
        </w:tc>
        <w:tc>
          <w:tcPr>
            <w:tcW w:w="1660" w:type="dxa"/>
            <w:vAlign w:val="bottom"/>
            <w:gridSpan w:val="2"/>
          </w:tcPr>
          <w:p>
            <w:pPr>
              <w:jc w:val="center"/>
              <w:spacing w:after="0"/>
              <w:rPr>
                <w:sz w:val="20"/>
                <w:szCs w:val="20"/>
                <w:color w:val="auto"/>
              </w:rPr>
            </w:pPr>
            <w:r>
              <w:rPr>
                <w:rFonts w:ascii="Arial" w:cs="Arial" w:eastAsia="Arial" w:hAnsi="Arial"/>
                <w:sz w:val="20"/>
                <w:szCs w:val="20"/>
                <w:color w:val="auto"/>
                <w:w w:val="90"/>
              </w:rPr>
              <w:t>options, warrants</w:t>
            </w:r>
          </w:p>
        </w:tc>
        <w:tc>
          <w:tcPr>
            <w:tcW w:w="1600" w:type="dxa"/>
            <w:vAlign w:val="bottom"/>
          </w:tcPr>
          <w:p>
            <w:pPr>
              <w:jc w:val="center"/>
              <w:spacing w:after="0"/>
              <w:rPr>
                <w:sz w:val="20"/>
                <w:szCs w:val="20"/>
                <w:color w:val="auto"/>
              </w:rPr>
            </w:pPr>
            <w:r>
              <w:rPr>
                <w:rFonts w:ascii="Arial" w:cs="Arial" w:eastAsia="Arial" w:hAnsi="Arial"/>
                <w:sz w:val="20"/>
                <w:szCs w:val="20"/>
                <w:color w:val="auto"/>
                <w:w w:val="91"/>
              </w:rPr>
              <w:t>reflected</w:t>
            </w:r>
          </w:p>
        </w:tc>
      </w:tr>
      <w:tr>
        <w:trPr>
          <w:trHeight w:val="300"/>
        </w:trPr>
        <w:tc>
          <w:tcPr>
            <w:tcW w:w="36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1"/>
              </w:rPr>
              <w:t>and rights</w:t>
            </w:r>
          </w:p>
        </w:tc>
        <w:tc>
          <w:tcPr>
            <w:tcW w:w="1480" w:type="dxa"/>
            <w:vAlign w:val="bottom"/>
          </w:tcPr>
          <w:p>
            <w:pPr>
              <w:jc w:val="center"/>
              <w:ind w:left="100"/>
              <w:spacing w:after="0"/>
              <w:rPr>
                <w:sz w:val="20"/>
                <w:szCs w:val="20"/>
                <w:color w:val="auto"/>
              </w:rPr>
            </w:pPr>
            <w:r>
              <w:rPr>
                <w:rFonts w:ascii="Arial" w:cs="Arial" w:eastAsia="Arial" w:hAnsi="Arial"/>
                <w:sz w:val="20"/>
                <w:szCs w:val="20"/>
                <w:color w:val="auto"/>
                <w:w w:val="91"/>
              </w:rPr>
              <w:t>and rights</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3"/>
              </w:rPr>
              <w:t>in column (a))</w:t>
            </w:r>
          </w:p>
        </w:tc>
      </w:tr>
      <w:tr>
        <w:trPr>
          <w:trHeight w:val="324"/>
        </w:trPr>
        <w:tc>
          <w:tcPr>
            <w:tcW w:w="36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9"/>
              </w:rPr>
              <w:t>( a )</w:t>
            </w:r>
          </w:p>
        </w:tc>
        <w:tc>
          <w:tcPr>
            <w:tcW w:w="1480" w:type="dxa"/>
            <w:vAlign w:val="bottom"/>
          </w:tcPr>
          <w:p>
            <w:pPr>
              <w:jc w:val="center"/>
              <w:ind w:left="80"/>
              <w:spacing w:after="0"/>
              <w:rPr>
                <w:sz w:val="20"/>
                <w:szCs w:val="20"/>
                <w:color w:val="auto"/>
              </w:rPr>
            </w:pPr>
            <w:r>
              <w:rPr>
                <w:rFonts w:ascii="Arial" w:cs="Arial" w:eastAsia="Arial" w:hAnsi="Arial"/>
                <w:sz w:val="20"/>
                <w:szCs w:val="20"/>
                <w:color w:val="auto"/>
                <w:w w:val="95"/>
              </w:rPr>
              <w:t>( b )</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2"/>
              </w:rPr>
              <w:t>( c )</w:t>
            </w:r>
          </w:p>
        </w:tc>
      </w:tr>
      <w:tr>
        <w:trPr>
          <w:trHeight w:val="51"/>
        </w:trPr>
        <w:tc>
          <w:tcPr>
            <w:tcW w:w="36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74"/>
        </w:trPr>
        <w:tc>
          <w:tcPr>
            <w:tcW w:w="3600" w:type="dxa"/>
            <w:vAlign w:val="bottom"/>
            <w:shd w:val="clear" w:color="auto" w:fill="CFF0FC"/>
          </w:tcPr>
          <w:p>
            <w:pPr>
              <w:spacing w:after="0"/>
              <w:rPr>
                <w:sz w:val="20"/>
                <w:szCs w:val="20"/>
                <w:color w:val="auto"/>
              </w:rPr>
            </w:pPr>
            <w:r>
              <w:rPr>
                <w:rFonts w:ascii="Arial" w:cs="Arial" w:eastAsia="Arial" w:hAnsi="Arial"/>
                <w:sz w:val="20"/>
                <w:szCs w:val="20"/>
                <w:color w:val="auto"/>
              </w:rPr>
              <w:t>Equity compensation plans approved by</w:t>
            </w:r>
          </w:p>
        </w:tc>
        <w:tc>
          <w:tcPr>
            <w:tcW w:w="1600" w:type="dxa"/>
            <w:vAlign w:val="bottom"/>
            <w:shd w:val="clear" w:color="auto" w:fill="CFF0FC"/>
          </w:tcPr>
          <w:p>
            <w:pPr>
              <w:spacing w:after="0"/>
              <w:rPr>
                <w:sz w:val="23"/>
                <w:szCs w:val="23"/>
                <w:color w:val="auto"/>
              </w:rPr>
            </w:pPr>
          </w:p>
        </w:tc>
        <w:tc>
          <w:tcPr>
            <w:tcW w:w="14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600" w:type="dxa"/>
            <w:vAlign w:val="bottom"/>
            <w:shd w:val="clear" w:color="auto" w:fill="CFF0FC"/>
          </w:tcPr>
          <w:p>
            <w:pPr>
              <w:spacing w:after="0"/>
              <w:rPr>
                <w:sz w:val="23"/>
                <w:szCs w:val="23"/>
                <w:color w:val="auto"/>
              </w:rPr>
            </w:pPr>
          </w:p>
        </w:tc>
      </w:tr>
      <w:tr>
        <w:trPr>
          <w:trHeight w:val="321"/>
        </w:trPr>
        <w:tc>
          <w:tcPr>
            <w:tcW w:w="36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security holders</w:t>
            </w:r>
          </w:p>
        </w:tc>
        <w:tc>
          <w:tcPr>
            <w:tcW w:w="16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CFF0FC"/>
            </w:tcBorders>
            <w:shd w:val="clear" w:color="auto" w:fill="CFF0FC"/>
          </w:tcPr>
          <w:p>
            <w:pPr>
              <w:jc w:val="right"/>
              <w:ind w:right="118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1,156,650</w:t>
            </w:r>
          </w:p>
        </w:tc>
      </w:tr>
      <w:tr>
        <w:trPr>
          <w:trHeight w:val="274"/>
        </w:trPr>
        <w:tc>
          <w:tcPr>
            <w:tcW w:w="3600" w:type="dxa"/>
            <w:vAlign w:val="bottom"/>
          </w:tcPr>
          <w:p>
            <w:pPr>
              <w:spacing w:after="0"/>
              <w:rPr>
                <w:sz w:val="20"/>
                <w:szCs w:val="20"/>
                <w:color w:val="auto"/>
              </w:rPr>
            </w:pPr>
            <w:r>
              <w:rPr>
                <w:rFonts w:ascii="Arial" w:cs="Arial" w:eastAsia="Arial" w:hAnsi="Arial"/>
                <w:sz w:val="20"/>
                <w:szCs w:val="20"/>
                <w:color w:val="auto"/>
                <w:w w:val="92"/>
              </w:rPr>
              <w:t>Equity compensation plans not approved by</w:t>
            </w:r>
          </w:p>
        </w:tc>
        <w:tc>
          <w:tcPr>
            <w:tcW w:w="16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300"/>
        </w:trPr>
        <w:tc>
          <w:tcPr>
            <w:tcW w:w="3600" w:type="dxa"/>
            <w:vAlign w:val="bottom"/>
          </w:tcPr>
          <w:p>
            <w:pPr>
              <w:ind w:left="160"/>
              <w:spacing w:after="0"/>
              <w:rPr>
                <w:sz w:val="20"/>
                <w:szCs w:val="20"/>
                <w:color w:val="auto"/>
              </w:rPr>
            </w:pPr>
            <w:r>
              <w:rPr>
                <w:rFonts w:ascii="Arial" w:cs="Arial" w:eastAsia="Arial" w:hAnsi="Arial"/>
                <w:sz w:val="20"/>
                <w:szCs w:val="20"/>
                <w:color w:val="auto"/>
              </w:rPr>
              <w:t>security holders</w:t>
            </w:r>
          </w:p>
        </w:tc>
        <w:tc>
          <w:tcPr>
            <w:tcW w:w="16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4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1"/>
        </w:trPr>
        <w:tc>
          <w:tcPr>
            <w:tcW w:w="36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74"/>
        </w:trPr>
        <w:tc>
          <w:tcPr>
            <w:tcW w:w="3600" w:type="dxa"/>
            <w:vAlign w:val="bottom"/>
            <w:shd w:val="clear" w:color="auto" w:fill="CFF0FC"/>
          </w:tcPr>
          <w:p>
            <w:pPr>
              <w:spacing w:after="0"/>
              <w:rPr>
                <w:sz w:val="20"/>
                <w:szCs w:val="20"/>
                <w:color w:val="auto"/>
              </w:rPr>
            </w:pPr>
            <w:r>
              <w:rPr>
                <w:rFonts w:ascii="Arial" w:cs="Arial" w:eastAsia="Arial" w:hAnsi="Arial"/>
                <w:sz w:val="20"/>
                <w:szCs w:val="20"/>
                <w:color w:val="auto"/>
              </w:rPr>
              <w:t>Total</w:t>
            </w:r>
          </w:p>
        </w:tc>
        <w:tc>
          <w:tcPr>
            <w:tcW w:w="16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1,156,650</w:t>
            </w:r>
          </w:p>
        </w:tc>
      </w:tr>
      <w:tr>
        <w:trPr>
          <w:trHeight w:val="41"/>
        </w:trPr>
        <w:tc>
          <w:tcPr>
            <w:tcW w:w="3600" w:type="dxa"/>
            <w:vAlign w:val="bottom"/>
            <w:shd w:val="clear" w:color="auto" w:fill="CFF0FC"/>
          </w:tcPr>
          <w:p>
            <w:pPr>
              <w:spacing w:after="0"/>
              <w:rPr>
                <w:sz w:val="3"/>
                <w:szCs w:val="3"/>
                <w:color w:val="auto"/>
              </w:rPr>
            </w:pPr>
          </w:p>
        </w:tc>
        <w:tc>
          <w:tcPr>
            <w:tcW w:w="1600" w:type="dxa"/>
            <w:vAlign w:val="bottom"/>
            <w:shd w:val="clear" w:color="auto" w:fill="CFF0FC"/>
          </w:tcPr>
          <w:p>
            <w:pPr>
              <w:spacing w:after="0"/>
              <w:rPr>
                <w:sz w:val="3"/>
                <w:szCs w:val="3"/>
                <w:color w:val="auto"/>
              </w:rPr>
            </w:pPr>
          </w:p>
        </w:tc>
        <w:tc>
          <w:tcPr>
            <w:tcW w:w="148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6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-3493135</wp:posOffset>
            </wp:positionV>
            <wp:extent cx="3004185" cy="63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0">
                      <a:extLst>
                        <a:ext uri="{28A0092B-C50C-407E-A947-70E740481C1C}"/>
                      </a:extLst>
                    </a:blip>
                    <a:srcRect/>
                    <a:stretch>
                      <a:fillRect/>
                    </a:stretch>
                  </pic:blipFill>
                  <pic:spPr bwMode="auto">
                    <a:xfrm>
                      <a:off x="0" y="0"/>
                      <a:ext cx="3004185" cy="6350"/>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-1191895</wp:posOffset>
            </wp:positionV>
            <wp:extent cx="3004185" cy="63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1">
                      <a:extLst>
                        <a:ext uri="{28A0092B-C50C-407E-A947-70E740481C1C}"/>
                      </a:extLst>
                    </a:blip>
                    <a:srcRect/>
                    <a:stretch>
                      <a:fillRect/>
                    </a:stretch>
                  </pic:blipFill>
                  <pic:spPr bwMode="auto">
                    <a:xfrm>
                      <a:off x="0" y="0"/>
                      <a:ext cx="3004185" cy="6350"/>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-985520</wp:posOffset>
            </wp:positionV>
            <wp:extent cx="3004185" cy="63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2">
                      <a:extLst>
                        <a:ext uri="{28A0092B-C50C-407E-A947-70E740481C1C}"/>
                      </a:extLst>
                    </a:blip>
                    <a:srcRect/>
                    <a:stretch>
                      <a:fillRect/>
                    </a:stretch>
                  </pic:blipFill>
                  <pic:spPr bwMode="auto">
                    <a:xfrm>
                      <a:off x="0" y="0"/>
                      <a:ext cx="3004185" cy="63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 / 45</w:t>
      </w:r>
    </w:p>
    <w:p>
      <w:pPr>
        <w:sectPr>
          <w:pgSz w:w="11900" w:h="16838" w:orient="portrait"/>
          <w:cols w:equalWidth="0" w:num="1">
            <w:col w:w="9380"/>
          </w:cols>
          <w:pgMar w:left="1260" w:top="1440" w:right="1266" w:bottom="0" w:gutter="0" w:footer="0" w:header="0"/>
          <w:type w:val="continuous"/>
        </w:sectPr>
      </w:pPr>
    </w:p>
    <w:bookmarkStart w:id="252" w:name="page253"/>
    <w:bookmarkEnd w:id="252"/>
    <w:p>
      <w:pPr>
        <w:jc w:val="both"/>
        <w:spacing w:after="0" w:line="329" w:lineRule="auto"/>
        <w:rPr>
          <w:sz w:val="20"/>
          <w:szCs w:val="20"/>
          <w:color w:val="auto"/>
        </w:rPr>
      </w:pPr>
      <w:r>
        <w:rPr>
          <w:rFonts w:ascii="Arial" w:cs="Arial" w:eastAsia="Arial" w:hAnsi="Arial"/>
          <w:sz w:val="19"/>
          <w:szCs w:val="19"/>
          <w:color w:val="auto"/>
        </w:rPr>
        <w:t>On April 14, 2025, the Company’s shareholders approved the Farmers &amp; Merchants Bancorp, Inc. 2025 Long-Term Stock Incentive Plan (which replaced the expired 2015 Long-Term Stock Incentive Plan). The plan authorizes the issuance of up to 2,000,000 of the Company’s common shares in the form of stock options, restricted stock, performance shares, and unrestricted stock to employees of the Company and its subsidiaries. The Company has made awards of restricted stock under the Plan, which awards are subject to time vesting. This requires the executive or employee to remain employed with the Company or the Bank, as the case may be, until the awards have vested, or such shares of restricted stock will be forfeited. During 2025, 48,142 shares were awarded to 129 employees and 1,707 were forfeited under its long term incentive plan. At year-end, 2025, the Company held 816,351 shares in Treasury stock and 164,667 in unearned stock awards.</w:t>
      </w:r>
    </w:p>
    <w:p>
      <w:pPr>
        <w:spacing w:after="0" w:line="244" w:lineRule="exact"/>
        <w:rPr>
          <w:sz w:val="20"/>
          <w:szCs w:val="20"/>
          <w:color w:val="auto"/>
        </w:rPr>
      </w:pPr>
    </w:p>
    <w:p>
      <w:pPr>
        <w:jc w:val="both"/>
        <w:ind w:right="20"/>
        <w:spacing w:after="0" w:line="350" w:lineRule="auto"/>
        <w:rPr>
          <w:sz w:val="20"/>
          <w:szCs w:val="20"/>
          <w:color w:val="auto"/>
        </w:rPr>
      </w:pPr>
      <w:r>
        <w:rPr>
          <w:rFonts w:ascii="Arial" w:cs="Arial" w:eastAsia="Arial" w:hAnsi="Arial"/>
          <w:sz w:val="18"/>
          <w:szCs w:val="18"/>
          <w:color w:val="auto"/>
        </w:rPr>
        <w:t>The Compensation Committee of the Company has determined that it is appropriate to award shares of the common stock of the Company to Directors, whether outside or also an officer of the Company or the Bank, as a portion of their retainer for services rendered. The Committee believes that it is appropriate to award the Directors shares equal to a specific dollar amount, rounded to the nearest whole share on an annual basis commencing on June 5, 2020 and thereafter on the first Thursday of June. Directors receive a prorated dollar value of shares for a partial year of service. The value for the shares is to be based upon the prior day closing price. On June 5, 2025, ten Directors each received $17,496 which equated to 762 shares and one Director received $6,704 which equated to 292 shares. On July 29, 2025, one new Director received 288 prorated shares worth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 / 45</w:t>
      </w:r>
    </w:p>
    <w:p>
      <w:pPr>
        <w:sectPr>
          <w:pgSz w:w="11900" w:h="16838" w:orient="portrait"/>
          <w:cols w:equalWidth="0" w:num="1">
            <w:col w:w="9360"/>
          </w:cols>
          <w:pgMar w:left="1260" w:top="1173" w:right="1286" w:bottom="0" w:gutter="0" w:footer="0" w:header="0"/>
          <w:type w:val="continuous"/>
        </w:sectPr>
      </w:pPr>
    </w:p>
    <w:bookmarkStart w:id="253" w:name="page254"/>
    <w:bookmarkEnd w:id="2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$7,436. On June 7, 2024, twelve Directors each received $15,007 worth of shares which equated to 716 shares while one Director received a prorated dollar amount of $5,911 which equated to 282 shares. On December 5, 2024, one new Director received 54 prorated shares worth approximately $1,730. On June 2, 2023, twelve Directors each received $14,997 worth of shares which equated to 754 shares. The use of stock for Directors' retainer, does not have an effect on diluted earnings per share as it is immediately vested.</w:t>
      </w:r>
    </w:p>
    <w:p>
      <w:pPr>
        <w:spacing w:after="0" w:line="33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4860" w:type="dxa"/>
            <w:vAlign w:val="bottom"/>
            <w:gridSpan w:val="4"/>
          </w:tcPr>
          <w:p>
            <w:pPr>
              <w:jc w:val="center"/>
              <w:spacing w:after="0"/>
              <w:rPr>
                <w:sz w:val="20"/>
                <w:szCs w:val="20"/>
                <w:color w:val="auto"/>
              </w:rPr>
            </w:pPr>
            <w:r>
              <w:rPr>
                <w:rFonts w:ascii="Arial" w:cs="Arial" w:eastAsia="Arial" w:hAnsi="Arial"/>
                <w:sz w:val="20"/>
                <w:szCs w:val="20"/>
                <w:color w:val="auto"/>
                <w:w w:val="91"/>
              </w:rPr>
              <w:t>Equity Compensation 2025 Plan Information</w:t>
            </w:r>
          </w:p>
        </w:tc>
      </w:tr>
      <w:tr>
        <w:trPr>
          <w:trHeight w:val="324"/>
        </w:trPr>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4"/>
              </w:rPr>
              <w:t>Number of</w:t>
            </w:r>
          </w:p>
        </w:tc>
      </w:tr>
      <w:tr>
        <w:trPr>
          <w:trHeight w:val="300"/>
        </w:trPr>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7"/>
              </w:rPr>
              <w:t>securities</w:t>
            </w:r>
          </w:p>
        </w:tc>
      </w:tr>
      <w:tr>
        <w:trPr>
          <w:trHeight w:val="300"/>
        </w:trPr>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3"/>
              </w:rPr>
              <w:t>remaining</w:t>
            </w:r>
          </w:p>
        </w:tc>
      </w:tr>
      <w:tr>
        <w:trPr>
          <w:trHeight w:val="300"/>
        </w:trPr>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4"/>
              </w:rPr>
              <w:t>available for</w:t>
            </w:r>
          </w:p>
        </w:tc>
      </w:tr>
      <w:tr>
        <w:trPr>
          <w:trHeight w:val="300"/>
        </w:trPr>
        <w:tc>
          <w:tcPr>
            <w:tcW w:w="3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9"/>
              </w:rPr>
              <w:t>future issuance</w:t>
            </w:r>
          </w:p>
        </w:tc>
      </w:tr>
      <w:tr>
        <w:trPr>
          <w:trHeight w:val="300"/>
        </w:trPr>
        <w:tc>
          <w:tcPr>
            <w:tcW w:w="36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4"/>
              </w:rPr>
              <w:t>Number of</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9"/>
              </w:rPr>
              <w:t>under</w:t>
            </w:r>
          </w:p>
        </w:tc>
      </w:tr>
      <w:tr>
        <w:trPr>
          <w:trHeight w:val="300"/>
        </w:trPr>
        <w:tc>
          <w:tcPr>
            <w:tcW w:w="36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9"/>
              </w:rPr>
              <w:t>securities to be</w:t>
            </w:r>
          </w:p>
        </w:tc>
        <w:tc>
          <w:tcPr>
            <w:tcW w:w="1480" w:type="dxa"/>
            <w:vAlign w:val="bottom"/>
          </w:tcPr>
          <w:p>
            <w:pPr>
              <w:jc w:val="center"/>
              <w:ind w:left="100"/>
              <w:spacing w:after="0"/>
              <w:rPr>
                <w:sz w:val="20"/>
                <w:szCs w:val="20"/>
                <w:color w:val="auto"/>
              </w:rPr>
            </w:pPr>
            <w:r>
              <w:rPr>
                <w:rFonts w:ascii="Arial" w:cs="Arial" w:eastAsia="Arial" w:hAnsi="Arial"/>
                <w:sz w:val="20"/>
                <w:szCs w:val="20"/>
                <w:color w:val="auto"/>
                <w:w w:val="92"/>
              </w:rPr>
              <w:t>Weighted-</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3"/>
              </w:rPr>
              <w:t>equity</w:t>
            </w:r>
          </w:p>
        </w:tc>
      </w:tr>
      <w:tr>
        <w:trPr>
          <w:trHeight w:val="300"/>
        </w:trPr>
        <w:tc>
          <w:tcPr>
            <w:tcW w:w="3600" w:type="dxa"/>
            <w:vAlign w:val="bottom"/>
          </w:tcPr>
          <w:p>
            <w:pPr>
              <w:spacing w:after="0"/>
              <w:rPr>
                <w:sz w:val="24"/>
                <w:szCs w:val="24"/>
                <w:color w:val="auto"/>
              </w:rPr>
            </w:pPr>
          </w:p>
        </w:tc>
        <w:tc>
          <w:tcPr>
            <w:tcW w:w="1600" w:type="dxa"/>
            <w:vAlign w:val="bottom"/>
          </w:tcPr>
          <w:p>
            <w:pPr>
              <w:jc w:val="right"/>
              <w:ind w:right="280"/>
              <w:spacing w:after="0"/>
              <w:rPr>
                <w:sz w:val="20"/>
                <w:szCs w:val="20"/>
                <w:color w:val="auto"/>
              </w:rPr>
            </w:pPr>
            <w:r>
              <w:rPr>
                <w:rFonts w:ascii="Arial" w:cs="Arial" w:eastAsia="Arial" w:hAnsi="Arial"/>
                <w:sz w:val="20"/>
                <w:szCs w:val="20"/>
                <w:color w:val="auto"/>
              </w:rPr>
              <w:t>issued upon</w:t>
            </w:r>
          </w:p>
        </w:tc>
        <w:tc>
          <w:tcPr>
            <w:tcW w:w="1480" w:type="dxa"/>
            <w:vAlign w:val="bottom"/>
          </w:tcPr>
          <w:p>
            <w:pPr>
              <w:jc w:val="center"/>
              <w:ind w:left="40"/>
              <w:spacing w:after="0"/>
              <w:rPr>
                <w:sz w:val="20"/>
                <w:szCs w:val="20"/>
                <w:color w:val="auto"/>
              </w:rPr>
            </w:pPr>
            <w:r>
              <w:rPr>
                <w:rFonts w:ascii="Arial" w:cs="Arial" w:eastAsia="Arial" w:hAnsi="Arial"/>
                <w:sz w:val="20"/>
                <w:szCs w:val="20"/>
                <w:color w:val="auto"/>
                <w:w w:val="87"/>
              </w:rPr>
              <w:t>average exercise</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8"/>
              </w:rPr>
              <w:t>compensation</w:t>
            </w:r>
          </w:p>
        </w:tc>
      </w:tr>
      <w:tr>
        <w:trPr>
          <w:trHeight w:val="300"/>
        </w:trPr>
        <w:tc>
          <w:tcPr>
            <w:tcW w:w="36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8"/>
              </w:rPr>
              <w:t>exercise</w:t>
            </w:r>
          </w:p>
        </w:tc>
        <w:tc>
          <w:tcPr>
            <w:tcW w:w="1480" w:type="dxa"/>
            <w:vAlign w:val="bottom"/>
          </w:tcPr>
          <w:p>
            <w:pPr>
              <w:jc w:val="center"/>
              <w:ind w:left="40"/>
              <w:spacing w:after="0"/>
              <w:rPr>
                <w:sz w:val="20"/>
                <w:szCs w:val="20"/>
                <w:color w:val="auto"/>
              </w:rPr>
            </w:pPr>
            <w:r>
              <w:rPr>
                <w:rFonts w:ascii="Arial" w:cs="Arial" w:eastAsia="Arial" w:hAnsi="Arial"/>
                <w:sz w:val="20"/>
                <w:szCs w:val="20"/>
                <w:color w:val="auto"/>
                <w:w w:val="94"/>
              </w:rPr>
              <w:t>price of</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2"/>
              </w:rPr>
              <w:t>plans (excluding</w:t>
            </w:r>
          </w:p>
        </w:tc>
      </w:tr>
      <w:tr>
        <w:trPr>
          <w:trHeight w:val="300"/>
        </w:trPr>
        <w:tc>
          <w:tcPr>
            <w:tcW w:w="36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2"/>
              </w:rPr>
              <w:t>of outstanding</w:t>
            </w:r>
          </w:p>
        </w:tc>
        <w:tc>
          <w:tcPr>
            <w:tcW w:w="1480" w:type="dxa"/>
            <w:vAlign w:val="bottom"/>
          </w:tcPr>
          <w:p>
            <w:pPr>
              <w:jc w:val="center"/>
              <w:ind w:left="40"/>
              <w:spacing w:after="0"/>
              <w:rPr>
                <w:sz w:val="20"/>
                <w:szCs w:val="20"/>
                <w:color w:val="auto"/>
              </w:rPr>
            </w:pPr>
            <w:r>
              <w:rPr>
                <w:rFonts w:ascii="Arial" w:cs="Arial" w:eastAsia="Arial" w:hAnsi="Arial"/>
                <w:sz w:val="20"/>
                <w:szCs w:val="20"/>
                <w:color w:val="auto"/>
                <w:w w:val="90"/>
              </w:rPr>
              <w:t>outstanding</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7"/>
              </w:rPr>
              <w:t>securities</w:t>
            </w:r>
          </w:p>
        </w:tc>
      </w:tr>
      <w:tr>
        <w:trPr>
          <w:trHeight w:val="300"/>
        </w:trPr>
        <w:tc>
          <w:tcPr>
            <w:tcW w:w="36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0"/>
              </w:rPr>
              <w:t>options, warrants</w:t>
            </w:r>
          </w:p>
        </w:tc>
        <w:tc>
          <w:tcPr>
            <w:tcW w:w="1660" w:type="dxa"/>
            <w:vAlign w:val="bottom"/>
            <w:gridSpan w:val="2"/>
          </w:tcPr>
          <w:p>
            <w:pPr>
              <w:jc w:val="center"/>
              <w:spacing w:after="0"/>
              <w:rPr>
                <w:sz w:val="20"/>
                <w:szCs w:val="20"/>
                <w:color w:val="auto"/>
              </w:rPr>
            </w:pPr>
            <w:r>
              <w:rPr>
                <w:rFonts w:ascii="Arial" w:cs="Arial" w:eastAsia="Arial" w:hAnsi="Arial"/>
                <w:sz w:val="20"/>
                <w:szCs w:val="20"/>
                <w:color w:val="auto"/>
                <w:w w:val="90"/>
              </w:rPr>
              <w:t>options, warrants</w:t>
            </w:r>
          </w:p>
        </w:tc>
        <w:tc>
          <w:tcPr>
            <w:tcW w:w="1600" w:type="dxa"/>
            <w:vAlign w:val="bottom"/>
          </w:tcPr>
          <w:p>
            <w:pPr>
              <w:jc w:val="center"/>
              <w:spacing w:after="0"/>
              <w:rPr>
                <w:sz w:val="20"/>
                <w:szCs w:val="20"/>
                <w:color w:val="auto"/>
              </w:rPr>
            </w:pPr>
            <w:r>
              <w:rPr>
                <w:rFonts w:ascii="Arial" w:cs="Arial" w:eastAsia="Arial" w:hAnsi="Arial"/>
                <w:sz w:val="20"/>
                <w:szCs w:val="20"/>
                <w:color w:val="auto"/>
                <w:w w:val="91"/>
              </w:rPr>
              <w:t>reflected</w:t>
            </w:r>
          </w:p>
        </w:tc>
      </w:tr>
      <w:tr>
        <w:trPr>
          <w:trHeight w:val="300"/>
        </w:trPr>
        <w:tc>
          <w:tcPr>
            <w:tcW w:w="36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1"/>
              </w:rPr>
              <w:t>and rights</w:t>
            </w:r>
          </w:p>
        </w:tc>
        <w:tc>
          <w:tcPr>
            <w:tcW w:w="1480" w:type="dxa"/>
            <w:vAlign w:val="bottom"/>
          </w:tcPr>
          <w:p>
            <w:pPr>
              <w:jc w:val="center"/>
              <w:ind w:left="100"/>
              <w:spacing w:after="0"/>
              <w:rPr>
                <w:sz w:val="20"/>
                <w:szCs w:val="20"/>
                <w:color w:val="auto"/>
              </w:rPr>
            </w:pPr>
            <w:r>
              <w:rPr>
                <w:rFonts w:ascii="Arial" w:cs="Arial" w:eastAsia="Arial" w:hAnsi="Arial"/>
                <w:sz w:val="20"/>
                <w:szCs w:val="20"/>
                <w:color w:val="auto"/>
                <w:w w:val="91"/>
              </w:rPr>
              <w:t>and rights</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3"/>
              </w:rPr>
              <w:t>in column (a))</w:t>
            </w:r>
          </w:p>
        </w:tc>
      </w:tr>
      <w:tr>
        <w:trPr>
          <w:trHeight w:val="324"/>
        </w:trPr>
        <w:tc>
          <w:tcPr>
            <w:tcW w:w="36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9"/>
              </w:rPr>
              <w:t>( a )</w:t>
            </w:r>
          </w:p>
        </w:tc>
        <w:tc>
          <w:tcPr>
            <w:tcW w:w="1480" w:type="dxa"/>
            <w:vAlign w:val="bottom"/>
          </w:tcPr>
          <w:p>
            <w:pPr>
              <w:jc w:val="center"/>
              <w:ind w:left="80"/>
              <w:spacing w:after="0"/>
              <w:rPr>
                <w:sz w:val="20"/>
                <w:szCs w:val="20"/>
                <w:color w:val="auto"/>
              </w:rPr>
            </w:pPr>
            <w:r>
              <w:rPr>
                <w:rFonts w:ascii="Arial" w:cs="Arial" w:eastAsia="Arial" w:hAnsi="Arial"/>
                <w:sz w:val="20"/>
                <w:szCs w:val="20"/>
                <w:color w:val="auto"/>
                <w:w w:val="95"/>
              </w:rPr>
              <w:t>( b )</w:t>
            </w:r>
          </w:p>
        </w:tc>
        <w:tc>
          <w:tcPr>
            <w:tcW w:w="1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2"/>
              </w:rPr>
              <w:t>( c )</w:t>
            </w:r>
          </w:p>
        </w:tc>
      </w:tr>
      <w:tr>
        <w:trPr>
          <w:trHeight w:val="51"/>
        </w:trPr>
        <w:tc>
          <w:tcPr>
            <w:tcW w:w="36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74"/>
        </w:trPr>
        <w:tc>
          <w:tcPr>
            <w:tcW w:w="3600" w:type="dxa"/>
            <w:vAlign w:val="bottom"/>
            <w:shd w:val="clear" w:color="auto" w:fill="CFF0FC"/>
          </w:tcPr>
          <w:p>
            <w:pPr>
              <w:spacing w:after="0"/>
              <w:rPr>
                <w:sz w:val="20"/>
                <w:szCs w:val="20"/>
                <w:color w:val="auto"/>
              </w:rPr>
            </w:pPr>
            <w:r>
              <w:rPr>
                <w:rFonts w:ascii="Arial" w:cs="Arial" w:eastAsia="Arial" w:hAnsi="Arial"/>
                <w:sz w:val="20"/>
                <w:szCs w:val="20"/>
                <w:color w:val="auto"/>
              </w:rPr>
              <w:t>Equity compensation plans approved by</w:t>
            </w:r>
          </w:p>
        </w:tc>
        <w:tc>
          <w:tcPr>
            <w:tcW w:w="1600" w:type="dxa"/>
            <w:vAlign w:val="bottom"/>
            <w:shd w:val="clear" w:color="auto" w:fill="CFF0FC"/>
          </w:tcPr>
          <w:p>
            <w:pPr>
              <w:spacing w:after="0"/>
              <w:rPr>
                <w:sz w:val="23"/>
                <w:szCs w:val="23"/>
                <w:color w:val="auto"/>
              </w:rPr>
            </w:pPr>
          </w:p>
        </w:tc>
        <w:tc>
          <w:tcPr>
            <w:tcW w:w="14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600" w:type="dxa"/>
            <w:vAlign w:val="bottom"/>
            <w:shd w:val="clear" w:color="auto" w:fill="CFF0FC"/>
          </w:tcPr>
          <w:p>
            <w:pPr>
              <w:spacing w:after="0"/>
              <w:rPr>
                <w:sz w:val="23"/>
                <w:szCs w:val="23"/>
                <w:color w:val="auto"/>
              </w:rPr>
            </w:pPr>
          </w:p>
        </w:tc>
      </w:tr>
      <w:tr>
        <w:trPr>
          <w:trHeight w:val="321"/>
        </w:trPr>
        <w:tc>
          <w:tcPr>
            <w:tcW w:w="36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security holders</w:t>
            </w:r>
          </w:p>
        </w:tc>
        <w:tc>
          <w:tcPr>
            <w:tcW w:w="16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CFF0FC"/>
            </w:tcBorders>
            <w:shd w:val="clear" w:color="auto" w:fill="CFF0FC"/>
          </w:tcPr>
          <w:p>
            <w:pPr>
              <w:jc w:val="right"/>
              <w:ind w:right="118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1,953,565</w:t>
            </w:r>
          </w:p>
        </w:tc>
      </w:tr>
      <w:tr>
        <w:trPr>
          <w:trHeight w:val="274"/>
        </w:trPr>
        <w:tc>
          <w:tcPr>
            <w:tcW w:w="3600" w:type="dxa"/>
            <w:vAlign w:val="bottom"/>
          </w:tcPr>
          <w:p>
            <w:pPr>
              <w:spacing w:after="0"/>
              <w:rPr>
                <w:sz w:val="20"/>
                <w:szCs w:val="20"/>
                <w:color w:val="auto"/>
              </w:rPr>
            </w:pPr>
            <w:r>
              <w:rPr>
                <w:rFonts w:ascii="Arial" w:cs="Arial" w:eastAsia="Arial" w:hAnsi="Arial"/>
                <w:sz w:val="20"/>
                <w:szCs w:val="20"/>
                <w:color w:val="auto"/>
                <w:w w:val="92"/>
              </w:rPr>
              <w:t>Equity compensation plans not approved by</w:t>
            </w:r>
          </w:p>
        </w:tc>
        <w:tc>
          <w:tcPr>
            <w:tcW w:w="16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300"/>
        </w:trPr>
        <w:tc>
          <w:tcPr>
            <w:tcW w:w="3600" w:type="dxa"/>
            <w:vAlign w:val="bottom"/>
          </w:tcPr>
          <w:p>
            <w:pPr>
              <w:ind w:left="160"/>
              <w:spacing w:after="0"/>
              <w:rPr>
                <w:sz w:val="20"/>
                <w:szCs w:val="20"/>
                <w:color w:val="auto"/>
              </w:rPr>
            </w:pPr>
            <w:r>
              <w:rPr>
                <w:rFonts w:ascii="Arial" w:cs="Arial" w:eastAsia="Arial" w:hAnsi="Arial"/>
                <w:sz w:val="20"/>
                <w:szCs w:val="20"/>
                <w:color w:val="auto"/>
              </w:rPr>
              <w:t>security holders</w:t>
            </w:r>
          </w:p>
        </w:tc>
        <w:tc>
          <w:tcPr>
            <w:tcW w:w="16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4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1"/>
        </w:trPr>
        <w:tc>
          <w:tcPr>
            <w:tcW w:w="36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74"/>
        </w:trPr>
        <w:tc>
          <w:tcPr>
            <w:tcW w:w="3600" w:type="dxa"/>
            <w:vAlign w:val="bottom"/>
            <w:shd w:val="clear" w:color="auto" w:fill="CFF0FC"/>
          </w:tcPr>
          <w:p>
            <w:pPr>
              <w:spacing w:after="0"/>
              <w:rPr>
                <w:sz w:val="20"/>
                <w:szCs w:val="20"/>
                <w:color w:val="auto"/>
              </w:rPr>
            </w:pPr>
            <w:r>
              <w:rPr>
                <w:rFonts w:ascii="Arial" w:cs="Arial" w:eastAsia="Arial" w:hAnsi="Arial"/>
                <w:sz w:val="20"/>
                <w:szCs w:val="20"/>
                <w:color w:val="auto"/>
              </w:rPr>
              <w:t>Total</w:t>
            </w:r>
          </w:p>
        </w:tc>
        <w:tc>
          <w:tcPr>
            <w:tcW w:w="16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1,953,565</w:t>
            </w:r>
          </w:p>
        </w:tc>
      </w:tr>
      <w:tr>
        <w:trPr>
          <w:trHeight w:val="41"/>
        </w:trPr>
        <w:tc>
          <w:tcPr>
            <w:tcW w:w="3600" w:type="dxa"/>
            <w:vAlign w:val="bottom"/>
            <w:shd w:val="clear" w:color="auto" w:fill="CFF0FC"/>
          </w:tcPr>
          <w:p>
            <w:pPr>
              <w:spacing w:after="0"/>
              <w:rPr>
                <w:sz w:val="3"/>
                <w:szCs w:val="3"/>
                <w:color w:val="auto"/>
              </w:rPr>
            </w:pPr>
          </w:p>
        </w:tc>
        <w:tc>
          <w:tcPr>
            <w:tcW w:w="1600" w:type="dxa"/>
            <w:vAlign w:val="bottom"/>
            <w:shd w:val="clear" w:color="auto" w:fill="CFF0FC"/>
          </w:tcPr>
          <w:p>
            <w:pPr>
              <w:spacing w:after="0"/>
              <w:rPr>
                <w:sz w:val="3"/>
                <w:szCs w:val="3"/>
                <w:color w:val="auto"/>
              </w:rPr>
            </w:pPr>
          </w:p>
        </w:tc>
        <w:tc>
          <w:tcPr>
            <w:tcW w:w="148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6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-3493135</wp:posOffset>
            </wp:positionV>
            <wp:extent cx="3004185" cy="63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4">
                      <a:extLst>
                        <a:ext uri="{28A0092B-C50C-407E-A947-70E740481C1C}"/>
                      </a:extLst>
                    </a:blip>
                    <a:srcRect/>
                    <a:stretch>
                      <a:fillRect/>
                    </a:stretch>
                  </pic:blipFill>
                  <pic:spPr bwMode="auto">
                    <a:xfrm>
                      <a:off x="0" y="0"/>
                      <a:ext cx="3004185" cy="6350"/>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-1191895</wp:posOffset>
            </wp:positionV>
            <wp:extent cx="3004185" cy="63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5">
                      <a:extLst>
                        <a:ext uri="{28A0092B-C50C-407E-A947-70E740481C1C}"/>
                      </a:extLst>
                    </a:blip>
                    <a:srcRect/>
                    <a:stretch>
                      <a:fillRect/>
                    </a:stretch>
                  </pic:blipFill>
                  <pic:spPr bwMode="auto">
                    <a:xfrm>
                      <a:off x="0" y="0"/>
                      <a:ext cx="3004185" cy="6350"/>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-985520</wp:posOffset>
            </wp:positionV>
            <wp:extent cx="3004185" cy="63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6">
                      <a:extLst>
                        <a:ext uri="{28A0092B-C50C-407E-A947-70E740481C1C}"/>
                      </a:extLst>
                    </a:blip>
                    <a:srcRect/>
                    <a:stretch>
                      <a:fillRect/>
                    </a:stretch>
                  </pic:blipFill>
                  <pic:spPr bwMode="auto">
                    <a:xfrm>
                      <a:off x="0" y="0"/>
                      <a:ext cx="3004185" cy="635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13. CERTAIN RELATIONSHIPS AND RELATED TRANSACTIONS</w:t>
      </w:r>
    </w:p>
    <w:p>
      <w:pPr>
        <w:spacing w:after="0" w:line="200" w:lineRule="exact"/>
        <w:rPr>
          <w:sz w:val="20"/>
          <w:szCs w:val="20"/>
          <w:color w:val="auto"/>
        </w:rPr>
      </w:pPr>
    </w:p>
    <w:p>
      <w:pPr>
        <w:jc w:val="both"/>
        <w:ind w:right="20"/>
        <w:spacing w:after="0" w:line="309" w:lineRule="auto"/>
        <w:rPr>
          <w:sz w:val="20"/>
          <w:szCs w:val="20"/>
          <w:color w:val="auto"/>
        </w:rPr>
      </w:pPr>
      <w:r>
        <w:rPr>
          <w:rFonts w:ascii="Arial" w:cs="Arial" w:eastAsia="Arial" w:hAnsi="Arial"/>
          <w:sz w:val="20"/>
          <w:szCs w:val="20"/>
          <w:color w:val="auto"/>
        </w:rPr>
        <w:t>The information called for herein by Item 404 and paragraph (a) of Item 407 is presented in the proxy statement to be furnished in connection with the solicitation of proxies on behalf of the Board of Directors of the Registrant for use at its Annual Meeting to be held on April 20, 2026, and is incorporated herein by reference to the sections of the proxy statement captioned “Related Party Transactions.”</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14. PRINCIPAL ACCOUNTANT FEES AND SERVICES</w:t>
      </w:r>
    </w:p>
    <w:p>
      <w:pPr>
        <w:spacing w:after="0" w:line="200" w:lineRule="exact"/>
        <w:rPr>
          <w:sz w:val="20"/>
          <w:szCs w:val="20"/>
          <w:color w:val="auto"/>
        </w:rPr>
      </w:pPr>
    </w:p>
    <w:p>
      <w:pPr>
        <w:jc w:val="both"/>
        <w:ind w:right="20"/>
        <w:spacing w:after="0" w:line="309" w:lineRule="auto"/>
        <w:rPr>
          <w:sz w:val="20"/>
          <w:szCs w:val="20"/>
          <w:color w:val="auto"/>
        </w:rPr>
      </w:pPr>
      <w:r>
        <w:rPr>
          <w:rFonts w:ascii="Arial" w:cs="Arial" w:eastAsia="Arial" w:hAnsi="Arial"/>
          <w:sz w:val="20"/>
          <w:szCs w:val="20"/>
          <w:color w:val="auto"/>
        </w:rPr>
        <w:t>The information called for by this Item is presented in the proxy statement to be furnished in connection with the solicitation of proxies on behalf of the Board of Directors of the Registrant for use at its Annual Meeting to be held on April 20, 2026, and is incorporated herein by reference to the section of the proxy statement captioned “Selection of Auditors/Principal Accounting Firm Fees.”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Name: Plante &amp; Moran, PLLC</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Location: Columbus, Ohio</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PCAOB ID: 166</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 / 45</w:t>
      </w:r>
    </w:p>
    <w:p>
      <w:pPr>
        <w:sectPr>
          <w:pgSz w:w="11900" w:h="16838" w:orient="portrait"/>
          <w:cols w:equalWidth="0" w:num="1">
            <w:col w:w="9360"/>
          </w:cols>
          <w:pgMar w:left="1260" w:top="1440" w:right="1286" w:bottom="0" w:gutter="0" w:footer="0" w:header="0"/>
          <w:type w:val="continuous"/>
        </w:sectPr>
      </w:pPr>
    </w:p>
    <w:bookmarkStart w:id="254" w:name="page255"/>
    <w:bookmarkEnd w:id="2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18 / 45</w:t>
      </w:r>
    </w:p>
    <w:p>
      <w:pPr>
        <w:sectPr>
          <w:pgSz w:w="11900" w:h="16838" w:orient="portrait"/>
          <w:cols w:equalWidth="0" w:num="1">
            <w:col w:w="9026"/>
          </w:cols>
          <w:pgMar w:left="1440" w:top="1440" w:right="1440" w:bottom="0" w:gutter="0" w:footer="0" w:header="0"/>
          <w:type w:val="continuous"/>
        </w:sectPr>
      </w:pPr>
    </w:p>
    <w:bookmarkStart w:id="255" w:name="page256"/>
    <w:bookmarkEnd w:id="255"/>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IV</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15. EXHIBITS AND FINANCIAL STATEMENTS SCHEDULES</w:t>
      </w:r>
    </w:p>
    <w:p>
      <w:pPr>
        <w:spacing w:after="0" w:line="400" w:lineRule="exact"/>
        <w:rPr>
          <w:sz w:val="20"/>
          <w:szCs w:val="20"/>
          <w:color w:val="auto"/>
        </w:rPr>
      </w:pPr>
    </w:p>
    <w:p>
      <w:pPr>
        <w:ind w:left="80"/>
        <w:spacing w:after="0"/>
        <w:rPr>
          <w:sz w:val="20"/>
          <w:szCs w:val="20"/>
          <w:color w:val="auto"/>
        </w:rPr>
      </w:pPr>
      <w:r>
        <w:rPr>
          <w:rFonts w:ascii="Arial" w:cs="Arial" w:eastAsia="Arial" w:hAnsi="Arial"/>
          <w:sz w:val="20"/>
          <w:szCs w:val="20"/>
          <w:color w:val="auto"/>
        </w:rPr>
        <w:t>a. The Following documents are filed as part of this report.</w:t>
      </w:r>
    </w:p>
    <w:p>
      <w:pPr>
        <w:spacing w:after="0" w:line="200" w:lineRule="exact"/>
        <w:rPr>
          <w:sz w:val="20"/>
          <w:szCs w:val="20"/>
          <w:color w:val="auto"/>
        </w:rPr>
      </w:pPr>
    </w:p>
    <w:p>
      <w:pPr>
        <w:ind w:left="1120" w:right="3560" w:hanging="844"/>
        <w:spacing w:after="0" w:line="302" w:lineRule="auto"/>
        <w:tabs>
          <w:tab w:leader="none" w:pos="1120" w:val="left"/>
        </w:tabs>
        <w:numPr>
          <w:ilvl w:val="1"/>
          <w:numId w:val="32"/>
        </w:numPr>
        <w:rPr>
          <w:rFonts w:ascii="Arial" w:cs="Arial" w:eastAsia="Arial" w:hAnsi="Arial"/>
          <w:sz w:val="20"/>
          <w:szCs w:val="20"/>
          <w:color w:val="auto"/>
        </w:rPr>
      </w:pPr>
      <w:r>
        <w:rPr>
          <w:rFonts w:ascii="Arial" w:cs="Arial" w:eastAsia="Arial" w:hAnsi="Arial"/>
          <w:sz w:val="20"/>
          <w:szCs w:val="20"/>
          <w:color w:val="auto"/>
        </w:rPr>
        <w:t>Financial Statements (included in this 10-K under Item 8) Report of Independent Accountants</w:t>
      </w:r>
    </w:p>
    <w:p>
      <w:pPr>
        <w:spacing w:after="0" w:line="21" w:lineRule="exact"/>
        <w:rPr>
          <w:rFonts w:ascii="Arial" w:cs="Arial" w:eastAsia="Arial" w:hAnsi="Arial"/>
          <w:sz w:val="20"/>
          <w:szCs w:val="20"/>
          <w:color w:val="auto"/>
        </w:rPr>
      </w:pPr>
    </w:p>
    <w:p>
      <w:pPr>
        <w:ind w:left="1120" w:right="5320"/>
        <w:spacing w:after="0" w:line="347" w:lineRule="auto"/>
        <w:rPr>
          <w:rFonts w:ascii="Arial" w:cs="Arial" w:eastAsia="Arial" w:hAnsi="Arial"/>
          <w:sz w:val="20"/>
          <w:szCs w:val="20"/>
          <w:color w:val="auto"/>
        </w:rPr>
      </w:pPr>
      <w:r>
        <w:rPr>
          <w:rFonts w:ascii="Arial" w:cs="Arial" w:eastAsia="Arial" w:hAnsi="Arial"/>
          <w:sz w:val="18"/>
          <w:szCs w:val="18"/>
          <w:color w:val="auto"/>
        </w:rPr>
        <w:t>Consolidated Balance Sheets Consolidated Statements of Income</w:t>
      </w:r>
    </w:p>
    <w:p>
      <w:pPr>
        <w:spacing w:after="0" w:line="1" w:lineRule="exact"/>
        <w:rPr>
          <w:rFonts w:ascii="Arial" w:cs="Arial" w:eastAsia="Arial" w:hAnsi="Arial"/>
          <w:sz w:val="20"/>
          <w:szCs w:val="20"/>
          <w:color w:val="auto"/>
        </w:rPr>
      </w:pPr>
    </w:p>
    <w:p>
      <w:pPr>
        <w:ind w:left="1120" w:right="3280"/>
        <w:spacing w:after="0" w:line="302" w:lineRule="auto"/>
        <w:rPr>
          <w:rFonts w:ascii="Arial" w:cs="Arial" w:eastAsia="Arial" w:hAnsi="Arial"/>
          <w:sz w:val="20"/>
          <w:szCs w:val="20"/>
          <w:color w:val="auto"/>
        </w:rPr>
      </w:pPr>
      <w:r>
        <w:rPr>
          <w:rFonts w:ascii="Arial" w:cs="Arial" w:eastAsia="Arial" w:hAnsi="Arial"/>
          <w:sz w:val="20"/>
          <w:szCs w:val="20"/>
          <w:color w:val="auto"/>
        </w:rPr>
        <w:t>Consolidated Statements of Changes in Shareholders’ Equity Consolidated Statements of Cash Flows</w:t>
      </w:r>
    </w:p>
    <w:p>
      <w:pPr>
        <w:spacing w:after="0" w:line="11" w:lineRule="exact"/>
        <w:rPr>
          <w:rFonts w:ascii="Arial" w:cs="Arial" w:eastAsia="Arial" w:hAnsi="Arial"/>
          <w:sz w:val="20"/>
          <w:szCs w:val="20"/>
          <w:color w:val="auto"/>
        </w:rPr>
      </w:pPr>
    </w:p>
    <w:p>
      <w:pPr>
        <w:ind w:left="1120"/>
        <w:spacing w:after="0"/>
        <w:rPr>
          <w:rFonts w:ascii="Arial" w:cs="Arial" w:eastAsia="Arial" w:hAnsi="Arial"/>
          <w:sz w:val="20"/>
          <w:szCs w:val="20"/>
          <w:color w:val="auto"/>
        </w:rPr>
      </w:pPr>
      <w:r>
        <w:rPr>
          <w:rFonts w:ascii="Arial" w:cs="Arial" w:eastAsia="Arial" w:hAnsi="Arial"/>
          <w:sz w:val="20"/>
          <w:szCs w:val="20"/>
          <w:color w:val="auto"/>
        </w:rPr>
        <w:t>Note to Consolidated Financial Statements</w:t>
      </w:r>
    </w:p>
    <w:p>
      <w:pPr>
        <w:spacing w:after="0" w:line="199" w:lineRule="exact"/>
        <w:rPr>
          <w:rFonts w:ascii="Arial" w:cs="Arial" w:eastAsia="Arial" w:hAnsi="Arial"/>
          <w:sz w:val="20"/>
          <w:szCs w:val="20"/>
          <w:color w:val="auto"/>
        </w:rPr>
      </w:pPr>
    </w:p>
    <w:p>
      <w:pPr>
        <w:ind w:left="1120" w:right="5420" w:hanging="844"/>
        <w:spacing w:after="0" w:line="363" w:lineRule="auto"/>
        <w:tabs>
          <w:tab w:leader="none" w:pos="1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Financial Statement Schedules Five Year Summary of Operations</w:t>
      </w:r>
    </w:p>
    <w:p>
      <w:pPr>
        <w:spacing w:after="0" w:line="84" w:lineRule="exact"/>
        <w:rPr>
          <w:rFonts w:ascii="Arial" w:cs="Arial" w:eastAsia="Arial" w:hAnsi="Arial"/>
          <w:sz w:val="18"/>
          <w:szCs w:val="18"/>
          <w:color w:val="auto"/>
        </w:rPr>
      </w:pPr>
    </w:p>
    <w:p>
      <w:pPr>
        <w:ind w:left="280" w:hanging="19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Exhibits Required by Item 601 of Regulation S-K</w:t>
      </w:r>
    </w:p>
    <w:p>
      <w:pPr>
        <w:spacing w:after="0" w:line="379" w:lineRule="exact"/>
        <w:rPr>
          <w:rFonts w:ascii="Arial" w:cs="Arial" w:eastAsia="Arial" w:hAnsi="Arial"/>
          <w:sz w:val="20"/>
          <w:szCs w:val="20"/>
          <w:color w:val="auto"/>
        </w:rPr>
      </w:pPr>
    </w:p>
    <w:p>
      <w:pPr>
        <w:ind w:left="1120" w:right="460" w:hanging="846"/>
        <w:spacing w:after="0" w:line="36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(3.1.a) </w:t>
      </w:r>
      <w:hyperlink r:id="rId708">
        <w:r>
          <w:rPr>
            <w:rFonts w:ascii="Arial" w:cs="Arial" w:eastAsia="Arial" w:hAnsi="Arial"/>
            <w:sz w:val="18"/>
            <w:szCs w:val="18"/>
            <w:u w:val="single" w:color="auto"/>
            <w:color w:val="0000FF"/>
          </w:rPr>
          <w:t>Amended Articles of Incorporation of the Registrant (incorporated by reference to Exhibit 3.1 to</w:t>
        </w:r>
      </w:hyperlink>
      <w:r>
        <w:rPr>
          <w:rFonts w:ascii="Arial" w:cs="Arial" w:eastAsia="Arial" w:hAnsi="Arial"/>
          <w:sz w:val="18"/>
          <w:szCs w:val="18"/>
          <w:color w:val="auto"/>
        </w:rPr>
        <w:t xml:space="preserve"> </w:t>
      </w:r>
      <w:hyperlink r:id="rId708">
        <w:r>
          <w:rPr>
            <w:rFonts w:ascii="Arial" w:cs="Arial" w:eastAsia="Arial" w:hAnsi="Arial"/>
            <w:sz w:val="18"/>
            <w:szCs w:val="18"/>
            <w:u w:val="single" w:color="auto"/>
            <w:color w:val="0000FF"/>
          </w:rPr>
          <w:t>Registrant's Quarterly Report on Form 10-Q filed with the Commission on October 25, 2017).</w:t>
        </w:r>
      </w:hyperlink>
    </w:p>
    <w:p>
      <w:pPr>
        <w:spacing w:after="0" w:line="93" w:lineRule="exact"/>
        <w:rPr>
          <w:rFonts w:ascii="Arial" w:cs="Arial" w:eastAsia="Arial" w:hAnsi="Arial"/>
          <w:sz w:val="18"/>
          <w:szCs w:val="18"/>
          <w:u w:val="single" w:color="auto"/>
          <w:color w:val="0000FF"/>
        </w:rPr>
      </w:pPr>
    </w:p>
    <w:p>
      <w:pPr>
        <w:ind w:left="1120" w:right="540" w:hanging="846"/>
        <w:spacing w:after="0" w:line="36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(3.1.b) </w:t>
      </w:r>
      <w:hyperlink r:id="rId709">
        <w:r>
          <w:rPr>
            <w:rFonts w:ascii="Arial" w:cs="Arial" w:eastAsia="Arial" w:hAnsi="Arial"/>
            <w:sz w:val="18"/>
            <w:szCs w:val="18"/>
            <w:u w:val="single" w:color="auto"/>
            <w:color w:val="0000FF"/>
          </w:rPr>
          <w:t>Amendment to Articles of Incorporation of the Registrant (incorporated by reference to 3.1.b to</w:t>
        </w:r>
      </w:hyperlink>
      <w:r>
        <w:rPr>
          <w:rFonts w:ascii="Arial" w:cs="Arial" w:eastAsia="Arial" w:hAnsi="Arial"/>
          <w:sz w:val="18"/>
          <w:szCs w:val="18"/>
          <w:color w:val="auto"/>
        </w:rPr>
        <w:t xml:space="preserve"> </w:t>
      </w:r>
      <w:hyperlink r:id="rId709">
        <w:r>
          <w:rPr>
            <w:rFonts w:ascii="Arial" w:cs="Arial" w:eastAsia="Arial" w:hAnsi="Arial"/>
            <w:sz w:val="18"/>
            <w:szCs w:val="18"/>
            <w:u w:val="single" w:color="auto"/>
            <w:color w:val="0000FF"/>
          </w:rPr>
          <w:t>Registrant's Quarterly Report on Form 10-Q filed with the Commission on August 4, 2025).</w:t>
        </w:r>
      </w:hyperlink>
    </w:p>
    <w:p>
      <w:pPr>
        <w:spacing w:after="0" w:line="84" w:lineRule="exact"/>
        <w:rPr>
          <w:rFonts w:ascii="Arial" w:cs="Arial" w:eastAsia="Arial" w:hAnsi="Arial"/>
          <w:sz w:val="18"/>
          <w:szCs w:val="18"/>
          <w:u w:val="single" w:color="auto"/>
          <w:color w:val="0000FF"/>
        </w:rPr>
      </w:pPr>
    </w:p>
    <w:p>
      <w:pPr>
        <w:ind w:left="280"/>
        <w:spacing w:after="0"/>
        <w:rPr>
          <w:rFonts w:ascii="Arial" w:cs="Arial" w:eastAsia="Arial" w:hAnsi="Arial"/>
          <w:sz w:val="18"/>
          <w:szCs w:val="18"/>
          <w:u w:val="single" w:color="auto"/>
          <w:color w:val="0000FF"/>
        </w:rPr>
      </w:pPr>
      <w:r>
        <w:rPr>
          <w:rFonts w:ascii="Arial" w:cs="Arial" w:eastAsia="Arial" w:hAnsi="Arial"/>
          <w:sz w:val="20"/>
          <w:szCs w:val="20"/>
          <w:color w:val="auto"/>
        </w:rPr>
        <w:t>(3.2)</w:t>
      </w:r>
      <w:hyperlink r:id="rId710">
        <w:r>
          <w:rPr>
            <w:rFonts w:ascii="Arial" w:cs="Arial" w:eastAsia="Arial" w:hAnsi="Arial"/>
            <w:sz w:val="18"/>
            <w:szCs w:val="18"/>
            <w:u w:val="single" w:color="auto"/>
            <w:color w:val="0000FF"/>
          </w:rPr>
          <w:t>Code of Regulations of the Registrant (incorporated by reference to Exhibit 3.2 to the Company’s</w:t>
        </w:r>
      </w:hyperlink>
    </w:p>
    <w:p>
      <w:pPr>
        <w:spacing w:after="0" w:line="70" w:lineRule="exact"/>
        <w:rPr>
          <w:rFonts w:ascii="Arial" w:cs="Arial" w:eastAsia="Arial" w:hAnsi="Arial"/>
          <w:sz w:val="18"/>
          <w:szCs w:val="18"/>
          <w:u w:val="single" w:color="auto"/>
          <w:color w:val="0000FF"/>
        </w:rPr>
      </w:pPr>
    </w:p>
    <w:p>
      <w:pPr>
        <w:ind w:left="1120"/>
        <w:spacing w:after="0"/>
        <w:rPr>
          <w:rFonts w:ascii="Arial" w:cs="Arial" w:eastAsia="Arial" w:hAnsi="Arial"/>
          <w:sz w:val="20"/>
          <w:szCs w:val="20"/>
          <w:u w:val="single" w:color="auto"/>
          <w:color w:val="0000FF"/>
        </w:rPr>
      </w:pPr>
      <w:hyperlink r:id="rId710">
        <w:r>
          <w:rPr>
            <w:rFonts w:ascii="Arial" w:cs="Arial" w:eastAsia="Arial" w:hAnsi="Arial"/>
            <w:sz w:val="20"/>
            <w:szCs w:val="20"/>
            <w:u w:val="single" w:color="auto"/>
            <w:color w:val="0000FF"/>
          </w:rPr>
          <w:t>Quarterly Report on Form 10-Q that was filed with the Commission on July 26, 2017).</w:t>
        </w:r>
      </w:hyperlink>
    </w:p>
    <w:p>
      <w:pPr>
        <w:spacing w:after="0" w:line="199" w:lineRule="exact"/>
        <w:rPr>
          <w:rFonts w:ascii="Arial" w:cs="Arial" w:eastAsia="Arial" w:hAnsi="Arial"/>
          <w:sz w:val="20"/>
          <w:szCs w:val="20"/>
          <w:u w:val="single" w:color="auto"/>
          <w:color w:val="0000FF"/>
        </w:rPr>
      </w:pPr>
    </w:p>
    <w:p>
      <w:pPr>
        <w:ind w:left="1120" w:right="240" w:hanging="846"/>
        <w:spacing w:after="0" w:line="331" w:lineRule="auto"/>
        <w:rPr>
          <w:rFonts w:ascii="Arial" w:cs="Arial" w:eastAsia="Arial" w:hAnsi="Arial"/>
          <w:sz w:val="19"/>
          <w:szCs w:val="19"/>
          <w:u w:val="single" w:color="auto"/>
          <w:color w:val="0000FF"/>
        </w:rPr>
      </w:pPr>
      <w:r>
        <w:rPr>
          <w:rFonts w:ascii="Arial" w:cs="Arial" w:eastAsia="Arial" w:hAnsi="Arial"/>
          <w:sz w:val="20"/>
          <w:szCs w:val="20"/>
          <w:color w:val="auto"/>
        </w:rPr>
        <w:t>(4.1)</w:t>
      </w:r>
      <w:hyperlink r:id="rId711">
        <w:r>
          <w:rPr>
            <w:rFonts w:ascii="Arial" w:cs="Arial" w:eastAsia="Arial" w:hAnsi="Arial"/>
            <w:sz w:val="19"/>
            <w:szCs w:val="19"/>
            <w:u w:val="single" w:color="auto"/>
            <w:color w:val="0000FF"/>
          </w:rPr>
          <w:t>Description of Registrant's Common Stock (incorporated by reference to Exhibit 4.1 to Registrant's</w:t>
        </w:r>
      </w:hyperlink>
      <w:r>
        <w:rPr>
          <w:rFonts w:ascii="Arial" w:cs="Arial" w:eastAsia="Arial" w:hAnsi="Arial"/>
          <w:sz w:val="19"/>
          <w:szCs w:val="19"/>
          <w:u w:val="single" w:color="auto"/>
          <w:color w:val="0000FF"/>
        </w:rPr>
        <w:t xml:space="preserve"> </w:t>
      </w:r>
      <w:hyperlink r:id="rId711">
        <w:r>
          <w:rPr>
            <w:rFonts w:ascii="Arial" w:cs="Arial" w:eastAsia="Arial" w:hAnsi="Arial"/>
            <w:sz w:val="19"/>
            <w:szCs w:val="19"/>
            <w:u w:val="single" w:color="auto"/>
            <w:color w:val="0000FF"/>
          </w:rPr>
          <w:t>Annual Report on Form 10-K filed with the Commission on February 26, 2020).</w:t>
        </w:r>
      </w:hyperlink>
    </w:p>
    <w:p>
      <w:pPr>
        <w:spacing w:after="0" w:line="117" w:lineRule="exact"/>
        <w:rPr>
          <w:rFonts w:ascii="Arial" w:cs="Arial" w:eastAsia="Arial" w:hAnsi="Arial"/>
          <w:sz w:val="19"/>
          <w:szCs w:val="19"/>
          <w:u w:val="single" w:color="auto"/>
          <w:color w:val="0000FF"/>
        </w:rPr>
      </w:pPr>
    </w:p>
    <w:p>
      <w:pPr>
        <w:ind w:left="1120" w:right="20" w:hanging="846"/>
        <w:spacing w:after="0" w:line="302" w:lineRule="auto"/>
        <w:rPr>
          <w:rFonts w:ascii="Arial" w:cs="Arial" w:eastAsia="Arial" w:hAnsi="Arial"/>
          <w:sz w:val="20"/>
          <w:szCs w:val="20"/>
          <w:u w:val="single" w:color="auto"/>
          <w:color w:val="0000FF"/>
        </w:rPr>
      </w:pPr>
      <w:r>
        <w:rPr>
          <w:rFonts w:ascii="Arial" w:cs="Arial" w:eastAsia="Arial" w:hAnsi="Arial"/>
          <w:sz w:val="20"/>
          <w:szCs w:val="20"/>
          <w:color w:val="auto"/>
        </w:rPr>
        <w:t>(4.2)</w:t>
      </w:r>
      <w:hyperlink r:id="rId712">
        <w:r>
          <w:rPr>
            <w:rFonts w:ascii="Arial" w:cs="Arial" w:eastAsia="Arial" w:hAnsi="Arial"/>
            <w:sz w:val="20"/>
            <w:szCs w:val="20"/>
            <w:u w:val="single" w:color="auto"/>
            <w:color w:val="0000FF"/>
          </w:rPr>
          <w:t>Form of 3.25% Fixed to Floating Rate Subordinated Note due July 30, 2031 (included as Exhibit A to</w:t>
        </w:r>
      </w:hyperlink>
      <w:r>
        <w:rPr>
          <w:rFonts w:ascii="Arial" w:cs="Arial" w:eastAsia="Arial" w:hAnsi="Arial"/>
          <w:sz w:val="20"/>
          <w:szCs w:val="20"/>
          <w:u w:val="single" w:color="auto"/>
          <w:color w:val="0000FF"/>
        </w:rPr>
        <w:t xml:space="preserve"> </w:t>
      </w:r>
      <w:hyperlink r:id="rId712">
        <w:r>
          <w:rPr>
            <w:rFonts w:ascii="Arial" w:cs="Arial" w:eastAsia="Arial" w:hAnsi="Arial"/>
            <w:sz w:val="20"/>
            <w:szCs w:val="20"/>
            <w:u w:val="single" w:color="auto"/>
            <w:color w:val="0000FF"/>
          </w:rPr>
          <w:t>the Purchase Agreement filed as Exhibit 10.6 hereto).</w:t>
        </w:r>
      </w:hyperlink>
    </w:p>
    <w:p>
      <w:pPr>
        <w:spacing w:after="0" w:line="141" w:lineRule="exact"/>
        <w:rPr>
          <w:rFonts w:ascii="Arial" w:cs="Arial" w:eastAsia="Arial" w:hAnsi="Arial"/>
          <w:sz w:val="20"/>
          <w:szCs w:val="20"/>
          <w:u w:val="single" w:color="auto"/>
          <w:color w:val="0000FF"/>
        </w:rPr>
      </w:pPr>
    </w:p>
    <w:p>
      <w:pPr>
        <w:ind w:left="1120" w:right="40" w:hanging="846"/>
        <w:spacing w:after="0" w:line="307" w:lineRule="auto"/>
        <w:rPr>
          <w:rFonts w:ascii="Arial" w:cs="Arial" w:eastAsia="Arial" w:hAnsi="Arial"/>
          <w:sz w:val="20"/>
          <w:szCs w:val="20"/>
          <w:u w:val="single" w:color="auto"/>
          <w:color w:val="0000FF"/>
        </w:rPr>
      </w:pPr>
      <w:r>
        <w:rPr>
          <w:rFonts w:ascii="Arial" w:cs="Arial" w:eastAsia="Arial" w:hAnsi="Arial"/>
          <w:sz w:val="20"/>
          <w:szCs w:val="20"/>
          <w:color w:val="auto"/>
        </w:rPr>
        <w:t>(10.1)</w:t>
      </w:r>
      <w:hyperlink r:id="rId713">
        <w:r>
          <w:rPr>
            <w:rFonts w:ascii="Arial" w:cs="Arial" w:eastAsia="Arial" w:hAnsi="Arial"/>
            <w:sz w:val="20"/>
            <w:szCs w:val="20"/>
            <w:u w:val="single" w:color="auto"/>
            <w:color w:val="0000FF"/>
          </w:rPr>
          <w:t>Form of Change in Control Agreement executed by and between the Company and Barbara J.</w:t>
        </w:r>
      </w:hyperlink>
      <w:r>
        <w:rPr>
          <w:rFonts w:ascii="Arial" w:cs="Arial" w:eastAsia="Arial" w:hAnsi="Arial"/>
          <w:sz w:val="20"/>
          <w:szCs w:val="20"/>
          <w:u w:val="single" w:color="auto"/>
          <w:color w:val="0000FF"/>
        </w:rPr>
        <w:t xml:space="preserve"> </w:t>
      </w:r>
      <w:hyperlink r:id="rId713">
        <w:r>
          <w:rPr>
            <w:rFonts w:ascii="Arial" w:cs="Arial" w:eastAsia="Arial" w:hAnsi="Arial"/>
            <w:sz w:val="20"/>
            <w:szCs w:val="20"/>
            <w:u w:val="single" w:color="auto"/>
            <w:color w:val="0000FF"/>
          </w:rPr>
          <w:t>Britenriker on December 26, 2012 (incorporated by reference to Exhibit 10.1 to the Annual Report on</w:t>
        </w:r>
      </w:hyperlink>
      <w:r>
        <w:rPr>
          <w:rFonts w:ascii="Arial" w:cs="Arial" w:eastAsia="Arial" w:hAnsi="Arial"/>
          <w:sz w:val="20"/>
          <w:szCs w:val="20"/>
          <w:u w:val="single" w:color="auto"/>
          <w:color w:val="0000FF"/>
        </w:rPr>
        <w:t xml:space="preserve"> </w:t>
      </w:r>
      <w:hyperlink r:id="rId713">
        <w:r>
          <w:rPr>
            <w:rFonts w:ascii="Arial" w:cs="Arial" w:eastAsia="Arial" w:hAnsi="Arial"/>
            <w:sz w:val="20"/>
            <w:szCs w:val="20"/>
            <w:u w:val="single" w:color="auto"/>
            <w:color w:val="0000FF"/>
          </w:rPr>
          <w:t>Form 10-K filed with the Commission on February 25, 2013).</w:t>
        </w:r>
      </w:hyperlink>
    </w:p>
    <w:p>
      <w:pPr>
        <w:spacing w:after="0" w:line="137" w:lineRule="exact"/>
        <w:rPr>
          <w:rFonts w:ascii="Arial" w:cs="Arial" w:eastAsia="Arial" w:hAnsi="Arial"/>
          <w:sz w:val="20"/>
          <w:szCs w:val="20"/>
          <w:u w:val="single" w:color="auto"/>
          <w:color w:val="0000FF"/>
        </w:rPr>
      </w:pPr>
    </w:p>
    <w:p>
      <w:pPr>
        <w:ind w:left="1120" w:right="20" w:hanging="846"/>
        <w:spacing w:after="0" w:line="307" w:lineRule="auto"/>
        <w:rPr>
          <w:rFonts w:ascii="Arial" w:cs="Arial" w:eastAsia="Arial" w:hAnsi="Arial"/>
          <w:sz w:val="20"/>
          <w:szCs w:val="20"/>
          <w:u w:val="single" w:color="auto"/>
          <w:color w:val="0000FF"/>
        </w:rPr>
      </w:pPr>
      <w:r>
        <w:rPr>
          <w:rFonts w:ascii="Arial" w:cs="Arial" w:eastAsia="Arial" w:hAnsi="Arial"/>
          <w:sz w:val="20"/>
          <w:szCs w:val="20"/>
          <w:color w:val="auto"/>
        </w:rPr>
        <w:t>(10.2)</w:t>
      </w:r>
      <w:hyperlink r:id="rId714">
        <w:r>
          <w:rPr>
            <w:rFonts w:ascii="Arial" w:cs="Arial" w:eastAsia="Arial" w:hAnsi="Arial"/>
            <w:sz w:val="20"/>
            <w:szCs w:val="20"/>
            <w:u w:val="single" w:color="auto"/>
            <w:color w:val="0000FF"/>
          </w:rPr>
          <w:t>Employment Agreement executed by and between The Farmers &amp; Merchants State Bank and Lars B.</w:t>
        </w:r>
      </w:hyperlink>
      <w:r>
        <w:rPr>
          <w:rFonts w:ascii="Arial" w:cs="Arial" w:eastAsia="Arial" w:hAnsi="Arial"/>
          <w:sz w:val="20"/>
          <w:szCs w:val="20"/>
          <w:u w:val="single" w:color="auto"/>
          <w:color w:val="0000FF"/>
        </w:rPr>
        <w:t xml:space="preserve"> </w:t>
      </w:r>
      <w:hyperlink r:id="rId714">
        <w:r>
          <w:rPr>
            <w:rFonts w:ascii="Arial" w:cs="Arial" w:eastAsia="Arial" w:hAnsi="Arial"/>
            <w:sz w:val="20"/>
            <w:szCs w:val="20"/>
            <w:u w:val="single" w:color="auto"/>
            <w:color w:val="0000FF"/>
          </w:rPr>
          <w:t>Eller on September 1, 2024 (incorporated by reference to Exhibit 10.1 to Registrant’s Report on Form</w:t>
        </w:r>
      </w:hyperlink>
      <w:r>
        <w:rPr>
          <w:rFonts w:ascii="Arial" w:cs="Arial" w:eastAsia="Arial" w:hAnsi="Arial"/>
          <w:sz w:val="20"/>
          <w:szCs w:val="20"/>
          <w:u w:val="single" w:color="auto"/>
          <w:color w:val="0000FF"/>
        </w:rPr>
        <w:t xml:space="preserve"> </w:t>
      </w:r>
      <w:hyperlink r:id="rId714">
        <w:r>
          <w:rPr>
            <w:rFonts w:ascii="Arial" w:cs="Arial" w:eastAsia="Arial" w:hAnsi="Arial"/>
            <w:sz w:val="20"/>
            <w:szCs w:val="20"/>
            <w:u w:val="single" w:color="auto"/>
            <w:color w:val="0000FF"/>
          </w:rPr>
          <w:t>8-K filed with the Commission on September 3, 2024).</w:t>
        </w:r>
      </w:hyperlink>
    </w:p>
    <w:p>
      <w:pPr>
        <w:spacing w:after="0" w:line="137" w:lineRule="exact"/>
        <w:rPr>
          <w:rFonts w:ascii="Arial" w:cs="Arial" w:eastAsia="Arial" w:hAnsi="Arial"/>
          <w:sz w:val="20"/>
          <w:szCs w:val="20"/>
          <w:u w:val="single" w:color="auto"/>
          <w:color w:val="0000FF"/>
        </w:rPr>
      </w:pPr>
    </w:p>
    <w:p>
      <w:pPr>
        <w:ind w:left="1120" w:hanging="846"/>
        <w:spacing w:after="0" w:line="307" w:lineRule="auto"/>
        <w:rPr>
          <w:rFonts w:ascii="Arial" w:cs="Arial" w:eastAsia="Arial" w:hAnsi="Arial"/>
          <w:sz w:val="20"/>
          <w:szCs w:val="20"/>
          <w:u w:val="single" w:color="auto"/>
          <w:color w:val="0000FF"/>
        </w:rPr>
      </w:pPr>
      <w:r>
        <w:rPr>
          <w:rFonts w:ascii="Arial" w:cs="Arial" w:eastAsia="Arial" w:hAnsi="Arial"/>
          <w:sz w:val="20"/>
          <w:szCs w:val="20"/>
          <w:color w:val="auto"/>
        </w:rPr>
        <w:t>(10.3)</w:t>
      </w:r>
      <w:hyperlink r:id="rId715">
        <w:r>
          <w:rPr>
            <w:rFonts w:ascii="Arial" w:cs="Arial" w:eastAsia="Arial" w:hAnsi="Arial"/>
            <w:sz w:val="20"/>
            <w:szCs w:val="20"/>
            <w:u w:val="single" w:color="auto"/>
            <w:color w:val="0000FF"/>
          </w:rPr>
          <w:t>Farmers &amp; Merchants Bancorp, Inc. 2015 Long-Term Stock Incentive Plan (incorporated by reference</w:t>
        </w:r>
      </w:hyperlink>
      <w:r>
        <w:rPr>
          <w:rFonts w:ascii="Arial" w:cs="Arial" w:eastAsia="Arial" w:hAnsi="Arial"/>
          <w:sz w:val="20"/>
          <w:szCs w:val="20"/>
          <w:u w:val="single" w:color="auto"/>
          <w:color w:val="0000FF"/>
        </w:rPr>
        <w:t xml:space="preserve"> </w:t>
      </w:r>
      <w:hyperlink r:id="rId715">
        <w:r>
          <w:rPr>
            <w:rFonts w:ascii="Arial" w:cs="Arial" w:eastAsia="Arial" w:hAnsi="Arial"/>
            <w:sz w:val="20"/>
            <w:szCs w:val="20"/>
            <w:u w:val="single" w:color="auto"/>
            <w:color w:val="0000FF"/>
          </w:rPr>
          <w:t>to Appendix A to Registrant’s Definitive 14A Proxy Statement, File No. 000-14492, filed with the</w:t>
        </w:r>
      </w:hyperlink>
      <w:r>
        <w:rPr>
          <w:rFonts w:ascii="Arial" w:cs="Arial" w:eastAsia="Arial" w:hAnsi="Arial"/>
          <w:sz w:val="20"/>
          <w:szCs w:val="20"/>
          <w:u w:val="single" w:color="auto"/>
          <w:color w:val="0000FF"/>
        </w:rPr>
        <w:t xml:space="preserve"> </w:t>
      </w:r>
      <w:hyperlink r:id="rId715">
        <w:r>
          <w:rPr>
            <w:rFonts w:ascii="Arial" w:cs="Arial" w:eastAsia="Arial" w:hAnsi="Arial"/>
            <w:sz w:val="20"/>
            <w:szCs w:val="20"/>
            <w:u w:val="single" w:color="auto"/>
            <w:color w:val="0000FF"/>
          </w:rPr>
          <w:t>Commission on March 16, 2015).</w:t>
        </w:r>
      </w:hyperlink>
    </w:p>
    <w:p>
      <w:pPr>
        <w:spacing w:after="0" w:line="137" w:lineRule="exact"/>
        <w:rPr>
          <w:rFonts w:ascii="Arial" w:cs="Arial" w:eastAsia="Arial" w:hAnsi="Arial"/>
          <w:sz w:val="20"/>
          <w:szCs w:val="20"/>
          <w:u w:val="single" w:color="auto"/>
          <w:color w:val="0000FF"/>
        </w:rPr>
      </w:pPr>
    </w:p>
    <w:p>
      <w:pPr>
        <w:ind w:left="1120" w:right="460" w:hanging="846"/>
        <w:spacing w:after="0" w:line="302" w:lineRule="auto"/>
        <w:rPr>
          <w:rFonts w:ascii="Arial" w:cs="Arial" w:eastAsia="Arial" w:hAnsi="Arial"/>
          <w:sz w:val="20"/>
          <w:szCs w:val="20"/>
          <w:u w:val="single" w:color="auto"/>
          <w:color w:val="0000FF"/>
        </w:rPr>
      </w:pPr>
      <w:r>
        <w:rPr>
          <w:rFonts w:ascii="Arial" w:cs="Arial" w:eastAsia="Arial" w:hAnsi="Arial"/>
          <w:sz w:val="20"/>
          <w:szCs w:val="20"/>
          <w:color w:val="auto"/>
        </w:rPr>
        <w:t>(10.4)</w:t>
      </w:r>
      <w:hyperlink r:id="rId716">
        <w:r>
          <w:rPr>
            <w:rFonts w:ascii="Arial" w:cs="Arial" w:eastAsia="Arial" w:hAnsi="Arial"/>
            <w:sz w:val="20"/>
            <w:szCs w:val="20"/>
            <w:u w:val="single" w:color="auto"/>
            <w:color w:val="0000FF"/>
          </w:rPr>
          <w:t>Form on Restricted Stock Agreement (incorporated by reference to Exhibit 10.2 to the Quarterly</w:t>
        </w:r>
      </w:hyperlink>
      <w:r>
        <w:rPr>
          <w:rFonts w:ascii="Arial" w:cs="Arial" w:eastAsia="Arial" w:hAnsi="Arial"/>
          <w:sz w:val="20"/>
          <w:szCs w:val="20"/>
          <w:u w:val="single" w:color="auto"/>
          <w:color w:val="0000FF"/>
        </w:rPr>
        <w:t xml:space="preserve"> </w:t>
      </w:r>
      <w:hyperlink r:id="rId716">
        <w:r>
          <w:rPr>
            <w:rFonts w:ascii="Arial" w:cs="Arial" w:eastAsia="Arial" w:hAnsi="Arial"/>
            <w:sz w:val="20"/>
            <w:szCs w:val="20"/>
            <w:u w:val="single" w:color="auto"/>
            <w:color w:val="0000FF"/>
          </w:rPr>
          <w:t>Report on Form 10-Q filed with the Commission on October 27, 2005).</w:t>
        </w:r>
      </w:hyperlink>
    </w:p>
    <w:p>
      <w:pPr>
        <w:spacing w:after="0" w:line="141" w:lineRule="exact"/>
        <w:rPr>
          <w:rFonts w:ascii="Arial" w:cs="Arial" w:eastAsia="Arial" w:hAnsi="Arial"/>
          <w:sz w:val="20"/>
          <w:szCs w:val="20"/>
          <w:u w:val="single" w:color="auto"/>
          <w:color w:val="0000FF"/>
        </w:rPr>
      </w:pPr>
    </w:p>
    <w:p>
      <w:pPr>
        <w:ind w:left="1120" w:right="300" w:hanging="846"/>
        <w:spacing w:after="0" w:line="363" w:lineRule="auto"/>
        <w:rPr>
          <w:rFonts w:ascii="Arial" w:cs="Arial" w:eastAsia="Arial" w:hAnsi="Arial"/>
          <w:sz w:val="18"/>
          <w:szCs w:val="18"/>
          <w:u w:val="single" w:color="auto"/>
          <w:color w:val="0000FF"/>
        </w:rPr>
      </w:pPr>
      <w:r>
        <w:rPr>
          <w:rFonts w:ascii="Arial" w:cs="Arial" w:eastAsia="Arial" w:hAnsi="Arial"/>
          <w:sz w:val="20"/>
          <w:szCs w:val="20"/>
          <w:color w:val="auto"/>
        </w:rPr>
        <w:t>(10.5)</w:t>
      </w:r>
      <w:hyperlink r:id="rId717">
        <w:r>
          <w:rPr>
            <w:rFonts w:ascii="Arial" w:cs="Arial" w:eastAsia="Arial" w:hAnsi="Arial"/>
            <w:sz w:val="18"/>
            <w:szCs w:val="18"/>
            <w:u w:val="single" w:color="auto"/>
            <w:color w:val="0000FF"/>
          </w:rPr>
          <w:t>Form of Restricted Stock Award with Non-solicit Covenants (incorporated by reference to Exhibit</w:t>
        </w:r>
      </w:hyperlink>
      <w:r>
        <w:rPr>
          <w:rFonts w:ascii="Arial" w:cs="Arial" w:eastAsia="Arial" w:hAnsi="Arial"/>
          <w:sz w:val="18"/>
          <w:szCs w:val="18"/>
          <w:u w:val="single" w:color="auto"/>
          <w:color w:val="0000FF"/>
        </w:rPr>
        <w:t xml:space="preserve"> </w:t>
      </w:r>
      <w:hyperlink r:id="rId717">
        <w:r>
          <w:rPr>
            <w:rFonts w:ascii="Arial" w:cs="Arial" w:eastAsia="Arial" w:hAnsi="Arial"/>
            <w:sz w:val="18"/>
            <w:szCs w:val="18"/>
            <w:u w:val="single" w:color="auto"/>
            <w:color w:val="0000FF"/>
          </w:rPr>
          <w:t>10.5 to the Annual Report on Form 10-K filed with the Commission on February 26, 2025).</w:t>
        </w:r>
      </w:hyperlink>
    </w:p>
    <w:p>
      <w:pPr>
        <w:sectPr>
          <w:pgSz w:w="11900" w:h="16838" w:orient="portrait"/>
          <w:cols w:equalWidth="0" w:num="1">
            <w:col w:w="9300"/>
          </w:cols>
          <w:pgMar w:left="1260" w:top="1440" w:right="1346" w:bottom="0" w:gutter="0" w:footer="0" w:header="0"/>
        </w:sect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345" w:lineRule="exact"/>
        <w:rPr>
          <w:rFonts w:ascii="Arial" w:cs="Arial" w:eastAsia="Arial" w:hAnsi="Arial"/>
          <w:sz w:val="20"/>
          <w:szCs w:val="20"/>
          <w:u w:val="single" w:color="auto"/>
          <w:color w:val="0000FF"/>
        </w:rPr>
      </w:pPr>
    </w:p>
    <w:p>
      <w:pPr>
        <w:jc w:val="center"/>
        <w:ind w:right="-79"/>
        <w:spacing w:after="0"/>
        <w:rPr>
          <w:sz w:val="20"/>
          <w:szCs w:val="20"/>
          <w:color w:val="auto"/>
        </w:rPr>
      </w:pPr>
      <w:r>
        <w:rPr>
          <w:rFonts w:ascii="Arial" w:cs="Arial" w:eastAsia="Arial" w:hAnsi="Arial"/>
          <w:sz w:val="20"/>
          <w:szCs w:val="20"/>
          <w:color w:val="auto"/>
        </w:rPr>
        <w:t>19 / 45</w:t>
      </w:r>
    </w:p>
    <w:p>
      <w:pPr>
        <w:sectPr>
          <w:pgSz w:w="11900" w:h="16838" w:orient="portrait"/>
          <w:cols w:equalWidth="0" w:num="1">
            <w:col w:w="9300"/>
          </w:cols>
          <w:pgMar w:left="1260" w:top="1440" w:right="1346" w:bottom="0" w:gutter="0" w:footer="0" w:header="0"/>
          <w:type w:val="continuous"/>
        </w:sectPr>
      </w:pPr>
    </w:p>
    <w:bookmarkStart w:id="256" w:name="page257"/>
    <w:bookmarkEnd w:id="256"/>
    <w:p>
      <w:pPr>
        <w:ind w:left="940" w:hanging="845"/>
        <w:spacing w:after="0" w:line="307" w:lineRule="auto"/>
        <w:tabs>
          <w:tab w:leader="none" w:pos="920" w:val="left"/>
        </w:tabs>
        <w:rPr>
          <w:rFonts w:ascii="Arial" w:cs="Arial" w:eastAsia="Arial" w:hAnsi="Arial"/>
          <w:sz w:val="20"/>
          <w:szCs w:val="20"/>
          <w:u w:val="single" w:color="auto"/>
          <w:color w:val="0000FF"/>
        </w:rPr>
      </w:pPr>
      <w:r>
        <w:rPr>
          <w:rFonts w:ascii="Arial" w:cs="Arial" w:eastAsia="Arial" w:hAnsi="Arial"/>
          <w:sz w:val="20"/>
          <w:szCs w:val="20"/>
          <w:color w:val="auto"/>
        </w:rPr>
        <w:t>(10.6)</w:t>
      </w:r>
      <w:r>
        <w:rPr>
          <w:sz w:val="20"/>
          <w:szCs w:val="20"/>
          <w:color w:val="auto"/>
        </w:rPr>
        <w:tab/>
      </w:r>
      <w:hyperlink r:id="rId718">
        <w:r>
          <w:rPr>
            <w:rFonts w:ascii="Arial" w:cs="Arial" w:eastAsia="Arial" w:hAnsi="Arial"/>
            <w:sz w:val="20"/>
            <w:szCs w:val="20"/>
            <w:u w:val="single" w:color="auto"/>
            <w:color w:val="0000FF"/>
          </w:rPr>
          <w:t>Form of Restricted Stock Award for Senior Officers with Non-competition Covenants (incorporated by</w:t>
        </w:r>
      </w:hyperlink>
      <w:r>
        <w:rPr>
          <w:rFonts w:ascii="Arial" w:cs="Arial" w:eastAsia="Arial" w:hAnsi="Arial"/>
          <w:sz w:val="20"/>
          <w:szCs w:val="20"/>
          <w:u w:val="single" w:color="auto"/>
          <w:color w:val="0000FF"/>
        </w:rPr>
        <w:t xml:space="preserve"> </w:t>
      </w:r>
      <w:hyperlink r:id="rId718">
        <w:r>
          <w:rPr>
            <w:rFonts w:ascii="Arial" w:cs="Arial" w:eastAsia="Arial" w:hAnsi="Arial"/>
            <w:sz w:val="20"/>
            <w:szCs w:val="20"/>
            <w:u w:val="single" w:color="auto"/>
            <w:color w:val="0000FF"/>
          </w:rPr>
          <w:t>reference to Exhibit 10.6 to the Annual Report on Form 10-K filed with the Commission on February</w:t>
        </w:r>
      </w:hyperlink>
      <w:r>
        <w:rPr>
          <w:rFonts w:ascii="Arial" w:cs="Arial" w:eastAsia="Arial" w:hAnsi="Arial"/>
          <w:sz w:val="20"/>
          <w:szCs w:val="20"/>
          <w:u w:val="single" w:color="auto"/>
          <w:color w:val="0000FF"/>
        </w:rPr>
        <w:t xml:space="preserve"> </w:t>
      </w:r>
      <w:hyperlink r:id="rId718">
        <w:r>
          <w:rPr>
            <w:rFonts w:ascii="Arial" w:cs="Arial" w:eastAsia="Arial" w:hAnsi="Arial"/>
            <w:sz w:val="20"/>
            <w:szCs w:val="20"/>
            <w:u w:val="single" w:color="auto"/>
            <w:color w:val="0000FF"/>
          </w:rPr>
          <w:t>26, 2025).</w:t>
        </w:r>
      </w:hyperlink>
    </w:p>
    <w:p>
      <w:pPr>
        <w:spacing w:after="0" w:line="137" w:lineRule="exact"/>
        <w:rPr>
          <w:rFonts w:ascii="Arial" w:cs="Arial" w:eastAsia="Arial" w:hAnsi="Arial"/>
          <w:sz w:val="20"/>
          <w:szCs w:val="20"/>
          <w:u w:val="single" w:color="auto"/>
          <w:color w:val="0000FF"/>
        </w:rPr>
      </w:pPr>
    </w:p>
    <w:p>
      <w:pPr>
        <w:ind w:left="940" w:right="120" w:hanging="845"/>
        <w:spacing w:after="0" w:line="330" w:lineRule="auto"/>
        <w:tabs>
          <w:tab w:leader="none" w:pos="920" w:val="left"/>
        </w:tabs>
        <w:rPr>
          <w:rFonts w:ascii="Arial" w:cs="Arial" w:eastAsia="Arial" w:hAnsi="Arial"/>
          <w:sz w:val="19"/>
          <w:szCs w:val="19"/>
          <w:u w:val="single" w:color="auto"/>
          <w:color w:val="0000FF"/>
        </w:rPr>
      </w:pPr>
      <w:r>
        <w:rPr>
          <w:rFonts w:ascii="Arial" w:cs="Arial" w:eastAsia="Arial" w:hAnsi="Arial"/>
          <w:sz w:val="20"/>
          <w:szCs w:val="20"/>
          <w:color w:val="auto"/>
        </w:rPr>
        <w:t>(10.7)</w:t>
      </w:r>
      <w:r>
        <w:rPr>
          <w:sz w:val="20"/>
          <w:szCs w:val="20"/>
          <w:color w:val="auto"/>
        </w:rPr>
        <w:tab/>
      </w:r>
      <w:hyperlink r:id="rId712">
        <w:r>
          <w:rPr>
            <w:rFonts w:ascii="Arial" w:cs="Arial" w:eastAsia="Arial" w:hAnsi="Arial"/>
            <w:sz w:val="19"/>
            <w:szCs w:val="19"/>
            <w:u w:val="single" w:color="auto"/>
            <w:color w:val="0000FF"/>
          </w:rPr>
          <w:t>Form of Subordinated Note Purchase Agreement, dated July 30, 2021, by and among Farmers &amp;</w:t>
        </w:r>
      </w:hyperlink>
      <w:r>
        <w:rPr>
          <w:rFonts w:ascii="Arial" w:cs="Arial" w:eastAsia="Arial" w:hAnsi="Arial"/>
          <w:sz w:val="19"/>
          <w:szCs w:val="19"/>
          <w:u w:val="single" w:color="auto"/>
          <w:color w:val="0000FF"/>
        </w:rPr>
        <w:t xml:space="preserve"> </w:t>
      </w:r>
      <w:hyperlink r:id="rId712">
        <w:r>
          <w:rPr>
            <w:rFonts w:ascii="Arial" w:cs="Arial" w:eastAsia="Arial" w:hAnsi="Arial"/>
            <w:sz w:val="19"/>
            <w:szCs w:val="19"/>
            <w:u w:val="single" w:color="auto"/>
            <w:color w:val="0000FF"/>
          </w:rPr>
          <w:t>Merchants Bancorp, Inc, and the Purchasers (as defined therein) (incorporated by reference to Exhibit</w:t>
        </w:r>
      </w:hyperlink>
      <w:r>
        <w:rPr>
          <w:rFonts w:ascii="Arial" w:cs="Arial" w:eastAsia="Arial" w:hAnsi="Arial"/>
          <w:sz w:val="19"/>
          <w:szCs w:val="19"/>
          <w:u w:val="single" w:color="auto"/>
          <w:color w:val="0000FF"/>
        </w:rPr>
        <w:t xml:space="preserve"> </w:t>
      </w:r>
      <w:hyperlink r:id="rId712">
        <w:r>
          <w:rPr>
            <w:rFonts w:ascii="Arial" w:cs="Arial" w:eastAsia="Arial" w:hAnsi="Arial"/>
            <w:sz w:val="19"/>
            <w:szCs w:val="19"/>
            <w:u w:val="single" w:color="auto"/>
            <w:color w:val="0000FF"/>
          </w:rPr>
          <w:t>10.1 to the Current Report on Form 8-K filed with the Commission on August 2, 2021).</w:t>
        </w:r>
      </w:hyperlink>
    </w:p>
    <w:p>
      <w:pPr>
        <w:spacing w:after="0" w:line="119" w:lineRule="exact"/>
        <w:rPr>
          <w:rFonts w:ascii="Arial" w:cs="Arial" w:eastAsia="Arial" w:hAnsi="Arial"/>
          <w:sz w:val="19"/>
          <w:szCs w:val="19"/>
          <w:u w:val="single" w:color="auto"/>
          <w:color w:val="0000FF"/>
        </w:rPr>
      </w:pPr>
    </w:p>
    <w:p>
      <w:pPr>
        <w:jc w:val="both"/>
        <w:ind w:left="940" w:right="260" w:hanging="845"/>
        <w:spacing w:after="0" w:line="307" w:lineRule="auto"/>
        <w:tabs>
          <w:tab w:leader="none" w:pos="920" w:val="left"/>
        </w:tabs>
        <w:rPr>
          <w:rFonts w:ascii="Arial" w:cs="Arial" w:eastAsia="Arial" w:hAnsi="Arial"/>
          <w:sz w:val="20"/>
          <w:szCs w:val="20"/>
          <w:u w:val="single" w:color="auto"/>
          <w:color w:val="0000FF"/>
        </w:rPr>
      </w:pPr>
      <w:r>
        <w:rPr>
          <w:rFonts w:ascii="Arial" w:cs="Arial" w:eastAsia="Arial" w:hAnsi="Arial"/>
          <w:sz w:val="20"/>
          <w:szCs w:val="20"/>
          <w:color w:val="auto"/>
        </w:rPr>
        <w:t>(10.8)</w:t>
      </w:r>
      <w:r>
        <w:rPr>
          <w:sz w:val="20"/>
          <w:szCs w:val="20"/>
          <w:color w:val="auto"/>
        </w:rPr>
        <w:tab/>
      </w:r>
      <w:hyperlink r:id="rId719">
        <w:r>
          <w:rPr>
            <w:rFonts w:ascii="Arial" w:cs="Arial" w:eastAsia="Arial" w:hAnsi="Arial"/>
            <w:sz w:val="20"/>
            <w:szCs w:val="20"/>
            <w:u w:val="single" w:color="auto"/>
            <w:color w:val="0000FF"/>
          </w:rPr>
          <w:t>Form of Change in Control Agreement executed by and between the Company and Eric D. Faust on</w:t>
        </w:r>
      </w:hyperlink>
      <w:r>
        <w:rPr>
          <w:rFonts w:ascii="Arial" w:cs="Arial" w:eastAsia="Arial" w:hAnsi="Arial"/>
          <w:sz w:val="20"/>
          <w:szCs w:val="20"/>
          <w:u w:val="single" w:color="auto"/>
          <w:color w:val="0000FF"/>
        </w:rPr>
        <w:t xml:space="preserve"> </w:t>
      </w:r>
      <w:hyperlink r:id="rId719">
        <w:r>
          <w:rPr>
            <w:rFonts w:ascii="Arial" w:cs="Arial" w:eastAsia="Arial" w:hAnsi="Arial"/>
            <w:sz w:val="20"/>
            <w:szCs w:val="20"/>
            <w:u w:val="single" w:color="auto"/>
            <w:color w:val="0000FF"/>
          </w:rPr>
          <w:t>September 14, 2022 (incorporated by reference to Exhibit 10.8 to the Annual Report on Form 10-K</w:t>
        </w:r>
      </w:hyperlink>
      <w:r>
        <w:rPr>
          <w:rFonts w:ascii="Arial" w:cs="Arial" w:eastAsia="Arial" w:hAnsi="Arial"/>
          <w:sz w:val="20"/>
          <w:szCs w:val="20"/>
          <w:u w:val="single" w:color="auto"/>
          <w:color w:val="0000FF"/>
        </w:rPr>
        <w:t xml:space="preserve"> </w:t>
      </w:r>
      <w:hyperlink r:id="rId719">
        <w:r>
          <w:rPr>
            <w:rFonts w:ascii="Arial" w:cs="Arial" w:eastAsia="Arial" w:hAnsi="Arial"/>
            <w:sz w:val="20"/>
            <w:szCs w:val="20"/>
            <w:u w:val="single" w:color="auto"/>
            <w:color w:val="0000FF"/>
          </w:rPr>
          <w:t>filed with the Commission on February 26, 2025).</w:t>
        </w:r>
      </w:hyperlink>
    </w:p>
    <w:p>
      <w:pPr>
        <w:spacing w:after="0" w:line="128" w:lineRule="exact"/>
        <w:rPr>
          <w:rFonts w:ascii="Arial" w:cs="Arial" w:eastAsia="Arial" w:hAnsi="Arial"/>
          <w:sz w:val="20"/>
          <w:szCs w:val="20"/>
          <w:u w:val="single" w:color="auto"/>
          <w:color w:val="0000FF"/>
        </w:rPr>
      </w:pPr>
    </w:p>
    <w:p>
      <w:pPr>
        <w:ind w:left="100"/>
        <w:spacing w:after="0"/>
        <w:tabs>
          <w:tab w:leader="none" w:pos="92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8"/>
          <w:szCs w:val="18"/>
          <w:u w:val="single" w:color="auto"/>
          <w:color w:val="0000FF"/>
        </w:rPr>
        <w:t>Farmers &amp; Merchants Bancorp, Inc. 2025 Long-Term Stock Incentive Plan.</w:t>
      </w:r>
    </w:p>
    <w:p>
      <w:pPr>
        <w:spacing w:after="0" w:line="200" w:lineRule="exact"/>
        <w:rPr>
          <w:rFonts w:ascii="Arial" w:cs="Arial" w:eastAsia="Arial" w:hAnsi="Arial"/>
          <w:sz w:val="20"/>
          <w:szCs w:val="20"/>
          <w:u w:val="single" w:color="auto"/>
          <w:color w:val="0000FF"/>
        </w:rPr>
      </w:pPr>
    </w:p>
    <w:p>
      <w:pPr>
        <w:ind w:left="940" w:right="40" w:hanging="844"/>
        <w:spacing w:after="0" w:line="331" w:lineRule="auto"/>
        <w:tabs>
          <w:tab w:leader="none" w:pos="940" w:val="left"/>
        </w:tabs>
        <w:numPr>
          <w:ilvl w:val="0"/>
          <w:numId w:val="34"/>
        </w:numPr>
        <w:rPr>
          <w:rFonts w:ascii="Arial" w:cs="Arial" w:eastAsia="Arial" w:hAnsi="Arial"/>
          <w:sz w:val="19"/>
          <w:szCs w:val="19"/>
          <w:u w:val="single" w:color="auto"/>
          <w:color w:val="0000FF"/>
        </w:rPr>
      </w:pPr>
      <w:hyperlink r:id="rId720">
        <w:r>
          <w:rPr>
            <w:rFonts w:ascii="Arial" w:cs="Arial" w:eastAsia="Arial" w:hAnsi="Arial"/>
            <w:sz w:val="19"/>
            <w:szCs w:val="19"/>
            <w:u w:val="single" w:color="auto"/>
            <w:color w:val="0000FF"/>
          </w:rPr>
          <w:t>Farmers &amp; Merchants Bancorp, Inc. Insider Trading Policy (incorporated by reference to Exhibit 19 to</w:t>
        </w:r>
      </w:hyperlink>
      <w:r>
        <w:rPr>
          <w:rFonts w:ascii="Arial" w:cs="Arial" w:eastAsia="Arial" w:hAnsi="Arial"/>
          <w:sz w:val="19"/>
          <w:szCs w:val="19"/>
          <w:u w:val="single" w:color="auto"/>
          <w:color w:val="0000FF"/>
        </w:rPr>
        <w:t xml:space="preserve"> </w:t>
      </w:r>
      <w:hyperlink r:id="rId720">
        <w:r>
          <w:rPr>
            <w:rFonts w:ascii="Arial" w:cs="Arial" w:eastAsia="Arial" w:hAnsi="Arial"/>
            <w:sz w:val="19"/>
            <w:szCs w:val="19"/>
            <w:u w:val="single" w:color="auto"/>
            <w:color w:val="0000FF"/>
          </w:rPr>
          <w:t>the Annual Report on Form 10-K filed with the Commission on February 26, 2025).</w:t>
        </w:r>
      </w:hyperlink>
    </w:p>
    <w:p>
      <w:pPr>
        <w:spacing w:after="0" w:line="108" w:lineRule="exact"/>
        <w:rPr>
          <w:rFonts w:ascii="Arial" w:cs="Arial" w:eastAsia="Arial" w:hAnsi="Arial"/>
          <w:sz w:val="19"/>
          <w:szCs w:val="19"/>
          <w:color w:val="auto"/>
        </w:rPr>
      </w:pPr>
    </w:p>
    <w:p>
      <w:pPr>
        <w:ind w:left="940" w:hanging="844"/>
        <w:spacing w:after="0"/>
        <w:tabs>
          <w:tab w:leader="none" w:pos="94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0000FF"/>
        </w:rPr>
        <w:t>Subsidiaries of Farmers &amp; Merchants Bancorp, Inc.</w:t>
      </w:r>
    </w:p>
    <w:p>
      <w:pPr>
        <w:spacing w:after="0" w:line="190" w:lineRule="exact"/>
        <w:rPr>
          <w:rFonts w:ascii="Arial" w:cs="Arial" w:eastAsia="Arial" w:hAnsi="Arial"/>
          <w:sz w:val="19"/>
          <w:szCs w:val="19"/>
          <w:color w:val="auto"/>
        </w:rPr>
      </w:pPr>
    </w:p>
    <w:p>
      <w:pPr>
        <w:ind w:left="100"/>
        <w:spacing w:after="0"/>
        <w:tabs>
          <w:tab w:leader="none" w:pos="92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8"/>
          <w:szCs w:val="18"/>
          <w:u w:val="single" w:color="auto"/>
          <w:color w:val="0000FF"/>
        </w:rPr>
        <w:t>Certification of the Chief Executive Officer Required under Rule 13(a)-14(a)/15d-14(a).</w:t>
      </w:r>
    </w:p>
    <w:p>
      <w:pPr>
        <w:spacing w:after="0" w:line="190" w:lineRule="exact"/>
        <w:rPr>
          <w:rFonts w:ascii="Arial" w:cs="Arial" w:eastAsia="Arial" w:hAnsi="Arial"/>
          <w:sz w:val="19"/>
          <w:szCs w:val="19"/>
          <w:color w:val="auto"/>
        </w:rPr>
      </w:pPr>
    </w:p>
    <w:p>
      <w:pPr>
        <w:ind w:left="100"/>
        <w:spacing w:after="0"/>
        <w:tabs>
          <w:tab w:leader="none" w:pos="92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8"/>
          <w:szCs w:val="18"/>
          <w:u w:val="single" w:color="auto"/>
          <w:color w:val="0000FF"/>
        </w:rPr>
        <w:t>Certification of the Chief Financial Officer Required under Rule 13(a)-14(a)/15d-14(a).</w:t>
      </w:r>
    </w:p>
    <w:p>
      <w:pPr>
        <w:spacing w:after="0" w:line="310" w:lineRule="exact"/>
        <w:rPr>
          <w:rFonts w:ascii="Arial" w:cs="Arial" w:eastAsia="Arial" w:hAnsi="Arial"/>
          <w:sz w:val="19"/>
          <w:szCs w:val="19"/>
          <w:color w:val="auto"/>
        </w:rPr>
      </w:pPr>
    </w:p>
    <w:p>
      <w:pPr>
        <w:jc w:val="center"/>
        <w:ind w:right="180"/>
        <w:spacing w:after="0"/>
        <w:rPr>
          <w:sz w:val="20"/>
          <w:szCs w:val="20"/>
          <w:color w:val="auto"/>
        </w:rPr>
      </w:pPr>
      <w:r>
        <w:rPr>
          <w:rFonts w:ascii="Arial" w:cs="Arial" w:eastAsia="Arial" w:hAnsi="Arial"/>
          <w:sz w:val="20"/>
          <w:szCs w:val="20"/>
          <w:color w:val="auto"/>
        </w:rPr>
        <w:t>125</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173" w:right="1266" w:bottom="0" w:gutter="0" w:footer="0" w:header="0"/>
        </w:sect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81" w:lineRule="exact"/>
        <w:rPr>
          <w:rFonts w:ascii="Arial" w:cs="Arial" w:eastAsia="Arial" w:hAnsi="Arial"/>
          <w:sz w:val="19"/>
          <w:szCs w:val="19"/>
          <w:color w:val="auto"/>
        </w:rPr>
      </w:pPr>
    </w:p>
    <w:p>
      <w:pPr>
        <w:jc w:val="center"/>
        <w:ind w:right="180"/>
        <w:spacing w:after="0"/>
        <w:rPr>
          <w:sz w:val="20"/>
          <w:szCs w:val="20"/>
          <w:color w:val="auto"/>
        </w:rPr>
      </w:pPr>
      <w:r>
        <w:rPr>
          <w:rFonts w:ascii="Arial" w:cs="Arial" w:eastAsia="Arial" w:hAnsi="Arial"/>
          <w:sz w:val="20"/>
          <w:szCs w:val="20"/>
          <w:color w:val="auto"/>
        </w:rPr>
        <w:t>20 / 45</w:t>
      </w:r>
    </w:p>
    <w:p>
      <w:pPr>
        <w:sectPr>
          <w:pgSz w:w="11900" w:h="16838" w:orient="portrait"/>
          <w:cols w:equalWidth="0" w:num="1">
            <w:col w:w="9200"/>
          </w:cols>
          <w:pgMar w:left="1440" w:top="1173" w:right="1266" w:bottom="0" w:gutter="0" w:footer="0" w:header="0"/>
          <w:type w:val="continuous"/>
        </w:sectPr>
      </w:pPr>
    </w:p>
    <w:bookmarkStart w:id="257" w:name="page258"/>
    <w:bookmarkEnd w:id="2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6"/>
        <w:spacing w:after="0"/>
        <w:tabs>
          <w:tab w:leader="none" w:pos="1106"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18"/>
          <w:szCs w:val="18"/>
          <w:u w:val="single" w:color="auto"/>
          <w:color w:val="0000FF"/>
        </w:rPr>
        <w:t>Certification of the Chief Executive Officer Pursuant to Section 906 of the Sarbanes-Oxley Act of</w:t>
      </w:r>
    </w:p>
    <w:p>
      <w:pPr>
        <w:spacing w:after="0" w:line="70" w:lineRule="exact"/>
        <w:rPr>
          <w:sz w:val="20"/>
          <w:szCs w:val="20"/>
          <w:color w:val="auto"/>
        </w:rPr>
      </w:pPr>
    </w:p>
    <w:p>
      <w:pPr>
        <w:ind w:left="1126"/>
        <w:spacing w:after="0"/>
        <w:rPr>
          <w:sz w:val="20"/>
          <w:szCs w:val="20"/>
          <w:color w:val="auto"/>
        </w:rPr>
      </w:pPr>
      <w:r>
        <w:rPr>
          <w:rFonts w:ascii="Arial" w:cs="Arial" w:eastAsia="Arial" w:hAnsi="Arial"/>
          <w:sz w:val="20"/>
          <w:szCs w:val="20"/>
          <w:u w:val="single" w:color="auto"/>
          <w:color w:val="0000FF"/>
        </w:rPr>
        <w:t>2002.</w:t>
      </w:r>
    </w:p>
    <w:p>
      <w:pPr>
        <w:spacing w:after="0" w:line="370" w:lineRule="exact"/>
        <w:rPr>
          <w:sz w:val="20"/>
          <w:szCs w:val="20"/>
          <w:color w:val="auto"/>
        </w:rPr>
      </w:pPr>
    </w:p>
    <w:p>
      <w:pPr>
        <w:ind w:left="286"/>
        <w:spacing w:after="0"/>
        <w:tabs>
          <w:tab w:leader="none" w:pos="1106"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18"/>
          <w:szCs w:val="18"/>
          <w:u w:val="single" w:color="auto"/>
          <w:color w:val="0000FF"/>
        </w:rPr>
        <w:t>Certification of the Chief Financial Officer Pursuant to Section 906 of the Sarbanes-Oxley Act of</w:t>
      </w:r>
    </w:p>
    <w:p>
      <w:pPr>
        <w:spacing w:after="0" w:line="70" w:lineRule="exact"/>
        <w:rPr>
          <w:sz w:val="20"/>
          <w:szCs w:val="20"/>
          <w:color w:val="auto"/>
        </w:rPr>
      </w:pPr>
    </w:p>
    <w:p>
      <w:pPr>
        <w:ind w:left="1126"/>
        <w:spacing w:after="0"/>
        <w:rPr>
          <w:sz w:val="20"/>
          <w:szCs w:val="20"/>
          <w:color w:val="auto"/>
        </w:rPr>
      </w:pPr>
      <w:r>
        <w:rPr>
          <w:rFonts w:ascii="Arial" w:cs="Arial" w:eastAsia="Arial" w:hAnsi="Arial"/>
          <w:sz w:val="20"/>
          <w:szCs w:val="20"/>
          <w:u w:val="single" w:color="auto"/>
          <w:color w:val="0000FF"/>
        </w:rPr>
        <w:t>2002.</w:t>
      </w:r>
    </w:p>
    <w:p>
      <w:pPr>
        <w:spacing w:after="0" w:line="380" w:lineRule="exact"/>
        <w:rPr>
          <w:sz w:val="20"/>
          <w:szCs w:val="20"/>
          <w:color w:val="auto"/>
        </w:rPr>
      </w:pPr>
    </w:p>
    <w:p>
      <w:pPr>
        <w:ind w:left="1126" w:right="140" w:hanging="844"/>
        <w:spacing w:after="0" w:line="302" w:lineRule="auto"/>
        <w:tabs>
          <w:tab w:leader="none" w:pos="1126" w:val="left"/>
        </w:tabs>
        <w:numPr>
          <w:ilvl w:val="0"/>
          <w:numId w:val="36"/>
        </w:numPr>
        <w:rPr>
          <w:rFonts w:ascii="Arial" w:cs="Arial" w:eastAsia="Arial" w:hAnsi="Arial"/>
          <w:sz w:val="20"/>
          <w:szCs w:val="20"/>
          <w:u w:val="single" w:color="auto"/>
          <w:color w:val="0000FF"/>
        </w:rPr>
      </w:pPr>
      <w:hyperlink r:id="rId722">
        <w:r>
          <w:rPr>
            <w:rFonts w:ascii="Arial" w:cs="Arial" w:eastAsia="Arial" w:hAnsi="Arial"/>
            <w:sz w:val="20"/>
            <w:szCs w:val="20"/>
            <w:u w:val="single" w:color="auto"/>
            <w:color w:val="0000FF"/>
          </w:rPr>
          <w:t>Farmers &amp; Merchants Bancorp, Inc. Clawback Policy (incorporated by reference to Exhibit 19 to the</w:t>
        </w:r>
      </w:hyperlink>
      <w:r>
        <w:rPr>
          <w:rFonts w:ascii="Arial" w:cs="Arial" w:eastAsia="Arial" w:hAnsi="Arial"/>
          <w:sz w:val="20"/>
          <w:szCs w:val="20"/>
          <w:u w:val="single" w:color="auto"/>
          <w:color w:val="0000FF"/>
        </w:rPr>
        <w:t xml:space="preserve"> </w:t>
      </w:r>
      <w:hyperlink r:id="rId722">
        <w:r>
          <w:rPr>
            <w:rFonts w:ascii="Arial" w:cs="Arial" w:eastAsia="Arial" w:hAnsi="Arial"/>
            <w:sz w:val="20"/>
            <w:szCs w:val="20"/>
            <w:u w:val="single" w:color="auto"/>
            <w:color w:val="0000FF"/>
          </w:rPr>
          <w:t>Annual Report on Form 10-K filed with the Commission on February 26, 2025).</w:t>
        </w:r>
      </w:hyperlink>
    </w:p>
    <w:p>
      <w:pPr>
        <w:spacing w:after="0" w:line="321" w:lineRule="exact"/>
        <w:rPr>
          <w:rFonts w:ascii="Arial" w:cs="Arial" w:eastAsia="Arial" w:hAnsi="Arial"/>
          <w:sz w:val="20"/>
          <w:szCs w:val="20"/>
          <w:color w:val="auto"/>
        </w:rPr>
      </w:pPr>
    </w:p>
    <w:p>
      <w:pPr>
        <w:ind w:left="1126" w:hanging="845"/>
        <w:spacing w:after="0" w:line="290" w:lineRule="auto"/>
        <w:tabs>
          <w:tab w:leader="none" w:pos="1106" w:val="left"/>
        </w:tabs>
        <w:rPr>
          <w:sz w:val="20"/>
          <w:szCs w:val="20"/>
          <w:color w:val="auto"/>
        </w:rPr>
      </w:pPr>
      <w:r>
        <w:rPr>
          <w:rFonts w:ascii="Arial" w:cs="Arial" w:eastAsia="Arial" w:hAnsi="Arial"/>
          <w:sz w:val="20"/>
          <w:szCs w:val="20"/>
          <w:color w:val="auto"/>
        </w:rPr>
        <w:t>101.INS</w:t>
        <w:tab/>
        <w:t xml:space="preserve">Inline XBRL Instance Document – The instance document does not appear in the Interactive Data File because its XBRL tags are embedded within the Inline XBRL document. </w:t>
      </w:r>
      <w:r>
        <w:rPr>
          <w:rFonts w:ascii="Arial" w:cs="Arial" w:eastAsia="Arial" w:hAnsi="Arial"/>
          <w:sz w:val="26"/>
          <w:szCs w:val="26"/>
          <w:color w:val="auto"/>
          <w:vertAlign w:val="superscript"/>
        </w:rPr>
        <w:t>(1)</w:t>
      </w:r>
    </w:p>
    <w:p>
      <w:pPr>
        <w:spacing w:after="0" w:line="226" w:lineRule="exact"/>
        <w:rPr>
          <w:rFonts w:ascii="Arial" w:cs="Arial" w:eastAsia="Arial" w:hAnsi="Arial"/>
          <w:sz w:val="20"/>
          <w:szCs w:val="20"/>
          <w:color w:val="auto"/>
        </w:rPr>
      </w:pPr>
    </w:p>
    <w:p>
      <w:pPr>
        <w:ind w:left="286"/>
        <w:spacing w:after="0"/>
        <w:rPr>
          <w:sz w:val="20"/>
          <w:szCs w:val="20"/>
          <w:color w:val="auto"/>
        </w:rPr>
      </w:pPr>
      <w:r>
        <w:rPr>
          <w:rFonts w:ascii="Arial" w:cs="Arial" w:eastAsia="Arial" w:hAnsi="Arial"/>
          <w:sz w:val="20"/>
          <w:szCs w:val="20"/>
          <w:color w:val="auto"/>
        </w:rPr>
        <w:t xml:space="preserve">101.SCH Inline XBRL Taxonomy Extension Schema With Embedded Linkbase Documents </w:t>
      </w:r>
      <w:r>
        <w:rPr>
          <w:rFonts w:ascii="Arial" w:cs="Arial" w:eastAsia="Arial" w:hAnsi="Arial"/>
          <w:sz w:val="26"/>
          <w:szCs w:val="26"/>
          <w:color w:val="auto"/>
          <w:vertAlign w:val="superscript"/>
        </w:rPr>
        <w:t>(1)</w:t>
      </w:r>
    </w:p>
    <w:p>
      <w:pPr>
        <w:spacing w:after="0" w:line="336" w:lineRule="exact"/>
        <w:rPr>
          <w:rFonts w:ascii="Arial" w:cs="Arial" w:eastAsia="Arial" w:hAnsi="Arial"/>
          <w:sz w:val="20"/>
          <w:szCs w:val="20"/>
          <w:color w:val="auto"/>
        </w:rPr>
      </w:pPr>
    </w:p>
    <w:p>
      <w:pPr>
        <w:ind w:left="1126" w:right="160" w:hanging="844"/>
        <w:spacing w:after="0" w:line="302" w:lineRule="auto"/>
        <w:tabs>
          <w:tab w:leader="none" w:pos="1126"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cover page from the Company’s Annual Report on Form 10-K for the year ended December 31, 2025, has been formatted in Inline XBRL and contained in Exhibit 101.</w:t>
      </w:r>
    </w:p>
    <w:p>
      <w:pPr>
        <w:spacing w:after="0" w:line="321" w:lineRule="exact"/>
        <w:rPr>
          <w:rFonts w:ascii="Arial" w:cs="Arial" w:eastAsia="Arial" w:hAnsi="Arial"/>
          <w:sz w:val="20"/>
          <w:szCs w:val="20"/>
          <w:color w:val="auto"/>
        </w:rPr>
      </w:pPr>
    </w:p>
    <w:p>
      <w:pPr>
        <w:ind w:left="6" w:right="60" w:hanging="6"/>
        <w:spacing w:after="0" w:line="294" w:lineRule="auto"/>
        <w:tabs>
          <w:tab w:leader="none" w:pos="212" w:val="left"/>
        </w:tabs>
        <w:numPr>
          <w:ilvl w:val="0"/>
          <w:numId w:val="38"/>
        </w:numPr>
        <w:rPr>
          <w:rFonts w:ascii="Arial" w:cs="Arial" w:eastAsia="Arial" w:hAnsi="Arial"/>
          <w:sz w:val="26"/>
          <w:szCs w:val="26"/>
          <w:color w:val="auto"/>
          <w:vertAlign w:val="superscript"/>
        </w:rPr>
      </w:pPr>
      <w:r>
        <w:rPr>
          <w:rFonts w:ascii="Arial" w:cs="Arial" w:eastAsia="Arial" w:hAnsi="Arial"/>
          <w:sz w:val="19"/>
          <w:szCs w:val="19"/>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rFonts w:ascii="Arial" w:cs="Arial" w:eastAsia="Arial" w:hAnsi="Arial"/>
          <w:sz w:val="20"/>
          <w:szCs w:val="20"/>
          <w:color w:val="auto"/>
        </w:rPr>
      </w:pPr>
    </w:p>
    <w:p>
      <w:pPr>
        <w:spacing w:after="0" w:line="381" w:lineRule="exact"/>
        <w:rPr>
          <w:rFonts w:ascii="Arial" w:cs="Arial" w:eastAsia="Arial" w:hAnsi="Arial"/>
          <w:sz w:val="20"/>
          <w:szCs w:val="20"/>
          <w:color w:val="auto"/>
        </w:rPr>
      </w:pPr>
    </w:p>
    <w:p>
      <w:pPr>
        <w:ind w:left="6"/>
        <w:spacing w:after="0"/>
        <w:rPr>
          <w:sz w:val="20"/>
          <w:szCs w:val="20"/>
          <w:color w:val="auto"/>
        </w:rPr>
      </w:pPr>
      <w:r>
        <w:rPr>
          <w:rFonts w:ascii="Arial" w:cs="Arial" w:eastAsia="Arial" w:hAnsi="Arial"/>
          <w:sz w:val="20"/>
          <w:szCs w:val="20"/>
          <w:b w:val="1"/>
          <w:bCs w:val="1"/>
          <w:u w:val="single" w:color="auto"/>
          <w:color w:val="auto"/>
        </w:rPr>
        <w:t>ITEM 16. FORM 10-K SUMMARY</w:t>
      </w:r>
    </w:p>
    <w:p>
      <w:pPr>
        <w:spacing w:after="0" w:line="190" w:lineRule="exact"/>
        <w:rPr>
          <w:rFonts w:ascii="Arial" w:cs="Arial" w:eastAsia="Arial" w:hAnsi="Arial"/>
          <w:sz w:val="20"/>
          <w:szCs w:val="20"/>
          <w:color w:val="auto"/>
        </w:rPr>
      </w:pPr>
    </w:p>
    <w:p>
      <w:pPr>
        <w:ind w:left="6"/>
        <w:spacing w:after="0"/>
        <w:rPr>
          <w:sz w:val="20"/>
          <w:szCs w:val="20"/>
          <w:color w:val="auto"/>
        </w:rPr>
      </w:pPr>
      <w:r>
        <w:rPr>
          <w:rFonts w:ascii="Arial" w:cs="Arial" w:eastAsia="Arial" w:hAnsi="Arial"/>
          <w:sz w:val="20"/>
          <w:szCs w:val="20"/>
          <w:color w:val="auto"/>
        </w:rPr>
        <w:t>None.</w:t>
      </w:r>
    </w:p>
    <w:p>
      <w:pPr>
        <w:spacing w:after="0" w:line="310" w:lineRule="exact"/>
        <w:rPr>
          <w:rFonts w:ascii="Arial" w:cs="Arial" w:eastAsia="Arial" w:hAnsi="Arial"/>
          <w:sz w:val="20"/>
          <w:szCs w:val="20"/>
          <w:color w:val="auto"/>
        </w:rPr>
      </w:pPr>
    </w:p>
    <w:p>
      <w:pPr>
        <w:jc w:val="center"/>
        <w:ind w:right="-65"/>
        <w:spacing w:after="0"/>
        <w:rPr>
          <w:sz w:val="20"/>
          <w:szCs w:val="20"/>
          <w:color w:val="auto"/>
        </w:rPr>
      </w:pPr>
      <w:r>
        <w:rPr>
          <w:rFonts w:ascii="Arial" w:cs="Arial" w:eastAsia="Arial" w:hAnsi="Arial"/>
          <w:sz w:val="20"/>
          <w:szCs w:val="20"/>
          <w:color w:val="auto"/>
        </w:rPr>
        <w:t>126</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6"/>
          </w:cols>
          <w:pgMar w:left="1254" w:top="1440" w:right="1326" w:bottom="0" w:gutter="0" w:footer="0" w:header="0"/>
        </w:sect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91" w:lineRule="exact"/>
        <w:rPr>
          <w:rFonts w:ascii="Arial" w:cs="Arial" w:eastAsia="Arial" w:hAnsi="Arial"/>
          <w:sz w:val="20"/>
          <w:szCs w:val="20"/>
          <w:color w:val="auto"/>
        </w:rPr>
      </w:pPr>
    </w:p>
    <w:p>
      <w:pPr>
        <w:jc w:val="center"/>
        <w:ind w:right="-65"/>
        <w:spacing w:after="0"/>
        <w:rPr>
          <w:sz w:val="20"/>
          <w:szCs w:val="20"/>
          <w:color w:val="auto"/>
        </w:rPr>
      </w:pPr>
      <w:r>
        <w:rPr>
          <w:rFonts w:ascii="Arial" w:cs="Arial" w:eastAsia="Arial" w:hAnsi="Arial"/>
          <w:sz w:val="20"/>
          <w:szCs w:val="20"/>
          <w:color w:val="auto"/>
        </w:rPr>
        <w:t>21 / 45</w:t>
      </w:r>
    </w:p>
    <w:p>
      <w:pPr>
        <w:sectPr>
          <w:pgSz w:w="11900" w:h="16838" w:orient="portrait"/>
          <w:cols w:equalWidth="0" w:num="1">
            <w:col w:w="9326"/>
          </w:cols>
          <w:pgMar w:left="1254" w:top="1440" w:right="1326" w:bottom="0" w:gutter="0" w:footer="0" w:header="0"/>
          <w:type w:val="continuous"/>
        </w:sectPr>
      </w:pPr>
    </w:p>
    <w:bookmarkStart w:id="258" w:name="page259"/>
    <w:bookmarkEnd w:id="258"/>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FARMERS &amp; MERCHANTS BANCORP, INC.</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Signatures</w:t>
      </w:r>
    </w:p>
    <w:p>
      <w:pPr>
        <w:spacing w:after="0" w:line="200" w:lineRule="exact"/>
        <w:rPr>
          <w:sz w:val="20"/>
          <w:szCs w:val="20"/>
          <w:color w:val="auto"/>
        </w:rPr>
      </w:pPr>
    </w:p>
    <w:p>
      <w:pPr>
        <w:spacing w:after="0" w:line="331" w:lineRule="auto"/>
        <w:rPr>
          <w:sz w:val="20"/>
          <w:szCs w:val="20"/>
          <w:color w:val="auto"/>
        </w:rPr>
      </w:pPr>
      <w:r>
        <w:rPr>
          <w:rFonts w:ascii="Arial" w:cs="Arial" w:eastAsia="Arial" w:hAnsi="Arial"/>
          <w:sz w:val="19"/>
          <w:szCs w:val="19"/>
          <w:color w:val="auto"/>
        </w:rPr>
        <w:t>Pursuant to the requirements of Section 13 or 15 (d) of the Securities Exchange Act of 1934. The registrant has duly caused this report to be signed on its behalf by the undersigned, hereunto duly authorized.</w:t>
      </w:r>
    </w:p>
    <w:p>
      <w:pPr>
        <w:spacing w:after="0" w:line="318" w:lineRule="exact"/>
        <w:rPr>
          <w:sz w:val="20"/>
          <w:szCs w:val="20"/>
          <w:color w:val="auto"/>
        </w:rPr>
      </w:pPr>
    </w:p>
    <w:p>
      <w:pPr>
        <w:ind w:left="4220"/>
        <w:spacing w:after="0"/>
        <w:tabs>
          <w:tab w:leader="none" w:pos="7320" w:val="left"/>
        </w:tabs>
        <w:rPr>
          <w:sz w:val="20"/>
          <w:szCs w:val="20"/>
          <w:color w:val="auto"/>
        </w:rPr>
      </w:pPr>
      <w:r>
        <w:rPr>
          <w:rFonts w:ascii="Arial" w:cs="Arial" w:eastAsia="Arial" w:hAnsi="Arial"/>
          <w:sz w:val="20"/>
          <w:szCs w:val="20"/>
          <w:color w:val="auto"/>
        </w:rPr>
        <w:t>By/s/ Lars B. Eller</w:t>
      </w:r>
      <w:r>
        <w:rPr>
          <w:sz w:val="20"/>
          <w:szCs w:val="20"/>
          <w:color w:val="auto"/>
        </w:rPr>
        <w:tab/>
      </w:r>
      <w:r>
        <w:rPr>
          <w:rFonts w:ascii="Arial" w:cs="Arial" w:eastAsia="Arial" w:hAnsi="Arial"/>
          <w:sz w:val="18"/>
          <w:szCs w:val="18"/>
          <w:color w:val="auto"/>
        </w:rPr>
        <w:t>Date: 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2844800</wp:posOffset>
            </wp:positionH>
            <wp:positionV relativeFrom="paragraph">
              <wp:posOffset>26035</wp:posOffset>
            </wp:positionV>
            <wp:extent cx="3118485" cy="63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4">
                      <a:extLst>
                        <a:ext uri="{28A0092B-C50C-407E-A947-70E740481C1C}"/>
                      </a:extLst>
                    </a:blip>
                    <a:srcRect/>
                    <a:stretch>
                      <a:fillRect/>
                    </a:stretch>
                  </pic:blipFill>
                  <pic:spPr bwMode="auto">
                    <a:xfrm>
                      <a:off x="0" y="0"/>
                      <a:ext cx="3118485" cy="6350"/>
                    </a:xfrm>
                    <a:prstGeom prst="rect">
                      <a:avLst/>
                    </a:prstGeom>
                    <a:noFill/>
                  </pic:spPr>
                </pic:pic>
              </a:graphicData>
            </a:graphic>
          </wp:anchor>
        </w:drawing>
      </w:r>
    </w:p>
    <w:p>
      <w:pPr>
        <w:spacing w:after="0" w:line="60"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Lars B. Eller</w:t>
      </w:r>
    </w:p>
    <w:p>
      <w:pPr>
        <w:spacing w:after="0" w:line="70"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Chief Executive Officer</w:t>
      </w:r>
    </w:p>
    <w:p>
      <w:pPr>
        <w:spacing w:after="0" w:line="70"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President</w:t>
      </w:r>
    </w:p>
    <w:p>
      <w:pPr>
        <w:spacing w:after="0" w:line="380" w:lineRule="exact"/>
        <w:rPr>
          <w:sz w:val="20"/>
          <w:szCs w:val="20"/>
          <w:color w:val="auto"/>
        </w:rPr>
      </w:pPr>
    </w:p>
    <w:p>
      <w:pPr>
        <w:ind w:right="20"/>
        <w:spacing w:after="0" w:line="302"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340"/>
          </w:cols>
          <w:pgMar w:left="1260" w:top="1440" w:right="1306" w:bottom="0" w:gutter="0" w:footer="0" w:header="0"/>
        </w:sectPr>
      </w:pPr>
    </w:p>
    <w:p>
      <w:pPr>
        <w:spacing w:after="0" w:line="351" w:lineRule="exact"/>
        <w:rPr>
          <w:sz w:val="20"/>
          <w:szCs w:val="20"/>
          <w:color w:val="auto"/>
        </w:rPr>
      </w:pPr>
    </w:p>
    <w:p>
      <w:pPr>
        <w:ind w:left="40"/>
        <w:spacing w:after="0" w:line="313" w:lineRule="auto"/>
        <w:rPr>
          <w:sz w:val="20"/>
          <w:szCs w:val="20"/>
          <w:color w:val="auto"/>
        </w:rPr>
      </w:pPr>
      <w:r>
        <w:rPr>
          <w:rFonts w:ascii="Arial" w:cs="Arial" w:eastAsia="Arial" w:hAnsi="Arial"/>
          <w:sz w:val="20"/>
          <w:szCs w:val="20"/>
          <w:color w:val="auto"/>
        </w:rPr>
        <w:t>/s/ Lars B. Eller Date: February 27, 2026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-214630</wp:posOffset>
            </wp:positionV>
            <wp:extent cx="2894965" cy="63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5">
                      <a:extLst>
                        <a:ext uri="{28A0092B-C50C-407E-A947-70E740481C1C}"/>
                      </a:extLst>
                    </a:blip>
                    <a:srcRect/>
                    <a:stretch>
                      <a:fillRect/>
                    </a:stretch>
                  </pic:blipFill>
                  <pic:spPr bwMode="auto">
                    <a:xfrm>
                      <a:off x="0" y="0"/>
                      <a:ext cx="2894965" cy="63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9"/>
          <w:szCs w:val="19"/>
          <w:color w:val="auto"/>
        </w:rPr>
        <w:t>Chief Executive Officer (Principal Executive Officer)</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140"/>
        <w:spacing w:after="0" w:line="313" w:lineRule="auto"/>
        <w:rPr>
          <w:sz w:val="20"/>
          <w:szCs w:val="20"/>
          <w:color w:val="auto"/>
        </w:rPr>
      </w:pPr>
      <w:r>
        <w:rPr>
          <w:rFonts w:ascii="Arial" w:cs="Arial" w:eastAsia="Arial" w:hAnsi="Arial"/>
          <w:sz w:val="20"/>
          <w:szCs w:val="20"/>
          <w:color w:val="auto"/>
        </w:rPr>
        <w:t>/s/ Barbara J. Britenriker Date: February 27, 2026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2954020" cy="63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6">
                      <a:extLst>
                        <a:ext uri="{28A0092B-C50C-407E-A947-70E740481C1C}"/>
                      </a:extLst>
                    </a:blip>
                    <a:srcRect/>
                    <a:stretch>
                      <a:fillRect/>
                    </a:stretch>
                  </pic:blipFill>
                  <pic:spPr bwMode="auto">
                    <a:xfrm>
                      <a:off x="0" y="0"/>
                      <a:ext cx="2954020" cy="635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Chief Financial Officer</w:t>
      </w:r>
    </w:p>
    <w:p>
      <w:pPr>
        <w:spacing w:after="0" w:line="80" w:lineRule="exact"/>
        <w:rPr>
          <w:sz w:val="20"/>
          <w:szCs w:val="20"/>
          <w:color w:val="auto"/>
        </w:rPr>
      </w:pPr>
    </w:p>
    <w:p>
      <w:pPr>
        <w:ind w:right="680"/>
        <w:spacing w:after="0" w:line="302" w:lineRule="auto"/>
        <w:rPr>
          <w:sz w:val="20"/>
          <w:szCs w:val="20"/>
          <w:color w:val="auto"/>
        </w:rPr>
      </w:pPr>
      <w:r>
        <w:rPr>
          <w:rFonts w:ascii="Arial" w:cs="Arial" w:eastAsia="Arial" w:hAnsi="Arial"/>
          <w:sz w:val="20"/>
          <w:szCs w:val="20"/>
          <w:color w:val="auto"/>
        </w:rPr>
        <w:t>(Principal Financial Officer/Principal Accounting Officer)</w:t>
      </w:r>
    </w:p>
    <w:p>
      <w:pPr>
        <w:spacing w:after="0" w:line="200" w:lineRule="exact"/>
        <w:rPr>
          <w:sz w:val="20"/>
          <w:szCs w:val="20"/>
          <w:color w:val="auto"/>
        </w:rPr>
      </w:pPr>
    </w:p>
    <w:p>
      <w:pPr>
        <w:sectPr>
          <w:pgSz w:w="11900" w:h="16838" w:orient="portrait"/>
          <w:cols w:equalWidth="0" w:num="2">
            <w:col w:w="4500" w:space="200"/>
            <w:col w:w="4640"/>
          </w:cols>
          <w:pgMar w:left="1260" w:top="1440" w:right="1306" w:bottom="0" w:gutter="0" w:footer="0" w:header="0"/>
          <w:type w:val="continuous"/>
        </w:sectPr>
      </w:pP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20"/>
                <w:szCs w:val="20"/>
                <w:color w:val="auto"/>
              </w:rPr>
              <w:t>/s/ Ahmed Alomari</w:t>
            </w:r>
          </w:p>
        </w:tc>
        <w:tc>
          <w:tcPr>
            <w:tcW w:w="2220" w:type="dxa"/>
            <w:vAlign w:val="bottom"/>
          </w:tcPr>
          <w:p>
            <w:pPr>
              <w:ind w:left="180"/>
              <w:spacing w:after="0"/>
              <w:rPr>
                <w:sz w:val="20"/>
                <w:szCs w:val="20"/>
                <w:color w:val="auto"/>
              </w:rPr>
            </w:pPr>
            <w:r>
              <w:rPr>
                <w:rFonts w:ascii="Arial" w:cs="Arial" w:eastAsia="Arial" w:hAnsi="Arial"/>
                <w:sz w:val="20"/>
                <w:szCs w:val="20"/>
                <w:color w:val="auto"/>
                <w:w w:val="93"/>
              </w:rPr>
              <w:t>Date: February 27, 2026</w:t>
            </w:r>
          </w:p>
        </w:tc>
        <w:tc>
          <w:tcPr>
            <w:tcW w:w="2400" w:type="dxa"/>
            <w:vAlign w:val="bottom"/>
          </w:tcPr>
          <w:p>
            <w:pPr>
              <w:ind w:left="100"/>
              <w:spacing w:after="0"/>
              <w:rPr>
                <w:sz w:val="20"/>
                <w:szCs w:val="20"/>
                <w:color w:val="auto"/>
              </w:rPr>
            </w:pPr>
            <w:r>
              <w:rPr>
                <w:rFonts w:ascii="Arial" w:cs="Arial" w:eastAsia="Arial" w:hAnsi="Arial"/>
                <w:sz w:val="20"/>
                <w:szCs w:val="20"/>
                <w:color w:val="auto"/>
              </w:rPr>
              <w:t>/s/ Ian D. Boyce</w:t>
            </w:r>
          </w:p>
        </w:tc>
        <w:tc>
          <w:tcPr>
            <w:tcW w:w="2200" w:type="dxa"/>
            <w:vAlign w:val="bottom"/>
          </w:tcPr>
          <w:p>
            <w:pPr>
              <w:ind w:left="200"/>
              <w:spacing w:after="0"/>
              <w:rPr>
                <w:sz w:val="20"/>
                <w:szCs w:val="20"/>
                <w:color w:val="auto"/>
              </w:rPr>
            </w:pPr>
            <w:r>
              <w:rPr>
                <w:rFonts w:ascii="Arial" w:cs="Arial" w:eastAsia="Arial" w:hAnsi="Arial"/>
                <w:sz w:val="20"/>
                <w:szCs w:val="20"/>
                <w:color w:val="auto"/>
                <w:w w:val="91"/>
              </w:rPr>
              <w:t>Date: February 27, 2026</w:t>
            </w:r>
          </w:p>
        </w:tc>
      </w:tr>
      <w:tr>
        <w:trPr>
          <w:trHeight w:val="310"/>
        </w:trPr>
        <w:tc>
          <w:tcPr>
            <w:tcW w:w="2340" w:type="dxa"/>
            <w:vAlign w:val="bottom"/>
          </w:tcPr>
          <w:p>
            <w:pPr>
              <w:spacing w:after="0"/>
              <w:rPr>
                <w:sz w:val="20"/>
                <w:szCs w:val="20"/>
                <w:color w:val="auto"/>
              </w:rPr>
            </w:pPr>
            <w:r>
              <w:rPr>
                <w:rFonts w:ascii="Arial" w:cs="Arial" w:eastAsia="Arial" w:hAnsi="Arial"/>
                <w:sz w:val="20"/>
                <w:szCs w:val="20"/>
                <w:color w:val="auto"/>
              </w:rPr>
              <w:t>Ahmed Alomari, Director</w:t>
            </w:r>
          </w:p>
        </w:tc>
        <w:tc>
          <w:tcPr>
            <w:tcW w:w="2220" w:type="dxa"/>
            <w:vAlign w:val="bottom"/>
          </w:tcPr>
          <w:p>
            <w:pPr>
              <w:spacing w:after="0"/>
              <w:rPr>
                <w:sz w:val="24"/>
                <w:szCs w:val="24"/>
                <w:color w:val="auto"/>
              </w:rPr>
            </w:pPr>
          </w:p>
        </w:tc>
        <w:tc>
          <w:tcPr>
            <w:tcW w:w="2400" w:type="dxa"/>
            <w:vAlign w:val="bottom"/>
          </w:tcPr>
          <w:p>
            <w:pPr>
              <w:ind w:left="100"/>
              <w:spacing w:after="0"/>
              <w:rPr>
                <w:sz w:val="20"/>
                <w:szCs w:val="20"/>
                <w:color w:val="auto"/>
              </w:rPr>
            </w:pPr>
            <w:r>
              <w:rPr>
                <w:rFonts w:ascii="Arial" w:cs="Arial" w:eastAsia="Arial" w:hAnsi="Arial"/>
                <w:sz w:val="20"/>
                <w:szCs w:val="20"/>
                <w:color w:val="auto"/>
              </w:rPr>
              <w:t>Ian D. Boyce, Director</w:t>
            </w:r>
          </w:p>
        </w:tc>
        <w:tc>
          <w:tcPr>
            <w:tcW w:w="2200" w:type="dxa"/>
            <w:vAlign w:val="bottom"/>
          </w:tcPr>
          <w:p>
            <w:pPr>
              <w:spacing w:after="0"/>
              <w:rPr>
                <w:sz w:val="24"/>
                <w:szCs w:val="24"/>
                <w:color w:val="auto"/>
              </w:rPr>
            </w:pPr>
          </w:p>
        </w:tc>
      </w:tr>
      <w:tr>
        <w:trPr>
          <w:trHeight w:val="600"/>
        </w:trPr>
        <w:tc>
          <w:tcPr>
            <w:tcW w:w="2340" w:type="dxa"/>
            <w:vAlign w:val="bottom"/>
          </w:tcPr>
          <w:p>
            <w:pPr>
              <w:spacing w:after="0"/>
              <w:rPr>
                <w:sz w:val="20"/>
                <w:szCs w:val="20"/>
                <w:color w:val="auto"/>
              </w:rPr>
            </w:pPr>
            <w:r>
              <w:rPr>
                <w:rFonts w:ascii="Arial" w:cs="Arial" w:eastAsia="Arial" w:hAnsi="Arial"/>
                <w:sz w:val="20"/>
                <w:szCs w:val="20"/>
                <w:color w:val="auto"/>
              </w:rPr>
              <w:t>/s/ Andrew J. Briggs</w:t>
            </w:r>
          </w:p>
        </w:tc>
        <w:tc>
          <w:tcPr>
            <w:tcW w:w="2220" w:type="dxa"/>
            <w:vAlign w:val="bottom"/>
          </w:tcPr>
          <w:p>
            <w:pPr>
              <w:ind w:left="180"/>
              <w:spacing w:after="0"/>
              <w:rPr>
                <w:sz w:val="20"/>
                <w:szCs w:val="20"/>
                <w:color w:val="auto"/>
              </w:rPr>
            </w:pPr>
            <w:r>
              <w:rPr>
                <w:rFonts w:ascii="Arial" w:cs="Arial" w:eastAsia="Arial" w:hAnsi="Arial"/>
                <w:sz w:val="20"/>
                <w:szCs w:val="20"/>
                <w:color w:val="auto"/>
                <w:w w:val="93"/>
              </w:rPr>
              <w:t>Date: February 27, 2026</w:t>
            </w:r>
          </w:p>
        </w:tc>
        <w:tc>
          <w:tcPr>
            <w:tcW w:w="2400" w:type="dxa"/>
            <w:vAlign w:val="bottom"/>
          </w:tcPr>
          <w:p>
            <w:pPr>
              <w:ind w:left="100"/>
              <w:spacing w:after="0"/>
              <w:rPr>
                <w:sz w:val="20"/>
                <w:szCs w:val="20"/>
                <w:color w:val="auto"/>
              </w:rPr>
            </w:pPr>
            <w:r>
              <w:rPr>
                <w:rFonts w:ascii="Arial" w:cs="Arial" w:eastAsia="Arial" w:hAnsi="Arial"/>
                <w:sz w:val="20"/>
                <w:szCs w:val="20"/>
                <w:color w:val="auto"/>
              </w:rPr>
              <w:t>/s/ Kevin G. Frey</w:t>
            </w:r>
          </w:p>
        </w:tc>
        <w:tc>
          <w:tcPr>
            <w:tcW w:w="2200" w:type="dxa"/>
            <w:vAlign w:val="bottom"/>
          </w:tcPr>
          <w:p>
            <w:pPr>
              <w:ind w:left="200"/>
              <w:spacing w:after="0"/>
              <w:rPr>
                <w:sz w:val="20"/>
                <w:szCs w:val="20"/>
                <w:color w:val="auto"/>
              </w:rPr>
            </w:pPr>
            <w:r>
              <w:rPr>
                <w:rFonts w:ascii="Arial" w:cs="Arial" w:eastAsia="Arial" w:hAnsi="Arial"/>
                <w:sz w:val="20"/>
                <w:szCs w:val="20"/>
                <w:color w:val="auto"/>
                <w:w w:val="91"/>
              </w:rPr>
              <w:t>Date: February 27, 2026</w:t>
            </w:r>
          </w:p>
        </w:tc>
      </w:tr>
      <w:tr>
        <w:trPr>
          <w:trHeight w:val="310"/>
        </w:trPr>
        <w:tc>
          <w:tcPr>
            <w:tcW w:w="2340" w:type="dxa"/>
            <w:vAlign w:val="bottom"/>
          </w:tcPr>
          <w:p>
            <w:pPr>
              <w:spacing w:after="0"/>
              <w:rPr>
                <w:sz w:val="20"/>
                <w:szCs w:val="20"/>
                <w:color w:val="auto"/>
              </w:rPr>
            </w:pPr>
            <w:r>
              <w:rPr>
                <w:rFonts w:ascii="Arial" w:cs="Arial" w:eastAsia="Arial" w:hAnsi="Arial"/>
                <w:sz w:val="20"/>
                <w:szCs w:val="20"/>
                <w:color w:val="auto"/>
                <w:w w:val="99"/>
              </w:rPr>
              <w:t>Andrew J. Briggs, Director</w:t>
            </w:r>
          </w:p>
        </w:tc>
        <w:tc>
          <w:tcPr>
            <w:tcW w:w="2220" w:type="dxa"/>
            <w:vAlign w:val="bottom"/>
          </w:tcPr>
          <w:p>
            <w:pPr>
              <w:spacing w:after="0"/>
              <w:rPr>
                <w:sz w:val="24"/>
                <w:szCs w:val="24"/>
                <w:color w:val="auto"/>
              </w:rPr>
            </w:pPr>
          </w:p>
        </w:tc>
        <w:tc>
          <w:tcPr>
            <w:tcW w:w="2400" w:type="dxa"/>
            <w:vAlign w:val="bottom"/>
          </w:tcPr>
          <w:p>
            <w:pPr>
              <w:ind w:left="100"/>
              <w:spacing w:after="0"/>
              <w:rPr>
                <w:sz w:val="20"/>
                <w:szCs w:val="20"/>
                <w:color w:val="auto"/>
              </w:rPr>
            </w:pPr>
            <w:r>
              <w:rPr>
                <w:rFonts w:ascii="Arial" w:cs="Arial" w:eastAsia="Arial" w:hAnsi="Arial"/>
                <w:sz w:val="20"/>
                <w:szCs w:val="20"/>
                <w:color w:val="auto"/>
              </w:rPr>
              <w:t>Kevin G. Frey, Director</w:t>
            </w:r>
          </w:p>
        </w:tc>
        <w:tc>
          <w:tcPr>
            <w:tcW w:w="2200" w:type="dxa"/>
            <w:vAlign w:val="bottom"/>
          </w:tcPr>
          <w:p>
            <w:pPr>
              <w:spacing w:after="0"/>
              <w:rPr>
                <w:sz w:val="24"/>
                <w:szCs w:val="24"/>
                <w:color w:val="auto"/>
              </w:rPr>
            </w:pPr>
          </w:p>
        </w:tc>
      </w:tr>
      <w:tr>
        <w:trPr>
          <w:trHeight w:val="600"/>
        </w:trPr>
        <w:tc>
          <w:tcPr>
            <w:tcW w:w="2340" w:type="dxa"/>
            <w:vAlign w:val="bottom"/>
          </w:tcPr>
          <w:p>
            <w:pPr>
              <w:spacing w:after="0"/>
              <w:rPr>
                <w:sz w:val="20"/>
                <w:szCs w:val="20"/>
                <w:color w:val="auto"/>
              </w:rPr>
            </w:pPr>
            <w:r>
              <w:rPr>
                <w:rFonts w:ascii="Arial" w:cs="Arial" w:eastAsia="Arial" w:hAnsi="Arial"/>
                <w:sz w:val="20"/>
                <w:szCs w:val="20"/>
                <w:color w:val="auto"/>
              </w:rPr>
              <w:t>/s/ Lori A. Johnston</w:t>
            </w:r>
          </w:p>
        </w:tc>
        <w:tc>
          <w:tcPr>
            <w:tcW w:w="2220" w:type="dxa"/>
            <w:vAlign w:val="bottom"/>
          </w:tcPr>
          <w:p>
            <w:pPr>
              <w:ind w:left="180"/>
              <w:spacing w:after="0"/>
              <w:rPr>
                <w:sz w:val="20"/>
                <w:szCs w:val="20"/>
                <w:color w:val="auto"/>
              </w:rPr>
            </w:pPr>
            <w:r>
              <w:rPr>
                <w:rFonts w:ascii="Arial" w:cs="Arial" w:eastAsia="Arial" w:hAnsi="Arial"/>
                <w:sz w:val="20"/>
                <w:szCs w:val="20"/>
                <w:color w:val="auto"/>
                <w:w w:val="93"/>
              </w:rPr>
              <w:t>Date: February 27, 2026</w:t>
            </w:r>
          </w:p>
        </w:tc>
        <w:tc>
          <w:tcPr>
            <w:tcW w:w="2400" w:type="dxa"/>
            <w:vAlign w:val="bottom"/>
          </w:tcPr>
          <w:p>
            <w:pPr>
              <w:ind w:left="100"/>
              <w:spacing w:after="0"/>
              <w:rPr>
                <w:sz w:val="20"/>
                <w:szCs w:val="20"/>
                <w:color w:val="auto"/>
              </w:rPr>
            </w:pPr>
            <w:r>
              <w:rPr>
                <w:rFonts w:ascii="Arial" w:cs="Arial" w:eastAsia="Arial" w:hAnsi="Arial"/>
                <w:sz w:val="20"/>
                <w:szCs w:val="20"/>
                <w:color w:val="auto"/>
              </w:rPr>
              <w:t>/s/ Marcia S. Latta</w:t>
            </w:r>
          </w:p>
        </w:tc>
        <w:tc>
          <w:tcPr>
            <w:tcW w:w="2200" w:type="dxa"/>
            <w:vAlign w:val="bottom"/>
          </w:tcPr>
          <w:p>
            <w:pPr>
              <w:ind w:left="200"/>
              <w:spacing w:after="0"/>
              <w:rPr>
                <w:sz w:val="20"/>
                <w:szCs w:val="20"/>
                <w:color w:val="auto"/>
              </w:rPr>
            </w:pPr>
            <w:r>
              <w:rPr>
                <w:rFonts w:ascii="Arial" w:cs="Arial" w:eastAsia="Arial" w:hAnsi="Arial"/>
                <w:sz w:val="20"/>
                <w:szCs w:val="20"/>
                <w:color w:val="auto"/>
                <w:w w:val="91"/>
              </w:rPr>
              <w:t>Date: February 27, 2026</w:t>
            </w:r>
          </w:p>
        </w:tc>
      </w:tr>
      <w:tr>
        <w:trPr>
          <w:trHeight w:val="310"/>
        </w:trPr>
        <w:tc>
          <w:tcPr>
            <w:tcW w:w="2340" w:type="dxa"/>
            <w:vAlign w:val="bottom"/>
          </w:tcPr>
          <w:p>
            <w:pPr>
              <w:spacing w:after="0"/>
              <w:rPr>
                <w:sz w:val="20"/>
                <w:szCs w:val="20"/>
                <w:color w:val="auto"/>
              </w:rPr>
            </w:pPr>
            <w:r>
              <w:rPr>
                <w:rFonts w:ascii="Arial" w:cs="Arial" w:eastAsia="Arial" w:hAnsi="Arial"/>
                <w:sz w:val="20"/>
                <w:szCs w:val="20"/>
                <w:color w:val="auto"/>
              </w:rPr>
              <w:t>Lori A. Johnston, Director</w:t>
            </w:r>
          </w:p>
        </w:tc>
        <w:tc>
          <w:tcPr>
            <w:tcW w:w="2220" w:type="dxa"/>
            <w:vAlign w:val="bottom"/>
          </w:tcPr>
          <w:p>
            <w:pPr>
              <w:spacing w:after="0"/>
              <w:rPr>
                <w:sz w:val="24"/>
                <w:szCs w:val="24"/>
                <w:color w:val="auto"/>
              </w:rPr>
            </w:pPr>
          </w:p>
        </w:tc>
        <w:tc>
          <w:tcPr>
            <w:tcW w:w="2400" w:type="dxa"/>
            <w:vAlign w:val="bottom"/>
          </w:tcPr>
          <w:p>
            <w:pPr>
              <w:ind w:left="100"/>
              <w:spacing w:after="0"/>
              <w:rPr>
                <w:sz w:val="20"/>
                <w:szCs w:val="20"/>
                <w:color w:val="auto"/>
              </w:rPr>
            </w:pPr>
            <w:r>
              <w:rPr>
                <w:rFonts w:ascii="Arial" w:cs="Arial" w:eastAsia="Arial" w:hAnsi="Arial"/>
                <w:sz w:val="20"/>
                <w:szCs w:val="20"/>
                <w:color w:val="auto"/>
              </w:rPr>
              <w:t>Marcia S. Latta, Director</w:t>
            </w:r>
          </w:p>
        </w:tc>
        <w:tc>
          <w:tcPr>
            <w:tcW w:w="2200" w:type="dxa"/>
            <w:vAlign w:val="bottom"/>
          </w:tcPr>
          <w:p>
            <w:pPr>
              <w:spacing w:after="0"/>
              <w:rPr>
                <w:sz w:val="24"/>
                <w:szCs w:val="24"/>
                <w:color w:val="auto"/>
              </w:rPr>
            </w:pPr>
          </w:p>
        </w:tc>
      </w:tr>
      <w:tr>
        <w:trPr>
          <w:trHeight w:val="600"/>
        </w:trPr>
        <w:tc>
          <w:tcPr>
            <w:tcW w:w="2340" w:type="dxa"/>
            <w:vAlign w:val="bottom"/>
          </w:tcPr>
          <w:p>
            <w:pPr>
              <w:spacing w:after="0"/>
              <w:rPr>
                <w:sz w:val="20"/>
                <w:szCs w:val="20"/>
                <w:color w:val="auto"/>
              </w:rPr>
            </w:pPr>
            <w:r>
              <w:rPr>
                <w:rFonts w:ascii="Arial" w:cs="Arial" w:eastAsia="Arial" w:hAnsi="Arial"/>
                <w:sz w:val="20"/>
                <w:szCs w:val="20"/>
                <w:color w:val="auto"/>
              </w:rPr>
              <w:t>/s/ Steven J. Planson</w:t>
            </w:r>
          </w:p>
        </w:tc>
        <w:tc>
          <w:tcPr>
            <w:tcW w:w="2220" w:type="dxa"/>
            <w:vAlign w:val="bottom"/>
          </w:tcPr>
          <w:p>
            <w:pPr>
              <w:ind w:left="180"/>
              <w:spacing w:after="0"/>
              <w:rPr>
                <w:sz w:val="20"/>
                <w:szCs w:val="20"/>
                <w:color w:val="auto"/>
              </w:rPr>
            </w:pPr>
            <w:r>
              <w:rPr>
                <w:rFonts w:ascii="Arial" w:cs="Arial" w:eastAsia="Arial" w:hAnsi="Arial"/>
                <w:sz w:val="20"/>
                <w:szCs w:val="20"/>
                <w:color w:val="auto"/>
                <w:w w:val="93"/>
              </w:rPr>
              <w:t>Date: February 27, 2026</w:t>
            </w:r>
          </w:p>
        </w:tc>
        <w:tc>
          <w:tcPr>
            <w:tcW w:w="2400" w:type="dxa"/>
            <w:vAlign w:val="bottom"/>
          </w:tcPr>
          <w:p>
            <w:pPr>
              <w:ind w:left="100"/>
              <w:spacing w:after="0"/>
              <w:rPr>
                <w:sz w:val="20"/>
                <w:szCs w:val="20"/>
                <w:color w:val="auto"/>
              </w:rPr>
            </w:pPr>
            <w:r>
              <w:rPr>
                <w:rFonts w:ascii="Arial" w:cs="Arial" w:eastAsia="Arial" w:hAnsi="Arial"/>
                <w:sz w:val="20"/>
                <w:szCs w:val="20"/>
                <w:color w:val="auto"/>
              </w:rPr>
              <w:t>/s/ Kevin J. Sauder</w:t>
            </w:r>
          </w:p>
        </w:tc>
        <w:tc>
          <w:tcPr>
            <w:tcW w:w="2200" w:type="dxa"/>
            <w:vAlign w:val="bottom"/>
          </w:tcPr>
          <w:p>
            <w:pPr>
              <w:ind w:left="200"/>
              <w:spacing w:after="0"/>
              <w:rPr>
                <w:sz w:val="20"/>
                <w:szCs w:val="20"/>
                <w:color w:val="auto"/>
              </w:rPr>
            </w:pPr>
            <w:r>
              <w:rPr>
                <w:rFonts w:ascii="Arial" w:cs="Arial" w:eastAsia="Arial" w:hAnsi="Arial"/>
                <w:sz w:val="20"/>
                <w:szCs w:val="20"/>
                <w:color w:val="auto"/>
                <w:w w:val="91"/>
              </w:rPr>
              <w:t>Date: February 27, 2026</w:t>
            </w:r>
          </w:p>
        </w:tc>
      </w:tr>
      <w:tr>
        <w:trPr>
          <w:trHeight w:val="310"/>
        </w:trPr>
        <w:tc>
          <w:tcPr>
            <w:tcW w:w="2340" w:type="dxa"/>
            <w:vAlign w:val="bottom"/>
          </w:tcPr>
          <w:p>
            <w:pPr>
              <w:spacing w:after="0"/>
              <w:rPr>
                <w:sz w:val="20"/>
                <w:szCs w:val="20"/>
                <w:color w:val="auto"/>
              </w:rPr>
            </w:pPr>
            <w:r>
              <w:rPr>
                <w:rFonts w:ascii="Arial" w:cs="Arial" w:eastAsia="Arial" w:hAnsi="Arial"/>
                <w:sz w:val="20"/>
                <w:szCs w:val="20"/>
                <w:color w:val="auto"/>
                <w:w w:val="95"/>
              </w:rPr>
              <w:t>Steven J. Planson, Director</w:t>
            </w:r>
          </w:p>
        </w:tc>
        <w:tc>
          <w:tcPr>
            <w:tcW w:w="2220" w:type="dxa"/>
            <w:vAlign w:val="bottom"/>
          </w:tcPr>
          <w:p>
            <w:pPr>
              <w:spacing w:after="0"/>
              <w:rPr>
                <w:sz w:val="24"/>
                <w:szCs w:val="24"/>
                <w:color w:val="auto"/>
              </w:rPr>
            </w:pPr>
          </w:p>
        </w:tc>
        <w:tc>
          <w:tcPr>
            <w:tcW w:w="2400" w:type="dxa"/>
            <w:vAlign w:val="bottom"/>
          </w:tcPr>
          <w:p>
            <w:pPr>
              <w:ind w:left="100"/>
              <w:spacing w:after="0"/>
              <w:rPr>
                <w:sz w:val="20"/>
                <w:szCs w:val="20"/>
                <w:color w:val="auto"/>
              </w:rPr>
            </w:pPr>
            <w:r>
              <w:rPr>
                <w:rFonts w:ascii="Arial" w:cs="Arial" w:eastAsia="Arial" w:hAnsi="Arial"/>
                <w:sz w:val="20"/>
                <w:szCs w:val="20"/>
                <w:color w:val="auto"/>
              </w:rPr>
              <w:t>Kevin J. Sauder, Director</w:t>
            </w:r>
          </w:p>
        </w:tc>
        <w:tc>
          <w:tcPr>
            <w:tcW w:w="2200" w:type="dxa"/>
            <w:vAlign w:val="bottom"/>
          </w:tcPr>
          <w:p>
            <w:pPr>
              <w:spacing w:after="0"/>
              <w:rPr>
                <w:sz w:val="24"/>
                <w:szCs w:val="24"/>
                <w:color w:val="auto"/>
              </w:rPr>
            </w:pPr>
          </w:p>
        </w:tc>
      </w:tr>
      <w:tr>
        <w:trPr>
          <w:trHeight w:val="600"/>
        </w:trPr>
        <w:tc>
          <w:tcPr>
            <w:tcW w:w="2340" w:type="dxa"/>
            <w:vAlign w:val="bottom"/>
          </w:tcPr>
          <w:p>
            <w:pPr>
              <w:spacing w:after="0"/>
              <w:rPr>
                <w:sz w:val="20"/>
                <w:szCs w:val="20"/>
                <w:color w:val="auto"/>
              </w:rPr>
            </w:pPr>
            <w:r>
              <w:rPr>
                <w:rFonts w:ascii="Arial" w:cs="Arial" w:eastAsia="Arial" w:hAnsi="Arial"/>
                <w:sz w:val="20"/>
                <w:szCs w:val="20"/>
                <w:color w:val="auto"/>
              </w:rPr>
              <w:t>/s/ Frank R. Simon</w:t>
            </w:r>
          </w:p>
        </w:tc>
        <w:tc>
          <w:tcPr>
            <w:tcW w:w="2220" w:type="dxa"/>
            <w:vAlign w:val="bottom"/>
          </w:tcPr>
          <w:p>
            <w:pPr>
              <w:ind w:left="180"/>
              <w:spacing w:after="0"/>
              <w:rPr>
                <w:sz w:val="20"/>
                <w:szCs w:val="20"/>
                <w:color w:val="auto"/>
              </w:rPr>
            </w:pPr>
            <w:r>
              <w:rPr>
                <w:rFonts w:ascii="Arial" w:cs="Arial" w:eastAsia="Arial" w:hAnsi="Arial"/>
                <w:sz w:val="20"/>
                <w:szCs w:val="20"/>
                <w:color w:val="auto"/>
                <w:w w:val="93"/>
              </w:rPr>
              <w:t>Date: February 27, 2026</w:t>
            </w:r>
          </w:p>
        </w:tc>
        <w:tc>
          <w:tcPr>
            <w:tcW w:w="2400" w:type="dxa"/>
            <w:vAlign w:val="bottom"/>
          </w:tcPr>
          <w:p>
            <w:pPr>
              <w:ind w:left="100"/>
              <w:spacing w:after="0"/>
              <w:rPr>
                <w:sz w:val="20"/>
                <w:szCs w:val="20"/>
                <w:color w:val="auto"/>
              </w:rPr>
            </w:pPr>
            <w:r>
              <w:rPr>
                <w:rFonts w:ascii="Arial" w:cs="Arial" w:eastAsia="Arial" w:hAnsi="Arial"/>
                <w:sz w:val="20"/>
                <w:szCs w:val="20"/>
                <w:color w:val="auto"/>
              </w:rPr>
              <w:t>/s/ David P. Vernon</w:t>
            </w:r>
          </w:p>
        </w:tc>
        <w:tc>
          <w:tcPr>
            <w:tcW w:w="2200" w:type="dxa"/>
            <w:vAlign w:val="bottom"/>
          </w:tcPr>
          <w:p>
            <w:pPr>
              <w:ind w:left="200"/>
              <w:spacing w:after="0"/>
              <w:rPr>
                <w:sz w:val="20"/>
                <w:szCs w:val="20"/>
                <w:color w:val="auto"/>
              </w:rPr>
            </w:pPr>
            <w:r>
              <w:rPr>
                <w:rFonts w:ascii="Arial" w:cs="Arial" w:eastAsia="Arial" w:hAnsi="Arial"/>
                <w:sz w:val="20"/>
                <w:szCs w:val="20"/>
                <w:color w:val="auto"/>
                <w:w w:val="91"/>
              </w:rPr>
              <w:t>Date: February 27, 2026</w:t>
            </w:r>
          </w:p>
        </w:tc>
      </w:tr>
      <w:tr>
        <w:trPr>
          <w:trHeight w:val="310"/>
        </w:trPr>
        <w:tc>
          <w:tcPr>
            <w:tcW w:w="2340" w:type="dxa"/>
            <w:vAlign w:val="bottom"/>
          </w:tcPr>
          <w:p>
            <w:pPr>
              <w:spacing w:after="0"/>
              <w:rPr>
                <w:sz w:val="20"/>
                <w:szCs w:val="20"/>
                <w:color w:val="auto"/>
              </w:rPr>
            </w:pPr>
            <w:r>
              <w:rPr>
                <w:rFonts w:ascii="Arial" w:cs="Arial" w:eastAsia="Arial" w:hAnsi="Arial"/>
                <w:sz w:val="20"/>
                <w:szCs w:val="20"/>
                <w:color w:val="auto"/>
              </w:rPr>
              <w:t>Frank R. Simon, Director</w:t>
            </w:r>
          </w:p>
        </w:tc>
        <w:tc>
          <w:tcPr>
            <w:tcW w:w="2220" w:type="dxa"/>
            <w:vAlign w:val="bottom"/>
          </w:tcPr>
          <w:p>
            <w:pPr>
              <w:spacing w:after="0"/>
              <w:rPr>
                <w:sz w:val="24"/>
                <w:szCs w:val="24"/>
                <w:color w:val="auto"/>
              </w:rPr>
            </w:pPr>
          </w:p>
        </w:tc>
        <w:tc>
          <w:tcPr>
            <w:tcW w:w="2400" w:type="dxa"/>
            <w:vAlign w:val="bottom"/>
          </w:tcPr>
          <w:p>
            <w:pPr>
              <w:ind w:left="100"/>
              <w:spacing w:after="0"/>
              <w:rPr>
                <w:sz w:val="20"/>
                <w:szCs w:val="20"/>
                <w:color w:val="auto"/>
              </w:rPr>
            </w:pPr>
            <w:r>
              <w:rPr>
                <w:rFonts w:ascii="Arial" w:cs="Arial" w:eastAsia="Arial" w:hAnsi="Arial"/>
                <w:sz w:val="20"/>
                <w:szCs w:val="20"/>
                <w:color w:val="auto"/>
              </w:rPr>
              <w:t>David P. Vernon, Director</w:t>
            </w:r>
          </w:p>
        </w:tc>
        <w:tc>
          <w:tcPr>
            <w:tcW w:w="2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-2481580</wp:posOffset>
            </wp:positionV>
            <wp:extent cx="5908040" cy="63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7">
                      <a:extLst>
                        <a:ext uri="{28A0092B-C50C-407E-A947-70E740481C1C}"/>
                      </a:extLst>
                    </a:blip>
                    <a:srcRect/>
                    <a:stretch>
                      <a:fillRect/>
                    </a:stretch>
                  </pic:blipFill>
                  <pic:spPr bwMode="auto">
                    <a:xfrm>
                      <a:off x="0" y="0"/>
                      <a:ext cx="5908040" cy="6350"/>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-1903730</wp:posOffset>
            </wp:positionV>
            <wp:extent cx="5908040" cy="63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8">
                      <a:extLst>
                        <a:ext uri="{28A0092B-C50C-407E-A947-70E740481C1C}"/>
                      </a:extLst>
                    </a:blip>
                    <a:srcRect/>
                    <a:stretch>
                      <a:fillRect/>
                    </a:stretch>
                  </pic:blipFill>
                  <pic:spPr bwMode="auto">
                    <a:xfrm>
                      <a:off x="0" y="0"/>
                      <a:ext cx="5908040" cy="6350"/>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-1325880</wp:posOffset>
            </wp:positionV>
            <wp:extent cx="5908040" cy="63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9">
                      <a:extLst>
                        <a:ext uri="{28A0092B-C50C-407E-A947-70E740481C1C}"/>
                      </a:extLst>
                    </a:blip>
                    <a:srcRect/>
                    <a:stretch>
                      <a:fillRect/>
                    </a:stretch>
                  </pic:blipFill>
                  <pic:spPr bwMode="auto">
                    <a:xfrm>
                      <a:off x="0" y="0"/>
                      <a:ext cx="5908040" cy="6350"/>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-748030</wp:posOffset>
            </wp:positionV>
            <wp:extent cx="5908040" cy="63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0">
                      <a:extLst>
                        <a:ext uri="{28A0092B-C50C-407E-A947-70E740481C1C}"/>
                      </a:extLst>
                    </a:blip>
                    <a:srcRect/>
                    <a:stretch>
                      <a:fillRect/>
                    </a:stretch>
                  </pic:blipFill>
                  <pic:spPr bwMode="auto">
                    <a:xfrm>
                      <a:off x="0" y="0"/>
                      <a:ext cx="5908040" cy="6350"/>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-170180</wp:posOffset>
            </wp:positionV>
            <wp:extent cx="5908040" cy="63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1">
                      <a:extLst>
                        <a:ext uri="{28A0092B-C50C-407E-A947-70E740481C1C}"/>
                      </a:extLst>
                    </a:blip>
                    <a:srcRect/>
                    <a:stretch>
                      <a:fillRect/>
                    </a:stretch>
                  </pic:blipFill>
                  <pic:spPr bwMode="auto">
                    <a:xfrm>
                      <a:off x="0" y="0"/>
                      <a:ext cx="59080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22 / 45</w:t>
      </w:r>
    </w:p>
    <w:p>
      <w:pPr>
        <w:sectPr>
          <w:pgSz w:w="11900" w:h="16838" w:orient="portrait"/>
          <w:cols w:equalWidth="0" w:num="1">
            <w:col w:w="9340"/>
          </w:cols>
          <w:pgMar w:left="1260" w:top="1440" w:right="1306" w:bottom="0" w:gutter="0" w:footer="0" w:header="0"/>
          <w:type w:val="continuous"/>
        </w:sectPr>
      </w:pPr>
    </w:p>
    <w:bookmarkStart w:id="259" w:name="page260"/>
    <w:bookmarkEnd w:id="2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23 / 45</w:t>
      </w:r>
    </w:p>
    <w:p>
      <w:pPr>
        <w:sectPr>
          <w:pgSz w:w="11900" w:h="16838" w:orient="portrait"/>
          <w:cols w:equalWidth="0" w:num="1">
            <w:col w:w="9026"/>
          </w:cols>
          <w:pgMar w:left="1440" w:top="1440" w:right="1440" w:bottom="0" w:gutter="0" w:footer="0" w:header="0"/>
        </w:sectPr>
      </w:pPr>
    </w:p>
    <w:bookmarkStart w:id="260" w:name="page261"/>
    <w:bookmarkEnd w:id="260"/>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10.9</w:t>
      </w:r>
    </w:p>
    <w:p>
      <w:pPr>
        <w:spacing w:after="0" w:line="200" w:lineRule="exact"/>
        <w:rPr>
          <w:sz w:val="20"/>
          <w:szCs w:val="20"/>
          <w:color w:val="auto"/>
        </w:rPr>
      </w:pPr>
    </w:p>
    <w:p>
      <w:pPr>
        <w:spacing w:after="0" w:line="203"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FARMERS &amp; MERCHANTS BANCORP, INC.</w:t>
      </w:r>
    </w:p>
    <w:p>
      <w:pPr>
        <w:spacing w:after="0" w:line="77"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2025 LONG-TERM STOCK INCENTIVE PLAN</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1</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General Purpose of Plan; Definitions</w:t>
      </w:r>
    </w:p>
    <w:p>
      <w:pPr>
        <w:spacing w:after="0" w:line="200" w:lineRule="exact"/>
        <w:rPr>
          <w:sz w:val="20"/>
          <w:szCs w:val="20"/>
          <w:color w:val="auto"/>
        </w:rPr>
      </w:pPr>
    </w:p>
    <w:p>
      <w:pPr>
        <w:spacing w:after="0" w:line="218" w:lineRule="exact"/>
        <w:rPr>
          <w:sz w:val="20"/>
          <w:szCs w:val="20"/>
          <w:color w:val="auto"/>
        </w:rPr>
      </w:pPr>
    </w:p>
    <w:p>
      <w:pPr>
        <w:jc w:val="both"/>
        <w:spacing w:after="0" w:line="346"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Purposes</w:t>
      </w:r>
      <w:r>
        <w:rPr>
          <w:rFonts w:ascii="Arial" w:cs="Arial" w:eastAsia="Arial" w:hAnsi="Arial"/>
          <w:sz w:val="20"/>
          <w:szCs w:val="20"/>
          <w:color w:val="auto"/>
        </w:rPr>
        <w:t>. The purpose of this Farmers &amp; Merchants Bancorp, Inc. 2025 Long-Term Stock Incentive Plan (the “Plan”) is to advance the interests of the Company through providing select key Employees and Directors of the Company and its Affiliates with the opportunity to acquire Shares. By encouraging such stock ownership, the Company seeks to attract, retain and motivate the best available personnel for positions of substantial responsibility and to provide additional incentive to Directors and key Employees of the Company or any Affiliate to promote the success of the business.</w:t>
      </w:r>
    </w:p>
    <w:p>
      <w:pPr>
        <w:spacing w:after="0" w:line="321" w:lineRule="exact"/>
        <w:rPr>
          <w:sz w:val="20"/>
          <w:szCs w:val="20"/>
          <w:color w:val="auto"/>
        </w:rPr>
      </w:pPr>
    </w:p>
    <w:p>
      <w:pPr>
        <w:ind w:right="20"/>
        <w:spacing w:after="0" w:line="302"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Certain Definitions</w:t>
      </w:r>
      <w:r>
        <w:rPr>
          <w:rFonts w:ascii="Arial" w:cs="Arial" w:eastAsia="Arial" w:hAnsi="Arial"/>
          <w:sz w:val="22"/>
          <w:szCs w:val="22"/>
          <w:color w:val="auto"/>
        </w:rPr>
        <w:t>. Unless the context otherwise indicates, the following words used herein shall have the following meanings whenever used in this instrument:</w:t>
      </w:r>
    </w:p>
    <w:p>
      <w:pPr>
        <w:spacing w:after="0" w:line="377" w:lineRule="exact"/>
        <w:rPr>
          <w:sz w:val="20"/>
          <w:szCs w:val="20"/>
          <w:color w:val="auto"/>
        </w:rPr>
      </w:pPr>
    </w:p>
    <w:p>
      <w:pPr>
        <w:jc w:val="both"/>
        <w:ind w:left="1240" w:right="20" w:hanging="620"/>
        <w:spacing w:after="0" w:line="338" w:lineRule="auto"/>
        <w:tabs>
          <w:tab w:leader="none" w:pos="12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"Affiliate" means any Parent or Subsidiary of the Company or any other corporation, partnership, joint venture or other entity, directly or indirectly, through one or more intermediaries, controlling, controlled by, or under common control with the Company, as determined by the Board of Directors in its discretion.</w:t>
      </w:r>
    </w:p>
    <w:p>
      <w:pPr>
        <w:spacing w:after="0" w:line="344" w:lineRule="exact"/>
        <w:rPr>
          <w:rFonts w:ascii="Arial" w:cs="Arial" w:eastAsia="Arial" w:hAnsi="Arial"/>
          <w:sz w:val="22"/>
          <w:szCs w:val="22"/>
          <w:color w:val="auto"/>
        </w:rPr>
      </w:pPr>
    </w:p>
    <w:p>
      <w:pPr>
        <w:ind w:left="1240" w:right="40" w:hanging="620"/>
        <w:spacing w:after="0" w:line="358" w:lineRule="auto"/>
        <w:tabs>
          <w:tab w:leader="none" w:pos="12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"Award" means any grant under this Plan of a Stock Option, Stock Appreciation Right, Restricted Share, Restricted Share Unit or Performance Share to any Plan participant.</w:t>
      </w:r>
    </w:p>
    <w:p>
      <w:pPr>
        <w:spacing w:after="0" w:line="318" w:lineRule="exact"/>
        <w:rPr>
          <w:rFonts w:ascii="Arial" w:cs="Arial" w:eastAsia="Arial" w:hAnsi="Arial"/>
          <w:sz w:val="21"/>
          <w:szCs w:val="21"/>
          <w:color w:val="auto"/>
        </w:rPr>
      </w:pPr>
    </w:p>
    <w:p>
      <w:pPr>
        <w:ind w:left="1240" w:hanging="620"/>
        <w:spacing w:after="0"/>
        <w:tabs>
          <w:tab w:leader="none" w:pos="12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“Bank” means - </w:t>
      </w:r>
      <w:r>
        <w:rPr>
          <w:rFonts w:ascii="Arial" w:cs="Arial" w:eastAsia="Arial" w:hAnsi="Arial"/>
          <w:sz w:val="22"/>
          <w:szCs w:val="22"/>
          <w:i w:val="1"/>
          <w:iCs w:val="1"/>
          <w:color w:val="auto"/>
        </w:rPr>
        <w:t>The Farmers &amp; Merchants State Bank</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7" w:lineRule="exact"/>
        <w:rPr>
          <w:rFonts w:ascii="Arial" w:cs="Arial" w:eastAsia="Arial" w:hAnsi="Arial"/>
          <w:sz w:val="22"/>
          <w:szCs w:val="22"/>
          <w:color w:val="auto"/>
        </w:rPr>
      </w:pPr>
    </w:p>
    <w:p>
      <w:pPr>
        <w:ind w:left="1240" w:right="20" w:hanging="620"/>
        <w:spacing w:after="0" w:line="331" w:lineRule="auto"/>
        <w:tabs>
          <w:tab w:leader="none" w:pos="12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"Board of Directors" means the Board of Directors of the Company, as constituted from time to time.</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24 / 45</w:t>
      </w:r>
    </w:p>
    <w:p>
      <w:pPr>
        <w:sectPr>
          <w:pgSz w:w="11900" w:h="16838" w:orient="portrait"/>
          <w:cols w:equalWidth="0" w:num="1">
            <w:col w:w="9340"/>
          </w:cols>
          <w:pgMar w:left="1260" w:top="1440" w:right="1306" w:bottom="0" w:gutter="0" w:footer="0" w:header="0"/>
          <w:type w:val="continuous"/>
        </w:sectPr>
      </w:pPr>
    </w:p>
    <w:bookmarkStart w:id="261" w:name="page262"/>
    <w:bookmarkEnd w:id="261"/>
    <w:p>
      <w:pPr>
        <w:ind w:left="1060" w:hanging="620"/>
        <w:spacing w:after="0" w:line="357" w:lineRule="auto"/>
        <w:tabs>
          <w:tab w:leader="none" w:pos="10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"Cause" with respect to an employee of the Bank, the Company or any other affiliate of the Company, who has not entered into an employment agreement with the Bank or the Company, or such an affiliate, means and is limited to (a) criminal dishonesty, (b) refusal to perform duties on an exclusive and substantially full-time basis, (c) refusal to act in accordance with any specific substantive instructions given by the Bank, the Company or any affiliate of the Company with respect to performance of duties normally associated with such employee's position, or (d) engaging in conduct which could be materially damaging to the Bank, the Company or any affiliate of the Company without a reasonable good faith belief that such conduct was in the best interest of the Bank, the Company or any affiliate of the Company. With respect to an employee who is employed pursuant to an employment agreement with the Bank, the Company, or such an affiliate, “Cause” shall mean “cause” as defined in the terms of such employment agreement (as it may be amended from time to time).</w:t>
      </w:r>
    </w:p>
    <w:p>
      <w:pPr>
        <w:spacing w:after="0" w:line="340" w:lineRule="exact"/>
        <w:rPr>
          <w:rFonts w:ascii="Arial" w:cs="Arial" w:eastAsia="Arial" w:hAnsi="Arial"/>
          <w:sz w:val="21"/>
          <w:szCs w:val="21"/>
          <w:color w:val="auto"/>
        </w:rPr>
      </w:pPr>
    </w:p>
    <w:p>
      <w:pPr>
        <w:jc w:val="both"/>
        <w:ind w:left="1060" w:right="40" w:hanging="620"/>
        <w:spacing w:after="0" w:line="397" w:lineRule="auto"/>
        <w:tabs>
          <w:tab w:leader="none" w:pos="10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"Change of Control" means and shall be deemed to have occurred on (i) the date upon which a Schedule 13D would be required to be filed pursuant to Section 13(d) of the Securities Exchange Act of 1934 indicating that a group or person, as defined in Rule 13d-3 under said Act, has become the beneficial owner of 35% or more of the outstanding Voting Shares; (ii) the date of a change in the composition of the Board such that individuals who were members of the Board on the date one year prior to such change (or who were subsequently elected to fill a vacancy in the Board, or were subsequently nominated for election by the Company's shareholders, by the affirmative vote of a majority of the directors then still in office who were directors at the beginning of such one year period) no longer constitute a majority of the Board; (iii) the effective date of the closing of a merger or consolidation of the Company with any other corporation, other than a merger or consolidation which would result in the Voting Shares of the Company outstanding immediately prior thereto continuing to represent (either by remaining outstanding or by being converted into Voting Shares of the surviving entity) at least 50% of the total voting power represented by the Voting Shares of the Company or such surviving entity outstanding immediately after such merger or consolidation; or (iv) the effective date of a sale or; disposition by the Company of all or substantially all the Company’s assets; provided however, that notwithstanding the forgoing a Change of Control shall not be deemed to have occurred in connection with any transaction or series of transactions if such</w:t>
      </w:r>
    </w:p>
    <w:p>
      <w:pPr>
        <w:spacing w:after="0" w:line="324"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does not</w:t>
      </w:r>
    </w:p>
    <w:p>
      <w:pPr>
        <w:spacing w:after="0" w:line="8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20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25 / 45</w:t>
      </w:r>
    </w:p>
    <w:p>
      <w:pPr>
        <w:sectPr>
          <w:pgSz w:w="11900" w:h="16838" w:orient="portrait"/>
          <w:cols w:equalWidth="0" w:num="1">
            <w:col w:w="9200"/>
          </w:cols>
          <w:pgMar w:left="1440" w:top="1200" w:right="1266" w:bottom="0" w:gutter="0" w:footer="0" w:header="0"/>
          <w:type w:val="continuous"/>
        </w:sectPr>
      </w:pPr>
    </w:p>
    <w:bookmarkStart w:id="262" w:name="page263"/>
    <w:bookmarkEnd w:id="262"/>
    <w:p>
      <w:pPr>
        <w:spacing w:after="0" w:line="200" w:lineRule="exact"/>
        <w:rPr>
          <w:sz w:val="20"/>
          <w:szCs w:val="20"/>
          <w:color w:val="auto"/>
        </w:rPr>
      </w:pPr>
    </w:p>
    <w:p>
      <w:pPr>
        <w:spacing w:after="0" w:line="281" w:lineRule="exact"/>
        <w:rPr>
          <w:sz w:val="20"/>
          <w:szCs w:val="20"/>
          <w:color w:val="auto"/>
        </w:rPr>
      </w:pPr>
    </w:p>
    <w:p>
      <w:pPr>
        <w:ind w:left="1060" w:right="20"/>
        <w:spacing w:after="0" w:line="388" w:lineRule="auto"/>
        <w:rPr>
          <w:sz w:val="20"/>
          <w:szCs w:val="20"/>
          <w:color w:val="auto"/>
        </w:rPr>
      </w:pPr>
      <w:r>
        <w:rPr>
          <w:rFonts w:ascii="Arial" w:cs="Arial" w:eastAsia="Arial" w:hAnsi="Arial"/>
          <w:sz w:val="20"/>
          <w:szCs w:val="20"/>
          <w:color w:val="auto"/>
        </w:rPr>
        <w:t>constitute a permitted change as defined by Section 409(a)(2)(A)(v) of the Code, Treasury Regulation 1.409A-3(i)(5) and any subsequent Treasury Regulations issued thereunder.</w:t>
      </w:r>
    </w:p>
    <w:p>
      <w:pPr>
        <w:spacing w:after="0" w:line="306" w:lineRule="exact"/>
        <w:rPr>
          <w:sz w:val="20"/>
          <w:szCs w:val="20"/>
          <w:color w:val="auto"/>
        </w:rPr>
      </w:pPr>
    </w:p>
    <w:p>
      <w:pPr>
        <w:jc w:val="both"/>
        <w:ind w:left="1060" w:right="20" w:hanging="620"/>
        <w:spacing w:after="0" w:line="379" w:lineRule="auto"/>
        <w:tabs>
          <w:tab w:leader="none" w:pos="10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"Code" means the Internal Revenue Code of 1986, as amended, and any lawful regulations or guidance promulgated thereunder. Whenever reference is made to a specific Internal Revenue Code section, such reference shall be deemed to be a reference to any successor Internal Revenue Code section or sections with the same or similar purpose.</w:t>
      </w:r>
    </w:p>
    <w:p>
      <w:pPr>
        <w:spacing w:after="0" w:line="317" w:lineRule="exact"/>
        <w:rPr>
          <w:rFonts w:ascii="Arial" w:cs="Arial" w:eastAsia="Arial" w:hAnsi="Arial"/>
          <w:sz w:val="20"/>
          <w:szCs w:val="20"/>
          <w:color w:val="auto"/>
        </w:rPr>
      </w:pPr>
    </w:p>
    <w:p>
      <w:pPr>
        <w:ind w:left="1060" w:hanging="620"/>
        <w:spacing w:after="0"/>
        <w:tabs>
          <w:tab w:leader="none" w:pos="1060" w:val="left"/>
        </w:tabs>
        <w:numPr>
          <w:ilvl w:val="0"/>
          <w:numId w:val="41"/>
        </w:numPr>
        <w:rPr>
          <w:rFonts w:ascii="Arial" w:cs="Arial" w:eastAsia="Arial" w:hAnsi="Arial"/>
          <w:sz w:val="21"/>
          <w:szCs w:val="21"/>
          <w:color w:val="auto"/>
        </w:rPr>
      </w:pPr>
      <w:r>
        <w:rPr>
          <w:rFonts w:ascii="Arial" w:cs="Arial" w:eastAsia="Arial" w:hAnsi="Arial"/>
          <w:sz w:val="21"/>
          <w:szCs w:val="21"/>
          <w:color w:val="auto"/>
        </w:rPr>
        <w:t>"Committee" means the committee administering this Plan as provided in Section 2.1.</w:t>
      </w:r>
    </w:p>
    <w:p>
      <w:pPr>
        <w:spacing w:after="0" w:line="200" w:lineRule="exact"/>
        <w:rPr>
          <w:rFonts w:ascii="Arial" w:cs="Arial" w:eastAsia="Arial" w:hAnsi="Arial"/>
          <w:sz w:val="21"/>
          <w:szCs w:val="21"/>
          <w:color w:val="auto"/>
        </w:rPr>
      </w:pPr>
    </w:p>
    <w:p>
      <w:pPr>
        <w:spacing w:after="0" w:line="248" w:lineRule="exact"/>
        <w:rPr>
          <w:rFonts w:ascii="Arial" w:cs="Arial" w:eastAsia="Arial" w:hAnsi="Arial"/>
          <w:sz w:val="21"/>
          <w:szCs w:val="21"/>
          <w:color w:val="auto"/>
        </w:rPr>
      </w:pPr>
    </w:p>
    <w:p>
      <w:pPr>
        <w:ind w:left="1060" w:hanging="620"/>
        <w:spacing w:after="0"/>
        <w:tabs>
          <w:tab w:leader="none" w:pos="1060" w:val="left"/>
        </w:tabs>
        <w:numPr>
          <w:ilvl w:val="0"/>
          <w:numId w:val="41"/>
        </w:numPr>
        <w:rPr>
          <w:rFonts w:ascii="Arial" w:cs="Arial" w:eastAsia="Arial" w:hAnsi="Arial"/>
          <w:sz w:val="21"/>
          <w:szCs w:val="21"/>
          <w:color w:val="auto"/>
        </w:rPr>
      </w:pPr>
      <w:r>
        <w:rPr>
          <w:rFonts w:ascii="Arial" w:cs="Arial" w:eastAsia="Arial" w:hAnsi="Arial"/>
          <w:sz w:val="21"/>
          <w:szCs w:val="21"/>
          <w:color w:val="auto"/>
        </w:rPr>
        <w:t>"Common Shares" mean the common shares no par value per share, of the Company.</w:t>
      </w:r>
    </w:p>
    <w:p>
      <w:pPr>
        <w:spacing w:after="0" w:line="200" w:lineRule="exact"/>
        <w:rPr>
          <w:rFonts w:ascii="Arial" w:cs="Arial" w:eastAsia="Arial" w:hAnsi="Arial"/>
          <w:sz w:val="21"/>
          <w:szCs w:val="21"/>
          <w:color w:val="auto"/>
        </w:rPr>
      </w:pPr>
    </w:p>
    <w:p>
      <w:pPr>
        <w:spacing w:after="0" w:line="248" w:lineRule="exact"/>
        <w:rPr>
          <w:rFonts w:ascii="Arial" w:cs="Arial" w:eastAsia="Arial" w:hAnsi="Arial"/>
          <w:sz w:val="21"/>
          <w:szCs w:val="21"/>
          <w:color w:val="auto"/>
        </w:rPr>
      </w:pPr>
    </w:p>
    <w:p>
      <w:pPr>
        <w:jc w:val="both"/>
        <w:ind w:left="1060" w:right="20" w:hanging="620"/>
        <w:spacing w:after="0" w:line="357" w:lineRule="auto"/>
        <w:tabs>
          <w:tab w:leader="none" w:pos="1060" w:val="left"/>
        </w:tabs>
        <w:numPr>
          <w:ilvl w:val="0"/>
          <w:numId w:val="41"/>
        </w:numPr>
        <w:rPr>
          <w:rFonts w:ascii="Arial" w:cs="Arial" w:eastAsia="Arial" w:hAnsi="Arial"/>
          <w:sz w:val="21"/>
          <w:szCs w:val="21"/>
          <w:color w:val="auto"/>
        </w:rPr>
      </w:pPr>
      <w:r>
        <w:rPr>
          <w:rFonts w:ascii="Arial" w:cs="Arial" w:eastAsia="Arial" w:hAnsi="Arial"/>
          <w:sz w:val="21"/>
          <w:szCs w:val="21"/>
          <w:color w:val="auto"/>
        </w:rPr>
        <w:t>"Company" means Farmers &amp; Merchants Bancorp, Inc., a corporation organized under the laws of the State of Ohio and, except for purposes of determining whether a Change in Control has occurred, any corporation or entity that is a successor to Farmers &amp; Merchants Bancorp, Inc. or substantially all of the assets of Farmers &amp; Merchants Bancorp, Inc. and that assumes the obligations of Farmers &amp; Merchants Bancorp, Inc. under this Plan by operation of law or otherwise.</w:t>
      </w:r>
    </w:p>
    <w:p>
      <w:pPr>
        <w:spacing w:after="0" w:line="323" w:lineRule="exact"/>
        <w:rPr>
          <w:rFonts w:ascii="Arial" w:cs="Arial" w:eastAsia="Arial" w:hAnsi="Arial"/>
          <w:sz w:val="21"/>
          <w:szCs w:val="21"/>
          <w:color w:val="auto"/>
        </w:rPr>
      </w:pPr>
    </w:p>
    <w:p>
      <w:pPr>
        <w:ind w:left="1060" w:hanging="620"/>
        <w:spacing w:after="0"/>
        <w:tabs>
          <w:tab w:leader="none" w:pos="10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"Date of Grant" means the date on which the Committee grants an Award.</w:t>
      </w:r>
    </w:p>
    <w:p>
      <w:pPr>
        <w:spacing w:after="0" w:line="200" w:lineRule="exact"/>
        <w:rPr>
          <w:rFonts w:ascii="Arial" w:cs="Arial" w:eastAsia="Arial" w:hAnsi="Arial"/>
          <w:sz w:val="22"/>
          <w:szCs w:val="22"/>
          <w:color w:val="auto"/>
        </w:rPr>
      </w:pPr>
    </w:p>
    <w:p>
      <w:pPr>
        <w:spacing w:after="0" w:line="237" w:lineRule="exact"/>
        <w:rPr>
          <w:rFonts w:ascii="Arial" w:cs="Arial" w:eastAsia="Arial" w:hAnsi="Arial"/>
          <w:sz w:val="22"/>
          <w:szCs w:val="22"/>
          <w:color w:val="auto"/>
        </w:rPr>
      </w:pPr>
    </w:p>
    <w:p>
      <w:pPr>
        <w:ind w:left="1060" w:hanging="620"/>
        <w:spacing w:after="0"/>
        <w:tabs>
          <w:tab w:leader="none" w:pos="10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"Director" means a member of the Board of Directors.</w:t>
      </w:r>
    </w:p>
    <w:p>
      <w:pPr>
        <w:spacing w:after="0" w:line="200" w:lineRule="exact"/>
        <w:rPr>
          <w:rFonts w:ascii="Arial" w:cs="Arial" w:eastAsia="Arial" w:hAnsi="Arial"/>
          <w:sz w:val="22"/>
          <w:szCs w:val="22"/>
          <w:color w:val="auto"/>
        </w:rPr>
      </w:pPr>
    </w:p>
    <w:p>
      <w:pPr>
        <w:spacing w:after="0" w:line="247" w:lineRule="exact"/>
        <w:rPr>
          <w:rFonts w:ascii="Arial" w:cs="Arial" w:eastAsia="Arial" w:hAnsi="Arial"/>
          <w:sz w:val="22"/>
          <w:szCs w:val="22"/>
          <w:color w:val="auto"/>
        </w:rPr>
      </w:pPr>
    </w:p>
    <w:p>
      <w:pPr>
        <w:jc w:val="both"/>
        <w:ind w:left="1060" w:hanging="620"/>
        <w:spacing w:after="0" w:line="378" w:lineRule="auto"/>
        <w:tabs>
          <w:tab w:leader="none" w:pos="10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"Disability" means the person (a) is, by reason of any medically determinable physical or mental impairment which can be expected to result in death or can be expected to last for a continuous period of not less than 12 months, receiving disability or other income replacement benefits for a period of not less than 3 months under an accident and health plan of the Bank, the Company or an affiliate covering the person, or (b) has been determined to be totally disabled by the United States Social Security Administration.</w:t>
      </w:r>
    </w:p>
    <w:p>
      <w:pPr>
        <w:spacing w:after="0" w:line="305" w:lineRule="exact"/>
        <w:rPr>
          <w:rFonts w:ascii="Arial" w:cs="Arial" w:eastAsia="Arial" w:hAnsi="Arial"/>
          <w:sz w:val="20"/>
          <w:szCs w:val="20"/>
          <w:color w:val="auto"/>
        </w:rPr>
      </w:pPr>
    </w:p>
    <w:p>
      <w:pPr>
        <w:ind w:left="1060" w:hanging="620"/>
        <w:spacing w:after="0"/>
        <w:tabs>
          <w:tab w:leader="none" w:pos="10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"Eligible Participant" is defined in Article 4.</w:t>
      </w:r>
    </w:p>
    <w:p>
      <w:pPr>
        <w:spacing w:after="0" w:line="200" w:lineRule="exact"/>
        <w:rPr>
          <w:rFonts w:ascii="Arial" w:cs="Arial" w:eastAsia="Arial" w:hAnsi="Arial"/>
          <w:sz w:val="22"/>
          <w:szCs w:val="22"/>
          <w:color w:val="auto"/>
        </w:rPr>
      </w:pPr>
    </w:p>
    <w:p>
      <w:pPr>
        <w:spacing w:after="0" w:line="247" w:lineRule="exact"/>
        <w:rPr>
          <w:rFonts w:ascii="Arial" w:cs="Arial" w:eastAsia="Arial" w:hAnsi="Arial"/>
          <w:sz w:val="22"/>
          <w:szCs w:val="22"/>
          <w:color w:val="auto"/>
        </w:rPr>
      </w:pPr>
    </w:p>
    <w:p>
      <w:pPr>
        <w:ind w:left="1060" w:right="20" w:hanging="620"/>
        <w:spacing w:after="0" w:line="331" w:lineRule="auto"/>
        <w:tabs>
          <w:tab w:leader="none" w:pos="10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"Exchange Act" means the Securities Exchange Act of 1934, as amended, and any lawful regulations or guidance promulgated thereunder.</w:t>
      </w:r>
    </w:p>
    <w:p>
      <w:pPr>
        <w:spacing w:after="0" w:line="352" w:lineRule="exact"/>
        <w:rPr>
          <w:rFonts w:ascii="Arial" w:cs="Arial" w:eastAsia="Arial" w:hAnsi="Arial"/>
          <w:sz w:val="22"/>
          <w:szCs w:val="22"/>
          <w:color w:val="auto"/>
        </w:rPr>
      </w:pPr>
    </w:p>
    <w:p>
      <w:pPr>
        <w:ind w:left="1060" w:right="40" w:hanging="620"/>
        <w:spacing w:after="0" w:line="331" w:lineRule="auto"/>
        <w:tabs>
          <w:tab w:leader="none" w:pos="10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"Exercise Price" means the purchase price of a Share pursuant to a Stock Option, or the exercise price per Share related to a Stock Appreciation Right.</w:t>
      </w:r>
    </w:p>
    <w:p>
      <w:pPr>
        <w:sectPr>
          <w:pgSz w:w="11900" w:h="16838" w:orient="portrait"/>
          <w:cols w:equalWidth="0" w:num="1">
            <w:col w:w="9160"/>
          </w:cols>
          <w:pgMar w:left="144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26 / 45</w:t>
      </w:r>
    </w:p>
    <w:p>
      <w:pPr>
        <w:sectPr>
          <w:pgSz w:w="11900" w:h="16838" w:orient="portrait"/>
          <w:cols w:equalWidth="0" w:num="1">
            <w:col w:w="9160"/>
          </w:cols>
          <w:pgMar w:left="1440" w:top="1440" w:right="1306" w:bottom="0" w:gutter="0" w:footer="0" w:header="0"/>
          <w:type w:val="continuous"/>
        </w:sectPr>
      </w:pPr>
    </w:p>
    <w:bookmarkStart w:id="263" w:name="page264"/>
    <w:bookmarkEnd w:id="263"/>
    <w:p>
      <w:pPr>
        <w:ind w:left="1060" w:right="20" w:hanging="620"/>
        <w:spacing w:after="0" w:line="331" w:lineRule="auto"/>
        <w:tabs>
          <w:tab w:leader="none" w:pos="10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"Fair Market Value" of a Share means the value on any relevant date, determined under the following rules:</w:t>
      </w:r>
    </w:p>
    <w:p>
      <w:pPr>
        <w:spacing w:after="0" w:line="328" w:lineRule="exact"/>
        <w:rPr>
          <w:rFonts w:ascii="Arial" w:cs="Arial" w:eastAsia="Arial" w:hAnsi="Arial"/>
          <w:sz w:val="22"/>
          <w:szCs w:val="22"/>
          <w:color w:val="auto"/>
        </w:rPr>
      </w:pPr>
    </w:p>
    <w:p>
      <w:pPr>
        <w:ind w:left="1280" w:right="40" w:firstLine="764"/>
        <w:spacing w:after="0" w:line="356" w:lineRule="auto"/>
        <w:tabs>
          <w:tab w:leader="none" w:pos="2353" w:val="left"/>
        </w:tabs>
        <w:numPr>
          <w:ilvl w:val="1"/>
          <w:numId w:val="42"/>
        </w:numPr>
        <w:rPr>
          <w:rFonts w:ascii="Arial" w:cs="Arial" w:eastAsia="Arial" w:hAnsi="Arial"/>
          <w:sz w:val="20"/>
          <w:szCs w:val="20"/>
          <w:color w:val="auto"/>
        </w:rPr>
      </w:pPr>
      <w:r>
        <w:rPr>
          <w:rFonts w:ascii="Arial" w:cs="Arial" w:eastAsia="Arial" w:hAnsi="Arial"/>
          <w:sz w:val="20"/>
          <w:szCs w:val="20"/>
          <w:color w:val="auto"/>
        </w:rPr>
        <w:t>If the Shares are traded on an exchange, the reported “closing price” on the day prior to the relevant date if it is a trading day, otherwise on the next trading day.</w:t>
      </w:r>
    </w:p>
    <w:p>
      <w:pPr>
        <w:spacing w:after="0" w:line="277" w:lineRule="exact"/>
        <w:rPr>
          <w:rFonts w:ascii="Arial" w:cs="Arial" w:eastAsia="Arial" w:hAnsi="Arial"/>
          <w:sz w:val="20"/>
          <w:szCs w:val="20"/>
          <w:color w:val="auto"/>
        </w:rPr>
      </w:pPr>
    </w:p>
    <w:p>
      <w:pPr>
        <w:jc w:val="both"/>
        <w:ind w:left="1280" w:firstLine="764"/>
        <w:spacing w:after="0" w:line="350" w:lineRule="auto"/>
        <w:tabs>
          <w:tab w:leader="none" w:pos="2365" w:val="left"/>
        </w:tabs>
        <w:numPr>
          <w:ilvl w:val="1"/>
          <w:numId w:val="42"/>
        </w:numPr>
        <w:rPr>
          <w:rFonts w:ascii="Arial" w:cs="Arial" w:eastAsia="Arial" w:hAnsi="Arial"/>
          <w:sz w:val="20"/>
          <w:szCs w:val="20"/>
          <w:color w:val="auto"/>
        </w:rPr>
      </w:pPr>
      <w:r>
        <w:rPr>
          <w:rFonts w:ascii="Arial" w:cs="Arial" w:eastAsia="Arial" w:hAnsi="Arial"/>
          <w:sz w:val="20"/>
          <w:szCs w:val="20"/>
          <w:color w:val="auto"/>
        </w:rPr>
        <w:t>If the Shares are traded over-the-counter with no reported closing price, the mean between the lowest bid and the highest asked prices on that quotation system on the day prior to the relevant date if it is a trading day, otherwise on the next trading day.</w:t>
      </w:r>
    </w:p>
    <w:p>
      <w:pPr>
        <w:spacing w:after="0" w:line="283" w:lineRule="exact"/>
        <w:rPr>
          <w:rFonts w:ascii="Arial" w:cs="Arial" w:eastAsia="Arial" w:hAnsi="Arial"/>
          <w:sz w:val="20"/>
          <w:szCs w:val="20"/>
          <w:color w:val="auto"/>
        </w:rPr>
      </w:pPr>
    </w:p>
    <w:p>
      <w:pPr>
        <w:jc w:val="both"/>
        <w:ind w:left="1280" w:right="40" w:firstLine="764"/>
        <w:spacing w:after="0" w:line="310" w:lineRule="auto"/>
        <w:tabs>
          <w:tab w:leader="none" w:pos="2349" w:val="left"/>
        </w:tabs>
        <w:numPr>
          <w:ilvl w:val="1"/>
          <w:numId w:val="42"/>
        </w:numPr>
        <w:rPr>
          <w:rFonts w:ascii="Arial" w:cs="Arial" w:eastAsia="Arial" w:hAnsi="Arial"/>
          <w:sz w:val="22"/>
          <w:szCs w:val="22"/>
          <w:color w:val="auto"/>
        </w:rPr>
      </w:pPr>
      <w:r>
        <w:rPr>
          <w:rFonts w:ascii="Arial" w:cs="Arial" w:eastAsia="Arial" w:hAnsi="Arial"/>
          <w:sz w:val="22"/>
          <w:szCs w:val="22"/>
          <w:color w:val="auto"/>
        </w:rPr>
        <w:t>If neither (a) nor (b) applies, (i) with respect to Options, Stock Appreciation Rights and any Award that is subject to Section 409A of the Code, the value as determined by the Committee through the reasonable application of a reasonable valuation method, taking into account all information material to the value of the Company, within the meaning of Section 409A.</w:t>
      </w:r>
    </w:p>
    <w:p>
      <w:pPr>
        <w:spacing w:after="0" w:line="346" w:lineRule="exact"/>
        <w:rPr>
          <w:rFonts w:ascii="Arial" w:cs="Arial" w:eastAsia="Arial" w:hAnsi="Arial"/>
          <w:sz w:val="22"/>
          <w:szCs w:val="22"/>
          <w:color w:val="auto"/>
        </w:rPr>
      </w:pPr>
    </w:p>
    <w:p>
      <w:pPr>
        <w:jc w:val="both"/>
        <w:ind w:left="1280" w:right="40" w:firstLine="764"/>
        <w:spacing w:after="0" w:line="307" w:lineRule="auto"/>
        <w:tabs>
          <w:tab w:leader="none" w:pos="2479" w:val="left"/>
        </w:tabs>
        <w:numPr>
          <w:ilvl w:val="1"/>
          <w:numId w:val="42"/>
        </w:numPr>
        <w:rPr>
          <w:rFonts w:ascii="Arial" w:cs="Arial" w:eastAsia="Arial" w:hAnsi="Arial"/>
          <w:sz w:val="22"/>
          <w:szCs w:val="22"/>
          <w:color w:val="auto"/>
        </w:rPr>
      </w:pPr>
      <w:r>
        <w:rPr>
          <w:rFonts w:ascii="Arial" w:cs="Arial" w:eastAsia="Arial" w:hAnsi="Arial"/>
          <w:sz w:val="22"/>
          <w:szCs w:val="22"/>
          <w:color w:val="auto"/>
        </w:rPr>
        <w:t>Notwithstanding the foregoing, as of any date, the “Fair Market Value” of Shares shall be determined in a manner consistent with Code Section 409A and the guidance then-existing thereunder.</w:t>
      </w:r>
    </w:p>
    <w:p>
      <w:pPr>
        <w:spacing w:after="0" w:line="373" w:lineRule="exact"/>
        <w:rPr>
          <w:rFonts w:ascii="Arial" w:cs="Arial" w:eastAsia="Arial" w:hAnsi="Arial"/>
          <w:sz w:val="22"/>
          <w:szCs w:val="22"/>
          <w:color w:val="auto"/>
        </w:rPr>
      </w:pPr>
    </w:p>
    <w:p>
      <w:pPr>
        <w:jc w:val="both"/>
        <w:ind w:left="1060" w:right="40" w:hanging="620"/>
        <w:spacing w:after="0" w:line="375" w:lineRule="auto"/>
        <w:tabs>
          <w:tab w:leader="none" w:pos="1060" w:val="left"/>
        </w:tabs>
        <w:numPr>
          <w:ilvl w:val="0"/>
          <w:numId w:val="42"/>
        </w:numPr>
        <w:rPr>
          <w:rFonts w:ascii="Arial" w:cs="Arial" w:eastAsia="Arial" w:hAnsi="Arial"/>
          <w:sz w:val="20"/>
          <w:szCs w:val="20"/>
          <w:color w:val="auto"/>
        </w:rPr>
      </w:pPr>
      <w:r>
        <w:rPr>
          <w:rFonts w:ascii="Arial" w:cs="Arial" w:eastAsia="Arial" w:hAnsi="Arial"/>
          <w:sz w:val="20"/>
          <w:szCs w:val="20"/>
          <w:b w:val="1"/>
          <w:bCs w:val="1"/>
          <w:i w:val="1"/>
          <w:iCs w:val="1"/>
          <w:color w:val="auto"/>
        </w:rPr>
        <w:t>“</w:t>
      </w:r>
      <w:r>
        <w:rPr>
          <w:rFonts w:ascii="Arial" w:cs="Arial" w:eastAsia="Arial" w:hAnsi="Arial"/>
          <w:sz w:val="20"/>
          <w:szCs w:val="20"/>
          <w:color w:val="auto"/>
        </w:rPr>
        <w:t>Family Member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any child, stepchild, grandchild, parent, stepparent, grandparent,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spouse, former spouse, sibling, niece, nephew, mother-in-law, father-in-law, son-in-law,</w:t>
      </w:r>
    </w:p>
    <w:p>
      <w:pPr>
        <w:ind w:left="1060"/>
        <w:spacing w:after="0" w:line="230" w:lineRule="auto"/>
        <w:rPr>
          <w:sz w:val="20"/>
          <w:szCs w:val="20"/>
          <w:color w:val="auto"/>
        </w:rPr>
      </w:pPr>
      <w:r>
        <w:rPr>
          <w:rFonts w:ascii="Arial" w:cs="Arial" w:eastAsia="Arial" w:hAnsi="Arial"/>
          <w:sz w:val="22"/>
          <w:szCs w:val="22"/>
          <w:color w:val="auto"/>
        </w:rPr>
        <w:t>daughter-in-law, brother-in-law,</w:t>
      </w:r>
    </w:p>
    <w:p>
      <w:pPr>
        <w:spacing w:after="0" w:line="8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80"/>
          </w:cols>
          <w:pgMar w:left="1440" w:top="120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27 / 45</w:t>
      </w:r>
    </w:p>
    <w:p>
      <w:pPr>
        <w:sectPr>
          <w:pgSz w:w="11900" w:h="16838" w:orient="portrait"/>
          <w:cols w:equalWidth="0" w:num="1">
            <w:col w:w="9180"/>
          </w:cols>
          <w:pgMar w:left="1440" w:top="1200" w:right="1286" w:bottom="0" w:gutter="0" w:footer="0" w:header="0"/>
          <w:type w:val="continuous"/>
        </w:sectPr>
      </w:pPr>
    </w:p>
    <w:bookmarkStart w:id="264" w:name="page265"/>
    <w:bookmarkEnd w:id="264"/>
    <w:p>
      <w:pPr>
        <w:spacing w:after="0" w:line="200" w:lineRule="exact"/>
        <w:rPr>
          <w:sz w:val="20"/>
          <w:szCs w:val="20"/>
          <w:color w:val="auto"/>
        </w:rPr>
      </w:pPr>
    </w:p>
    <w:p>
      <w:pPr>
        <w:spacing w:after="0" w:line="281" w:lineRule="exact"/>
        <w:rPr>
          <w:sz w:val="20"/>
          <w:szCs w:val="20"/>
          <w:color w:val="auto"/>
        </w:rPr>
      </w:pPr>
    </w:p>
    <w:p>
      <w:pPr>
        <w:ind w:left="1060" w:right="60"/>
        <w:spacing w:after="0" w:line="331" w:lineRule="auto"/>
        <w:rPr>
          <w:sz w:val="20"/>
          <w:szCs w:val="20"/>
          <w:color w:val="auto"/>
        </w:rPr>
      </w:pPr>
      <w:r>
        <w:rPr>
          <w:rFonts w:ascii="Arial" w:cs="Arial" w:eastAsia="Arial" w:hAnsi="Arial"/>
          <w:sz w:val="22"/>
          <w:szCs w:val="22"/>
          <w:color w:val="auto"/>
        </w:rPr>
        <w:t>or sister-in-law, including adoptive relationships, and any person sharing the Participant’s household (other than a tenant or employee).</w:t>
      </w:r>
    </w:p>
    <w:p>
      <w:pPr>
        <w:spacing w:after="0" w:line="352" w:lineRule="exact"/>
        <w:rPr>
          <w:sz w:val="20"/>
          <w:szCs w:val="20"/>
          <w:color w:val="auto"/>
        </w:rPr>
      </w:pPr>
    </w:p>
    <w:p>
      <w:pPr>
        <w:ind w:left="1060" w:right="80" w:hanging="620"/>
        <w:spacing w:after="0" w:line="331" w:lineRule="auto"/>
        <w:tabs>
          <w:tab w:leader="none" w:pos="10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"Incentive Stock Option" and "ISO" mean a Stock Option that is identified as such and which is intended to meet the requirements of Section 422 of the Code.</w:t>
      </w:r>
    </w:p>
    <w:p>
      <w:pPr>
        <w:spacing w:after="0" w:line="352" w:lineRule="exact"/>
        <w:rPr>
          <w:rFonts w:ascii="Arial" w:cs="Arial" w:eastAsia="Arial" w:hAnsi="Arial"/>
          <w:sz w:val="22"/>
          <w:szCs w:val="22"/>
          <w:color w:val="auto"/>
        </w:rPr>
      </w:pPr>
    </w:p>
    <w:p>
      <w:pPr>
        <w:jc w:val="both"/>
        <w:ind w:left="1060" w:right="60" w:hanging="620"/>
        <w:spacing w:after="0" w:line="336" w:lineRule="auto"/>
        <w:tabs>
          <w:tab w:leader="none" w:pos="10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"Non-Qualified Stock Option" and "NQSO" mean a Stock Option that: (i) is governed by Section 83 of the Code; and (ii) is not intended to meet the requirements of Section 422 of the Code.</w:t>
      </w:r>
    </w:p>
    <w:p>
      <w:pPr>
        <w:spacing w:after="0" w:line="347" w:lineRule="exact"/>
        <w:rPr>
          <w:rFonts w:ascii="Arial" w:cs="Arial" w:eastAsia="Arial" w:hAnsi="Arial"/>
          <w:sz w:val="22"/>
          <w:szCs w:val="22"/>
          <w:color w:val="auto"/>
        </w:rPr>
      </w:pPr>
    </w:p>
    <w:p>
      <w:pPr>
        <w:jc w:val="both"/>
        <w:ind w:left="1060" w:hanging="620"/>
        <w:spacing w:after="0" w:line="339" w:lineRule="auto"/>
        <w:tabs>
          <w:tab w:leader="none" w:pos="10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"Outside Director" means a nonemployee Director. In addition, at all times during which the Company is subject to the reporting requirements of the Exchange Act, "Outside Director” means a nonemployee Director who meets the definitions of the terms "independent director" set forth in The Nasdaq Stock Market rules, and "non-employee director" set forth in Rule 16b-3, or any successor definitions adopted by The Nasdaq Stock Market and Securities and Exchange Commission, respectively, and similar requirements under any other applicable laws and regulations.</w:t>
      </w:r>
    </w:p>
    <w:p>
      <w:pPr>
        <w:spacing w:after="0" w:line="348" w:lineRule="exact"/>
        <w:rPr>
          <w:rFonts w:ascii="Arial" w:cs="Arial" w:eastAsia="Arial" w:hAnsi="Arial"/>
          <w:sz w:val="22"/>
          <w:szCs w:val="22"/>
          <w:color w:val="auto"/>
        </w:rPr>
      </w:pPr>
    </w:p>
    <w:p>
      <w:pPr>
        <w:ind w:left="1060" w:right="60" w:hanging="620"/>
        <w:spacing w:after="0" w:line="331" w:lineRule="auto"/>
        <w:tabs>
          <w:tab w:leader="none" w:pos="10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"Parent" means any corporation which qualifies as a "parent corporation" of the Company under Section 424(e) of the Code.</w:t>
      </w:r>
    </w:p>
    <w:p>
      <w:pPr>
        <w:spacing w:after="0" w:line="352" w:lineRule="exact"/>
        <w:rPr>
          <w:rFonts w:ascii="Arial" w:cs="Arial" w:eastAsia="Arial" w:hAnsi="Arial"/>
          <w:sz w:val="22"/>
          <w:szCs w:val="22"/>
          <w:color w:val="auto"/>
        </w:rPr>
      </w:pPr>
    </w:p>
    <w:p>
      <w:pPr>
        <w:jc w:val="both"/>
        <w:ind w:left="1060" w:right="100" w:hanging="620"/>
        <w:spacing w:after="0" w:line="336" w:lineRule="auto"/>
        <w:tabs>
          <w:tab w:leader="none" w:pos="10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“Participant” means an Eligible Participant who has been granted an award of Stock Options, Stock Appreciation Rights, Restricted Shares, Restricted Share Units or Performance Shares under this Plan.</w:t>
      </w:r>
    </w:p>
    <w:p>
      <w:pPr>
        <w:spacing w:after="0" w:line="336" w:lineRule="exact"/>
        <w:rPr>
          <w:rFonts w:ascii="Arial" w:cs="Arial" w:eastAsia="Arial" w:hAnsi="Arial"/>
          <w:sz w:val="22"/>
          <w:szCs w:val="22"/>
          <w:color w:val="auto"/>
        </w:rPr>
      </w:pPr>
    </w:p>
    <w:p>
      <w:pPr>
        <w:ind w:left="1060" w:hanging="620"/>
        <w:spacing w:after="0"/>
        <w:tabs>
          <w:tab w:leader="none" w:pos="10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"Performance Shares" is defined in Article 9.</w:t>
      </w:r>
    </w:p>
    <w:p>
      <w:pPr>
        <w:spacing w:after="0" w:line="200" w:lineRule="exact"/>
        <w:rPr>
          <w:rFonts w:ascii="Arial" w:cs="Arial" w:eastAsia="Arial" w:hAnsi="Arial"/>
          <w:sz w:val="22"/>
          <w:szCs w:val="22"/>
          <w:color w:val="auto"/>
        </w:rPr>
      </w:pPr>
    </w:p>
    <w:p>
      <w:pPr>
        <w:spacing w:after="0" w:line="237" w:lineRule="exact"/>
        <w:rPr>
          <w:rFonts w:ascii="Arial" w:cs="Arial" w:eastAsia="Arial" w:hAnsi="Arial"/>
          <w:sz w:val="22"/>
          <w:szCs w:val="22"/>
          <w:color w:val="auto"/>
        </w:rPr>
      </w:pPr>
    </w:p>
    <w:p>
      <w:pPr>
        <w:ind w:left="1060" w:hanging="620"/>
        <w:spacing w:after="0"/>
        <w:tabs>
          <w:tab w:leader="none" w:pos="10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"Performance Period" is defined in Section 9.2.</w:t>
      </w:r>
    </w:p>
    <w:p>
      <w:pPr>
        <w:spacing w:after="0" w:line="200" w:lineRule="exact"/>
        <w:rPr>
          <w:rFonts w:ascii="Arial" w:cs="Arial" w:eastAsia="Arial" w:hAnsi="Arial"/>
          <w:sz w:val="22"/>
          <w:szCs w:val="22"/>
          <w:color w:val="auto"/>
        </w:rPr>
      </w:pPr>
    </w:p>
    <w:p>
      <w:pPr>
        <w:spacing w:after="0" w:line="247" w:lineRule="exact"/>
        <w:rPr>
          <w:rFonts w:ascii="Arial" w:cs="Arial" w:eastAsia="Arial" w:hAnsi="Arial"/>
          <w:sz w:val="22"/>
          <w:szCs w:val="22"/>
          <w:color w:val="auto"/>
        </w:rPr>
      </w:pPr>
    </w:p>
    <w:p>
      <w:pPr>
        <w:jc w:val="both"/>
        <w:ind w:left="1060" w:right="40" w:hanging="620"/>
        <w:spacing w:after="0" w:line="338" w:lineRule="auto"/>
        <w:tabs>
          <w:tab w:leader="none" w:pos="10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“Permitted Transferees” means (i) a Participant’s Family Member, (ii) one or more trusts in which Family Members have more than fifty percent of the beneficial interest, (iii) a foundation in which the Participant or Family Members control the management of assets; or (iv) any other entity in which the Participants or Family Members own more than fifty percent of the voting interests.</w:t>
      </w:r>
    </w:p>
    <w:p>
      <w:pPr>
        <w:spacing w:after="0" w:line="349" w:lineRule="exact"/>
        <w:rPr>
          <w:sz w:val="20"/>
          <w:szCs w:val="20"/>
          <w:color w:val="auto"/>
        </w:rPr>
      </w:pPr>
    </w:p>
    <w:p>
      <w:pPr>
        <w:ind w:left="1060" w:right="60" w:hanging="620"/>
        <w:spacing w:after="0" w:line="331" w:lineRule="auto"/>
        <w:tabs>
          <w:tab w:leader="none" w:pos="10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"Plan" means this Farmers &amp; Merchants Bancorp, Inc. 2025 Long-Term Stock Incentive Plan, as amended from time to time.</w:t>
      </w:r>
    </w:p>
    <w:p>
      <w:pPr>
        <w:spacing w:after="0" w:line="341" w:lineRule="exact"/>
        <w:rPr>
          <w:rFonts w:ascii="Arial" w:cs="Arial" w:eastAsia="Arial" w:hAnsi="Arial"/>
          <w:sz w:val="22"/>
          <w:szCs w:val="22"/>
          <w:color w:val="auto"/>
        </w:rPr>
      </w:pPr>
    </w:p>
    <w:p>
      <w:pPr>
        <w:ind w:left="1060" w:hanging="620"/>
        <w:spacing w:after="0"/>
        <w:tabs>
          <w:tab w:leader="none" w:pos="10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"Restricted Share Units" is defined in Article 8.</w:t>
      </w:r>
    </w:p>
    <w:p>
      <w:pPr>
        <w:sectPr>
          <w:pgSz w:w="11900" w:h="16838" w:orient="portrait"/>
          <w:cols w:equalWidth="0" w:num="1">
            <w:col w:w="9200"/>
          </w:cols>
          <w:pgMar w:left="144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28 / 45</w:t>
      </w:r>
    </w:p>
    <w:p>
      <w:pPr>
        <w:sectPr>
          <w:pgSz w:w="11900" w:h="16838" w:orient="portrait"/>
          <w:cols w:equalWidth="0" w:num="1">
            <w:col w:w="9200"/>
          </w:cols>
          <w:pgMar w:left="1440" w:top="1440" w:right="1266" w:bottom="0" w:gutter="0" w:footer="0" w:header="0"/>
          <w:type w:val="continuous"/>
        </w:sectPr>
      </w:pPr>
    </w:p>
    <w:bookmarkStart w:id="265" w:name="page266"/>
    <w:bookmarkEnd w:id="265"/>
    <w:p>
      <w:pPr>
        <w:spacing w:after="0" w:line="80" w:lineRule="exact"/>
        <w:rPr>
          <w:sz w:val="20"/>
          <w:szCs w:val="20"/>
          <w:color w:val="auto"/>
        </w:rPr>
      </w:pPr>
    </w:p>
    <w:p>
      <w:pPr>
        <w:ind w:left="1060" w:hanging="620"/>
        <w:spacing w:after="0"/>
        <w:tabs>
          <w:tab w:leader="none" w:pos="10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"Restricted Shares" is defined in Article 8.</w:t>
      </w:r>
    </w:p>
    <w:p>
      <w:pPr>
        <w:spacing w:after="0" w:line="200" w:lineRule="exact"/>
        <w:rPr>
          <w:rFonts w:ascii="Arial" w:cs="Arial" w:eastAsia="Arial" w:hAnsi="Arial"/>
          <w:sz w:val="22"/>
          <w:szCs w:val="22"/>
          <w:color w:val="auto"/>
        </w:rPr>
      </w:pPr>
    </w:p>
    <w:p>
      <w:pPr>
        <w:spacing w:after="0" w:line="247" w:lineRule="exact"/>
        <w:rPr>
          <w:rFonts w:ascii="Arial" w:cs="Arial" w:eastAsia="Arial" w:hAnsi="Arial"/>
          <w:sz w:val="22"/>
          <w:szCs w:val="22"/>
          <w:color w:val="auto"/>
        </w:rPr>
      </w:pPr>
    </w:p>
    <w:p>
      <w:pPr>
        <w:ind w:left="1060" w:right="80" w:hanging="620"/>
        <w:spacing w:after="0" w:line="331" w:lineRule="auto"/>
        <w:tabs>
          <w:tab w:leader="none" w:pos="10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"Rule 16b-3" means Securities and Exchange Commission Rule 16b-3 under the Securities Exchange Act of 1934, as amended from time to time.</w:t>
      </w:r>
    </w:p>
    <w:p>
      <w:pPr>
        <w:spacing w:after="0" w:line="341" w:lineRule="exact"/>
        <w:rPr>
          <w:rFonts w:ascii="Arial" w:cs="Arial" w:eastAsia="Arial" w:hAnsi="Arial"/>
          <w:sz w:val="22"/>
          <w:szCs w:val="22"/>
          <w:color w:val="auto"/>
        </w:rPr>
      </w:pPr>
    </w:p>
    <w:p>
      <w:pPr>
        <w:ind w:left="1060" w:hanging="620"/>
        <w:spacing w:after="0"/>
        <w:tabs>
          <w:tab w:leader="none" w:pos="10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"Share" or "Shares" mean one or more of the Common Shares.</w:t>
      </w:r>
    </w:p>
    <w:p>
      <w:pPr>
        <w:spacing w:after="0" w:line="200" w:lineRule="exact"/>
        <w:rPr>
          <w:rFonts w:ascii="Arial" w:cs="Arial" w:eastAsia="Arial" w:hAnsi="Arial"/>
          <w:sz w:val="22"/>
          <w:szCs w:val="22"/>
          <w:color w:val="auto"/>
        </w:rPr>
      </w:pPr>
    </w:p>
    <w:p>
      <w:pPr>
        <w:spacing w:after="0" w:line="237" w:lineRule="exact"/>
        <w:rPr>
          <w:rFonts w:ascii="Arial" w:cs="Arial" w:eastAsia="Arial" w:hAnsi="Arial"/>
          <w:sz w:val="22"/>
          <w:szCs w:val="22"/>
          <w:color w:val="auto"/>
        </w:rPr>
      </w:pPr>
    </w:p>
    <w:p>
      <w:pPr>
        <w:ind w:left="1060" w:hanging="620"/>
        <w:spacing w:after="0"/>
        <w:tabs>
          <w:tab w:leader="none" w:pos="10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"Shareholder" means an individual or entity that owns one or more Shares.</w:t>
      </w:r>
    </w:p>
    <w:p>
      <w:pPr>
        <w:spacing w:after="0" w:line="200" w:lineRule="exact"/>
        <w:rPr>
          <w:rFonts w:ascii="Arial" w:cs="Arial" w:eastAsia="Arial" w:hAnsi="Arial"/>
          <w:sz w:val="22"/>
          <w:szCs w:val="22"/>
          <w:color w:val="auto"/>
        </w:rPr>
      </w:pPr>
    </w:p>
    <w:p>
      <w:pPr>
        <w:spacing w:after="0" w:line="237" w:lineRule="exact"/>
        <w:rPr>
          <w:rFonts w:ascii="Arial" w:cs="Arial" w:eastAsia="Arial" w:hAnsi="Arial"/>
          <w:sz w:val="22"/>
          <w:szCs w:val="22"/>
          <w:color w:val="auto"/>
        </w:rPr>
      </w:pPr>
    </w:p>
    <w:p>
      <w:pPr>
        <w:ind w:left="1060" w:hanging="620"/>
        <w:spacing w:after="0"/>
        <w:tabs>
          <w:tab w:leader="none" w:pos="10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"SOSAR" is defined in Section 7.1(d).</w:t>
      </w:r>
    </w:p>
    <w:p>
      <w:pPr>
        <w:spacing w:after="0" w:line="200" w:lineRule="exact"/>
        <w:rPr>
          <w:rFonts w:ascii="Arial" w:cs="Arial" w:eastAsia="Arial" w:hAnsi="Arial"/>
          <w:sz w:val="22"/>
          <w:szCs w:val="22"/>
          <w:color w:val="auto"/>
        </w:rPr>
      </w:pPr>
    </w:p>
    <w:p>
      <w:pPr>
        <w:spacing w:after="0" w:line="247" w:lineRule="exact"/>
        <w:rPr>
          <w:rFonts w:ascii="Arial" w:cs="Arial" w:eastAsia="Arial" w:hAnsi="Arial"/>
          <w:sz w:val="22"/>
          <w:szCs w:val="22"/>
          <w:color w:val="auto"/>
        </w:rPr>
      </w:pPr>
    </w:p>
    <w:p>
      <w:pPr>
        <w:jc w:val="both"/>
        <w:ind w:left="1060" w:right="20" w:hanging="620"/>
        <w:spacing w:after="0" w:line="336" w:lineRule="auto"/>
        <w:tabs>
          <w:tab w:leader="none" w:pos="10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"Stock Appreciation Rights" and "SARs" mean any right to receive the appreciation in Fair Market Value of a specified number of Shares over a specified Exercise Price pursuant to an Award granted under Article 7.</w:t>
      </w:r>
    </w:p>
    <w:p>
      <w:pPr>
        <w:spacing w:after="0" w:line="347" w:lineRule="exact"/>
        <w:rPr>
          <w:rFonts w:ascii="Arial" w:cs="Arial" w:eastAsia="Arial" w:hAnsi="Arial"/>
          <w:sz w:val="22"/>
          <w:szCs w:val="22"/>
          <w:color w:val="auto"/>
        </w:rPr>
      </w:pPr>
    </w:p>
    <w:p>
      <w:pPr>
        <w:ind w:left="1060" w:hanging="620"/>
        <w:spacing w:after="0" w:line="336" w:lineRule="auto"/>
        <w:tabs>
          <w:tab w:leader="none" w:pos="10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"Stock Option" means any right to purchase a specified number of Shares at a specified price which is granted pursuant to Article 5 and may be an Incentive Stock Option or a Non-Qualified Stock Option.</w:t>
      </w:r>
    </w:p>
    <w:p>
      <w:pPr>
        <w:spacing w:after="0" w:line="347" w:lineRule="exact"/>
        <w:rPr>
          <w:rFonts w:ascii="Arial" w:cs="Arial" w:eastAsia="Arial" w:hAnsi="Arial"/>
          <w:sz w:val="22"/>
          <w:szCs w:val="22"/>
          <w:color w:val="auto"/>
        </w:rPr>
      </w:pPr>
    </w:p>
    <w:p>
      <w:pPr>
        <w:jc w:val="both"/>
        <w:ind w:left="1060" w:right="80" w:hanging="620"/>
        <w:spacing w:after="0" w:line="375" w:lineRule="auto"/>
        <w:tabs>
          <w:tab w:leader="none" w:pos="10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"Stock Power" means a power of attorney executed by a participant and delivered to the Company which authorizes the Company to transfer ownership of Restricted Shares, Performance Shares or Common Shares from the participant to the Company or a third</w:t>
      </w:r>
    </w:p>
    <w:p>
      <w:pPr>
        <w:ind w:left="1060"/>
        <w:spacing w:after="0" w:line="231" w:lineRule="auto"/>
        <w:rPr>
          <w:sz w:val="20"/>
          <w:szCs w:val="20"/>
          <w:color w:val="auto"/>
        </w:rPr>
      </w:pPr>
      <w:r>
        <w:rPr>
          <w:rFonts w:ascii="Arial" w:cs="Arial" w:eastAsia="Arial" w:hAnsi="Arial"/>
          <w:sz w:val="22"/>
          <w:szCs w:val="22"/>
          <w:color w:val="auto"/>
        </w:rPr>
        <w:t>party.</w:t>
      </w:r>
    </w:p>
    <w:p>
      <w:pPr>
        <w:spacing w:after="0" w:line="8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29 / 45</w:t>
      </w:r>
    </w:p>
    <w:p>
      <w:pPr>
        <w:sectPr>
          <w:pgSz w:w="11900" w:h="16838" w:orient="portrait"/>
          <w:cols w:equalWidth="0" w:num="1">
            <w:col w:w="9220"/>
          </w:cols>
          <w:pgMar w:left="1440" w:top="1440" w:right="1246" w:bottom="0" w:gutter="0" w:footer="0" w:header="0"/>
          <w:type w:val="continuous"/>
        </w:sectPr>
      </w:pPr>
    </w:p>
    <w:bookmarkStart w:id="266" w:name="page267"/>
    <w:bookmarkEnd w:id="2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40" w:right="80" w:hanging="620"/>
        <w:spacing w:after="0" w:line="331" w:lineRule="auto"/>
        <w:tabs>
          <w:tab w:leader="none" w:pos="12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"Subsidiary" means any corporation which qualifies as a "subsidiary corporation" of the Company under Section 424(f) of the Code.</w:t>
      </w:r>
    </w:p>
    <w:p>
      <w:pPr>
        <w:spacing w:after="0" w:line="352" w:lineRule="exact"/>
        <w:rPr>
          <w:rFonts w:ascii="Arial" w:cs="Arial" w:eastAsia="Arial" w:hAnsi="Arial"/>
          <w:sz w:val="22"/>
          <w:szCs w:val="22"/>
          <w:color w:val="auto"/>
        </w:rPr>
      </w:pPr>
    </w:p>
    <w:p>
      <w:pPr>
        <w:jc w:val="both"/>
        <w:ind w:left="1240" w:right="60" w:hanging="620"/>
        <w:spacing w:after="0" w:line="340" w:lineRule="auto"/>
        <w:tabs>
          <w:tab w:leader="none" w:pos="12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"Vested" means, with respect to a Stock Option, that the time has been reached when the option to purchase Shares first becomes exercisable; and with respect to a Stock Appreciation Right, when the Stock Appreciation Right first becomes exercisable for payment; with respect to Restricted Shares, when the Shares are no longer subject to forfeiture and restrictions on transferability; with respect to Restricted Share Units and Performance Shares, when the units or Performance Shares are no longer subject to forfeiture and are converted to Shares. The words "Vest" and "Vesting" have meanings correlative to the foregoing.</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Authority and Duties of the Committee</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ind w:left="1240" w:hanging="620"/>
        <w:spacing w:after="0" w:line="377" w:lineRule="auto"/>
        <w:tabs>
          <w:tab w:leader="none" w:pos="12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Plan shall be administered by a Committee of at least three Directors who are appointed by the Board of Directors. Unless otherwise determined by the Board of Directors, the Compensation Committee of the Board of Directors (or any subcommittee thereof) shall serve as the Committee, and all of the members of the Committee shall be Outside Directors. Notwithstanding the requirement that the Committee consist exclusively of Outside Directors, no action or determination by the Committee or an individual then considered to be an Outside Director shall be deemed void because a member of the Committee or such individual fails to satisfy the requirements for being an Outside Director, except to the extent required by applicable law.</w:t>
      </w:r>
    </w:p>
    <w:p>
      <w:pPr>
        <w:spacing w:after="0" w:line="318" w:lineRule="exact"/>
        <w:rPr>
          <w:rFonts w:ascii="Arial" w:cs="Arial" w:eastAsia="Arial" w:hAnsi="Arial"/>
          <w:sz w:val="20"/>
          <w:szCs w:val="20"/>
          <w:color w:val="auto"/>
        </w:rPr>
      </w:pPr>
    </w:p>
    <w:p>
      <w:pPr>
        <w:jc w:val="both"/>
        <w:ind w:left="1240" w:right="20" w:hanging="620"/>
        <w:spacing w:after="0" w:line="357" w:lineRule="auto"/>
        <w:tabs>
          <w:tab w:leader="none" w:pos="12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Committee has the power and authority to grant Awards pursuant to the terms of this Plan to Eligible Participants. The Committee may, at any time and from time to time, at the request of a Participant or at the discretion of the Committee, designate that a portion of such Participant's compensation otherwise payable in cash be payable in Common Shares, Restricted Shares, Stock Options, SARs, Restricted Share Units or Performance Shares. The Committee shall have the sole discretion to determine the value of the Common Shares, Restricted Shares, Options, SARs, Restricted Share Units or Performance Shares so payable and the terms and conditions under which such Common Shares or Restricted Shares shall be issued or such Stock Options, SARs, Restricted Share Units or Performance Shares shall be granted.</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 / 45</w:t>
      </w:r>
    </w:p>
    <w:p>
      <w:pPr>
        <w:sectPr>
          <w:pgSz w:w="11900" w:h="16838" w:orient="portrait"/>
          <w:cols w:equalWidth="0" w:num="1">
            <w:col w:w="9380"/>
          </w:cols>
          <w:pgMar w:left="1260" w:top="1440" w:right="1266" w:bottom="0" w:gutter="0" w:footer="0" w:header="0"/>
          <w:type w:val="continuous"/>
        </w:sectPr>
      </w:pPr>
    </w:p>
    <w:bookmarkStart w:id="267" w:name="page268"/>
    <w:bookmarkEnd w:id="267"/>
    <w:p>
      <w:pPr>
        <w:ind w:left="1060" w:right="60" w:hanging="620"/>
        <w:spacing w:after="0" w:line="331" w:lineRule="auto"/>
        <w:tabs>
          <w:tab w:leader="none" w:pos="10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Committee has the sole and exclusive authority, subject to any limitations specifically set forth in this Plan, to:</w:t>
      </w:r>
    </w:p>
    <w:p>
      <w:pPr>
        <w:spacing w:after="0" w:line="352" w:lineRule="exact"/>
        <w:rPr>
          <w:rFonts w:ascii="Arial" w:cs="Arial" w:eastAsia="Arial" w:hAnsi="Arial"/>
          <w:sz w:val="22"/>
          <w:szCs w:val="22"/>
          <w:color w:val="auto"/>
        </w:rPr>
      </w:pPr>
    </w:p>
    <w:p>
      <w:pPr>
        <w:ind w:left="1060" w:right="660"/>
        <w:spacing w:after="0" w:line="649" w:lineRule="auto"/>
        <w:rPr>
          <w:rFonts w:ascii="Arial" w:cs="Arial" w:eastAsia="Arial" w:hAnsi="Arial"/>
          <w:sz w:val="22"/>
          <w:szCs w:val="22"/>
          <w:color w:val="auto"/>
        </w:rPr>
      </w:pPr>
      <w:r>
        <w:rPr>
          <w:rFonts w:ascii="Arial" w:cs="Arial" w:eastAsia="Arial" w:hAnsi="Arial"/>
          <w:sz w:val="22"/>
          <w:szCs w:val="22"/>
          <w:color w:val="auto"/>
        </w:rPr>
        <w:t>(i)select the Eligible Participants to whom Awards are granted; (ii)determine the types of Awards granted and the timing of such Awards; (iii)determine the number of Shares to be covered by each Award granted hereunder;</w:t>
      </w:r>
    </w:p>
    <w:p>
      <w:pPr>
        <w:spacing w:after="0" w:line="17" w:lineRule="exact"/>
        <w:rPr>
          <w:rFonts w:ascii="Arial" w:cs="Arial" w:eastAsia="Arial" w:hAnsi="Arial"/>
          <w:sz w:val="22"/>
          <w:szCs w:val="22"/>
          <w:color w:val="auto"/>
        </w:rPr>
      </w:pPr>
    </w:p>
    <w:p>
      <w:pPr>
        <w:jc w:val="both"/>
        <w:ind w:left="1700" w:right="60" w:hanging="633"/>
        <w:spacing w:after="0" w:line="340" w:lineRule="auto"/>
        <w:tabs>
          <w:tab w:leader="none" w:pos="1700" w:val="left"/>
        </w:tabs>
        <w:numPr>
          <w:ilvl w:val="1"/>
          <w:numId w:val="48"/>
        </w:numPr>
        <w:rPr>
          <w:rFonts w:ascii="Arial" w:cs="Arial" w:eastAsia="Arial" w:hAnsi="Arial"/>
          <w:sz w:val="22"/>
          <w:szCs w:val="22"/>
          <w:color w:val="auto"/>
        </w:rPr>
      </w:pPr>
      <w:r>
        <w:rPr>
          <w:rFonts w:ascii="Arial" w:cs="Arial" w:eastAsia="Arial" w:hAnsi="Arial"/>
          <w:sz w:val="22"/>
          <w:szCs w:val="22"/>
          <w:color w:val="auto"/>
        </w:rPr>
        <w:t>determine the other terms and conditions, not inconsistent with the terms of this Plan, of any Award granted hereunder; such terms and conditions include, but are not limited to, the Exercise Price, the time or times when Stock Options or Stock Appreciation Rights may be exercised (which may be based on performance objectives), any Vesting, acceleration or waiver of forfeiture restrictions, any performance criteria applicable to an Award, and any restriction or limitation regarding any Stock Option or Stock Appreciation Right or the Common Shares relating thereto, based in each case on such factors as the Committee, in its sole discretion, shall determine;</w:t>
      </w:r>
    </w:p>
    <w:p>
      <w:pPr>
        <w:spacing w:after="0" w:line="344" w:lineRule="exact"/>
        <w:rPr>
          <w:rFonts w:ascii="Arial" w:cs="Arial" w:eastAsia="Arial" w:hAnsi="Arial"/>
          <w:sz w:val="22"/>
          <w:szCs w:val="22"/>
          <w:color w:val="auto"/>
        </w:rPr>
      </w:pPr>
    </w:p>
    <w:p>
      <w:pPr>
        <w:jc w:val="both"/>
        <w:ind w:left="1700" w:hanging="633"/>
        <w:spacing w:after="0" w:line="381" w:lineRule="auto"/>
        <w:tabs>
          <w:tab w:leader="none" w:pos="17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determine whether any conditions or objectives related to Awards have been met, including but not limited to any determination of whether the performance objectives for Performance Shares or other performance-based awards have been satisfied;</w:t>
      </w:r>
    </w:p>
    <w:p>
      <w:pPr>
        <w:spacing w:after="0" w:line="24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20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31 / 45</w:t>
      </w:r>
    </w:p>
    <w:p>
      <w:pPr>
        <w:sectPr>
          <w:pgSz w:w="11900" w:h="16838" w:orient="portrait"/>
          <w:cols w:equalWidth="0" w:num="1">
            <w:col w:w="9200"/>
          </w:cols>
          <w:pgMar w:left="1440" w:top="1200" w:right="1266" w:bottom="0" w:gutter="0" w:footer="0" w:header="0"/>
          <w:type w:val="continuous"/>
        </w:sectPr>
      </w:pPr>
    </w:p>
    <w:bookmarkStart w:id="268" w:name="page269"/>
    <w:bookmarkEnd w:id="268"/>
    <w:p>
      <w:pPr>
        <w:spacing w:after="0" w:line="200" w:lineRule="exact"/>
        <w:rPr>
          <w:sz w:val="20"/>
          <w:szCs w:val="20"/>
          <w:color w:val="auto"/>
        </w:rPr>
      </w:pPr>
    </w:p>
    <w:p>
      <w:pPr>
        <w:spacing w:after="0" w:line="281" w:lineRule="exact"/>
        <w:rPr>
          <w:sz w:val="20"/>
          <w:szCs w:val="20"/>
          <w:color w:val="auto"/>
        </w:rPr>
      </w:pPr>
    </w:p>
    <w:p>
      <w:pPr>
        <w:ind w:left="1880" w:right="80" w:hanging="633"/>
        <w:spacing w:after="0" w:line="331" w:lineRule="auto"/>
        <w:tabs>
          <w:tab w:leader="none" w:pos="18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subsequently amend, modify or waive any terms and conditions of Awards, not inconsistent with the terms of this Plan;</w:t>
      </w:r>
    </w:p>
    <w:p>
      <w:pPr>
        <w:spacing w:after="0" w:line="352" w:lineRule="exact"/>
        <w:rPr>
          <w:rFonts w:ascii="Arial" w:cs="Arial" w:eastAsia="Arial" w:hAnsi="Arial"/>
          <w:sz w:val="22"/>
          <w:szCs w:val="22"/>
          <w:color w:val="auto"/>
        </w:rPr>
      </w:pPr>
    </w:p>
    <w:p>
      <w:pPr>
        <w:ind w:left="1880" w:right="60" w:hanging="633"/>
        <w:spacing w:after="0" w:line="331" w:lineRule="auto"/>
        <w:tabs>
          <w:tab w:leader="none" w:pos="18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adopt, alter and repeal such administrative rules, guidelines and practices governing this Plan as it deems advisable from time to time;</w:t>
      </w:r>
    </w:p>
    <w:p>
      <w:pPr>
        <w:spacing w:after="0" w:line="352" w:lineRule="exact"/>
        <w:rPr>
          <w:rFonts w:ascii="Arial" w:cs="Arial" w:eastAsia="Arial" w:hAnsi="Arial"/>
          <w:sz w:val="22"/>
          <w:szCs w:val="22"/>
          <w:color w:val="auto"/>
        </w:rPr>
      </w:pPr>
    </w:p>
    <w:p>
      <w:pPr>
        <w:ind w:left="1880" w:right="60" w:hanging="633"/>
        <w:spacing w:after="0" w:line="331" w:lineRule="auto"/>
        <w:tabs>
          <w:tab w:leader="none" w:pos="18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promulgate such administrative forms as it from time to time deems necessary or appropriate for administration of the Plan;</w:t>
      </w:r>
    </w:p>
    <w:p>
      <w:pPr>
        <w:spacing w:after="0" w:line="352" w:lineRule="exact"/>
        <w:rPr>
          <w:rFonts w:ascii="Arial" w:cs="Arial" w:eastAsia="Arial" w:hAnsi="Arial"/>
          <w:sz w:val="22"/>
          <w:szCs w:val="22"/>
          <w:color w:val="auto"/>
        </w:rPr>
      </w:pPr>
    </w:p>
    <w:p>
      <w:pPr>
        <w:ind w:left="1880" w:right="60" w:hanging="633"/>
        <w:spacing w:after="0" w:line="331" w:lineRule="auto"/>
        <w:tabs>
          <w:tab w:leader="none" w:pos="18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construe, interpret, administer and implement the terms and provisions of this Plan, any Award and any related agreements;</w:t>
      </w:r>
    </w:p>
    <w:p>
      <w:pPr>
        <w:spacing w:after="0" w:line="352" w:lineRule="exact"/>
        <w:rPr>
          <w:rFonts w:ascii="Arial" w:cs="Arial" w:eastAsia="Arial" w:hAnsi="Arial"/>
          <w:sz w:val="22"/>
          <w:szCs w:val="22"/>
          <w:color w:val="auto"/>
        </w:rPr>
      </w:pPr>
    </w:p>
    <w:p>
      <w:pPr>
        <w:ind w:left="1880" w:right="100" w:hanging="633"/>
        <w:spacing w:after="0" w:line="331" w:lineRule="auto"/>
        <w:tabs>
          <w:tab w:leader="none" w:pos="18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correct any defect, supply any omission and reconcile any inconsistency in or between the Plan, any Award and any related agreements;</w:t>
      </w:r>
    </w:p>
    <w:p>
      <w:pPr>
        <w:spacing w:after="0" w:line="352" w:lineRule="exact"/>
        <w:rPr>
          <w:rFonts w:ascii="Arial" w:cs="Arial" w:eastAsia="Arial" w:hAnsi="Arial"/>
          <w:sz w:val="22"/>
          <w:szCs w:val="22"/>
          <w:color w:val="auto"/>
        </w:rPr>
      </w:pPr>
    </w:p>
    <w:p>
      <w:pPr>
        <w:ind w:left="1880" w:right="100" w:hanging="633"/>
        <w:spacing w:after="0" w:line="331" w:lineRule="auto"/>
        <w:tabs>
          <w:tab w:leader="none" w:pos="18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prescribe any legends to be affixed to certificates representing Shares or other interests granted or issued under the Plan; and</w:t>
      </w:r>
    </w:p>
    <w:p>
      <w:pPr>
        <w:spacing w:after="0" w:line="341" w:lineRule="exact"/>
        <w:rPr>
          <w:rFonts w:ascii="Arial" w:cs="Arial" w:eastAsia="Arial" w:hAnsi="Arial"/>
          <w:sz w:val="22"/>
          <w:szCs w:val="22"/>
          <w:color w:val="auto"/>
        </w:rPr>
      </w:pPr>
    </w:p>
    <w:p>
      <w:pPr>
        <w:ind w:left="1880" w:hanging="633"/>
        <w:spacing w:after="0"/>
        <w:tabs>
          <w:tab w:leader="none" w:pos="18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otherwise supervise the administration of this Plan.</w:t>
      </w:r>
    </w:p>
    <w:p>
      <w:pPr>
        <w:spacing w:after="0" w:line="200" w:lineRule="exact"/>
        <w:rPr>
          <w:rFonts w:ascii="Arial" w:cs="Arial" w:eastAsia="Arial" w:hAnsi="Arial"/>
          <w:sz w:val="22"/>
          <w:szCs w:val="22"/>
          <w:color w:val="auto"/>
        </w:rPr>
      </w:pPr>
    </w:p>
    <w:p>
      <w:pPr>
        <w:spacing w:after="0" w:line="247" w:lineRule="exact"/>
        <w:rPr>
          <w:rFonts w:ascii="Arial" w:cs="Arial" w:eastAsia="Arial" w:hAnsi="Arial"/>
          <w:sz w:val="22"/>
          <w:szCs w:val="22"/>
          <w:color w:val="auto"/>
        </w:rPr>
      </w:pPr>
    </w:p>
    <w:p>
      <w:pPr>
        <w:jc w:val="both"/>
        <w:ind w:left="1240" w:hanging="620"/>
        <w:spacing w:after="0" w:line="357" w:lineRule="auto"/>
        <w:tabs>
          <w:tab w:leader="none" w:pos="1240" w:val="left"/>
        </w:tabs>
        <w:numPr>
          <w:ilvl w:val="0"/>
          <w:numId w:val="50"/>
        </w:numPr>
        <w:rPr>
          <w:rFonts w:ascii="Arial" w:cs="Arial" w:eastAsia="Arial" w:hAnsi="Arial"/>
          <w:sz w:val="21"/>
          <w:szCs w:val="21"/>
          <w:color w:val="auto"/>
        </w:rPr>
      </w:pPr>
      <w:r>
        <w:rPr>
          <w:rFonts w:ascii="Arial" w:cs="Arial" w:eastAsia="Arial" w:hAnsi="Arial"/>
          <w:sz w:val="21"/>
          <w:szCs w:val="21"/>
          <w:color w:val="auto"/>
        </w:rPr>
        <w:t>All decisions made by the Committee pursuant to the provisions of this Plan are final and binding on all persons, including the Company, its shareholders and participants, but may be made by their terms subject to ratification or approval by, the Board of Directors, another committee of the Board of Directors or shareholders.</w:t>
      </w:r>
    </w:p>
    <w:p>
      <w:pPr>
        <w:spacing w:after="0" w:line="333" w:lineRule="exact"/>
        <w:rPr>
          <w:rFonts w:ascii="Arial" w:cs="Arial" w:eastAsia="Arial" w:hAnsi="Arial"/>
          <w:sz w:val="21"/>
          <w:szCs w:val="21"/>
          <w:color w:val="auto"/>
        </w:rPr>
      </w:pPr>
    </w:p>
    <w:p>
      <w:pPr>
        <w:ind w:left="1240" w:right="80" w:hanging="620"/>
        <w:spacing w:after="0" w:line="331" w:lineRule="auto"/>
        <w:tabs>
          <w:tab w:leader="none" w:pos="12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Company shall furnish the Committee with such clerical and other assistance as is necessary for the performance of the Committee's duties under the Plan.</w:t>
      </w:r>
    </w:p>
    <w:p>
      <w:pPr>
        <w:spacing w:after="0" w:line="328" w:lineRule="exact"/>
        <w:rPr>
          <w:sz w:val="20"/>
          <w:szCs w:val="20"/>
          <w:color w:val="auto"/>
        </w:rPr>
      </w:pPr>
    </w:p>
    <w:p>
      <w:pPr>
        <w:jc w:val="both"/>
        <w:spacing w:after="0" w:line="309"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Delegation of Duties</w:t>
      </w:r>
      <w:r>
        <w:rPr>
          <w:rFonts w:ascii="Arial" w:cs="Arial" w:eastAsia="Arial" w:hAnsi="Arial"/>
          <w:sz w:val="22"/>
          <w:szCs w:val="22"/>
          <w:color w:val="auto"/>
        </w:rPr>
        <w:t>. The Committee may delegate ministerial duties to any other person or persons, and it may employ attorneys, consultants, accountants, or other professional advisers for the purposes of plan administration at the expense of the Company. The power to delegate provided for herein does not include the power to grant an Award.</w:t>
      </w:r>
    </w:p>
    <w:p>
      <w:pPr>
        <w:spacing w:after="0" w:line="347" w:lineRule="exact"/>
        <w:rPr>
          <w:sz w:val="20"/>
          <w:szCs w:val="20"/>
          <w:color w:val="auto"/>
        </w:rPr>
      </w:pPr>
    </w:p>
    <w:p>
      <w:pPr>
        <w:jc w:val="both"/>
        <w:ind w:right="40"/>
        <w:spacing w:after="0" w:line="309"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Limitation of Liability</w:t>
      </w:r>
      <w:r>
        <w:rPr>
          <w:rFonts w:ascii="Arial" w:cs="Arial" w:eastAsia="Arial" w:hAnsi="Arial"/>
          <w:sz w:val="22"/>
          <w:szCs w:val="22"/>
          <w:color w:val="auto"/>
        </w:rPr>
        <w:t>. Members of the Board of Directors, members of the Committee and Company employees who are their designees acting under this Plan shall be fully protected in relying in good faith upon the advice of counsel and shall incur no liability except for gross or willful misconduct in the performance of their duties hereunder.</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Subject to Plan</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 / 45</w:t>
      </w:r>
    </w:p>
    <w:p>
      <w:pPr>
        <w:sectPr>
          <w:pgSz w:w="11900" w:h="16838" w:orient="portrait"/>
          <w:cols w:equalWidth="0" w:num="1">
            <w:col w:w="9380"/>
          </w:cols>
          <w:pgMar w:left="1260" w:top="1440" w:right="1266" w:bottom="0" w:gutter="0" w:footer="0" w:header="0"/>
          <w:type w:val="continuous"/>
        </w:sectPr>
      </w:pPr>
    </w:p>
    <w:bookmarkStart w:id="269" w:name="page270"/>
    <w:bookmarkEnd w:id="269"/>
    <w:p>
      <w:pPr>
        <w:spacing w:after="0" w:line="67" w:lineRule="exact"/>
        <w:rPr>
          <w:sz w:val="20"/>
          <w:szCs w:val="20"/>
          <w:color w:val="auto"/>
        </w:rPr>
      </w:pPr>
    </w:p>
    <w:p>
      <w:pPr>
        <w:jc w:val="both"/>
        <w:ind w:right="20"/>
        <w:spacing w:after="0" w:line="328"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Total Shares Limitation</w:t>
      </w:r>
      <w:r>
        <w:rPr>
          <w:rFonts w:ascii="Arial" w:cs="Arial" w:eastAsia="Arial" w:hAnsi="Arial"/>
          <w:sz w:val="21"/>
          <w:szCs w:val="21"/>
          <w:color w:val="auto"/>
        </w:rPr>
        <w:t>. Subject to the provisions of this Article, the maximum number of shares of Common Stock that may be issued or transferred under this Plan shall not exceed in the aggregate 2,000,000 Common Shares. Shares to be issued under the Plan may be authorized and unissued shares, issued shares that have been reacquired by the Company (in the open-market or in private transactions) and that are being held in treasury, or a combination thereof.</w:t>
      </w:r>
    </w:p>
    <w:p>
      <w:pPr>
        <w:spacing w:after="0" w:line="330" w:lineRule="exact"/>
        <w:rPr>
          <w:sz w:val="20"/>
          <w:szCs w:val="20"/>
          <w:color w:val="auto"/>
        </w:rPr>
      </w:pPr>
    </w:p>
    <w:p>
      <w:pPr>
        <w:jc w:val="both"/>
        <w:ind w:right="20"/>
        <w:spacing w:after="0" w:line="345"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Awards Not Exercised: Effect of Receipt of Shares</w:t>
      </w:r>
      <w:r>
        <w:rPr>
          <w:rFonts w:ascii="Arial" w:cs="Arial" w:eastAsia="Arial" w:hAnsi="Arial"/>
          <w:sz w:val="20"/>
          <w:szCs w:val="20"/>
          <w:color w:val="auto"/>
        </w:rPr>
        <w:t>. If any outstanding Award or portion thereof, expires, or is terminated, canceled or forfeited, the Shares that would otherwise be issuable or released from restrictions with respect to the unexercised or non-Vested portion of such expired, terminated, canceled or forfeited Award shall be available for subsequent Awards under this Plan. If the Exercise Price of an Award is paid in Shares, or if Shares are withheld by the Company to cover a Participant’s tax obligations with respect to an Award pursuant to Section 15.1 or 15.2 of the Plan, the Shares received by the Company in connection therewith shall not be added to the maximum aggregate number of Shares which may be issued under Section 3.1. Where Stock Appreciation Rights are settled by delivery of Shares, the actual number of Shares delivered to the Participant shall be counted against the maximum aggregate number of Shares which may be issued under Section 3.1.</w:t>
      </w:r>
    </w:p>
    <w:p>
      <w:pPr>
        <w:spacing w:after="0" w:line="324"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Dilution and Other Adjustments</w:t>
      </w:r>
      <w:r>
        <w:rPr>
          <w:rFonts w:ascii="Arial" w:cs="Arial" w:eastAsia="Arial" w:hAnsi="Arial"/>
          <w:sz w:val="22"/>
          <w:szCs w:val="22"/>
          <w:color w:val="auto"/>
        </w:rPr>
        <w:t>. In the event that the Committee determines that any dividend or other distribution (whether in the form of cash, Shares, other securities or other property), recapitalization, stock split, reverse stock split,</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 / 45</w:t>
      </w:r>
    </w:p>
    <w:p>
      <w:pPr>
        <w:sectPr>
          <w:pgSz w:w="11900" w:h="16838" w:orient="portrait"/>
          <w:cols w:equalWidth="0" w:num="1">
            <w:col w:w="9360"/>
          </w:cols>
          <w:pgMar w:left="1260" w:top="1440" w:right="1286" w:bottom="0" w:gutter="0" w:footer="0" w:header="0"/>
          <w:type w:val="continuous"/>
        </w:sectPr>
      </w:pPr>
    </w:p>
    <w:bookmarkStart w:id="270" w:name="page271"/>
    <w:bookmarkEnd w:id="270"/>
    <w:p>
      <w:pPr>
        <w:spacing w:after="0" w:line="200" w:lineRule="exact"/>
        <w:rPr>
          <w:sz w:val="20"/>
          <w:szCs w:val="20"/>
          <w:color w:val="auto"/>
        </w:rPr>
      </w:pPr>
    </w:p>
    <w:p>
      <w:pPr>
        <w:spacing w:after="0" w:line="257" w:lineRule="exact"/>
        <w:rPr>
          <w:sz w:val="20"/>
          <w:szCs w:val="20"/>
          <w:color w:val="auto"/>
        </w:rPr>
      </w:pPr>
    </w:p>
    <w:p>
      <w:pPr>
        <w:jc w:val="both"/>
        <w:spacing w:after="0" w:line="345" w:lineRule="auto"/>
        <w:rPr>
          <w:sz w:val="20"/>
          <w:szCs w:val="20"/>
          <w:color w:val="auto"/>
        </w:rPr>
      </w:pPr>
      <w:r>
        <w:rPr>
          <w:rFonts w:ascii="Arial" w:cs="Arial" w:eastAsia="Arial" w:hAnsi="Arial"/>
          <w:sz w:val="20"/>
          <w:szCs w:val="20"/>
          <w:color w:val="auto"/>
        </w:rPr>
        <w:t>reorganization, redesignation, reclassification, merger, consolidation, liquidation, split-up, reverse split,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this Plan, then the Committee shall, in such manner as it deems equitable, adjust any or all of (i) the number and type of Shares (or other securities or other property) which thereafter may be made the subject of Awards, (ii) the number and type of Shares (or other securities or other property) subject to outstanding Awards, (iii) the limitations set forth above and (iv) the purchase or exercise price or any performance objective with respect to any Award; provided, however, that the number of Shares or other securities covered by any Award or to which such Award relates is always a whole number. Notwithstanding the foregoing, the foregoing adjustments shall be made in compliance with: (i) Sections 422 and 424 of the Code with respect to ISOs; (ii) Treasury Department Regulation Section 1.424-1 (and any successor) with respect to NQSOs, applied as if the NQSOs were ISOs; and (iii) Section 409A of the Code, to the extent necessary to avoid its application or avoid adverse tax consequences thereunder. In applying the provisions of this Section 3.3, the Committee shall lack discretion with respect to any adjustment which is required to prevent enlargement or dilution of rights under any Award and shall promptly make such adjustments as are required to prevent an enlargement or dilution of rights.</w:t>
      </w:r>
    </w:p>
    <w:p>
      <w:pPr>
        <w:spacing w:after="0" w:line="308"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ARTICLE 4</w:t>
      </w:r>
    </w:p>
    <w:p>
      <w:pPr>
        <w:spacing w:after="0" w:line="77"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Participants</w:t>
      </w:r>
    </w:p>
    <w:p>
      <w:pPr>
        <w:spacing w:after="0" w:line="200" w:lineRule="exact"/>
        <w:rPr>
          <w:sz w:val="20"/>
          <w:szCs w:val="20"/>
          <w:color w:val="auto"/>
        </w:rPr>
      </w:pPr>
    </w:p>
    <w:p>
      <w:pPr>
        <w:spacing w:after="0" w:line="218" w:lineRule="exact"/>
        <w:rPr>
          <w:sz w:val="20"/>
          <w:szCs w:val="20"/>
          <w:color w:val="auto"/>
        </w:rPr>
      </w:pPr>
    </w:p>
    <w:p>
      <w:pPr>
        <w:jc w:val="both"/>
        <w:ind w:right="40"/>
        <w:spacing w:after="0" w:line="307"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Eligibility</w:t>
      </w:r>
      <w:r>
        <w:rPr>
          <w:rFonts w:ascii="Arial" w:cs="Arial" w:eastAsia="Arial" w:hAnsi="Arial"/>
          <w:sz w:val="22"/>
          <w:szCs w:val="22"/>
          <w:color w:val="auto"/>
        </w:rPr>
        <w:t>. Directors, Officers and all other key employees of the Bank, the Company or any of its Affiliates (each an "Eligible Participant") who are selected by the Committee in its sole discretion are eligible to participate in this Plan.</w:t>
      </w:r>
    </w:p>
    <w:p>
      <w:pPr>
        <w:spacing w:after="0" w:line="349" w:lineRule="exact"/>
        <w:rPr>
          <w:sz w:val="20"/>
          <w:szCs w:val="20"/>
          <w:color w:val="auto"/>
        </w:rPr>
      </w:pPr>
    </w:p>
    <w:p>
      <w:pPr>
        <w:jc w:val="both"/>
        <w:ind w:right="20"/>
        <w:spacing w:after="0" w:line="328"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Award Agreements</w:t>
      </w:r>
      <w:r>
        <w:rPr>
          <w:rFonts w:ascii="Arial" w:cs="Arial" w:eastAsia="Arial" w:hAnsi="Arial"/>
          <w:sz w:val="21"/>
          <w:szCs w:val="21"/>
          <w:color w:val="auto"/>
        </w:rPr>
        <w:t>. Awards shall be evidenced by a written agreement in a form prescribed by the Committee (hereinafter "Award Agreement"). Execution of an Award Agreement shall constitute the Participant's irrevocable agreement to, and acceptance of, the terms and conditions of the Award set forth in such agreement and of the terms and conditions of the Plan applicable to such Award. Award Agreements may differ from time to time and from participant to participant.</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5</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 Option Awards</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35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Option Grant</w:t>
      </w:r>
      <w:r>
        <w:rPr>
          <w:rFonts w:ascii="Arial" w:cs="Arial" w:eastAsia="Arial" w:hAnsi="Arial"/>
          <w:sz w:val="20"/>
          <w:szCs w:val="20"/>
          <w:color w:val="auto"/>
        </w:rPr>
        <w:t>. Each Stock Option granted under this Plan will be evidenced by minutes of a meeting, or by a unanimous written consent without a meeting, of the Committee and by an Award Agreement dated as of the Date of Grant and executed by the Company and by the appropriate Participant.</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 / 45</w:t>
      </w:r>
    </w:p>
    <w:p>
      <w:pPr>
        <w:sectPr>
          <w:pgSz w:w="11900" w:h="16838" w:orient="portrait"/>
          <w:cols w:equalWidth="0" w:num="1">
            <w:col w:w="9360"/>
          </w:cols>
          <w:pgMar w:left="1260" w:top="1440" w:right="1286" w:bottom="0" w:gutter="0" w:footer="0" w:header="0"/>
          <w:type w:val="continuous"/>
        </w:sectPr>
      </w:pPr>
    </w:p>
    <w:bookmarkStart w:id="271" w:name="page272"/>
    <w:bookmarkEnd w:id="271"/>
    <w:p>
      <w:pPr>
        <w:jc w:val="both"/>
        <w:ind w:right="40"/>
        <w:spacing w:after="0" w:line="328"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Terms and Conditions of Grants</w:t>
      </w:r>
      <w:r>
        <w:rPr>
          <w:rFonts w:ascii="Arial" w:cs="Arial" w:eastAsia="Arial" w:hAnsi="Arial"/>
          <w:sz w:val="21"/>
          <w:szCs w:val="21"/>
          <w:color w:val="auto"/>
        </w:rPr>
        <w:t>. Stock Options granted under this Plan are subject to the following terms and conditions and may contain such additional terms, conditions, restrictions and contingencies with respect to exercisability and/or with respect to the Shares acquired upon exercise as may be provided in the relevant agreement evidencing the Stock Options, so long as such terms and conditions are not inconsistent with the terms of this Plan, as the Committee deems desirable:</w:t>
      </w:r>
    </w:p>
    <w:p>
      <w:pPr>
        <w:spacing w:after="0" w:line="354" w:lineRule="exact"/>
        <w:rPr>
          <w:sz w:val="20"/>
          <w:szCs w:val="20"/>
          <w:color w:val="auto"/>
        </w:rPr>
      </w:pPr>
    </w:p>
    <w:p>
      <w:pPr>
        <w:jc w:val="both"/>
        <w:ind w:left="1240" w:right="60" w:hanging="620"/>
        <w:spacing w:after="0" w:line="377" w:lineRule="auto"/>
        <w:tabs>
          <w:tab w:leader="none" w:pos="124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Exercise Price</w:t>
      </w:r>
      <w:r>
        <w:rPr>
          <w:rFonts w:ascii="Arial" w:cs="Arial" w:eastAsia="Arial" w:hAnsi="Arial"/>
          <w:sz w:val="20"/>
          <w:szCs w:val="20"/>
          <w:color w:val="auto"/>
        </w:rPr>
        <w:t>. Subject to Section 3.3, the Exercise Price shall never be less than 100% of the Fair Market Value of the Shares on the Date of Grant. Except as otherwise provided in Section 3.3, no subsequent amendment of an outstanding Stock Option may reduce the Exercise Price to less than 100% of the Fair Market Value of the Shares on the Date of Grant. Nothing in this Section 5.2(a) shall be construed as limiting the Committee's authority to grant premium price Stock Options which do not become exercisable until the Fair Market Value of the underlying Shares exceeds a specified percentage (e.g., 110%) of the Exercise Price; provided, however, that such percentage will never be less than 100%.</w:t>
      </w:r>
    </w:p>
    <w:p>
      <w:pPr>
        <w:spacing w:after="0" w:line="319" w:lineRule="exact"/>
        <w:rPr>
          <w:rFonts w:ascii="Arial" w:cs="Arial" w:eastAsia="Arial" w:hAnsi="Arial"/>
          <w:sz w:val="20"/>
          <w:szCs w:val="20"/>
          <w:color w:val="auto"/>
        </w:rPr>
      </w:pPr>
    </w:p>
    <w:p>
      <w:pPr>
        <w:jc w:val="both"/>
        <w:ind w:left="1240" w:hanging="620"/>
        <w:spacing w:after="0" w:line="375" w:lineRule="auto"/>
        <w:tabs>
          <w:tab w:leader="none" w:pos="124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Option Term</w:t>
      </w:r>
      <w:r>
        <w:rPr>
          <w:rFonts w:ascii="Arial" w:cs="Arial" w:eastAsia="Arial" w:hAnsi="Arial"/>
          <w:sz w:val="20"/>
          <w:szCs w:val="20"/>
          <w:color w:val="auto"/>
        </w:rPr>
        <w:t>. Any unexercised portion of a Stock Option granted hereunder shall expire at the end of the stated term of the Stock Option. The Committee shall determine the term of each Stock Option at the time of grant, which term shall not exceed 10 years from the Date of Grant. The Committee may extend the term of a Stock Option, in its discretion, but not beyond the date immediately prior to the tenth anniversary of the original Date of Grant. If a</w:t>
      </w:r>
    </w:p>
    <w:p>
      <w:pPr>
        <w:jc w:val="center"/>
        <w:ind w:right="180"/>
        <w:spacing w:after="0" w:line="232" w:lineRule="auto"/>
        <w:rPr>
          <w:sz w:val="20"/>
          <w:szCs w:val="20"/>
          <w:color w:val="auto"/>
        </w:rPr>
      </w:pPr>
      <w:r>
        <w:rPr>
          <w:rFonts w:ascii="Arial" w:cs="Arial" w:eastAsia="Arial" w:hAnsi="Arial"/>
          <w:sz w:val="22"/>
          <w:szCs w:val="22"/>
          <w:color w:val="auto"/>
        </w:rPr>
        <w:t>definite term is not specified by the Committee at the time of grant, then the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 / 45</w:t>
      </w:r>
    </w:p>
    <w:p>
      <w:pPr>
        <w:sectPr>
          <w:pgSz w:w="11900" w:h="16838" w:orient="portrait"/>
          <w:cols w:equalWidth="0" w:num="1">
            <w:col w:w="9380"/>
          </w:cols>
          <w:pgMar w:left="1260" w:top="1177" w:right="1266" w:bottom="0" w:gutter="0" w:footer="0" w:header="0"/>
          <w:type w:val="continuous"/>
        </w:sectPr>
      </w:pPr>
    </w:p>
    <w:bookmarkStart w:id="272" w:name="page273"/>
    <w:bookmarkEnd w:id="272"/>
    <w:p>
      <w:pPr>
        <w:spacing w:after="0" w:line="200" w:lineRule="exact"/>
        <w:rPr>
          <w:sz w:val="20"/>
          <w:szCs w:val="20"/>
          <w:color w:val="auto"/>
        </w:rPr>
      </w:pPr>
    </w:p>
    <w:p>
      <w:pPr>
        <w:spacing w:after="0" w:line="281" w:lineRule="exact"/>
        <w:rPr>
          <w:sz w:val="20"/>
          <w:szCs w:val="20"/>
          <w:color w:val="auto"/>
        </w:rPr>
      </w:pPr>
    </w:p>
    <w:p>
      <w:pPr>
        <w:ind w:left="1060" w:right="20"/>
        <w:spacing w:after="0" w:line="388" w:lineRule="auto"/>
        <w:rPr>
          <w:sz w:val="20"/>
          <w:szCs w:val="20"/>
          <w:color w:val="auto"/>
        </w:rPr>
      </w:pPr>
      <w:r>
        <w:rPr>
          <w:rFonts w:ascii="Arial" w:cs="Arial" w:eastAsia="Arial" w:hAnsi="Arial"/>
          <w:sz w:val="20"/>
          <w:szCs w:val="20"/>
          <w:color w:val="auto"/>
        </w:rPr>
        <w:t>term is deemed to be 10 years. Nothing in this Section 5.2(b) shall be construed as limiting the Committee's authority to grant Stock Options with a term shorter than 10 years.</w:t>
      </w:r>
    </w:p>
    <w:p>
      <w:pPr>
        <w:spacing w:after="0" w:line="306" w:lineRule="exact"/>
        <w:rPr>
          <w:sz w:val="20"/>
          <w:szCs w:val="20"/>
          <w:color w:val="auto"/>
        </w:rPr>
      </w:pPr>
    </w:p>
    <w:p>
      <w:pPr>
        <w:jc w:val="both"/>
        <w:ind w:left="1060" w:hanging="620"/>
        <w:spacing w:after="0" w:line="377" w:lineRule="auto"/>
        <w:tabs>
          <w:tab w:leader="none" w:pos="106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Stock Options or portions thereof, are exercisable at such time or times as determined by the Committee in its discretion at or after grant. The Committee may provide that a vesting schedule shall be specified in an Award Agreement. If the Committee provides that any Stock Option becomes Vested over a period of time or upon performance events, in full or in installments, the Committee may waive or accelerate such Vesting provisions at any time. Unless otherwise determined by the Committee in connection with the grant and set forth in the Award Agreement, all unvested Stock Options shall immediately vest upon the Death or Disability of the holder.</w:t>
      </w:r>
    </w:p>
    <w:p>
      <w:pPr>
        <w:spacing w:after="0" w:line="319" w:lineRule="exact"/>
        <w:rPr>
          <w:rFonts w:ascii="Arial" w:cs="Arial" w:eastAsia="Arial" w:hAnsi="Arial"/>
          <w:sz w:val="20"/>
          <w:szCs w:val="20"/>
          <w:color w:val="auto"/>
        </w:rPr>
      </w:pPr>
    </w:p>
    <w:p>
      <w:pPr>
        <w:jc w:val="both"/>
        <w:ind w:left="1060" w:hanging="620"/>
        <w:spacing w:after="0" w:line="357" w:lineRule="auto"/>
        <w:tabs>
          <w:tab w:leader="none" w:pos="1060"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Method of Exercise</w:t>
      </w:r>
      <w:r>
        <w:rPr>
          <w:rFonts w:ascii="Arial" w:cs="Arial" w:eastAsia="Arial" w:hAnsi="Arial"/>
          <w:sz w:val="21"/>
          <w:szCs w:val="21"/>
          <w:color w:val="auto"/>
        </w:rPr>
        <w:t>. Vested portions of any Stock Option may be exercised in whole or in part at any time during the option term by giving written notice of exercise to the Company specifying the number of Shares to be purchased. The notice must be given by or on behalf of a person entitled to exercise the Stock Option, accompanied by payment in full of the Exercise Price, along with any tax withholding pursuant to Article 15. Subject to the approval of the Committee, the Exercise Price may be paid:</w:t>
      </w:r>
    </w:p>
    <w:p>
      <w:pPr>
        <w:spacing w:after="0" w:line="323" w:lineRule="exact"/>
        <w:rPr>
          <w:rFonts w:ascii="Arial" w:cs="Arial" w:eastAsia="Arial" w:hAnsi="Arial"/>
          <w:sz w:val="21"/>
          <w:szCs w:val="21"/>
          <w:color w:val="auto"/>
        </w:rPr>
      </w:pPr>
    </w:p>
    <w:p>
      <w:pPr>
        <w:ind w:left="1700" w:hanging="633"/>
        <w:spacing w:after="0"/>
        <w:tabs>
          <w:tab w:leader="none" w:pos="17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in cash in any manner satisfactory to the Committee;</w:t>
      </w:r>
    </w:p>
    <w:p>
      <w:pPr>
        <w:spacing w:after="0" w:line="200" w:lineRule="exact"/>
        <w:rPr>
          <w:rFonts w:ascii="Arial" w:cs="Arial" w:eastAsia="Arial" w:hAnsi="Arial"/>
          <w:sz w:val="22"/>
          <w:szCs w:val="22"/>
          <w:color w:val="auto"/>
        </w:rPr>
      </w:pPr>
    </w:p>
    <w:p>
      <w:pPr>
        <w:spacing w:after="0" w:line="247" w:lineRule="exact"/>
        <w:rPr>
          <w:rFonts w:ascii="Arial" w:cs="Arial" w:eastAsia="Arial" w:hAnsi="Arial"/>
          <w:sz w:val="22"/>
          <w:szCs w:val="22"/>
          <w:color w:val="auto"/>
        </w:rPr>
      </w:pPr>
    </w:p>
    <w:p>
      <w:pPr>
        <w:jc w:val="both"/>
        <w:ind w:left="1700" w:right="40" w:hanging="633"/>
        <w:spacing w:after="0" w:line="338" w:lineRule="auto"/>
        <w:tabs>
          <w:tab w:leader="none" w:pos="17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by tendering (by either actual delivery of Shares or by attestation) unrestricted Shares owned by the person entitled to exercise the Stock Option having an aggregate Fair Market Value on the date of exercise equal to the Exercise Price applicable to such Stock Option exercise, and, with respect to the exercise of NQSOs, including restricted Shares;</w:t>
      </w:r>
    </w:p>
    <w:p>
      <w:pPr>
        <w:spacing w:after="0" w:line="348" w:lineRule="exact"/>
        <w:rPr>
          <w:rFonts w:ascii="Arial" w:cs="Arial" w:eastAsia="Arial" w:hAnsi="Arial"/>
          <w:sz w:val="22"/>
          <w:szCs w:val="22"/>
          <w:color w:val="auto"/>
        </w:rPr>
      </w:pPr>
    </w:p>
    <w:p>
      <w:pPr>
        <w:ind w:left="1700" w:right="40" w:hanging="633"/>
        <w:spacing w:after="0" w:line="331" w:lineRule="auto"/>
        <w:tabs>
          <w:tab w:leader="none" w:pos="17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by a combination of cash and unrestricted Shares that are owned on the date of exercise by the person entitled to exercise the Stock Option; and</w:t>
      </w:r>
    </w:p>
    <w:p>
      <w:pPr>
        <w:spacing w:after="0" w:line="352" w:lineRule="exact"/>
        <w:rPr>
          <w:rFonts w:ascii="Arial" w:cs="Arial" w:eastAsia="Arial" w:hAnsi="Arial"/>
          <w:sz w:val="22"/>
          <w:szCs w:val="22"/>
          <w:color w:val="auto"/>
        </w:rPr>
      </w:pPr>
    </w:p>
    <w:p>
      <w:pPr>
        <w:jc w:val="both"/>
        <w:ind w:left="1700" w:hanging="633"/>
        <w:spacing w:after="0" w:line="338" w:lineRule="auto"/>
        <w:tabs>
          <w:tab w:leader="none" w:pos="17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by any other method permitted by law and affirmatively approved by the Committee which assures full and immediate payment or satisfaction of the Exercise Price, which may, during any periods in which the Common Stock is publicly traded, include a broker-assisted cashless exercise.</w:t>
      </w:r>
    </w:p>
    <w:p>
      <w:pPr>
        <w:sectPr>
          <w:pgSz w:w="11900" w:h="16838" w:orient="portrait"/>
          <w:cols w:equalWidth="0" w:num="1">
            <w:col w:w="9160"/>
          </w:cols>
          <w:pgMar w:left="144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36 / 45</w:t>
      </w:r>
    </w:p>
    <w:p>
      <w:pPr>
        <w:sectPr>
          <w:pgSz w:w="11900" w:h="16838" w:orient="portrait"/>
          <w:cols w:equalWidth="0" w:num="1">
            <w:col w:w="9160"/>
          </w:cols>
          <w:pgMar w:left="1440" w:top="1440" w:right="1306" w:bottom="0" w:gutter="0" w:footer="0" w:header="0"/>
          <w:type w:val="continuous"/>
        </w:sectPr>
      </w:pPr>
    </w:p>
    <w:bookmarkStart w:id="273" w:name="page274"/>
    <w:bookmarkEnd w:id="273"/>
    <w:p>
      <w:pPr>
        <w:jc w:val="both"/>
        <w:ind w:left="1240"/>
        <w:spacing w:after="0" w:line="328" w:lineRule="auto"/>
        <w:rPr>
          <w:sz w:val="20"/>
          <w:szCs w:val="20"/>
          <w:color w:val="auto"/>
        </w:rPr>
      </w:pPr>
      <w:r>
        <w:rPr>
          <w:rFonts w:ascii="Arial" w:cs="Arial" w:eastAsia="Arial" w:hAnsi="Arial"/>
          <w:sz w:val="21"/>
          <w:szCs w:val="21"/>
          <w:color w:val="auto"/>
        </w:rPr>
        <w:t>The Committee may withhold its approval for any method of payment for any reason, in its sole discretion, including but not limited to concerns that the proposed method of payment will result in adverse financial accounting treatment for the Company, adverse tax treatment for the Company or a participant or a violation of any law applicable to the Company from time to time, and related regulations and guidance.</w:t>
      </w:r>
    </w:p>
    <w:p>
      <w:pPr>
        <w:spacing w:after="0" w:line="330" w:lineRule="exact"/>
        <w:rPr>
          <w:sz w:val="20"/>
          <w:szCs w:val="20"/>
          <w:color w:val="auto"/>
        </w:rPr>
      </w:pPr>
    </w:p>
    <w:p>
      <w:pPr>
        <w:jc w:val="both"/>
        <w:ind w:left="1240" w:right="40"/>
        <w:spacing w:after="0" w:line="307" w:lineRule="auto"/>
        <w:rPr>
          <w:sz w:val="20"/>
          <w:szCs w:val="20"/>
          <w:color w:val="auto"/>
        </w:rPr>
      </w:pPr>
      <w:r>
        <w:rPr>
          <w:rFonts w:ascii="Arial" w:cs="Arial" w:eastAsia="Arial" w:hAnsi="Arial"/>
          <w:sz w:val="22"/>
          <w:szCs w:val="22"/>
          <w:color w:val="auto"/>
        </w:rPr>
        <w:t>If the Exercise Price of an NQSO is paid by tendering Restricted Shares, then the Shares received upon the exercise will contain restrictions that are no less restrictive than the Restricted Shares so tendered.</w:t>
      </w:r>
    </w:p>
    <w:p>
      <w:pPr>
        <w:spacing w:after="0" w:line="373" w:lineRule="exact"/>
        <w:rPr>
          <w:sz w:val="20"/>
          <w:szCs w:val="20"/>
          <w:color w:val="auto"/>
        </w:rPr>
      </w:pPr>
    </w:p>
    <w:p>
      <w:pPr>
        <w:jc w:val="both"/>
        <w:ind w:left="1240" w:right="20" w:hanging="620"/>
        <w:spacing w:after="0" w:line="336" w:lineRule="auto"/>
        <w:tabs>
          <w:tab w:leader="none" w:pos="124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Form</w:t>
      </w:r>
      <w:r>
        <w:rPr>
          <w:rFonts w:ascii="Arial" w:cs="Arial" w:eastAsia="Arial" w:hAnsi="Arial"/>
          <w:sz w:val="22"/>
          <w:szCs w:val="22"/>
          <w:color w:val="auto"/>
        </w:rPr>
        <w:t>. Unless the grant of a Stock Option is expressly designated at the time of grant as an ISO, it is deemed to be an NQSO. ISOs are subject to the additional terms and conditions in Article 6.</w:t>
      </w:r>
    </w:p>
    <w:p>
      <w:pPr>
        <w:spacing w:after="0" w:line="347" w:lineRule="exact"/>
        <w:rPr>
          <w:rFonts w:ascii="Arial" w:cs="Arial" w:eastAsia="Arial" w:hAnsi="Arial"/>
          <w:sz w:val="22"/>
          <w:szCs w:val="22"/>
          <w:color w:val="auto"/>
        </w:rPr>
      </w:pPr>
    </w:p>
    <w:p>
      <w:pPr>
        <w:jc w:val="both"/>
        <w:ind w:left="1240" w:right="20" w:hanging="620"/>
        <w:spacing w:after="0" w:line="338" w:lineRule="auto"/>
        <w:tabs>
          <w:tab w:leader="none" w:pos="124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Special Limitations on Stock Option Awards</w:t>
      </w:r>
      <w:r>
        <w:rPr>
          <w:rFonts w:ascii="Arial" w:cs="Arial" w:eastAsia="Arial" w:hAnsi="Arial"/>
          <w:sz w:val="22"/>
          <w:szCs w:val="22"/>
          <w:color w:val="auto"/>
        </w:rPr>
        <w:t>. Unless an Award Agreement approved by the Committee provides otherwise, Stock Options awarded under this Plan are intended to meet the requirements for exclusion from coverage under Code Section 409A and applicable Treasury regulations and all Stock Option Awards shall be construed and administered accordingly.</w:t>
      </w:r>
    </w:p>
    <w:p>
      <w:pPr>
        <w:spacing w:after="0" w:line="325" w:lineRule="exact"/>
        <w:rPr>
          <w:sz w:val="20"/>
          <w:szCs w:val="20"/>
          <w:color w:val="auto"/>
        </w:rPr>
      </w:pPr>
    </w:p>
    <w:p>
      <w:pPr>
        <w:jc w:val="both"/>
        <w:ind w:right="40"/>
        <w:spacing w:after="0" w:line="346"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Termination of Grants Prior to Expiration</w:t>
      </w:r>
      <w:r>
        <w:rPr>
          <w:rFonts w:ascii="Arial" w:cs="Arial" w:eastAsia="Arial" w:hAnsi="Arial"/>
          <w:sz w:val="20"/>
          <w:szCs w:val="20"/>
          <w:color w:val="auto"/>
        </w:rPr>
        <w:t>. Subject to Article 6 with respect to ISOs, if the employment of a Participant with the Bank, the Company or its Affiliates terminates for any reason, all unexercised Stock Options may be exercised only in accordance with rules established by the Committee or as specified in the relevant agreement evidencing the Stock Options. Such rules may provide, as the Committee deems appropriate, for the expiration, continuation (but only to the originally scheduled expiration date), or acceleration of the vesting of all or part of the Stock Options.</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 / 45</w:t>
      </w:r>
    </w:p>
    <w:p>
      <w:pPr>
        <w:sectPr>
          <w:pgSz w:w="11900" w:h="16838" w:orient="portrait"/>
          <w:cols w:equalWidth="0" w:num="1">
            <w:col w:w="9360"/>
          </w:cols>
          <w:pgMar w:left="1260" w:top="1177" w:right="1286" w:bottom="0" w:gutter="0" w:footer="0" w:header="0"/>
          <w:type w:val="continuous"/>
        </w:sectPr>
      </w:pPr>
    </w:p>
    <w:bookmarkStart w:id="274" w:name="page275"/>
    <w:bookmarkEnd w:id="274"/>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Special Rules Applicable to Incentive Stock Options</w:t>
      </w:r>
    </w:p>
    <w:p>
      <w:pPr>
        <w:spacing w:after="0" w:line="200" w:lineRule="exact"/>
        <w:rPr>
          <w:sz w:val="20"/>
          <w:szCs w:val="20"/>
          <w:color w:val="auto"/>
        </w:rPr>
      </w:pPr>
    </w:p>
    <w:p>
      <w:pPr>
        <w:spacing w:after="0" w:line="218" w:lineRule="exact"/>
        <w:rPr>
          <w:sz w:val="20"/>
          <w:szCs w:val="20"/>
          <w:color w:val="auto"/>
        </w:rPr>
      </w:pPr>
    </w:p>
    <w:p>
      <w:pPr>
        <w:jc w:val="both"/>
        <w:ind w:right="40"/>
        <w:spacing w:after="0" w:line="307"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Eligibility</w:t>
      </w:r>
      <w:r>
        <w:rPr>
          <w:rFonts w:ascii="Arial" w:cs="Arial" w:eastAsia="Arial" w:hAnsi="Arial"/>
          <w:sz w:val="22"/>
          <w:szCs w:val="22"/>
          <w:color w:val="auto"/>
        </w:rPr>
        <w:t>. Notwithstanding any other provision of this Plan to the contrary, an ISO may only be granted to an Eligible Participant who is a full or part-time employee (including officers) of the Bank, the Company or of an Affiliate which is a Parent or Subsidiary of the Company.</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Special ISO Rules</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ind w:left="1240" w:right="40" w:hanging="575"/>
        <w:spacing w:after="0" w:line="307" w:lineRule="auto"/>
        <w:tabs>
          <w:tab w:leader="none" w:pos="1099"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xml:space="preserve"> No ISO may be exercisable on or after the tenth anniversary of the Date of Grant, and no ISO may be granted under this Plan on or after the tenth anniversary of the effective date of this Plan.</w:t>
      </w:r>
    </w:p>
    <w:p>
      <w:pPr>
        <w:spacing w:after="0" w:line="349" w:lineRule="exact"/>
        <w:rPr>
          <w:rFonts w:ascii="Arial" w:cs="Arial" w:eastAsia="Arial" w:hAnsi="Arial"/>
          <w:sz w:val="22"/>
          <w:szCs w:val="22"/>
          <w:color w:val="auto"/>
        </w:rPr>
      </w:pPr>
    </w:p>
    <w:p>
      <w:pPr>
        <w:ind w:left="1240" w:right="40" w:hanging="575"/>
        <w:spacing w:after="0" w:line="311" w:lineRule="auto"/>
        <w:tabs>
          <w:tab w:leader="none" w:pos="1093"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Ten Percent Shareholder</w:t>
      </w:r>
      <w:r>
        <w:rPr>
          <w:rFonts w:ascii="Arial" w:cs="Arial" w:eastAsia="Arial" w:hAnsi="Arial"/>
          <w:sz w:val="22"/>
          <w:szCs w:val="22"/>
          <w:color w:val="auto"/>
        </w:rPr>
        <w:t>. No Participant may receive an ISO under this Plan if such Participant, at the time the Award is granted, owns (after application of the rules contained in Section 424(d) of the Code) equity securities possessing more than 10% of the total combined voting power of all classes of equity securities of the Company, its Parent or any Subsidiary, unless (i) the option price for such ISO is at least 110% of the Fair Market Value of the Shares as of the Date of Grant, and (ii) such ISO is not exercisable on or after the fifth anniversary of the Date of Grant.</w:t>
      </w:r>
    </w:p>
    <w:p>
      <w:pPr>
        <w:spacing w:after="0" w:line="345" w:lineRule="exact"/>
        <w:rPr>
          <w:rFonts w:ascii="Arial" w:cs="Arial" w:eastAsia="Arial" w:hAnsi="Arial"/>
          <w:sz w:val="22"/>
          <w:szCs w:val="22"/>
          <w:color w:val="auto"/>
        </w:rPr>
      </w:pPr>
    </w:p>
    <w:p>
      <w:pPr>
        <w:ind w:left="1240" w:hanging="575"/>
        <w:spacing w:after="0" w:line="346" w:lineRule="auto"/>
        <w:tabs>
          <w:tab w:leader="none" w:pos="1093"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Limitation on Grants</w:t>
      </w:r>
      <w:r>
        <w:rPr>
          <w:rFonts w:ascii="Arial" w:cs="Arial" w:eastAsia="Arial" w:hAnsi="Arial"/>
          <w:sz w:val="20"/>
          <w:szCs w:val="20"/>
          <w:color w:val="auto"/>
        </w:rPr>
        <w:t>. The aggregate Fair Market Value (determined with respect to each ISO at the time of grant) of the Shares with respect to which ISOs are exercisable for the first time by a Participant during any calendar year (under this Plan or any other plan adopted by the Company or its Parent or its Subsidiary) shall not exceed $100,000. Unless otherwise set forth in an Award Agreement, if such aggregate Fair Market Value shall exceed $100,000, such number of ISOs as shall have an aggregate Fair Market Value equal to the amount in excess of $100,000 shall be treated as NQSOs.</w:t>
      </w:r>
    </w:p>
    <w:p>
      <w:pPr>
        <w:spacing w:after="0" w:line="319" w:lineRule="exact"/>
        <w:rPr>
          <w:rFonts w:ascii="Arial" w:cs="Arial" w:eastAsia="Arial" w:hAnsi="Arial"/>
          <w:sz w:val="20"/>
          <w:szCs w:val="20"/>
          <w:color w:val="auto"/>
        </w:rPr>
      </w:pPr>
    </w:p>
    <w:p>
      <w:pPr>
        <w:ind w:left="1240" w:right="40" w:hanging="575"/>
        <w:spacing w:after="0" w:line="347" w:lineRule="auto"/>
        <w:tabs>
          <w:tab w:leader="none" w:pos="1093"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Non-Transferability</w:t>
      </w:r>
      <w:r>
        <w:rPr>
          <w:rFonts w:ascii="Arial" w:cs="Arial" w:eastAsia="Arial" w:hAnsi="Arial"/>
          <w:sz w:val="20"/>
          <w:szCs w:val="20"/>
          <w:color w:val="auto"/>
        </w:rPr>
        <w:t>. Notwithstanding any other provision herein to the contrary, no ISO granted hereunder (and, if applicable, related Stock Appreciation Right) may be transferred except by will or by the laws of descent and distribution, nor may such ISO (or related Stock Appreciation Right) be exercisable during the Participant's lifetime other than by him (or his guardian or legal representative to the extent permitted by applicable law).</w:t>
      </w:r>
    </w:p>
    <w:p>
      <w:pPr>
        <w:spacing w:after="0" w:line="317" w:lineRule="exact"/>
        <w:rPr>
          <w:rFonts w:ascii="Arial" w:cs="Arial" w:eastAsia="Arial" w:hAnsi="Arial"/>
          <w:sz w:val="20"/>
          <w:szCs w:val="20"/>
          <w:color w:val="auto"/>
        </w:rPr>
      </w:pPr>
    </w:p>
    <w:p>
      <w:pPr>
        <w:jc w:val="right"/>
        <w:ind w:left="1240" w:right="60" w:hanging="575"/>
        <w:spacing w:after="0" w:line="346" w:lineRule="auto"/>
        <w:tabs>
          <w:tab w:leader="none" w:pos="1093"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No ISO may be exercised more than three months following termination of employment for any reason (including retirement) other than death or Disability, nor more than one year following termination of employment for the reason of death or Disability (as defined in Section 422 of the Code). If the Award Agreement for an ISO permits exercise after such date such option will no longer qualify as an ISO and shall thereafter be, and receive the tax treatment applicable to, an NQSO. For this purpose, a</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 / 45</w:t>
      </w:r>
    </w:p>
    <w:p>
      <w:pPr>
        <w:sectPr>
          <w:pgSz w:w="11900" w:h="16838" w:orient="portrait"/>
          <w:cols w:equalWidth="0" w:num="1">
            <w:col w:w="9380"/>
          </w:cols>
          <w:pgMar w:left="1260" w:top="1440" w:right="1266" w:bottom="0" w:gutter="0" w:footer="0" w:header="0"/>
          <w:type w:val="continuous"/>
        </w:sectPr>
      </w:pPr>
    </w:p>
    <w:bookmarkStart w:id="275" w:name="page276"/>
    <w:bookmarkEnd w:id="275"/>
    <w:p>
      <w:pPr>
        <w:jc w:val="both"/>
        <w:ind w:left="1240" w:right="60"/>
        <w:spacing w:after="0" w:line="307" w:lineRule="auto"/>
        <w:rPr>
          <w:sz w:val="20"/>
          <w:szCs w:val="20"/>
          <w:color w:val="auto"/>
        </w:rPr>
      </w:pPr>
      <w:r>
        <w:rPr>
          <w:rFonts w:ascii="Arial" w:cs="Arial" w:eastAsia="Arial" w:hAnsi="Arial"/>
          <w:sz w:val="22"/>
          <w:szCs w:val="22"/>
          <w:color w:val="auto"/>
        </w:rPr>
        <w:t>termination of employment is cessation of employment such that no employment relationship exists between the Participant and the Bank, the Company, a Parent or a Subsidiary.</w:t>
      </w:r>
    </w:p>
    <w:p>
      <w:pPr>
        <w:spacing w:after="0" w:line="349" w:lineRule="exact"/>
        <w:rPr>
          <w:sz w:val="20"/>
          <w:szCs w:val="20"/>
          <w:color w:val="auto"/>
        </w:rPr>
      </w:pPr>
    </w:p>
    <w:p>
      <w:pPr>
        <w:ind w:left="1240" w:right="40" w:hanging="575"/>
        <w:spacing w:after="0" w:line="328" w:lineRule="auto"/>
        <w:tabs>
          <w:tab w:leader="none" w:pos="1093"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Fair Market Value</w:t>
      </w:r>
      <w:r>
        <w:rPr>
          <w:rFonts w:ascii="Arial" w:cs="Arial" w:eastAsia="Arial" w:hAnsi="Arial"/>
          <w:sz w:val="21"/>
          <w:szCs w:val="21"/>
          <w:color w:val="auto"/>
        </w:rPr>
        <w:t>. For purposes of any ISO granted hereunder (or, if applicable, related Stock Appreciation Right), the Fair Market Value of Shares shall be determined in the manner required by Section 422 of the Code and any Treasury regulations thereunder.</w:t>
      </w:r>
    </w:p>
    <w:p>
      <w:pPr>
        <w:spacing w:after="0" w:line="330" w:lineRule="exact"/>
        <w:rPr>
          <w:sz w:val="20"/>
          <w:szCs w:val="20"/>
          <w:color w:val="auto"/>
        </w:rPr>
      </w:pPr>
    </w:p>
    <w:p>
      <w:pPr>
        <w:jc w:val="both"/>
        <w:spacing w:after="0" w:line="310"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Subject to Code Amendments</w:t>
      </w:r>
      <w:r>
        <w:rPr>
          <w:rFonts w:ascii="Arial" w:cs="Arial" w:eastAsia="Arial" w:hAnsi="Arial"/>
          <w:sz w:val="22"/>
          <w:szCs w:val="22"/>
          <w:color w:val="auto"/>
        </w:rPr>
        <w:t>. The foregoing limitations are designed to comply with the requirements of Section 422 of the Code and shall be automatically amended or modified to comply with amendments or modifications to Section 422 of the Code. Any ISO which fails to comply with Section 422 of the Code is automatically treated as an NQSO appropriately granted under this Plan provided it otherwise meets the Plan's requirements for NQSOs.</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39 / 45</w:t>
      </w:r>
    </w:p>
    <w:p>
      <w:pPr>
        <w:sectPr>
          <w:pgSz w:w="11900" w:h="16838" w:orient="portrait"/>
          <w:cols w:equalWidth="0" w:num="1">
            <w:col w:w="9340"/>
          </w:cols>
          <w:pgMar w:left="1260" w:top="1177" w:right="1306" w:bottom="0" w:gutter="0" w:footer="0" w:header="0"/>
          <w:type w:val="continuous"/>
        </w:sectPr>
      </w:pPr>
    </w:p>
    <w:bookmarkStart w:id="276" w:name="page277"/>
    <w:bookmarkEnd w:id="276"/>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Appreciation Rights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SAR Grant and Agreement</w:t>
      </w:r>
      <w:r>
        <w:rPr>
          <w:rFonts w:ascii="Arial" w:cs="Arial" w:eastAsia="Arial" w:hAnsi="Arial"/>
          <w:sz w:val="20"/>
          <w:szCs w:val="20"/>
          <w:color w:val="auto"/>
        </w:rPr>
        <w:t>. Stock Appreciation Rights (including SOSARs as set forth below) may</w:t>
      </w:r>
    </w:p>
    <w:p>
      <w:pPr>
        <w:spacing w:after="0" w:line="100" w:lineRule="exact"/>
        <w:rPr>
          <w:sz w:val="20"/>
          <w:szCs w:val="20"/>
          <w:color w:val="auto"/>
        </w:rPr>
      </w:pPr>
    </w:p>
    <w:p>
      <w:pPr>
        <w:spacing w:after="0"/>
        <w:rPr>
          <w:sz w:val="20"/>
          <w:szCs w:val="20"/>
          <w:color w:val="auto"/>
        </w:rPr>
      </w:pPr>
      <w:r>
        <w:rPr>
          <w:rFonts w:ascii="Arial" w:cs="Arial" w:eastAsia="Arial" w:hAnsi="Arial"/>
          <w:sz w:val="21"/>
          <w:szCs w:val="21"/>
          <w:color w:val="auto"/>
        </w:rPr>
        <w:t>be granted under this Plan and each SAR granted under this Plan will be evidenced by minutes of a</w:t>
      </w:r>
    </w:p>
    <w:p>
      <w:pPr>
        <w:spacing w:after="0" w:line="89" w:lineRule="exact"/>
        <w:rPr>
          <w:sz w:val="20"/>
          <w:szCs w:val="20"/>
          <w:color w:val="auto"/>
        </w:rPr>
      </w:pPr>
    </w:p>
    <w:p>
      <w:pPr>
        <w:spacing w:after="0"/>
        <w:rPr>
          <w:sz w:val="20"/>
          <w:szCs w:val="20"/>
          <w:color w:val="auto"/>
        </w:rPr>
      </w:pPr>
      <w:r>
        <w:rPr>
          <w:rFonts w:ascii="Arial" w:cs="Arial" w:eastAsia="Arial" w:hAnsi="Arial"/>
          <w:sz w:val="21"/>
          <w:szCs w:val="21"/>
          <w:color w:val="auto"/>
        </w:rPr>
        <w:t>meeting, or by a unanimous written consent without a meeting, of the Committee and by an Award</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color w:val="auto"/>
        </w:rPr>
        <w:t>Agreement dated as of the Date of Grant and executed by the Company and by the appropriate Participant.</w:t>
      </w:r>
    </w:p>
    <w:p>
      <w:pPr>
        <w:spacing w:after="0" w:line="200" w:lineRule="exact"/>
        <w:rPr>
          <w:sz w:val="20"/>
          <w:szCs w:val="20"/>
          <w:color w:val="auto"/>
        </w:rPr>
      </w:pPr>
    </w:p>
    <w:p>
      <w:pPr>
        <w:spacing w:after="0" w:line="265" w:lineRule="exact"/>
        <w:rPr>
          <w:sz w:val="20"/>
          <w:szCs w:val="20"/>
          <w:color w:val="auto"/>
        </w:rPr>
      </w:pPr>
    </w:p>
    <w:p>
      <w:pPr>
        <w:jc w:val="both"/>
        <w:ind w:left="1240" w:right="40" w:hanging="620"/>
        <w:spacing w:after="0" w:line="377" w:lineRule="auto"/>
        <w:tabs>
          <w:tab w:leader="none" w:pos="124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Any unexercised portion of a Stock Appreciation Right granted hereunder shall expire at the end of the stated term of the Stock Appreciation Right. The Committee shall determine the term of each Stock Appreciation Right at the time of grant, which term shall not exceed ten years from the Date of Grant. The Committee may extend the term of a Stock Appreciation Right, in its discretion, but not beyond the date immediately prior to the tenth anniversary of the original Date of Grant. If a definite term is not specified by the Committee at the time of grant, then the term is deemed to be ten years.</w:t>
      </w:r>
    </w:p>
    <w:p>
      <w:pPr>
        <w:spacing w:after="0" w:line="321" w:lineRule="exact"/>
        <w:rPr>
          <w:rFonts w:ascii="Arial" w:cs="Arial" w:eastAsia="Arial" w:hAnsi="Arial"/>
          <w:sz w:val="20"/>
          <w:szCs w:val="20"/>
          <w:color w:val="auto"/>
        </w:rPr>
      </w:pPr>
    </w:p>
    <w:p>
      <w:pPr>
        <w:jc w:val="both"/>
        <w:ind w:left="1240" w:right="60" w:hanging="620"/>
        <w:spacing w:after="0" w:line="338" w:lineRule="auto"/>
        <w:tabs>
          <w:tab w:leader="none" w:pos="124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A Stock Appreciation Right is exercisable, in whole or in part, at such time or times as determined by the Committee at or after the time of grant. Unless otherwise determined by the Committee in connection with the grant and set forth in the Award Agreement, all unvested Stock Appreciation Rights shall immediately vest upon the Death or Disability of the Participant.</w:t>
      </w:r>
    </w:p>
    <w:p>
      <w:pPr>
        <w:spacing w:after="0" w:line="337" w:lineRule="exact"/>
        <w:rPr>
          <w:rFonts w:ascii="Arial" w:cs="Arial" w:eastAsia="Arial" w:hAnsi="Arial"/>
          <w:sz w:val="22"/>
          <w:szCs w:val="22"/>
          <w:color w:val="auto"/>
        </w:rPr>
      </w:pPr>
    </w:p>
    <w:p>
      <w:pPr>
        <w:ind w:left="1240" w:hanging="620"/>
        <w:spacing w:after="0"/>
        <w:tabs>
          <w:tab w:leader="none" w:pos="12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Exercise</w:t>
      </w:r>
    </w:p>
    <w:p>
      <w:pPr>
        <w:spacing w:after="0" w:line="117" w:lineRule="exact"/>
        <w:rPr>
          <w:rFonts w:ascii="Arial" w:cs="Arial" w:eastAsia="Arial" w:hAnsi="Arial"/>
          <w:sz w:val="22"/>
          <w:szCs w:val="22"/>
          <w:color w:val="auto"/>
        </w:rPr>
      </w:pPr>
    </w:p>
    <w:p>
      <w:pPr>
        <w:jc w:val="both"/>
        <w:ind w:left="1240" w:right="40"/>
        <w:spacing w:after="0" w:line="357" w:lineRule="auto"/>
        <w:rPr>
          <w:rFonts w:ascii="Arial" w:cs="Arial" w:eastAsia="Arial" w:hAnsi="Arial"/>
          <w:sz w:val="22"/>
          <w:szCs w:val="22"/>
          <w:color w:val="auto"/>
        </w:rPr>
      </w:pPr>
      <w:r>
        <w:rPr>
          <w:rFonts w:ascii="Arial" w:cs="Arial" w:eastAsia="Arial" w:hAnsi="Arial"/>
          <w:sz w:val="21"/>
          <w:szCs w:val="21"/>
          <w:u w:val="single" w:color="auto"/>
          <w:color w:val="auto"/>
        </w:rPr>
        <w:t>Price</w:t>
      </w:r>
      <w:r>
        <w:rPr>
          <w:rFonts w:ascii="Arial" w:cs="Arial" w:eastAsia="Arial" w:hAnsi="Arial"/>
          <w:sz w:val="21"/>
          <w:szCs w:val="21"/>
          <w:color w:val="auto"/>
        </w:rPr>
        <w:t>. Subject to Section 3.3, the Exercise Price of a Stock Appreciation Right will never be less than 100% of the Fair Market Value of the related Shares on the Date of Grant. Except as otherwise provided in Section 3.3, no subsequent amendment of an outstanding Stock Appreciation Right may reduce the Exercise Price to less than 100% of the Fair Market Value of the Shares on the Date of Grant. Nothing in this Section 7.1(c) shall be construed as limiting the Committee's authority to grant premium price Stock Appreciation Rights which do not become exercisable until the Fair Market Value of the related Shares exceeds a specified percentage (e.g., 110%) of the Exercise Price; provided, however, that such percentage will never be less than 100%.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791210</wp:posOffset>
                </wp:positionH>
                <wp:positionV relativeFrom="paragraph">
                  <wp:posOffset>-2138045</wp:posOffset>
                </wp:positionV>
                <wp:extent cx="4885055" cy="0"/>
                <wp:wrapNone/>
                <wp:docPr id="722" name="Shape 7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5055"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722" o:spid="_x0000_s17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3pt,-168.3499pt" to="446.95pt,-168.3499pt" o:allowincell="f" strokecolor="#000000" strokeweight="0.5369pt"/>
            </w:pict>
          </mc:Fallback>
        </mc:AlternateConten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 / 45</w:t>
      </w:r>
    </w:p>
    <w:p>
      <w:pPr>
        <w:sectPr>
          <w:pgSz w:w="11900" w:h="16838" w:orient="portrait"/>
          <w:cols w:equalWidth="0" w:num="1">
            <w:col w:w="9380"/>
          </w:cols>
          <w:pgMar w:left="1260" w:top="1440" w:right="1266" w:bottom="0" w:gutter="0" w:footer="0" w:header="0"/>
          <w:type w:val="continuous"/>
        </w:sectPr>
      </w:pPr>
    </w:p>
    <w:bookmarkStart w:id="277" w:name="page278"/>
    <w:bookmarkEnd w:id="277"/>
    <w:p>
      <w:pPr>
        <w:ind w:left="1060" w:hanging="620"/>
        <w:spacing w:after="0" w:line="376" w:lineRule="auto"/>
        <w:tabs>
          <w:tab w:leader="none" w:pos="106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Method of Exercise</w:t>
      </w:r>
      <w:r>
        <w:rPr>
          <w:rFonts w:ascii="Arial" w:cs="Arial" w:eastAsia="Arial" w:hAnsi="Arial"/>
          <w:sz w:val="20"/>
          <w:szCs w:val="20"/>
          <w:color w:val="auto"/>
        </w:rPr>
        <w:t>. A Stock Appreciation Right may be exercised in whole or in part during the term by giving written notice of exercise to the Company specifying the number of Shares in respect of which the Stock Appreciation Right is being exercised. The notice must be given by or on behalf of a person entitled to exercise the Stock Appreciation Right. Upon the exercise of a Stock Appreciation Right, subject to satisfaction of the tax withholding requirements pursuant to Article 15, the holder of the Stock Appreciation Right is entitled to receive Shares or cash as specified in the original Award Agreement (as set forth below) equal in value to the excess of the Fair Market Value of a Share on the exercise date over the Exercise Price of the SAR multiplied by the number of Stock Appreciation Rights being exercised. At any time the Fair Market Value of a Share on a proposed exercise date does not exceed the Exercise Price of the SAR, the holder of the Stock Appreciation Right shall not be permitted to exercise such right.</w:t>
      </w:r>
    </w:p>
    <w:p>
      <w:pPr>
        <w:spacing w:after="0" w:line="326" w:lineRule="exact"/>
        <w:rPr>
          <w:rFonts w:ascii="Arial" w:cs="Arial" w:eastAsia="Arial" w:hAnsi="Arial"/>
          <w:sz w:val="20"/>
          <w:szCs w:val="20"/>
          <w:color w:val="auto"/>
        </w:rPr>
      </w:pPr>
    </w:p>
    <w:p>
      <w:pPr>
        <w:jc w:val="both"/>
        <w:ind w:left="1700" w:right="40" w:hanging="633"/>
        <w:spacing w:after="0" w:line="379" w:lineRule="auto"/>
        <w:tabs>
          <w:tab w:leader="none" w:pos="1700" w:val="left"/>
        </w:tabs>
        <w:numPr>
          <w:ilvl w:val="1"/>
          <w:numId w:val="57"/>
        </w:numPr>
        <w:rPr>
          <w:rFonts w:ascii="Arial" w:cs="Arial" w:eastAsia="Arial" w:hAnsi="Arial"/>
          <w:sz w:val="20"/>
          <w:szCs w:val="20"/>
          <w:color w:val="auto"/>
        </w:rPr>
      </w:pPr>
      <w:r>
        <w:rPr>
          <w:rFonts w:ascii="Arial" w:cs="Arial" w:eastAsia="Arial" w:hAnsi="Arial"/>
          <w:sz w:val="20"/>
          <w:szCs w:val="20"/>
          <w:color w:val="auto"/>
        </w:rPr>
        <w:t>Stock Appreciation Right designated as a Stock Only Stock Appreciation Right ("SOSAR") in the original Award Agreement. With respect to an Award designated by the Company in the original Award Agreement as a SOSAR, the Participant shall be entitled to receive only Shares of the Company upon exercise.</w:t>
      </w:r>
    </w:p>
    <w:p>
      <w:pPr>
        <w:spacing w:after="0" w:line="293" w:lineRule="exact"/>
        <w:rPr>
          <w:rFonts w:ascii="Arial" w:cs="Arial" w:eastAsia="Arial" w:hAnsi="Arial"/>
          <w:sz w:val="20"/>
          <w:szCs w:val="20"/>
          <w:color w:val="auto"/>
        </w:rPr>
      </w:pPr>
    </w:p>
    <w:p>
      <w:pPr>
        <w:ind w:left="1700" w:right="40" w:hanging="633"/>
        <w:spacing w:after="0" w:line="328" w:lineRule="auto"/>
        <w:tabs>
          <w:tab w:leader="none" w:pos="1513" w:val="left"/>
        </w:tabs>
        <w:numPr>
          <w:ilvl w:val="1"/>
          <w:numId w:val="57"/>
        </w:numPr>
        <w:rPr>
          <w:rFonts w:ascii="Arial" w:cs="Arial" w:eastAsia="Arial" w:hAnsi="Arial"/>
          <w:sz w:val="21"/>
          <w:szCs w:val="21"/>
          <w:color w:val="auto"/>
        </w:rPr>
      </w:pPr>
      <w:r>
        <w:rPr>
          <w:rFonts w:ascii="Arial" w:cs="Arial" w:eastAsia="Arial" w:hAnsi="Arial"/>
          <w:sz w:val="21"/>
          <w:szCs w:val="21"/>
          <w:color w:val="auto"/>
        </w:rPr>
        <w:t>All Other Stock Appreciation Rights. With respect to all other Awards the holder shall be entitled to the cash or other property set forth in the Award Agreement.</w:t>
      </w:r>
    </w:p>
    <w:p>
      <w:pPr>
        <w:spacing w:after="0" w:line="343" w:lineRule="exact"/>
        <w:rPr>
          <w:sz w:val="20"/>
          <w:szCs w:val="20"/>
          <w:color w:val="auto"/>
        </w:rPr>
      </w:pPr>
    </w:p>
    <w:p>
      <w:pPr>
        <w:ind w:left="440"/>
        <w:spacing w:after="0"/>
        <w:tabs>
          <w:tab w:leader="none" w:pos="1040" w:val="left"/>
          <w:tab w:leader="none" w:pos="2780" w:val="left"/>
          <w:tab w:leader="none" w:pos="5140" w:val="left"/>
          <w:tab w:leader="none" w:pos="68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Early</w:t>
      </w:r>
      <w:r>
        <w:rPr>
          <w:sz w:val="20"/>
          <w:szCs w:val="20"/>
          <w:color w:val="auto"/>
        </w:rPr>
        <w:tab/>
      </w:r>
      <w:r>
        <w:rPr>
          <w:rFonts w:ascii="Arial" w:cs="Arial" w:eastAsia="Arial" w:hAnsi="Arial"/>
          <w:sz w:val="22"/>
          <w:szCs w:val="22"/>
          <w:color w:val="auto"/>
        </w:rPr>
        <w:t>Termination</w:t>
      </w:r>
      <w:r>
        <w:rPr>
          <w:sz w:val="20"/>
          <w:szCs w:val="20"/>
          <w:color w:val="auto"/>
        </w:rPr>
        <w:tab/>
      </w:r>
      <w:r>
        <w:rPr>
          <w:rFonts w:ascii="Arial" w:cs="Arial" w:eastAsia="Arial" w:hAnsi="Arial"/>
          <w:sz w:val="22"/>
          <w:szCs w:val="22"/>
          <w:color w:val="auto"/>
        </w:rPr>
        <w:t>Prior</w:t>
      </w:r>
      <w:r>
        <w:rPr>
          <w:sz w:val="20"/>
          <w:szCs w:val="20"/>
          <w:color w:val="auto"/>
        </w:rPr>
        <w:tab/>
      </w: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676910</wp:posOffset>
                </wp:positionH>
                <wp:positionV relativeFrom="paragraph">
                  <wp:posOffset>-10160</wp:posOffset>
                </wp:positionV>
                <wp:extent cx="4582795" cy="0"/>
                <wp:wrapNone/>
                <wp:docPr id="723" name="Shape 7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82795"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723" o:spid="_x0000_s17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3pt,-0.7999pt" to="414.15pt,-0.7999pt" o:allowincell="f" strokecolor="#000000" strokeweight="0.5369pt"/>
            </w:pict>
          </mc:Fallback>
        </mc:AlternateContent>
      </w:r>
    </w:p>
    <w:p>
      <w:pPr>
        <w:spacing w:after="0" w:line="98" w:lineRule="exact"/>
        <w:rPr>
          <w:sz w:val="20"/>
          <w:szCs w:val="20"/>
          <w:color w:val="auto"/>
        </w:rPr>
      </w:pPr>
    </w:p>
    <w:p>
      <w:pPr>
        <w:jc w:val="both"/>
        <w:ind w:left="1060" w:right="40"/>
        <w:spacing w:after="0" w:line="339" w:lineRule="auto"/>
        <w:rPr>
          <w:sz w:val="20"/>
          <w:szCs w:val="20"/>
          <w:color w:val="auto"/>
        </w:rPr>
      </w:pPr>
      <w:r>
        <w:rPr>
          <w:rFonts w:ascii="Arial" w:cs="Arial" w:eastAsia="Arial" w:hAnsi="Arial"/>
          <w:sz w:val="22"/>
          <w:szCs w:val="22"/>
          <w:u w:val="single" w:color="auto"/>
          <w:color w:val="auto"/>
        </w:rPr>
        <w:t>Expiration</w:t>
      </w:r>
      <w:r>
        <w:rPr>
          <w:rFonts w:ascii="Arial" w:cs="Arial" w:eastAsia="Arial" w:hAnsi="Arial"/>
          <w:sz w:val="22"/>
          <w:szCs w:val="22"/>
          <w:color w:val="auto"/>
        </w:rPr>
        <w:t>. If the employment of a Participant with the Bank, the Company or its Affiliates terminates for any reason, all unexercised Stock Appreciation Rights may be exercised only in accordance with rules established by the Committee or as specified in the relevant agreement evidencing such Stock Appreciation Rights. Such rules may provide, as the Committee deems appropriate, for the expiration, continuation (but only to the originally scheduled expiration date), or acceleration of the vesting of all or part of such Stock Appreciation Rights.</w:t>
      </w:r>
    </w:p>
    <w:p>
      <w:pPr>
        <w:spacing w:after="0" w:line="28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20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41 / 45</w:t>
      </w:r>
    </w:p>
    <w:p>
      <w:pPr>
        <w:sectPr>
          <w:pgSz w:w="11900" w:h="16838" w:orient="portrait"/>
          <w:cols w:equalWidth="0" w:num="1">
            <w:col w:w="9200"/>
          </w:cols>
          <w:pgMar w:left="1440" w:top="1200" w:right="1266" w:bottom="0" w:gutter="0" w:footer="0" w:header="0"/>
          <w:type w:val="continuous"/>
        </w:sectPr>
      </w:pPr>
    </w:p>
    <w:bookmarkStart w:id="278" w:name="page279"/>
    <w:bookmarkEnd w:id="278"/>
    <w:p>
      <w:pPr>
        <w:spacing w:after="0" w:line="200" w:lineRule="exact"/>
        <w:rPr>
          <w:sz w:val="20"/>
          <w:szCs w:val="20"/>
          <w:color w:val="auto"/>
        </w:rPr>
      </w:pPr>
    </w:p>
    <w:p>
      <w:pPr>
        <w:spacing w:after="0" w:line="257"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Other Terms and Conditions of SAR Grants</w:t>
      </w:r>
      <w:r>
        <w:rPr>
          <w:rFonts w:ascii="Arial" w:cs="Arial" w:eastAsia="Arial" w:hAnsi="Arial"/>
          <w:sz w:val="22"/>
          <w:szCs w:val="22"/>
          <w:color w:val="auto"/>
        </w:rPr>
        <w:t>. Stock Appreciation Rights are subject to such other terms and conditions, not inconsistent with the provisions of this Plan, as are determined from time to time by the Committee.</w:t>
      </w:r>
    </w:p>
    <w:p>
      <w:pPr>
        <w:spacing w:after="0" w:line="349" w:lineRule="exact"/>
        <w:rPr>
          <w:sz w:val="20"/>
          <w:szCs w:val="20"/>
          <w:color w:val="auto"/>
        </w:rPr>
      </w:pPr>
    </w:p>
    <w:p>
      <w:pPr>
        <w:jc w:val="both"/>
        <w:ind w:right="40"/>
        <w:spacing w:after="0" w:line="310"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Special Limitations on SAR Awards</w:t>
      </w:r>
      <w:r>
        <w:rPr>
          <w:rFonts w:ascii="Arial" w:cs="Arial" w:eastAsia="Arial" w:hAnsi="Arial"/>
          <w:sz w:val="22"/>
          <w:szCs w:val="22"/>
          <w:color w:val="auto"/>
        </w:rPr>
        <w:t>. Unless an Award Agreement approved by the Committee provides otherwise, Stock Appreciation Rights awarded under this Plan are intended to meet the requirements for the stock rights exemption from coverage under Code Section 409A described in Treasury Regulation Section 1.409A-1(b)(5) and all Stock Appreciation Rights Awards shall be construed and administered accordingly.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Share and Restricted Share Unit Awards</w:t>
      </w:r>
    </w:p>
    <w:p>
      <w:pPr>
        <w:spacing w:after="0" w:line="200" w:lineRule="exact"/>
        <w:rPr>
          <w:sz w:val="20"/>
          <w:szCs w:val="20"/>
          <w:color w:val="auto"/>
        </w:rPr>
      </w:pPr>
    </w:p>
    <w:p>
      <w:pPr>
        <w:spacing w:after="0" w:line="207" w:lineRule="exact"/>
        <w:rPr>
          <w:sz w:val="20"/>
          <w:szCs w:val="20"/>
          <w:color w:val="auto"/>
        </w:rPr>
      </w:pPr>
    </w:p>
    <w:p>
      <w:pPr>
        <w:spacing w:after="0"/>
        <w:tabs>
          <w:tab w:leader="none" w:pos="1700" w:val="left"/>
          <w:tab w:leader="none" w:pos="3940" w:val="left"/>
          <w:tab w:leader="none" w:pos="5780" w:val="left"/>
          <w:tab w:leader="none" w:pos="770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Restricted</w:t>
      </w:r>
      <w:r>
        <w:rPr>
          <w:sz w:val="20"/>
          <w:szCs w:val="20"/>
          <w:color w:val="auto"/>
        </w:rPr>
        <w:tab/>
      </w:r>
      <w:r>
        <w:rPr>
          <w:rFonts w:ascii="Arial" w:cs="Arial" w:eastAsia="Arial" w:hAnsi="Arial"/>
          <w:sz w:val="22"/>
          <w:szCs w:val="22"/>
          <w:color w:val="auto"/>
        </w:rPr>
        <w:t>Share</w:t>
      </w:r>
      <w:r>
        <w:rPr>
          <w:sz w:val="20"/>
          <w:szCs w:val="20"/>
          <w:color w:val="auto"/>
        </w:rPr>
        <w:tab/>
      </w:r>
      <w:r>
        <w:rPr>
          <w:rFonts w:ascii="Arial" w:cs="Arial" w:eastAsia="Arial" w:hAnsi="Arial"/>
          <w:sz w:val="22"/>
          <w:szCs w:val="22"/>
          <w:color w:val="auto"/>
        </w:rPr>
        <w:t>Grants</w:t>
      </w:r>
      <w:r>
        <w:rPr>
          <w:sz w:val="20"/>
          <w:szCs w:val="20"/>
          <w:color w:val="auto"/>
        </w:rPr>
        <w:tab/>
      </w:r>
      <w:r>
        <w:rPr>
          <w:rFonts w:ascii="Arial" w:cs="Arial" w:eastAsia="Arial" w:hAnsi="Arial"/>
          <w:sz w:val="19"/>
          <w:szCs w:val="19"/>
          <w:color w:val="auto"/>
        </w:rPr>
        <w:t>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1090930</wp:posOffset>
                </wp:positionH>
                <wp:positionV relativeFrom="paragraph">
                  <wp:posOffset>-10160</wp:posOffset>
                </wp:positionV>
                <wp:extent cx="4872355" cy="0"/>
                <wp:wrapNone/>
                <wp:docPr id="725" name="Shape 7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72355"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725" o:spid="_x0000_s17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5.9pt,-0.7999pt" to="469.55pt,-0.7999pt" o:allowincell="f" strokecolor="#000000" strokeweight="0.5369pt"/>
            </w:pict>
          </mc:Fallback>
        </mc:AlternateContent>
      </w:r>
    </w:p>
    <w:p>
      <w:pPr>
        <w:spacing w:after="0" w:line="68" w:lineRule="exact"/>
        <w:rPr>
          <w:sz w:val="20"/>
          <w:szCs w:val="20"/>
          <w:color w:val="auto"/>
        </w:rPr>
      </w:pPr>
    </w:p>
    <w:p>
      <w:pPr>
        <w:jc w:val="both"/>
        <w:ind w:right="40"/>
        <w:spacing w:after="0" w:line="328" w:lineRule="auto"/>
        <w:rPr>
          <w:sz w:val="20"/>
          <w:szCs w:val="20"/>
          <w:color w:val="auto"/>
        </w:rPr>
      </w:pPr>
      <w:r>
        <w:rPr>
          <w:rFonts w:ascii="Arial" w:cs="Arial" w:eastAsia="Arial" w:hAnsi="Arial"/>
          <w:sz w:val="21"/>
          <w:szCs w:val="21"/>
          <w:u w:val="single" w:color="auto"/>
          <w:color w:val="auto"/>
        </w:rPr>
        <w:t>Agreements</w:t>
      </w:r>
      <w:r>
        <w:rPr>
          <w:rFonts w:ascii="Arial" w:cs="Arial" w:eastAsia="Arial" w:hAnsi="Arial"/>
          <w:sz w:val="21"/>
          <w:szCs w:val="21"/>
          <w:color w:val="auto"/>
        </w:rPr>
        <w:t>. Restricted Share Awards consist of Shares which are issued by the Company to a participant at no cost or at a purchase price determined by the Committee which may be below their Fair Market Value but which are subject to forfeiture and restrictions on their sale or other transfer by the Participant (“Restricted Shares”). Each Restricted Share Award granted under this Plan will be evidenced by minutes of a meeting, or by a unanimous written consent without a meeting, of the Committee and by an Award Agreement dated as of the Date of Grant and executed by the Company and by the Participant. The timing of Restricted Share Awards and the number of Shares to be issued are to be determined by the Committee in its discretion. By accepting a grant of Restricted Shares, the Participant consents to any tax withholding as provided in Article 15.</w:t>
      </w:r>
    </w:p>
    <w:p>
      <w:pPr>
        <w:spacing w:after="0" w:line="330" w:lineRule="exact"/>
        <w:rPr>
          <w:sz w:val="20"/>
          <w:szCs w:val="20"/>
          <w:color w:val="auto"/>
        </w:rPr>
      </w:pPr>
    </w:p>
    <w:p>
      <w:pPr>
        <w:jc w:val="both"/>
        <w:ind w:right="40"/>
        <w:spacing w:after="0" w:line="310"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Terms and Conditions of Restricted Share Grants</w:t>
      </w:r>
      <w:r>
        <w:rPr>
          <w:rFonts w:ascii="Arial" w:cs="Arial" w:eastAsia="Arial" w:hAnsi="Arial"/>
          <w:sz w:val="22"/>
          <w:szCs w:val="22"/>
          <w:color w:val="auto"/>
        </w:rPr>
        <w:t>. Restricted Shares granted under this Plan are subject to the following terms and conditions, which, except as otherwise provided herein, need not be the same for each Participant, and may contain such additional terms, conditions, restrictions and contingencies not inconsistent with the terms of this Plan and any operative employment or other agreement, as the Committee deems desirable:</w:t>
      </w:r>
    </w:p>
    <w:p>
      <w:pPr>
        <w:spacing w:after="0" w:line="370" w:lineRule="exact"/>
        <w:rPr>
          <w:sz w:val="20"/>
          <w:szCs w:val="20"/>
          <w:color w:val="auto"/>
        </w:rPr>
      </w:pPr>
    </w:p>
    <w:p>
      <w:pPr>
        <w:jc w:val="both"/>
        <w:ind w:left="1240" w:right="40" w:hanging="620"/>
        <w:spacing w:after="0" w:line="338" w:lineRule="auto"/>
        <w:tabs>
          <w:tab w:leader="none" w:pos="124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Purchase Price</w:t>
      </w:r>
      <w:r>
        <w:rPr>
          <w:rFonts w:ascii="Arial" w:cs="Arial" w:eastAsia="Arial" w:hAnsi="Arial"/>
          <w:sz w:val="22"/>
          <w:szCs w:val="22"/>
          <w:color w:val="auto"/>
        </w:rPr>
        <w:t>. The Committee shall determine the prices, if any, at which Restricted Shares are to be issued to a Participant, which may vary from time to time and from Participant to Participant and which may be below the Fair Market Value of such Restricted Shares at the Date of Grant.</w:t>
      </w:r>
    </w:p>
    <w:p>
      <w:pPr>
        <w:spacing w:after="0" w:line="344" w:lineRule="exact"/>
        <w:rPr>
          <w:rFonts w:ascii="Arial" w:cs="Arial" w:eastAsia="Arial" w:hAnsi="Arial"/>
          <w:sz w:val="22"/>
          <w:szCs w:val="22"/>
          <w:color w:val="auto"/>
        </w:rPr>
      </w:pPr>
    </w:p>
    <w:p>
      <w:pPr>
        <w:ind w:left="1240" w:right="40" w:hanging="620"/>
        <w:spacing w:after="0" w:line="388" w:lineRule="auto"/>
        <w:tabs>
          <w:tab w:leader="none" w:pos="124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Restrictions</w:t>
      </w:r>
      <w:r>
        <w:rPr>
          <w:rFonts w:ascii="Arial" w:cs="Arial" w:eastAsia="Arial" w:hAnsi="Arial"/>
          <w:sz w:val="20"/>
          <w:szCs w:val="20"/>
          <w:color w:val="auto"/>
        </w:rPr>
        <w:t>. All Restricted Shares issued under this Plan will be subject to such restrictions as the Committee may determine, which may include, without limitation, the following:</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 / 45</w:t>
      </w:r>
    </w:p>
    <w:p>
      <w:pPr>
        <w:sectPr>
          <w:pgSz w:w="11900" w:h="16838" w:orient="portrait"/>
          <w:cols w:equalWidth="0" w:num="1">
            <w:col w:w="9380"/>
          </w:cols>
          <w:pgMar w:left="1260" w:top="1440" w:right="1266" w:bottom="0" w:gutter="0" w:footer="0" w:header="0"/>
          <w:type w:val="continuous"/>
        </w:sectPr>
      </w:pPr>
    </w:p>
    <w:bookmarkStart w:id="279" w:name="page280"/>
    <w:bookmarkEnd w:id="279"/>
    <w:p>
      <w:pPr>
        <w:jc w:val="both"/>
        <w:ind w:left="1700" w:right="20" w:hanging="633"/>
        <w:spacing w:after="0" w:line="338" w:lineRule="auto"/>
        <w:tabs>
          <w:tab w:leader="none" w:pos="17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prohibition against the sale, transfer, pledge or other encumbrance of the Restricted Shares, such prohibition to lapse at such time or times as the Committee determines (whether in installments or otherwise, but subject to the Change in Control provisions in Article 11);</w:t>
      </w:r>
    </w:p>
    <w:p>
      <w:pPr>
        <w:spacing w:after="0" w:line="344" w:lineRule="exact"/>
        <w:rPr>
          <w:rFonts w:ascii="Arial" w:cs="Arial" w:eastAsia="Arial" w:hAnsi="Arial"/>
          <w:sz w:val="22"/>
          <w:szCs w:val="22"/>
          <w:color w:val="auto"/>
        </w:rPr>
      </w:pPr>
    </w:p>
    <w:p>
      <w:pPr>
        <w:jc w:val="both"/>
        <w:ind w:left="1700" w:right="80" w:hanging="633"/>
        <w:spacing w:after="0" w:line="336" w:lineRule="auto"/>
        <w:tabs>
          <w:tab w:leader="none" w:pos="17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requirement that the Participant forfeit such Restricted Shares in the event of termination of the Participant's employment with the Bank, the Company or its Affiliates prior to Vesting;</w:t>
      </w:r>
    </w:p>
    <w:p>
      <w:pPr>
        <w:spacing w:after="0" w:line="347" w:lineRule="exact"/>
        <w:rPr>
          <w:rFonts w:ascii="Arial" w:cs="Arial" w:eastAsia="Arial" w:hAnsi="Arial"/>
          <w:sz w:val="22"/>
          <w:szCs w:val="22"/>
          <w:color w:val="auto"/>
        </w:rPr>
      </w:pPr>
    </w:p>
    <w:p>
      <w:pPr>
        <w:jc w:val="both"/>
        <w:ind w:left="1700" w:hanging="633"/>
        <w:spacing w:after="0" w:line="381" w:lineRule="auto"/>
        <w:tabs>
          <w:tab w:leader="none" w:pos="17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 prohibition against employment or retention of the Participant by any competitor of the Bank, the Company or its Affiliates, or against dissemination by the Participant of any secret or confidential information belonging to the Company or an Affiliate;</w:t>
      </w:r>
    </w:p>
    <w:p>
      <w:pPr>
        <w:spacing w:after="0" w:line="314" w:lineRule="exact"/>
        <w:rPr>
          <w:rFonts w:ascii="Arial" w:cs="Arial" w:eastAsia="Arial" w:hAnsi="Arial"/>
          <w:sz w:val="20"/>
          <w:szCs w:val="20"/>
          <w:color w:val="auto"/>
        </w:rPr>
      </w:pPr>
    </w:p>
    <w:p>
      <w:pPr>
        <w:jc w:val="both"/>
        <w:ind w:left="1700" w:right="60" w:hanging="633"/>
        <w:spacing w:after="0" w:line="379" w:lineRule="auto"/>
        <w:tabs>
          <w:tab w:leader="none" w:pos="17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any applicable requirements arising under the Securities Act of 1933, as amended, other securities laws, the rules and regulations of any stock exchange or transaction reporting system upon which such Restricted Shares may then be listed or quoted and any state laws, rules and regulations, including "blue sky" laws;</w:t>
      </w:r>
    </w:p>
    <w:p>
      <w:pPr>
        <w:spacing w:after="0" w:line="317" w:lineRule="exact"/>
        <w:rPr>
          <w:rFonts w:ascii="Arial" w:cs="Arial" w:eastAsia="Arial" w:hAnsi="Arial"/>
          <w:sz w:val="20"/>
          <w:szCs w:val="20"/>
          <w:color w:val="auto"/>
        </w:rPr>
      </w:pPr>
    </w:p>
    <w:p>
      <w:pPr>
        <w:ind w:left="1700" w:right="60" w:hanging="633"/>
        <w:spacing w:after="0" w:line="331" w:lineRule="auto"/>
        <w:tabs>
          <w:tab w:leader="none" w:pos="17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such additional restrictions as are required to avoid adverse tax consequences under Code Section 409A; and</w:t>
      </w:r>
    </w:p>
    <w:p>
      <w:pPr>
        <w:spacing w:after="0" w:line="341" w:lineRule="exact"/>
        <w:rPr>
          <w:rFonts w:ascii="Arial" w:cs="Arial" w:eastAsia="Arial" w:hAnsi="Arial"/>
          <w:sz w:val="22"/>
          <w:szCs w:val="22"/>
          <w:color w:val="auto"/>
        </w:rPr>
      </w:pPr>
    </w:p>
    <w:p>
      <w:pPr>
        <w:ind w:left="1700" w:hanging="633"/>
        <w:spacing w:after="0"/>
        <w:tabs>
          <w:tab w:leader="none" w:pos="17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delivery of a valid election under Code Section 83(b).</w:t>
      </w:r>
    </w:p>
    <w:p>
      <w:pPr>
        <w:spacing w:after="0" w:line="200" w:lineRule="exact"/>
        <w:rPr>
          <w:sz w:val="20"/>
          <w:szCs w:val="20"/>
          <w:color w:val="auto"/>
        </w:rPr>
      </w:pPr>
    </w:p>
    <w:p>
      <w:pPr>
        <w:spacing w:after="0" w:line="224" w:lineRule="exact"/>
        <w:rPr>
          <w:sz w:val="20"/>
          <w:szCs w:val="20"/>
          <w:color w:val="auto"/>
        </w:rPr>
      </w:pPr>
    </w:p>
    <w:p>
      <w:pPr>
        <w:ind w:left="440"/>
        <w:spacing w:after="0" w:line="302" w:lineRule="auto"/>
        <w:rPr>
          <w:sz w:val="20"/>
          <w:szCs w:val="20"/>
          <w:color w:val="auto"/>
        </w:rPr>
      </w:pPr>
      <w:r>
        <w:rPr>
          <w:rFonts w:ascii="Arial" w:cs="Arial" w:eastAsia="Arial" w:hAnsi="Arial"/>
          <w:sz w:val="22"/>
          <w:szCs w:val="22"/>
          <w:color w:val="auto"/>
        </w:rPr>
        <w:t>The Committee may at any time waive such restrictions or accelerate the date or dates on which the restrictions will lapse.</w:t>
      </w:r>
    </w:p>
    <w:p>
      <w:pPr>
        <w:spacing w:after="0" w:line="31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20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43 / 45</w:t>
      </w:r>
    </w:p>
    <w:p>
      <w:pPr>
        <w:sectPr>
          <w:pgSz w:w="11900" w:h="16838" w:orient="portrait"/>
          <w:cols w:equalWidth="0" w:num="1">
            <w:col w:w="9200"/>
          </w:cols>
          <w:pgMar w:left="1440" w:top="1200" w:right="1266" w:bottom="0" w:gutter="0" w:footer="0" w:header="0"/>
          <w:type w:val="continuous"/>
        </w:sectPr>
      </w:pPr>
    </w:p>
    <w:bookmarkStart w:id="280" w:name="page281"/>
    <w:bookmarkEnd w:id="280"/>
    <w:p>
      <w:pPr>
        <w:spacing w:after="0" w:line="200" w:lineRule="exact"/>
        <w:rPr>
          <w:sz w:val="20"/>
          <w:szCs w:val="20"/>
          <w:color w:val="auto"/>
        </w:rPr>
      </w:pPr>
    </w:p>
    <w:p>
      <w:pPr>
        <w:spacing w:after="0" w:line="281" w:lineRule="exact"/>
        <w:rPr>
          <w:sz w:val="20"/>
          <w:szCs w:val="20"/>
          <w:color w:val="auto"/>
        </w:rPr>
      </w:pPr>
    </w:p>
    <w:p>
      <w:pPr>
        <w:ind w:left="1240" w:right="20" w:hanging="620"/>
        <w:spacing w:after="0" w:line="339" w:lineRule="auto"/>
        <w:tabs>
          <w:tab w:leader="none" w:pos="124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Performance-Based Restrictions</w:t>
      </w:r>
      <w:r>
        <w:rPr>
          <w:rFonts w:ascii="Arial" w:cs="Arial" w:eastAsia="Arial" w:hAnsi="Arial"/>
          <w:sz w:val="22"/>
          <w:szCs w:val="22"/>
          <w:color w:val="auto"/>
        </w:rPr>
        <w:t>. The Committee may, in its sole discretion, provide restrictions that lapse upon the attainment of specified performance objectives. In such case, the provisions of Sections 9.2 and 9.3 will apply (including, but not limited to, the enumerated performance objectives). If the Award Agreement governing an Award provides that such Award is intended to be performance based compensation, the provisions of Article 9 will also apply.</w:t>
      </w:r>
    </w:p>
    <w:p>
      <w:pPr>
        <w:spacing w:after="0" w:line="346" w:lineRule="exact"/>
        <w:rPr>
          <w:rFonts w:ascii="Arial" w:cs="Arial" w:eastAsia="Arial" w:hAnsi="Arial"/>
          <w:sz w:val="22"/>
          <w:szCs w:val="22"/>
          <w:color w:val="auto"/>
        </w:rPr>
      </w:pPr>
    </w:p>
    <w:p>
      <w:pPr>
        <w:jc w:val="both"/>
        <w:ind w:left="1240" w:right="40" w:hanging="620"/>
        <w:spacing w:after="0" w:line="377" w:lineRule="auto"/>
        <w:tabs>
          <w:tab w:leader="none" w:pos="124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Delivery of Shares</w:t>
      </w:r>
      <w:r>
        <w:rPr>
          <w:rFonts w:ascii="Arial" w:cs="Arial" w:eastAsia="Arial" w:hAnsi="Arial"/>
          <w:sz w:val="20"/>
          <w:szCs w:val="20"/>
          <w:color w:val="auto"/>
        </w:rPr>
        <w:t>. Any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 At the end of any time period during which the Restricted Shares are subject to forfeiture and restrictions on transfer, and after any tax withholding, such Shares will be delivered free of all restrictions (except for any pursuant to Article 14) to the Participant or other appropriate person and with the foregoing legend removed from the stock certificate.</w:t>
      </w:r>
    </w:p>
    <w:p>
      <w:pPr>
        <w:spacing w:after="0" w:line="317" w:lineRule="exact"/>
        <w:rPr>
          <w:rFonts w:ascii="Arial" w:cs="Arial" w:eastAsia="Arial" w:hAnsi="Arial"/>
          <w:sz w:val="20"/>
          <w:szCs w:val="20"/>
          <w:color w:val="auto"/>
        </w:rPr>
      </w:pPr>
    </w:p>
    <w:p>
      <w:pPr>
        <w:ind w:left="1240" w:hanging="620"/>
        <w:spacing w:after="0" w:line="357" w:lineRule="auto"/>
        <w:tabs>
          <w:tab w:leader="none" w:pos="1240"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Forfeiture of Shares</w:t>
      </w:r>
      <w:r>
        <w:rPr>
          <w:rFonts w:ascii="Arial" w:cs="Arial" w:eastAsia="Arial" w:hAnsi="Arial"/>
          <w:sz w:val="21"/>
          <w:szCs w:val="21"/>
          <w:color w:val="auto"/>
        </w:rPr>
        <w:t>. If a Participant who holds Restricted Shares fails to satisfy the restrictions, vesting requirements and other conditions relating to the Restricted Shares prior to the lapse, satisfaction or waiver of such restrictions and conditions, except as may otherwise be determined by the Committee, the Participant shall forfeit the Shares and transfer them back to the Company in exchange for a refund of any consideration paid by the Participant or such other amount which may be specifically set forth in the Award Agreement. A Participant shall execute and deliver to the Company one or more Stock Powers with respect to Restricted Shares granted to such Participant.</w:t>
      </w:r>
    </w:p>
    <w:p>
      <w:pPr>
        <w:spacing w:after="0" w:line="336" w:lineRule="exact"/>
        <w:rPr>
          <w:rFonts w:ascii="Arial" w:cs="Arial" w:eastAsia="Arial" w:hAnsi="Arial"/>
          <w:sz w:val="21"/>
          <w:szCs w:val="21"/>
          <w:color w:val="auto"/>
        </w:rPr>
      </w:pPr>
    </w:p>
    <w:p>
      <w:pPr>
        <w:jc w:val="both"/>
        <w:ind w:left="1240" w:right="40" w:hanging="620"/>
        <w:spacing w:after="0" w:line="357" w:lineRule="auto"/>
        <w:tabs>
          <w:tab w:leader="none" w:pos="1240"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Voting and Other Rights</w:t>
      </w:r>
      <w:r>
        <w:rPr>
          <w:rFonts w:ascii="Arial" w:cs="Arial" w:eastAsia="Arial" w:hAnsi="Arial"/>
          <w:sz w:val="21"/>
          <w:szCs w:val="21"/>
          <w:color w:val="auto"/>
        </w:rPr>
        <w:t>. Except as otherwise required for compliance with the terms of the applicable Restricted Share Agreement, during any period in which Restricted Shares are subject to forfeiture and restrictions on transfer, the Participant holding such Restricted Shares shall have all the rights of a Shareholder with respect to such Shares, including, without limitation, the right to vote such Shares and the right to receive any dividends paid with respect to such Shares.</w:t>
      </w:r>
    </w:p>
    <w:p>
      <w:pPr>
        <w:spacing w:after="0" w:line="311" w:lineRule="exact"/>
        <w:rPr>
          <w:sz w:val="20"/>
          <w:szCs w:val="20"/>
          <w:color w:val="auto"/>
        </w:rPr>
      </w:pPr>
    </w:p>
    <w:p>
      <w:pPr>
        <w:jc w:val="both"/>
        <w:ind w:right="40"/>
        <w:spacing w:after="0" w:line="368"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Restricted Share Unit Awards and Agreements</w:t>
      </w:r>
      <w:r>
        <w:rPr>
          <w:rFonts w:ascii="Arial" w:cs="Arial" w:eastAsia="Arial" w:hAnsi="Arial"/>
          <w:sz w:val="19"/>
          <w:szCs w:val="19"/>
          <w:color w:val="auto"/>
        </w:rPr>
        <w:t>. Restricted Share Unit Awards consist of Shares that will be issued to a Participant at a future time or times at no cost, or at a purchase price determined by the Committee which purchase price may be below their Fair Market Value, if continued employment and/or other terms and conditions specified by the Committee are satisfied (“Restricted Share Unit”). Each Restricted Share Unit Award granted under this Plan will be evidenced by minutes of a meeting, or by a</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 / 45</w:t>
      </w:r>
    </w:p>
    <w:p>
      <w:pPr>
        <w:sectPr>
          <w:pgSz w:w="11900" w:h="16838" w:orient="portrait"/>
          <w:cols w:equalWidth="0" w:num="1">
            <w:col w:w="9380"/>
          </w:cols>
          <w:pgMar w:left="1260" w:top="1440" w:right="1266" w:bottom="0" w:gutter="0" w:footer="0" w:header="0"/>
          <w:type w:val="continuous"/>
        </w:sectPr>
      </w:pPr>
    </w:p>
    <w:bookmarkStart w:id="281" w:name="page282"/>
    <w:bookmarkEnd w:id="281"/>
    <w:p>
      <w:pPr>
        <w:jc w:val="both"/>
        <w:spacing w:after="0" w:line="328" w:lineRule="auto"/>
        <w:rPr>
          <w:sz w:val="20"/>
          <w:szCs w:val="20"/>
          <w:color w:val="auto"/>
        </w:rPr>
      </w:pPr>
      <w:r>
        <w:rPr>
          <w:rFonts w:ascii="Arial" w:cs="Arial" w:eastAsia="Arial" w:hAnsi="Arial"/>
          <w:sz w:val="21"/>
          <w:szCs w:val="21"/>
          <w:color w:val="auto"/>
        </w:rPr>
        <w:t>unanimous written consent without a meeting, of the Committee and by an Award Agreement dated as of the Date of Grant and executed by the Company and the Participant. The timing of Restricted Share Unit Awards and the number of Restricted Share Units to be awarded are to be determined by the Committee in its sole discretion. By accepting a Restricted Share Unit Award, the Participant agrees to remit to the Company when due any tax withholding as provided in Article 15.</w:t>
      </w:r>
    </w:p>
    <w:p>
      <w:pPr>
        <w:spacing w:after="0" w:line="330" w:lineRule="exact"/>
        <w:rPr>
          <w:sz w:val="20"/>
          <w:szCs w:val="20"/>
          <w:color w:val="auto"/>
        </w:rPr>
      </w:pPr>
    </w:p>
    <w:p>
      <w:pPr>
        <w:jc w:val="both"/>
        <w:ind w:right="40"/>
        <w:spacing w:after="0" w:line="310"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Terms and Conditions of Restricted Share Unit Awards</w:t>
      </w:r>
      <w:r>
        <w:rPr>
          <w:rFonts w:ascii="Arial" w:cs="Arial" w:eastAsia="Arial" w:hAnsi="Arial"/>
          <w:sz w:val="22"/>
          <w:szCs w:val="22"/>
          <w:color w:val="auto"/>
        </w:rPr>
        <w:t>. Restricted Share Unit Awards are subject to the following terms and conditions, which, except as otherwise provided herein, need not be the same for each Participant, and may contain such additional terms, conditions, restrictions and contingencies not inconsistent with the terms of this Plan and any operative employment or other agreement, as the Committee deems desirable:</w:t>
      </w:r>
    </w:p>
    <w:p>
      <w:pPr>
        <w:spacing w:after="0" w:line="370" w:lineRule="exact"/>
        <w:rPr>
          <w:sz w:val="20"/>
          <w:szCs w:val="20"/>
          <w:color w:val="auto"/>
        </w:rPr>
      </w:pPr>
    </w:p>
    <w:p>
      <w:pPr>
        <w:jc w:val="both"/>
        <w:ind w:left="1240" w:right="40" w:hanging="620"/>
        <w:spacing w:after="0" w:line="338" w:lineRule="auto"/>
        <w:tabs>
          <w:tab w:leader="none" w:pos="124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Purchase Price</w:t>
      </w:r>
      <w:r>
        <w:rPr>
          <w:rFonts w:ascii="Arial" w:cs="Arial" w:eastAsia="Arial" w:hAnsi="Arial"/>
          <w:sz w:val="22"/>
          <w:szCs w:val="22"/>
          <w:color w:val="auto"/>
        </w:rPr>
        <w:t>. The Committee shall determine the prices, if any, at which Shares are to be issued to a Participant after Vesting of Restricted Share Units, which may vary from time to time and among Participants and which may be below the Fair Market Value of Shares at the Date of Grant.</w:t>
      </w:r>
    </w:p>
    <w:p>
      <w:pPr>
        <w:spacing w:after="0" w:line="344" w:lineRule="exact"/>
        <w:rPr>
          <w:rFonts w:ascii="Arial" w:cs="Arial" w:eastAsia="Arial" w:hAnsi="Arial"/>
          <w:sz w:val="22"/>
          <w:szCs w:val="22"/>
          <w:color w:val="auto"/>
        </w:rPr>
      </w:pPr>
    </w:p>
    <w:p>
      <w:pPr>
        <w:jc w:val="both"/>
        <w:ind w:left="1240" w:right="60" w:hanging="620"/>
        <w:spacing w:after="0" w:line="336" w:lineRule="auto"/>
        <w:tabs>
          <w:tab w:leader="none" w:pos="124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 All Restricted Share Units awarded under this Plan will be subject to such restrictions as the Committee may determine, which may include, without limitation, the following:</w:t>
      </w:r>
    </w:p>
    <w:p>
      <w:pPr>
        <w:spacing w:after="0" w:line="347" w:lineRule="exact"/>
        <w:rPr>
          <w:rFonts w:ascii="Arial" w:cs="Arial" w:eastAsia="Arial" w:hAnsi="Arial"/>
          <w:sz w:val="22"/>
          <w:szCs w:val="22"/>
          <w:color w:val="auto"/>
        </w:rPr>
      </w:pPr>
    </w:p>
    <w:p>
      <w:pPr>
        <w:ind w:left="1880" w:right="20" w:hanging="633"/>
        <w:spacing w:after="0" w:line="331" w:lineRule="auto"/>
        <w:tabs>
          <w:tab w:leader="none" w:pos="1880" w:val="left"/>
        </w:tabs>
        <w:numPr>
          <w:ilvl w:val="1"/>
          <w:numId w:val="61"/>
        </w:numPr>
        <w:rPr>
          <w:rFonts w:ascii="Arial" w:cs="Arial" w:eastAsia="Arial" w:hAnsi="Arial"/>
          <w:sz w:val="22"/>
          <w:szCs w:val="22"/>
          <w:color w:val="auto"/>
        </w:rPr>
      </w:pPr>
      <w:r>
        <w:rPr>
          <w:rFonts w:ascii="Arial" w:cs="Arial" w:eastAsia="Arial" w:hAnsi="Arial"/>
          <w:sz w:val="22"/>
          <w:szCs w:val="22"/>
          <w:color w:val="auto"/>
        </w:rPr>
        <w:t>a prohibition against the sale, transfer, pledge or other encumbrance of the Restricted Share Unit;</w:t>
      </w:r>
    </w:p>
    <w:p>
      <w:pPr>
        <w:spacing w:after="0" w:line="352" w:lineRule="exact"/>
        <w:rPr>
          <w:rFonts w:ascii="Arial" w:cs="Arial" w:eastAsia="Arial" w:hAnsi="Arial"/>
          <w:sz w:val="22"/>
          <w:szCs w:val="22"/>
          <w:color w:val="auto"/>
        </w:rPr>
      </w:pPr>
    </w:p>
    <w:p>
      <w:pPr>
        <w:jc w:val="both"/>
        <w:ind w:left="1880" w:right="60" w:hanging="633"/>
        <w:spacing w:after="0" w:line="336" w:lineRule="auto"/>
        <w:tabs>
          <w:tab w:leader="none" w:pos="1880" w:val="left"/>
        </w:tabs>
        <w:numPr>
          <w:ilvl w:val="1"/>
          <w:numId w:val="61"/>
        </w:numPr>
        <w:rPr>
          <w:rFonts w:ascii="Arial" w:cs="Arial" w:eastAsia="Arial" w:hAnsi="Arial"/>
          <w:sz w:val="22"/>
          <w:szCs w:val="22"/>
          <w:color w:val="auto"/>
        </w:rPr>
      </w:pPr>
      <w:r>
        <w:rPr>
          <w:rFonts w:ascii="Arial" w:cs="Arial" w:eastAsia="Arial" w:hAnsi="Arial"/>
          <w:sz w:val="22"/>
          <w:szCs w:val="22"/>
          <w:color w:val="auto"/>
        </w:rPr>
        <w:t>a requirement that the Participant forfeit such Restricted Share Unit in the event of termination of the Participant's employment with the Bank, the Company or its Affiliates prior to Vesting;</w:t>
      </w:r>
    </w:p>
    <w:p>
      <w:pPr>
        <w:sectPr>
          <w:pgSz w:w="11900" w:h="16838" w:orient="portrait"/>
          <w:cols w:equalWidth="0" w:num="1">
            <w:col w:w="9380"/>
          </w:cols>
          <w:pgMar w:left="1260" w:top="117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 / 45</w:t>
      </w:r>
    </w:p>
    <w:p>
      <w:pPr>
        <w:sectPr>
          <w:pgSz w:w="11900" w:h="16838" w:orient="portrait"/>
          <w:cols w:equalWidth="0" w:num="1">
            <w:col w:w="9380"/>
          </w:cols>
          <w:pgMar w:left="1260" w:top="1177" w:right="1266" w:bottom="0" w:gutter="0" w:footer="0" w:header="0"/>
          <w:type w:val="continuous"/>
        </w:sectPr>
      </w:pPr>
    </w:p>
    <w:bookmarkStart w:id="282" w:name="page283"/>
    <w:bookmarkEnd w:id="282"/>
    <w:p>
      <w:pPr>
        <w:jc w:val="center"/>
        <w:ind w:right="-13"/>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9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29</w:t>
      </w:r>
    </w:p>
    <w:p>
      <w:pPr>
        <w:sectPr>
          <w:pgSz w:w="11900" w:h="16838" w:orient="portrait"/>
          <w:cols w:equalWidth="0" w:num="1">
            <w:col w:w="9026"/>
          </w:cols>
          <w:pgMar w:left="1440" w:top="1293" w:right="1440" w:bottom="0" w:gutter="0" w:footer="0" w:header="0"/>
          <w:type w:val="continuous"/>
        </w:sectPr>
      </w:pPr>
    </w:p>
    <w:bookmarkStart w:id="283" w:name="page284"/>
    <w:bookmarkEnd w:id="2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700" w:right="80" w:hanging="633"/>
        <w:spacing w:after="0" w:line="338" w:lineRule="auto"/>
        <w:tabs>
          <w:tab w:leader="none" w:pos="17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 prohibition against employment of the Participant by, or provision of services by the Participant to, any competitor of the Bank, the Company or its Affiliates, or against dissemination by the Participant of any secret or confidential information belonging to the Bank, the Company or an Affiliate;</w:t>
      </w:r>
    </w:p>
    <w:p>
      <w:pPr>
        <w:spacing w:after="0" w:line="344" w:lineRule="exact"/>
        <w:rPr>
          <w:rFonts w:ascii="Arial" w:cs="Arial" w:eastAsia="Arial" w:hAnsi="Arial"/>
          <w:sz w:val="22"/>
          <w:szCs w:val="22"/>
          <w:color w:val="auto"/>
        </w:rPr>
      </w:pPr>
    </w:p>
    <w:p>
      <w:pPr>
        <w:jc w:val="both"/>
        <w:ind w:left="1700" w:right="80" w:hanging="633"/>
        <w:spacing w:after="0" w:line="379" w:lineRule="auto"/>
        <w:tabs>
          <w:tab w:leader="none" w:pos="17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any applicable requirements arising under the Securities Act of 1933, as amended, other securities laws, the rules and regulations of any stock exchange or transaction reporting system upon which the Common Shares may then be listed or quoted and any state laws, rules and interpretations, including "blue sky" laws; and</w:t>
      </w:r>
    </w:p>
    <w:p>
      <w:pPr>
        <w:spacing w:after="0" w:line="317" w:lineRule="exact"/>
        <w:rPr>
          <w:rFonts w:ascii="Arial" w:cs="Arial" w:eastAsia="Arial" w:hAnsi="Arial"/>
          <w:sz w:val="20"/>
          <w:szCs w:val="20"/>
          <w:color w:val="auto"/>
        </w:rPr>
      </w:pPr>
    </w:p>
    <w:p>
      <w:pPr>
        <w:ind w:left="1700" w:right="80" w:hanging="633"/>
        <w:spacing w:after="0" w:line="331" w:lineRule="auto"/>
        <w:tabs>
          <w:tab w:leader="none" w:pos="17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such additional restrictions as are required to avoid adverse tax consequences under Code Section 409A.</w:t>
      </w:r>
    </w:p>
    <w:p>
      <w:pPr>
        <w:spacing w:after="0" w:line="328" w:lineRule="exact"/>
        <w:rPr>
          <w:sz w:val="20"/>
          <w:szCs w:val="20"/>
          <w:color w:val="auto"/>
        </w:rPr>
      </w:pPr>
    </w:p>
    <w:p>
      <w:pPr>
        <w:ind w:left="440" w:right="20"/>
        <w:spacing w:after="0" w:line="302" w:lineRule="auto"/>
        <w:rPr>
          <w:sz w:val="20"/>
          <w:szCs w:val="20"/>
          <w:color w:val="auto"/>
        </w:rPr>
      </w:pPr>
      <w:r>
        <w:rPr>
          <w:rFonts w:ascii="Arial" w:cs="Arial" w:eastAsia="Arial" w:hAnsi="Arial"/>
          <w:sz w:val="22"/>
          <w:szCs w:val="22"/>
          <w:color w:val="auto"/>
        </w:rPr>
        <w:t>The Committee may at any time waive such restrictions or accelerate the date or dates on which the restrictions will lapse.</w:t>
      </w:r>
    </w:p>
    <w:p>
      <w:pPr>
        <w:spacing w:after="0" w:line="377" w:lineRule="exact"/>
        <w:rPr>
          <w:sz w:val="20"/>
          <w:szCs w:val="20"/>
          <w:color w:val="auto"/>
        </w:rPr>
      </w:pPr>
    </w:p>
    <w:p>
      <w:pPr>
        <w:ind w:left="1060" w:right="40" w:hanging="620"/>
        <w:spacing w:after="0" w:line="339" w:lineRule="auto"/>
        <w:tabs>
          <w:tab w:leader="none" w:pos="106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Performance-Based Restrictions</w:t>
      </w:r>
      <w:r>
        <w:rPr>
          <w:rFonts w:ascii="Arial" w:cs="Arial" w:eastAsia="Arial" w:hAnsi="Arial"/>
          <w:sz w:val="22"/>
          <w:szCs w:val="22"/>
          <w:color w:val="auto"/>
        </w:rPr>
        <w:t>. The Committee may, in its sole discretion, provide restrictions that lapse upon the attainment of specified performance objectives. In such case, the provisions of Sections 9.2 and 9.3 will apply (including, but not limited to, the enumerated performance objectives). If the Award Agreement governing an Award provides that such Award is intended to be performance based compensation, the provisions of Article 9 will also apply.</w:t>
      </w:r>
    </w:p>
    <w:p>
      <w:pPr>
        <w:spacing w:after="0" w:line="346" w:lineRule="exact"/>
        <w:rPr>
          <w:rFonts w:ascii="Arial" w:cs="Arial" w:eastAsia="Arial" w:hAnsi="Arial"/>
          <w:sz w:val="22"/>
          <w:szCs w:val="22"/>
          <w:color w:val="auto"/>
        </w:rPr>
      </w:pPr>
    </w:p>
    <w:p>
      <w:pPr>
        <w:jc w:val="both"/>
        <w:ind w:left="1060" w:right="60" w:hanging="620"/>
        <w:spacing w:after="0" w:line="339" w:lineRule="auto"/>
        <w:tabs>
          <w:tab w:leader="none" w:pos="106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Voting and Other Rights</w:t>
      </w:r>
      <w:r>
        <w:rPr>
          <w:rFonts w:ascii="Arial" w:cs="Arial" w:eastAsia="Arial" w:hAnsi="Arial"/>
          <w:sz w:val="22"/>
          <w:szCs w:val="22"/>
          <w:color w:val="auto"/>
        </w:rPr>
        <w:t>. A Participant holding Restricted Share Units shall not be deemed to be a Shareholder of the Company solely because of such units. Such Participant shall have no rights of a Shareholder with respect to such units; provided, however, that an Award Agreement may provide for payment of an amount of money (or Shares with a Fair Market Value equivalent to such amount) equal to the dividends paid from time to time on the number of Common Shares that would become payable upon vesting of a Restricted Share Unit Award.</w:t>
      </w:r>
    </w:p>
    <w:p>
      <w:pPr>
        <w:spacing w:after="0" w:line="348" w:lineRule="exact"/>
        <w:rPr>
          <w:rFonts w:ascii="Arial" w:cs="Arial" w:eastAsia="Arial" w:hAnsi="Arial"/>
          <w:sz w:val="22"/>
          <w:szCs w:val="22"/>
          <w:color w:val="auto"/>
        </w:rPr>
      </w:pPr>
    </w:p>
    <w:p>
      <w:pPr>
        <w:jc w:val="both"/>
        <w:ind w:left="1060" w:hanging="620"/>
        <w:spacing w:after="0" w:line="338" w:lineRule="auto"/>
        <w:tabs>
          <w:tab w:leader="none" w:pos="106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Lapse of Restrictions</w:t>
      </w:r>
      <w:r>
        <w:rPr>
          <w:rFonts w:ascii="Arial" w:cs="Arial" w:eastAsia="Arial" w:hAnsi="Arial"/>
          <w:sz w:val="22"/>
          <w:szCs w:val="22"/>
          <w:color w:val="auto"/>
        </w:rPr>
        <w:t>. If a Participant who holds Restricted Share Units satisfies the restrictions and other conditions relating to the Restricted Share Units prior to the lapse or waiver of such restrictions and conditions, the Restricted Share Units shall be converted to, or replaced with, Shares which are free of all restrictions except for any restrictions pursuant to Article 14.</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2 / 29</w:t>
      </w:r>
    </w:p>
    <w:p>
      <w:pPr>
        <w:sectPr>
          <w:pgSz w:w="11900" w:h="16838" w:orient="portrait"/>
          <w:cols w:equalWidth="0" w:num="1">
            <w:col w:w="9220"/>
          </w:cols>
          <w:pgMar w:left="1440" w:top="1440" w:right="1246" w:bottom="0" w:gutter="0" w:footer="0" w:header="0"/>
          <w:type w:val="continuous"/>
        </w:sectPr>
      </w:pPr>
    </w:p>
    <w:bookmarkStart w:id="284" w:name="page285"/>
    <w:bookmarkEnd w:id="284"/>
    <w:p>
      <w:pPr>
        <w:jc w:val="both"/>
        <w:ind w:left="1240" w:right="60" w:hanging="620"/>
        <w:spacing w:after="0" w:line="338" w:lineRule="auto"/>
        <w:tabs>
          <w:tab w:leader="none" w:pos="124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Forfeiture of Restricted Share Units</w:t>
      </w:r>
      <w:r>
        <w:rPr>
          <w:rFonts w:ascii="Arial" w:cs="Arial" w:eastAsia="Arial" w:hAnsi="Arial"/>
          <w:sz w:val="22"/>
          <w:szCs w:val="22"/>
          <w:color w:val="auto"/>
        </w:rPr>
        <w:t>. If a Participant who holds Restricted Share Units fails to satisfy the restrictions, Vesting requirements and other conditions relating to the Restricted Share Units (prior to the lapse, satisfaction or waiver of such restrictions and conditions), except as may otherwise be determined by the Committee, the Participant shall forfeit the Restricted Share Units.</w:t>
      </w:r>
    </w:p>
    <w:p>
      <w:pPr>
        <w:spacing w:after="0" w:line="348" w:lineRule="exact"/>
        <w:rPr>
          <w:rFonts w:ascii="Arial" w:cs="Arial" w:eastAsia="Arial" w:hAnsi="Arial"/>
          <w:sz w:val="22"/>
          <w:szCs w:val="22"/>
          <w:color w:val="auto"/>
        </w:rPr>
      </w:pPr>
    </w:p>
    <w:p>
      <w:pPr>
        <w:ind w:left="1240" w:hanging="620"/>
        <w:spacing w:after="0" w:line="375" w:lineRule="auto"/>
        <w:tabs>
          <w:tab w:leader="none" w:pos="124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Special Limitations on Restricted Share Unit Awards</w:t>
      </w:r>
      <w:r>
        <w:rPr>
          <w:rFonts w:ascii="Arial" w:cs="Arial" w:eastAsia="Arial" w:hAnsi="Arial"/>
          <w:sz w:val="20"/>
          <w:szCs w:val="20"/>
          <w:color w:val="auto"/>
        </w:rPr>
        <w:t>. Unless an Award Agreement approved by the Committee provides otherwise, Restricted Share Units awarded under this Plan are intended to meet the requirements for the short-term deferral exemption from coverage under Code Section 409A described in Treasury Regulation Section 1.409A-1(b)</w:t>
      </w:r>
    </w:p>
    <w:p>
      <w:pPr>
        <w:spacing w:after="0" w:line="2" w:lineRule="exact"/>
        <w:rPr>
          <w:rFonts w:ascii="Arial" w:cs="Arial" w:eastAsia="Arial" w:hAnsi="Arial"/>
          <w:sz w:val="20"/>
          <w:szCs w:val="20"/>
          <w:color w:val="auto"/>
        </w:rPr>
      </w:pPr>
    </w:p>
    <w:p>
      <w:pPr>
        <w:ind w:left="1240"/>
        <w:spacing w:after="0"/>
        <w:rPr>
          <w:rFonts w:ascii="Arial" w:cs="Arial" w:eastAsia="Arial" w:hAnsi="Arial"/>
          <w:sz w:val="20"/>
          <w:szCs w:val="20"/>
          <w:color w:val="auto"/>
        </w:rPr>
      </w:pPr>
      <w:r>
        <w:rPr>
          <w:rFonts w:ascii="Arial" w:cs="Arial" w:eastAsia="Arial" w:hAnsi="Arial"/>
          <w:sz w:val="20"/>
          <w:szCs w:val="20"/>
          <w:color w:val="auto"/>
        </w:rPr>
        <w:t>(4) and all Restricted Stock Unit Awards shall be construed and administered accordingly.</w:t>
      </w:r>
    </w:p>
    <w:p>
      <w:pPr>
        <w:spacing w:after="0" w:line="200" w:lineRule="exact"/>
        <w:rPr>
          <w:sz w:val="20"/>
          <w:szCs w:val="20"/>
          <w:color w:val="auto"/>
        </w:rPr>
      </w:pPr>
    </w:p>
    <w:p>
      <w:pPr>
        <w:spacing w:after="0" w:line="236" w:lineRule="exact"/>
        <w:rPr>
          <w:sz w:val="20"/>
          <w:szCs w:val="20"/>
          <w:color w:val="auto"/>
        </w:rPr>
      </w:pPr>
    </w:p>
    <w:p>
      <w:pPr>
        <w:jc w:val="both"/>
        <w:ind w:right="40"/>
        <w:spacing w:after="0" w:line="328" w:lineRule="auto"/>
        <w:rPr>
          <w:sz w:val="20"/>
          <w:szCs w:val="20"/>
          <w:color w:val="auto"/>
        </w:rPr>
      </w:pPr>
      <w:r>
        <w:rPr>
          <w:rFonts w:ascii="Arial" w:cs="Arial" w:eastAsia="Arial" w:hAnsi="Arial"/>
          <w:sz w:val="21"/>
          <w:szCs w:val="21"/>
          <w:color w:val="auto"/>
        </w:rPr>
        <w:t xml:space="preserve">8.5 </w:t>
      </w:r>
      <w:r>
        <w:rPr>
          <w:rFonts w:ascii="Arial" w:cs="Arial" w:eastAsia="Arial" w:hAnsi="Arial"/>
          <w:sz w:val="21"/>
          <w:szCs w:val="21"/>
          <w:u w:val="single" w:color="auto"/>
          <w:color w:val="auto"/>
        </w:rPr>
        <w:t>Time Vesting of Restricted Share and Restricted Share Unit Awards</w:t>
      </w:r>
      <w:r>
        <w:rPr>
          <w:rFonts w:ascii="Arial" w:cs="Arial" w:eastAsia="Arial" w:hAnsi="Arial"/>
          <w:sz w:val="21"/>
          <w:szCs w:val="21"/>
          <w:color w:val="auto"/>
        </w:rPr>
        <w:t>. Restricted Shares or Restricted Share Units, or portions thereof, are exercisable at such time or times as determined by the Committee in its discretion at or after grant, subject to the restrictions on time Vesting set forth in this Section. If the Committee provides that any Restricted Shares or Restricted Share Unit Awards become Vested over time (with or without a performance component), the Committee may waive or accelerate such Vesting provisions at any time, subject to the restrictions on time Vesting set forth in this Section. Unless otherwise determined by the Committee in connection with the grant and set forth in the Award Agreement, all unvested Restricted Share and Restricted Share Unit Awards shall immediately Vest with respect to any required time vesting upon the Death or Disability of the holder.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2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29</w:t>
      </w:r>
    </w:p>
    <w:p>
      <w:pPr>
        <w:sectPr>
          <w:pgSz w:w="11900" w:h="16838" w:orient="portrait"/>
          <w:cols w:equalWidth="0" w:num="1">
            <w:col w:w="9400"/>
          </w:cols>
          <w:pgMar w:left="1260" w:top="1200" w:right="1246" w:bottom="0" w:gutter="0" w:footer="0" w:header="0"/>
          <w:type w:val="continuous"/>
        </w:sectPr>
      </w:pPr>
    </w:p>
    <w:bookmarkStart w:id="285" w:name="page286"/>
    <w:bookmarkEnd w:id="285"/>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Awards</w:t>
      </w:r>
    </w:p>
    <w:p>
      <w:pPr>
        <w:spacing w:after="0" w:line="200" w:lineRule="exact"/>
        <w:rPr>
          <w:sz w:val="20"/>
          <w:szCs w:val="20"/>
          <w:color w:val="auto"/>
        </w:rPr>
      </w:pPr>
    </w:p>
    <w:p>
      <w:pPr>
        <w:spacing w:after="0" w:line="207" w:lineRule="exact"/>
        <w:rPr>
          <w:sz w:val="20"/>
          <w:szCs w:val="20"/>
          <w:color w:val="auto"/>
        </w:rPr>
      </w:pPr>
    </w:p>
    <w:p>
      <w:pPr>
        <w:spacing w:after="0"/>
        <w:tabs>
          <w:tab w:leader="none" w:pos="3120" w:val="left"/>
          <w:tab w:leader="none" w:pos="5200" w:val="left"/>
          <w:tab w:leader="none" w:pos="7460" w:val="left"/>
        </w:tabs>
        <w:rPr>
          <w:sz w:val="20"/>
          <w:szCs w:val="20"/>
          <w:color w:val="auto"/>
        </w:rPr>
      </w:pPr>
      <w:r>
        <w:rPr>
          <w:rFonts w:ascii="Arial" w:cs="Arial" w:eastAsia="Arial" w:hAnsi="Arial"/>
          <w:sz w:val="22"/>
          <w:szCs w:val="22"/>
          <w:color w:val="auto"/>
        </w:rPr>
        <w:t>9.1  Performance</w:t>
      </w:r>
      <w:r>
        <w:rPr>
          <w:sz w:val="20"/>
          <w:szCs w:val="20"/>
          <w:color w:val="auto"/>
        </w:rPr>
        <w:tab/>
      </w:r>
      <w:r>
        <w:rPr>
          <w:rFonts w:ascii="Arial" w:cs="Arial" w:eastAsia="Arial" w:hAnsi="Arial"/>
          <w:sz w:val="22"/>
          <w:szCs w:val="22"/>
          <w:color w:val="auto"/>
        </w:rPr>
        <w:t>Share</w:t>
      </w:r>
      <w:r>
        <w:rPr>
          <w:sz w:val="20"/>
          <w:szCs w:val="20"/>
          <w:color w:val="auto"/>
        </w:rPr>
        <w:tab/>
      </w:r>
      <w:r>
        <w:rPr>
          <w:rFonts w:ascii="Arial" w:cs="Arial" w:eastAsia="Arial" w:hAnsi="Arial"/>
          <w:sz w:val="22"/>
          <w:szCs w:val="22"/>
          <w:color w:val="auto"/>
        </w:rPr>
        <w:t>Awards</w:t>
      </w:r>
      <w:r>
        <w:rPr>
          <w:sz w:val="20"/>
          <w:szCs w:val="20"/>
          <w:color w:val="auto"/>
        </w:rPr>
        <w:tab/>
      </w:r>
      <w:r>
        <w:rPr>
          <w:rFonts w:ascii="Arial" w:cs="Arial" w:eastAsia="Arial" w:hAnsi="Arial"/>
          <w:sz w:val="19"/>
          <w:szCs w:val="19"/>
          <w:color w:val="auto"/>
        </w:rPr>
        <w:t>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271780</wp:posOffset>
                </wp:positionH>
                <wp:positionV relativeFrom="paragraph">
                  <wp:posOffset>-10160</wp:posOffset>
                </wp:positionV>
                <wp:extent cx="5691505" cy="0"/>
                <wp:wrapNone/>
                <wp:docPr id="729" name="Shape 7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1505"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729" o:spid="_x0000_s17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pt,-0.7999pt" to="469.55pt,-0.7999pt" o:allowincell="f" strokecolor="#000000" strokeweight="0.5369pt"/>
            </w:pict>
          </mc:Fallback>
        </mc:AlternateContent>
      </w:r>
    </w:p>
    <w:p>
      <w:pPr>
        <w:spacing w:after="0" w:line="68" w:lineRule="exact"/>
        <w:rPr>
          <w:sz w:val="20"/>
          <w:szCs w:val="20"/>
          <w:color w:val="auto"/>
        </w:rPr>
      </w:pPr>
    </w:p>
    <w:p>
      <w:pPr>
        <w:jc w:val="both"/>
        <w:spacing w:after="0" w:line="328" w:lineRule="auto"/>
        <w:rPr>
          <w:sz w:val="20"/>
          <w:szCs w:val="20"/>
          <w:color w:val="auto"/>
        </w:rPr>
      </w:pPr>
      <w:r>
        <w:rPr>
          <w:rFonts w:ascii="Arial" w:cs="Arial" w:eastAsia="Arial" w:hAnsi="Arial"/>
          <w:sz w:val="21"/>
          <w:szCs w:val="21"/>
          <w:u w:val="single" w:color="auto"/>
          <w:color w:val="auto"/>
        </w:rPr>
        <w:t>Agreements</w:t>
      </w:r>
      <w:r>
        <w:rPr>
          <w:rFonts w:ascii="Arial" w:cs="Arial" w:eastAsia="Arial" w:hAnsi="Arial"/>
          <w:sz w:val="21"/>
          <w:szCs w:val="21"/>
          <w:color w:val="auto"/>
        </w:rPr>
        <w:t>. A Performance Share Award is a right to receive Shares in the future conditioned upon the attainment of specified performance objectives and such other conditions, restrictions and contingencies as the Committee may determine (“Performance Share”). Each Performance Share Award granted under this Plan will be evidenced by minutes of a meeting, or by a unanimous written consent without a meeting, of the Committee and by an Award Agreement dated as of the Date of Grant and executed by the Company and by the Participant. The timing of Performance Share Awards and the number of Shares covered by each Award are to be determined by the Committee in its discretion. By accepting a grant of Performance Shares, the Participant agrees to remit to the Company when due any tax withholding as provided in Article 15.</w:t>
      </w:r>
    </w:p>
    <w:p>
      <w:pPr>
        <w:spacing w:after="0" w:line="330" w:lineRule="exact"/>
        <w:rPr>
          <w:sz w:val="20"/>
          <w:szCs w:val="20"/>
          <w:color w:val="auto"/>
        </w:rPr>
      </w:pPr>
    </w:p>
    <w:p>
      <w:pPr>
        <w:jc w:val="both"/>
        <w:ind w:right="20"/>
        <w:spacing w:after="0" w:line="364"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Performance Objectives</w:t>
      </w:r>
      <w:r>
        <w:rPr>
          <w:rFonts w:ascii="Arial" w:cs="Arial" w:eastAsia="Arial" w:hAnsi="Arial"/>
          <w:sz w:val="19"/>
          <w:szCs w:val="19"/>
          <w:color w:val="auto"/>
        </w:rPr>
        <w:t>. At the time of grant of a Performance Share Award, the Committee will specify the performance objectives which, depending on the extent to which they are met, will determine the number of Shares that will be distributed to the Participant. The Committee will also specify the time period or periods (the "Performance Period") during which the performance objectives must be met. With respect to awards intended to be “performance based compensation,” the Committee may use performance objectives based on one or more financial criteria or other objective performance measures as the Committee may determine to be appropriate, including, but not limited to, one or more of the following: earnings per share, total revenue, net interest income, non-interest income, net income, net income before tax, non-interest expense, efficiency ratio, return on equity, return on assets, economic profit added, loans, deposits, tangible equity, assets, net charge-offs, new market growth, product line developments, and nonperforming assets. The Committee may designate a single goal criterion or multiple goal criteria for performance measurement purposes. Performance measurement may be described in terms of objectives that are related to the performance by the Company, by the Bank, by any Subsidiary, or by any employee or group of employees in connection with services performed by that employee or those employees for the Company, the Bank, a Subsidiary, or one or more subunits of the Company, the Bank or of any Subsidiary. The performance objectives may be made relative to the performance of other companies. The performance objectives and periods need not be the same for each participant or for each Award.</w:t>
      </w:r>
    </w:p>
    <w:p>
      <w:pPr>
        <w:spacing w:after="0" w:line="307" w:lineRule="exact"/>
        <w:rPr>
          <w:sz w:val="20"/>
          <w:szCs w:val="20"/>
          <w:color w:val="auto"/>
        </w:rPr>
      </w:pPr>
    </w:p>
    <w:p>
      <w:pPr>
        <w:jc w:val="both"/>
        <w:ind w:right="60"/>
        <w:spacing w:after="0" w:line="328"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Adjustment of Performance Objectives</w:t>
      </w:r>
      <w:r>
        <w:rPr>
          <w:rFonts w:ascii="Arial" w:cs="Arial" w:eastAsia="Arial" w:hAnsi="Arial"/>
          <w:sz w:val="21"/>
          <w:szCs w:val="21"/>
          <w:color w:val="auto"/>
        </w:rPr>
        <w:t>. The Committee may modify, amend or otherwise adjust the performance objectives specified for outstanding Performance Share Awards if it determines that an adjustment would be consistent with the objectives of this Plan and taking into account the interests of the affected Participants and the public Shareholders of the Company and such adjustment complies with any applicable legal requirements. The types of events which could cause an adjustment in the performance objectives include, without limitation, accounting changes which substantially affect the determination of performance objectives, changes in applicable laws or regulations which affect the performance objectives, and divisive corporate reorganizations, including spin-offs and other distributions of property or stock.</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29</w:t>
      </w:r>
    </w:p>
    <w:p>
      <w:pPr>
        <w:sectPr>
          <w:pgSz w:w="11900" w:h="16838" w:orient="portrait"/>
          <w:cols w:equalWidth="0" w:num="1">
            <w:col w:w="9400"/>
          </w:cols>
          <w:pgMar w:left="1260" w:top="1440" w:right="1246" w:bottom="0" w:gutter="0" w:footer="0" w:header="0"/>
          <w:type w:val="continuous"/>
        </w:sectPr>
      </w:pPr>
    </w:p>
    <w:bookmarkStart w:id="286" w:name="page287"/>
    <w:bookmarkEnd w:id="286"/>
    <w:p>
      <w:pPr>
        <w:spacing w:after="0" w:line="67" w:lineRule="exact"/>
        <w:rPr>
          <w:sz w:val="20"/>
          <w:szCs w:val="20"/>
          <w:color w:val="auto"/>
        </w:rPr>
      </w:pPr>
    </w:p>
    <w:p>
      <w:pPr>
        <w:jc w:val="both"/>
        <w:ind w:right="40"/>
        <w:spacing w:after="0" w:line="309"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Other Terms and Conditions</w:t>
      </w:r>
      <w:r>
        <w:rPr>
          <w:rFonts w:ascii="Arial" w:cs="Arial" w:eastAsia="Arial" w:hAnsi="Arial"/>
          <w:sz w:val="22"/>
          <w:szCs w:val="22"/>
          <w:color w:val="auto"/>
        </w:rPr>
        <w:t>. Performance Share Awards granted under this Plan are subject to the following terms and conditions and may contain such additional terms, conditions, restrictions and contingencies not inconsistent with the terms of this Plan and any operative employment or other agreement as the Committee deems desirable:</w:t>
      </w:r>
    </w:p>
    <w:p>
      <w:pPr>
        <w:spacing w:after="0" w:line="371" w:lineRule="exact"/>
        <w:rPr>
          <w:sz w:val="20"/>
          <w:szCs w:val="20"/>
          <w:color w:val="auto"/>
        </w:rPr>
      </w:pPr>
    </w:p>
    <w:p>
      <w:pPr>
        <w:ind w:left="1240" w:right="20" w:hanging="620"/>
        <w:spacing w:after="0" w:line="340" w:lineRule="auto"/>
        <w:tabs>
          <w:tab w:leader="none" w:pos="124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Delivery of Shares</w:t>
      </w:r>
      <w:r>
        <w:rPr>
          <w:rFonts w:ascii="Arial" w:cs="Arial" w:eastAsia="Arial" w:hAnsi="Arial"/>
          <w:sz w:val="22"/>
          <w:szCs w:val="22"/>
          <w:color w:val="auto"/>
        </w:rPr>
        <w:t>. As soon as practicable after the applicable Performance Period has ended, the Participant will receive a distribution of the number of Shares earned during the Performance Period, depending upon the extent to which the applicable performance objectives were achieved. Such Shares will be registered in the name of the Participant and will be free of all restrictions except for any restrictions pursuant to Article 14. Notwithstanding the forgoing, the distribution of Shares provided for herein shall occur not later than two and one-half months following the end of the calendar year in which the Performance Period has ended.</w:t>
      </w:r>
    </w:p>
    <w:p>
      <w:pPr>
        <w:spacing w:after="0" w:line="343" w:lineRule="exact"/>
        <w:rPr>
          <w:rFonts w:ascii="Arial" w:cs="Arial" w:eastAsia="Arial" w:hAnsi="Arial"/>
          <w:sz w:val="22"/>
          <w:szCs w:val="22"/>
          <w:color w:val="auto"/>
        </w:rPr>
      </w:pPr>
    </w:p>
    <w:p>
      <w:pPr>
        <w:ind w:left="1240" w:hanging="620"/>
        <w:spacing w:after="0" w:line="375" w:lineRule="auto"/>
        <w:tabs>
          <w:tab w:leader="none" w:pos="124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A Performance Share Award or unearned portion thereof will terminate without the issuance of Shares on the termination date specified at the time of grant or upon the termination of employment of the Participant during the Performance Period. If a Participant's employment with the Bank, the Company or its Affiliates terminates by reason of his or her death, disability or retirement, the Committee in its discretion at or after the time of grant may determine, notwithstanding any Vesting requirements, that the Participant (or the heir, legatee or legal representative of the Participant's estate) will receive a distribution based on a portion of the Participant's then-outstanding Performance Share Awards in an amount which is not more than the number of shares which would have been</w:t>
      </w:r>
    </w:p>
    <w:p>
      <w:pPr>
        <w:ind w:left="1240"/>
        <w:spacing w:after="0" w:line="235" w:lineRule="auto"/>
        <w:rPr>
          <w:sz w:val="20"/>
          <w:szCs w:val="20"/>
          <w:color w:val="auto"/>
        </w:rPr>
      </w:pPr>
      <w:r>
        <w:rPr>
          <w:rFonts w:ascii="Arial" w:cs="Arial" w:eastAsia="Arial" w:hAnsi="Arial"/>
          <w:sz w:val="22"/>
          <w:szCs w:val="22"/>
          <w:color w:val="auto"/>
        </w:rPr>
        <w:t>earned by the participant if 100% of the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 / 29</w:t>
      </w:r>
    </w:p>
    <w:p>
      <w:pPr>
        <w:sectPr>
          <w:pgSz w:w="11900" w:h="16838" w:orient="portrait"/>
          <w:cols w:equalWidth="0" w:num="1">
            <w:col w:w="9360"/>
          </w:cols>
          <w:pgMar w:left="1260" w:top="1440" w:right="1286" w:bottom="0" w:gutter="0" w:footer="0" w:header="0"/>
          <w:type w:val="continuous"/>
        </w:sectPr>
      </w:pPr>
    </w:p>
    <w:bookmarkStart w:id="287" w:name="page288"/>
    <w:bookmarkEnd w:id="287"/>
    <w:p>
      <w:pPr>
        <w:spacing w:after="0" w:line="200" w:lineRule="exact"/>
        <w:rPr>
          <w:sz w:val="20"/>
          <w:szCs w:val="20"/>
          <w:color w:val="auto"/>
        </w:rPr>
      </w:pPr>
    </w:p>
    <w:p>
      <w:pPr>
        <w:spacing w:after="0" w:line="281" w:lineRule="exact"/>
        <w:rPr>
          <w:sz w:val="20"/>
          <w:szCs w:val="20"/>
          <w:color w:val="auto"/>
        </w:rPr>
      </w:pPr>
    </w:p>
    <w:p>
      <w:pPr>
        <w:jc w:val="both"/>
        <w:ind w:left="1240"/>
        <w:spacing w:after="0" w:line="336" w:lineRule="auto"/>
        <w:rPr>
          <w:sz w:val="20"/>
          <w:szCs w:val="20"/>
          <w:color w:val="auto"/>
        </w:rPr>
      </w:pPr>
      <w:r>
        <w:rPr>
          <w:rFonts w:ascii="Arial" w:cs="Arial" w:eastAsia="Arial" w:hAnsi="Arial"/>
          <w:sz w:val="22"/>
          <w:szCs w:val="22"/>
          <w:color w:val="auto"/>
        </w:rPr>
        <w:t>performance objectives for the current Performance Period had been achieved prorated based on the ratio of the number of months of active employment in the Performance Period to the total number of months in the Performance Period.</w:t>
      </w:r>
    </w:p>
    <w:p>
      <w:pPr>
        <w:spacing w:after="0" w:line="337" w:lineRule="exact"/>
        <w:rPr>
          <w:sz w:val="20"/>
          <w:szCs w:val="20"/>
          <w:color w:val="auto"/>
        </w:rPr>
      </w:pPr>
    </w:p>
    <w:p>
      <w:pPr>
        <w:ind w:left="620"/>
        <w:spacing w:after="0"/>
        <w:tabs>
          <w:tab w:leader="none" w:pos="1220" w:val="left"/>
          <w:tab w:leader="none" w:pos="3880" w:val="left"/>
          <w:tab w:leader="none" w:pos="62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Voting</w:t>
      </w:r>
      <w:r>
        <w:rPr>
          <w:sz w:val="20"/>
          <w:szCs w:val="20"/>
          <w:color w:val="auto"/>
        </w:rPr>
        <w:tab/>
      </w:r>
      <w:r>
        <w:rPr>
          <w:rFonts w:ascii="Arial" w:cs="Arial" w:eastAsia="Arial" w:hAnsi="Arial"/>
          <w:sz w:val="22"/>
          <w:szCs w:val="22"/>
          <w:color w:val="auto"/>
        </w:rPr>
        <w:t>and</w:t>
      </w:r>
      <w:r>
        <w:rPr>
          <w:sz w:val="20"/>
          <w:szCs w:val="20"/>
          <w:color w:val="auto"/>
        </w:rPr>
        <w:tab/>
      </w:r>
      <w:r>
        <w:rPr>
          <w:rFonts w:ascii="Arial" w:cs="Arial" w:eastAsia="Arial" w:hAnsi="Arial"/>
          <w:sz w:val="20"/>
          <w:szCs w:val="20"/>
          <w:color w:val="auto"/>
        </w:rPr>
        <w:t>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791210</wp:posOffset>
                </wp:positionH>
                <wp:positionV relativeFrom="paragraph">
                  <wp:posOffset>-10160</wp:posOffset>
                </wp:positionV>
                <wp:extent cx="4807585" cy="0"/>
                <wp:wrapNone/>
                <wp:docPr id="731" name="Shape 7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7585"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731" o:spid="_x0000_s17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3pt,-0.7999pt" to="440.85pt,-0.7999pt" o:allowincell="f" strokecolor="#000000" strokeweight="0.5369pt"/>
            </w:pict>
          </mc:Fallback>
        </mc:AlternateContent>
      </w:r>
    </w:p>
    <w:p>
      <w:pPr>
        <w:spacing w:after="0" w:line="98" w:lineRule="exact"/>
        <w:rPr>
          <w:sz w:val="20"/>
          <w:szCs w:val="20"/>
          <w:color w:val="auto"/>
        </w:rPr>
      </w:pPr>
    </w:p>
    <w:p>
      <w:pPr>
        <w:jc w:val="both"/>
        <w:ind w:left="1240" w:right="40"/>
        <w:spacing w:after="0" w:line="357" w:lineRule="auto"/>
        <w:rPr>
          <w:sz w:val="20"/>
          <w:szCs w:val="20"/>
          <w:color w:val="auto"/>
        </w:rPr>
      </w:pPr>
      <w:r>
        <w:rPr>
          <w:rFonts w:ascii="Arial" w:cs="Arial" w:eastAsia="Arial" w:hAnsi="Arial"/>
          <w:sz w:val="21"/>
          <w:szCs w:val="21"/>
          <w:u w:val="single" w:color="auto"/>
          <w:color w:val="auto"/>
        </w:rPr>
        <w:t>Rights</w:t>
      </w:r>
      <w:r>
        <w:rPr>
          <w:rFonts w:ascii="Arial" w:cs="Arial" w:eastAsia="Arial" w:hAnsi="Arial"/>
          <w:sz w:val="21"/>
          <w:szCs w:val="21"/>
          <w:color w:val="auto"/>
        </w:rPr>
        <w:t>. Awards of Performance Shares do not provide the Participant with voting rights or rights to dividends prior to the Participant becoming the holder of record of Shares issued pursuant to an Award; provided, however, that an Award Agreement may provide for payment of an amount of money (or Shares with a Fair Market Value equivalent to such amount) equal to the dividends paid from time to time on the number of Common Shares that would become payable upon vesting of a Performance Share Award. Prior to the issuance of Shares, Performance Share Awards may not be sold, transferred, pledged, assigned or otherwise encumbered.</w:t>
      </w:r>
    </w:p>
    <w:p>
      <w:pPr>
        <w:spacing w:after="0" w:line="313" w:lineRule="exact"/>
        <w:rPr>
          <w:sz w:val="20"/>
          <w:szCs w:val="20"/>
          <w:color w:val="auto"/>
        </w:rPr>
      </w:pPr>
    </w:p>
    <w:p>
      <w:pPr>
        <w:jc w:val="both"/>
        <w:ind w:right="20"/>
        <w:spacing w:after="0" w:line="310"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Special Limitations on Performance Share Awards</w:t>
      </w:r>
      <w:r>
        <w:rPr>
          <w:rFonts w:ascii="Arial" w:cs="Arial" w:eastAsia="Arial" w:hAnsi="Arial"/>
          <w:sz w:val="22"/>
          <w:szCs w:val="22"/>
          <w:color w:val="auto"/>
        </w:rPr>
        <w:t>. Unless an Award Agreement approved by the Committee provides otherwise, Performance Shares awarded under this Plan are intended to meet the requirements for the short-term deferral exemption from coverage under Code Section 409A described in Treasury Regulation Section 1.409A-1(b)(4) and all Performance Share Awards shall be construed and administered accordingly.</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10</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Transfers and Leaves of Absence</w:t>
      </w:r>
    </w:p>
    <w:p>
      <w:pPr>
        <w:spacing w:after="0" w:line="200" w:lineRule="exact"/>
        <w:rPr>
          <w:sz w:val="20"/>
          <w:szCs w:val="20"/>
          <w:color w:val="auto"/>
        </w:rPr>
      </w:pPr>
    </w:p>
    <w:p>
      <w:pPr>
        <w:spacing w:after="0" w:line="218" w:lineRule="exact"/>
        <w:rPr>
          <w:sz w:val="20"/>
          <w:szCs w:val="20"/>
          <w:color w:val="auto"/>
        </w:rPr>
      </w:pPr>
    </w:p>
    <w:p>
      <w:pPr>
        <w:jc w:val="both"/>
        <w:ind w:right="40"/>
        <w:spacing w:after="0" w:line="328"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Transfer of Participant.</w:t>
      </w:r>
      <w:r>
        <w:rPr>
          <w:rFonts w:ascii="Arial" w:cs="Arial" w:eastAsia="Arial" w:hAnsi="Arial"/>
          <w:sz w:val="21"/>
          <w:szCs w:val="21"/>
          <w:color w:val="auto"/>
        </w:rPr>
        <w:t xml:space="preserve"> For purposes of this Plan, the transfer of a Participant among the Bank, the Company and other Affiliates of the Company is deemed not to be a termination of employment.</w:t>
      </w:r>
    </w:p>
    <w:p>
      <w:pPr>
        <w:spacing w:after="0" w:line="330" w:lineRule="exact"/>
        <w:rPr>
          <w:sz w:val="20"/>
          <w:szCs w:val="20"/>
          <w:color w:val="auto"/>
        </w:rPr>
      </w:pPr>
    </w:p>
    <w:p>
      <w:pPr>
        <w:jc w:val="both"/>
        <w:ind w:right="40"/>
        <w:spacing w:after="0" w:line="302"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Effect of Leaves of Absence</w:t>
      </w:r>
      <w:r>
        <w:rPr>
          <w:rFonts w:ascii="Arial" w:cs="Arial" w:eastAsia="Arial" w:hAnsi="Arial"/>
          <w:sz w:val="22"/>
          <w:szCs w:val="22"/>
          <w:color w:val="auto"/>
        </w:rPr>
        <w:t>. For purposes of this Plan, the following leaves of absence are deemed not to be a termination of employment:</w:t>
      </w:r>
    </w:p>
    <w:p>
      <w:pPr>
        <w:spacing w:after="0" w:line="377" w:lineRule="exact"/>
        <w:rPr>
          <w:sz w:val="20"/>
          <w:szCs w:val="20"/>
          <w:color w:val="auto"/>
        </w:rPr>
      </w:pPr>
    </w:p>
    <w:p>
      <w:pPr>
        <w:jc w:val="both"/>
        <w:ind w:left="1240" w:right="40" w:hanging="620"/>
        <w:spacing w:after="0" w:line="336" w:lineRule="auto"/>
        <w:tabs>
          <w:tab w:leader="none" w:pos="12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 leave of absence, approved in writing by the Bank or the Company, for military service, sickness or any other purpose approved by the Bank or the Company, if the period of such leave does not exceed 90 days;</w:t>
      </w:r>
    </w:p>
    <w:p>
      <w:pPr>
        <w:spacing w:after="0" w:line="347" w:lineRule="exact"/>
        <w:rPr>
          <w:rFonts w:ascii="Arial" w:cs="Arial" w:eastAsia="Arial" w:hAnsi="Arial"/>
          <w:sz w:val="22"/>
          <w:szCs w:val="22"/>
          <w:color w:val="auto"/>
        </w:rPr>
      </w:pPr>
    </w:p>
    <w:p>
      <w:pPr>
        <w:jc w:val="both"/>
        <w:ind w:left="1240" w:right="40" w:hanging="620"/>
        <w:spacing w:after="0" w:line="357" w:lineRule="auto"/>
        <w:tabs>
          <w:tab w:leader="none" w:pos="1240" w:val="left"/>
        </w:tabs>
        <w:numPr>
          <w:ilvl w:val="0"/>
          <w:numId w:val="66"/>
        </w:numPr>
        <w:rPr>
          <w:rFonts w:ascii="Arial" w:cs="Arial" w:eastAsia="Arial" w:hAnsi="Arial"/>
          <w:sz w:val="21"/>
          <w:szCs w:val="21"/>
          <w:color w:val="auto"/>
        </w:rPr>
      </w:pPr>
      <w:r>
        <w:rPr>
          <w:rFonts w:ascii="Arial" w:cs="Arial" w:eastAsia="Arial" w:hAnsi="Arial"/>
          <w:sz w:val="21"/>
          <w:szCs w:val="21"/>
          <w:color w:val="auto"/>
        </w:rPr>
        <w:t>a leave of absence in excess of 90 days, approved in writing by the Bank or the Company, but only if the employee's right to reemployment is guaranteed either by a statute or by contract, and provided that, in the case of any such leave of absence, the employee returns to work within 30 days after the end of such leave; and</w:t>
      </w:r>
    </w:p>
    <w:p>
      <w:pPr>
        <w:spacing w:after="0" w:line="333" w:lineRule="exact"/>
        <w:rPr>
          <w:rFonts w:ascii="Arial" w:cs="Arial" w:eastAsia="Arial" w:hAnsi="Arial"/>
          <w:sz w:val="21"/>
          <w:szCs w:val="21"/>
          <w:color w:val="auto"/>
        </w:rPr>
      </w:pPr>
    </w:p>
    <w:p>
      <w:pPr>
        <w:ind w:left="1240" w:right="80" w:hanging="620"/>
        <w:spacing w:after="0" w:line="331" w:lineRule="auto"/>
        <w:tabs>
          <w:tab w:leader="none" w:pos="12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other absence determined by the Committee in its discretion not to constitute a termination of employment.</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 / 29</w:t>
      </w:r>
    </w:p>
    <w:p>
      <w:pPr>
        <w:sectPr>
          <w:pgSz w:w="11900" w:h="16838" w:orient="portrait"/>
          <w:cols w:equalWidth="0" w:num="1">
            <w:col w:w="9360"/>
          </w:cols>
          <w:pgMar w:left="1260" w:top="1440" w:right="1286" w:bottom="0" w:gutter="0" w:footer="0" w:header="0"/>
          <w:type w:val="continuous"/>
        </w:sectPr>
      </w:pPr>
    </w:p>
    <w:bookmarkStart w:id="288" w:name="page289"/>
    <w:bookmarkEnd w:id="288"/>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11</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Effect of Change in Control</w:t>
      </w:r>
    </w:p>
    <w:p>
      <w:pPr>
        <w:spacing w:after="0" w:line="200" w:lineRule="exact"/>
        <w:rPr>
          <w:sz w:val="20"/>
          <w:szCs w:val="20"/>
          <w:color w:val="auto"/>
        </w:rPr>
      </w:pPr>
    </w:p>
    <w:p>
      <w:pPr>
        <w:spacing w:after="0" w:line="218" w:lineRule="exact"/>
        <w:rPr>
          <w:sz w:val="20"/>
          <w:szCs w:val="20"/>
          <w:color w:val="auto"/>
        </w:rPr>
      </w:pPr>
    </w:p>
    <w:p>
      <w:pPr>
        <w:ind w:right="40"/>
        <w:spacing w:after="0" w:line="302"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Change in Control Defined</w:t>
      </w:r>
      <w:r>
        <w:rPr>
          <w:rFonts w:ascii="Arial" w:cs="Arial" w:eastAsia="Arial" w:hAnsi="Arial"/>
          <w:sz w:val="22"/>
          <w:szCs w:val="22"/>
          <w:color w:val="auto"/>
        </w:rPr>
        <w:t>. "Change in Control" shall have the meaning set forth in Article 1 of this Plan.</w:t>
      </w:r>
    </w:p>
    <w:p>
      <w:pPr>
        <w:spacing w:after="0" w:line="353" w:lineRule="exact"/>
        <w:rPr>
          <w:sz w:val="20"/>
          <w:szCs w:val="20"/>
          <w:color w:val="auto"/>
        </w:rPr>
      </w:pPr>
    </w:p>
    <w:p>
      <w:pPr>
        <w:ind w:right="60"/>
        <w:spacing w:after="0" w:line="302"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Effect of Change in Control</w:t>
      </w:r>
      <w:r>
        <w:rPr>
          <w:rFonts w:ascii="Arial" w:cs="Arial" w:eastAsia="Arial" w:hAnsi="Arial"/>
          <w:sz w:val="22"/>
          <w:szCs w:val="22"/>
          <w:color w:val="auto"/>
        </w:rPr>
        <w:t>. Unless otherwise determined by the Committee in connection with the grant and expressly set forth in the Award Agreement, following a Change in Control,:</w:t>
      </w:r>
    </w:p>
    <w:p>
      <w:pPr>
        <w:spacing w:after="0" w:line="377" w:lineRule="exact"/>
        <w:rPr>
          <w:sz w:val="20"/>
          <w:szCs w:val="20"/>
          <w:color w:val="auto"/>
        </w:rPr>
      </w:pPr>
    </w:p>
    <w:p>
      <w:pPr>
        <w:ind w:left="1240" w:right="80" w:hanging="620"/>
        <w:spacing w:after="0" w:line="331" w:lineRule="auto"/>
        <w:tabs>
          <w:tab w:leader="none" w:pos="12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Stock Options or SARs, notwithstanding any limitations set forth in the Plan shall become fully Vested and immediately exercisable;</w:t>
      </w:r>
    </w:p>
    <w:p>
      <w:pPr>
        <w:spacing w:after="0" w:line="352" w:lineRule="exact"/>
        <w:rPr>
          <w:rFonts w:ascii="Arial" w:cs="Arial" w:eastAsia="Arial" w:hAnsi="Arial"/>
          <w:sz w:val="22"/>
          <w:szCs w:val="22"/>
          <w:color w:val="auto"/>
        </w:rPr>
      </w:pPr>
    </w:p>
    <w:p>
      <w:pPr>
        <w:ind w:left="1240" w:right="80" w:hanging="620"/>
        <w:spacing w:after="0" w:line="331" w:lineRule="auto"/>
        <w:tabs>
          <w:tab w:leader="none" w:pos="12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Restricted Shares, notwithstanding any limitations set forth in the Plan shall become fully Vested; and</w:t>
      </w:r>
    </w:p>
    <w:p>
      <w:pPr>
        <w:spacing w:after="0" w:line="352" w:lineRule="exact"/>
        <w:rPr>
          <w:rFonts w:ascii="Arial" w:cs="Arial" w:eastAsia="Arial" w:hAnsi="Arial"/>
          <w:sz w:val="22"/>
          <w:szCs w:val="22"/>
          <w:color w:val="auto"/>
        </w:rPr>
      </w:pPr>
    </w:p>
    <w:p>
      <w:pPr>
        <w:ind w:left="1240" w:hanging="620"/>
        <w:spacing w:after="0" w:line="331" w:lineRule="auto"/>
        <w:tabs>
          <w:tab w:leader="none" w:pos="12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Restricted Share Units and Performance Shares, notwithstanding any limitations set forth in the Plan, shall become fully Vested.</w:t>
      </w:r>
    </w:p>
    <w:p>
      <w:pPr>
        <w:spacing w:after="0" w:line="328" w:lineRule="exact"/>
        <w:rPr>
          <w:sz w:val="20"/>
          <w:szCs w:val="20"/>
          <w:color w:val="auto"/>
        </w:rPr>
      </w:pPr>
    </w:p>
    <w:p>
      <w:pPr>
        <w:ind w:right="60"/>
        <w:spacing w:after="0" w:line="346"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u w:val="single" w:color="auto"/>
          <w:color w:val="auto"/>
        </w:rPr>
        <w:t>Other Actions upon Change in Control</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The Committee or the Board of the Company may, in its discretion, to the extent determined to be permitted under Code Section 409A, take one or more of the</w:t>
      </w:r>
    </w:p>
    <w:p>
      <w:pPr>
        <w:spacing w:after="0" w:line="1" w:lineRule="exact"/>
        <w:rPr>
          <w:sz w:val="20"/>
          <w:szCs w:val="20"/>
          <w:color w:val="auto"/>
        </w:rPr>
      </w:pPr>
    </w:p>
    <w:p>
      <w:pPr>
        <w:ind w:right="500"/>
        <w:spacing w:after="0" w:line="302" w:lineRule="auto"/>
        <w:rPr>
          <w:sz w:val="20"/>
          <w:szCs w:val="20"/>
          <w:color w:val="auto"/>
        </w:rPr>
      </w:pPr>
      <w:r>
        <w:rPr>
          <w:rFonts w:ascii="Arial" w:cs="Arial" w:eastAsia="Arial" w:hAnsi="Arial"/>
          <w:sz w:val="22"/>
          <w:szCs w:val="22"/>
          <w:color w:val="auto"/>
        </w:rPr>
        <w:t>following actions with respect to any outstanding Awards: (i) settle such Awards for an amount of cash or securities equal to their value, where in the case of</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 / 29</w:t>
      </w:r>
    </w:p>
    <w:p>
      <w:pPr>
        <w:sectPr>
          <w:pgSz w:w="11900" w:h="16838" w:orient="portrait"/>
          <w:cols w:equalWidth="0" w:num="1">
            <w:col w:w="9380"/>
          </w:cols>
          <w:pgMar w:left="1260" w:top="1440" w:right="1266" w:bottom="0" w:gutter="0" w:footer="0" w:header="0"/>
          <w:type w:val="continuous"/>
        </w:sectPr>
      </w:pPr>
    </w:p>
    <w:bookmarkStart w:id="289" w:name="page290"/>
    <w:bookmarkEnd w:id="289"/>
    <w:p>
      <w:pPr>
        <w:spacing w:after="0" w:line="200" w:lineRule="exact"/>
        <w:rPr>
          <w:sz w:val="20"/>
          <w:szCs w:val="20"/>
          <w:color w:val="auto"/>
        </w:rPr>
      </w:pPr>
    </w:p>
    <w:p>
      <w:pPr>
        <w:spacing w:after="0" w:line="257" w:lineRule="exact"/>
        <w:rPr>
          <w:sz w:val="20"/>
          <w:szCs w:val="20"/>
          <w:color w:val="auto"/>
        </w:rPr>
      </w:pPr>
    </w:p>
    <w:p>
      <w:pPr>
        <w:jc w:val="both"/>
        <w:ind w:right="60"/>
        <w:spacing w:after="0" w:line="347" w:lineRule="auto"/>
        <w:rPr>
          <w:sz w:val="20"/>
          <w:szCs w:val="20"/>
          <w:color w:val="auto"/>
        </w:rPr>
      </w:pPr>
      <w:r>
        <w:rPr>
          <w:rFonts w:ascii="Arial" w:cs="Arial" w:eastAsia="Arial" w:hAnsi="Arial"/>
          <w:sz w:val="20"/>
          <w:szCs w:val="20"/>
          <w:color w:val="auto"/>
        </w:rPr>
        <w:t>stock options and SARs, the value of such awards, if any, will be equal to their in-the-money spread value (if any), as determined in the sole discretion of the Committee; (ii) provide for the assumption of or the issuance of substitute awards that will substantially preserve the otherwise applicable terms of any affected Awards previously granted under the Plan, as determined by the Committee in its sole discretion; or (iii) modify the terms of such awards to add events, conditions or circumstances upon which the vesting of such Awards or lapsing of restrictions thereon will accelerate, including but not limited to the ability to accelerate vesting of any outstanding Award in the event of an individual’s separation from employment or service prior to but in anticipation of the Change in Control.</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Transferability of Awards</w:t>
      </w:r>
    </w:p>
    <w:p>
      <w:pPr>
        <w:spacing w:after="0" w:line="200" w:lineRule="exact"/>
        <w:rPr>
          <w:sz w:val="20"/>
          <w:szCs w:val="20"/>
          <w:color w:val="auto"/>
        </w:rPr>
      </w:pPr>
    </w:p>
    <w:p>
      <w:pPr>
        <w:spacing w:after="0" w:line="218"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Awards Are Non-Transferable</w:t>
      </w:r>
      <w:r>
        <w:rPr>
          <w:rFonts w:ascii="Arial" w:cs="Arial" w:eastAsia="Arial" w:hAnsi="Arial"/>
          <w:sz w:val="22"/>
          <w:szCs w:val="22"/>
          <w:color w:val="auto"/>
        </w:rPr>
        <w:t>. Except as provided in Sections 12.2 and 12.3, Awards are non-transferable and any attempts to assign, pledge, hypothecate or otherwise alienate or encumber (whether by operation of law or otherwise) any Award shall be null and void.</w:t>
      </w:r>
    </w:p>
    <w:p>
      <w:pPr>
        <w:spacing w:after="0" w:line="349" w:lineRule="exact"/>
        <w:rPr>
          <w:sz w:val="20"/>
          <w:szCs w:val="20"/>
          <w:color w:val="auto"/>
        </w:rPr>
      </w:pPr>
    </w:p>
    <w:p>
      <w:pPr>
        <w:jc w:val="both"/>
        <w:ind w:right="80"/>
        <w:spacing w:after="0" w:line="307"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Inter-Vivos Exercise of Awards</w:t>
      </w:r>
      <w:r>
        <w:rPr>
          <w:rFonts w:ascii="Arial" w:cs="Arial" w:eastAsia="Arial" w:hAnsi="Arial"/>
          <w:sz w:val="22"/>
          <w:szCs w:val="22"/>
          <w:color w:val="auto"/>
        </w:rPr>
        <w:t>. During a Participant's lifetime, Awards are exercisable only by the Participant or, as permitted by applicable law and notwithstanding Section 12.1 to the contrary, the Participant's guardian or other legal representative.</w:t>
      </w:r>
    </w:p>
    <w:p>
      <w:pPr>
        <w:spacing w:after="0" w:line="349" w:lineRule="exact"/>
        <w:rPr>
          <w:sz w:val="20"/>
          <w:szCs w:val="20"/>
          <w:color w:val="auto"/>
        </w:rPr>
      </w:pPr>
    </w:p>
    <w:p>
      <w:pPr>
        <w:jc w:val="both"/>
        <w:ind w:right="20"/>
        <w:spacing w:after="0" w:line="328" w:lineRule="auto"/>
        <w:rPr>
          <w:sz w:val="20"/>
          <w:szCs w:val="20"/>
          <w:color w:val="auto"/>
        </w:rPr>
      </w:pPr>
      <w:r>
        <w:rPr>
          <w:rFonts w:ascii="Arial" w:cs="Arial" w:eastAsia="Arial" w:hAnsi="Arial"/>
          <w:sz w:val="21"/>
          <w:szCs w:val="21"/>
          <w:color w:val="auto"/>
        </w:rPr>
        <w:t xml:space="preserve">12.3 </w:t>
      </w:r>
      <w:r>
        <w:rPr>
          <w:rFonts w:ascii="Arial" w:cs="Arial" w:eastAsia="Arial" w:hAnsi="Arial"/>
          <w:sz w:val="21"/>
          <w:szCs w:val="21"/>
          <w:u w:val="single" w:color="auto"/>
          <w:color w:val="auto"/>
        </w:rPr>
        <w:t>Limited Transferability of Certain Awards</w:t>
      </w:r>
      <w:r>
        <w:rPr>
          <w:rFonts w:ascii="Arial" w:cs="Arial" w:eastAsia="Arial" w:hAnsi="Arial"/>
          <w:sz w:val="21"/>
          <w:szCs w:val="21"/>
          <w:color w:val="auto"/>
        </w:rPr>
        <w:t>. Notwithstanding Section 12.1 to the contrary, Awards may be transferred by will and by the laws of descent and distribution. Moreover, the Committee, in its discretion, may allow at or after the time of grant the transferability of Awards which are Vested, provided that the permitted transfer is made (a) if the Award is an Incentive Stock Option, the transfer is consistent with Section 422 of the Code; (b) to the Company (for example in the case of forfeiture of Restricted Shares), an Affiliate or a person acting as the agent of the foregoing or which is otherwise determined by the Committee to be in the interests of the Company; or (c) by the Participant for no consideration to Family Members or other Permitted Transferees (as defined in this Plan). No transfer may be made to the extent that transferability would cause Form S-8 or any successor form thereto not to be available to register Shares related to an Award. The Committee in its discretion may impose additional terms and conditions upon transferability.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and Discontinuation</w:t>
      </w:r>
    </w:p>
    <w:p>
      <w:pPr>
        <w:spacing w:after="0" w:line="200" w:lineRule="exact"/>
        <w:rPr>
          <w:sz w:val="20"/>
          <w:szCs w:val="20"/>
          <w:color w:val="auto"/>
        </w:rPr>
      </w:pPr>
    </w:p>
    <w:p>
      <w:pPr>
        <w:spacing w:after="0" w:line="207" w:lineRule="exact"/>
        <w:rPr>
          <w:sz w:val="20"/>
          <w:szCs w:val="20"/>
          <w:color w:val="auto"/>
        </w:rPr>
      </w:pPr>
    </w:p>
    <w:p>
      <w:pPr>
        <w:spacing w:after="0"/>
        <w:tabs>
          <w:tab w:leader="none" w:pos="2660" w:val="left"/>
          <w:tab w:leader="none" w:pos="4000" w:val="left"/>
          <w:tab w:leader="none" w:pos="6560" w:val="left"/>
          <w:tab w:leader="none" w:pos="7900" w:val="left"/>
        </w:tabs>
        <w:rPr>
          <w:sz w:val="20"/>
          <w:szCs w:val="20"/>
          <w:color w:val="auto"/>
        </w:rPr>
      </w:pPr>
      <w:r>
        <w:rPr>
          <w:rFonts w:ascii="Arial" w:cs="Arial" w:eastAsia="Arial" w:hAnsi="Arial"/>
          <w:sz w:val="22"/>
          <w:szCs w:val="22"/>
          <w:color w:val="auto"/>
        </w:rPr>
        <w:t>13.1 Amendment</w:t>
      </w:r>
      <w:r>
        <w:rPr>
          <w:sz w:val="20"/>
          <w:szCs w:val="20"/>
          <w:color w:val="auto"/>
        </w:rPr>
        <w:tab/>
      </w:r>
      <w:r>
        <w:rPr>
          <w:rFonts w:ascii="Arial" w:cs="Arial" w:eastAsia="Arial" w:hAnsi="Arial"/>
          <w:sz w:val="22"/>
          <w:szCs w:val="22"/>
          <w:color w:val="auto"/>
        </w:rPr>
        <w:t>or</w:t>
      </w:r>
      <w:r>
        <w:rPr>
          <w:sz w:val="20"/>
          <w:szCs w:val="20"/>
          <w:color w:val="auto"/>
        </w:rPr>
        <w:tab/>
      </w:r>
      <w:r>
        <w:rPr>
          <w:rFonts w:ascii="Arial" w:cs="Arial" w:eastAsia="Arial" w:hAnsi="Arial"/>
          <w:sz w:val="22"/>
          <w:szCs w:val="22"/>
          <w:color w:val="auto"/>
        </w:rPr>
        <w:t>Discontinuation</w:t>
      </w:r>
      <w:r>
        <w:rPr>
          <w:sz w:val="20"/>
          <w:szCs w:val="20"/>
          <w:color w:val="auto"/>
        </w:rPr>
        <w:tab/>
      </w:r>
      <w:r>
        <w:rPr>
          <w:rFonts w:ascii="Arial" w:cs="Arial" w:eastAsia="Arial" w:hAnsi="Arial"/>
          <w:sz w:val="22"/>
          <w:szCs w:val="22"/>
          <w:color w:val="auto"/>
        </w:rPr>
        <w:t>of</w:t>
      </w:r>
      <w:r>
        <w:rPr>
          <w:sz w:val="20"/>
          <w:szCs w:val="20"/>
          <w:color w:val="auto"/>
        </w:rPr>
        <w:tab/>
      </w:r>
      <w:r>
        <w:rPr>
          <w:rFonts w:ascii="Arial" w:cs="Arial" w:eastAsia="Arial" w:hAnsi="Arial"/>
          <w:sz w:val="20"/>
          <w:szCs w:val="20"/>
          <w:color w:val="auto"/>
        </w:rPr>
        <w:t>this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271780</wp:posOffset>
                </wp:positionH>
                <wp:positionV relativeFrom="paragraph">
                  <wp:posOffset>-10160</wp:posOffset>
                </wp:positionV>
                <wp:extent cx="5691505" cy="0"/>
                <wp:wrapNone/>
                <wp:docPr id="733" name="Shape 7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1505"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733" o:spid="_x0000_s17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pt,-0.7999pt" to="469.55pt,-0.7999pt" o:allowincell="f" strokecolor="#000000" strokeweight="0.5369pt"/>
            </w:pict>
          </mc:Fallback>
        </mc:AlternateContent>
      </w:r>
    </w:p>
    <w:p>
      <w:pPr>
        <w:spacing w:after="0" w:line="68" w:lineRule="exact"/>
        <w:rPr>
          <w:sz w:val="20"/>
          <w:szCs w:val="20"/>
          <w:color w:val="auto"/>
        </w:rPr>
      </w:pPr>
    </w:p>
    <w:p>
      <w:pPr>
        <w:ind w:right="100"/>
        <w:spacing w:after="0" w:line="302" w:lineRule="auto"/>
        <w:rPr>
          <w:sz w:val="20"/>
          <w:szCs w:val="20"/>
          <w:color w:val="auto"/>
        </w:rPr>
      </w:pPr>
      <w:r>
        <w:rPr>
          <w:rFonts w:ascii="Arial" w:cs="Arial" w:eastAsia="Arial" w:hAnsi="Arial"/>
          <w:sz w:val="22"/>
          <w:szCs w:val="22"/>
          <w:u w:val="single" w:color="auto"/>
          <w:color w:val="auto"/>
        </w:rPr>
        <w:t>Plan</w:t>
      </w:r>
      <w:r>
        <w:rPr>
          <w:rFonts w:ascii="Arial" w:cs="Arial" w:eastAsia="Arial" w:hAnsi="Arial"/>
          <w:sz w:val="22"/>
          <w:szCs w:val="22"/>
          <w:color w:val="auto"/>
        </w:rPr>
        <w:t>. The Board of Directors may amend, alter, or discontinue this Plan at any time, provided that no amendment, alteration, or discontinuance may be made: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29</w:t>
      </w:r>
    </w:p>
    <w:p>
      <w:pPr>
        <w:sectPr>
          <w:pgSz w:w="11900" w:h="16838" w:orient="portrait"/>
          <w:cols w:equalWidth="0" w:num="1">
            <w:col w:w="9400"/>
          </w:cols>
          <w:pgMar w:left="1260" w:top="1440" w:right="1246" w:bottom="0" w:gutter="0" w:footer="0" w:header="0"/>
          <w:type w:val="continuous"/>
        </w:sectPr>
      </w:pPr>
    </w:p>
    <w:bookmarkStart w:id="290" w:name="page291"/>
    <w:bookmarkEnd w:id="290"/>
    <w:p>
      <w:pPr>
        <w:jc w:val="both"/>
        <w:ind w:left="1240" w:right="40" w:hanging="620"/>
        <w:spacing w:after="0" w:line="336" w:lineRule="auto"/>
        <w:tabs>
          <w:tab w:leader="none" w:pos="12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which would materially and adversely affect the rights of a Participant under any Award granted prior to the date such action is adopted by the Board of Directors without the Participant's written consent thereto; and</w:t>
      </w:r>
    </w:p>
    <w:p>
      <w:pPr>
        <w:spacing w:after="0" w:line="347" w:lineRule="exact"/>
        <w:rPr>
          <w:rFonts w:ascii="Arial" w:cs="Arial" w:eastAsia="Arial" w:hAnsi="Arial"/>
          <w:sz w:val="22"/>
          <w:szCs w:val="22"/>
          <w:color w:val="auto"/>
        </w:rPr>
      </w:pPr>
    </w:p>
    <w:p>
      <w:pPr>
        <w:jc w:val="both"/>
        <w:ind w:left="1240" w:right="40" w:hanging="620"/>
        <w:spacing w:after="0" w:line="336" w:lineRule="auto"/>
        <w:tabs>
          <w:tab w:leader="none" w:pos="12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without Shareholder approval, if Shareholder approval is required under applicable laws, regulations or exchange requirements (including Section 422 of the Code with respect to ISOs.</w:t>
      </w:r>
    </w:p>
    <w:p>
      <w:pPr>
        <w:spacing w:after="0" w:line="324" w:lineRule="exact"/>
        <w:rPr>
          <w:sz w:val="20"/>
          <w:szCs w:val="20"/>
          <w:color w:val="auto"/>
        </w:rPr>
      </w:pPr>
    </w:p>
    <w:p>
      <w:pPr>
        <w:jc w:val="both"/>
        <w:spacing w:after="0" w:line="350" w:lineRule="auto"/>
        <w:rPr>
          <w:sz w:val="20"/>
          <w:szCs w:val="20"/>
          <w:color w:val="auto"/>
        </w:rPr>
      </w:pPr>
      <w:r>
        <w:rPr>
          <w:rFonts w:ascii="Arial" w:cs="Arial" w:eastAsia="Arial" w:hAnsi="Arial"/>
          <w:sz w:val="20"/>
          <w:szCs w:val="20"/>
          <w:color w:val="auto"/>
        </w:rPr>
        <w:t>Notwithstanding the foregoing, this Plan may be amended without Participants' consent to: (i) comply with any law; (ii) preserve any intended favorable tax effects for the Company, the Plan or Participants; or (iii) avoid any unintended unfavorable tax effects for the Company, the Plan or Participants.</w:t>
      </w:r>
    </w:p>
    <w:p>
      <w:pPr>
        <w:spacing w:after="0" w:line="314" w:lineRule="exact"/>
        <w:rPr>
          <w:sz w:val="20"/>
          <w:szCs w:val="20"/>
          <w:color w:val="auto"/>
        </w:rPr>
      </w:pPr>
    </w:p>
    <w:p>
      <w:pPr>
        <w:jc w:val="both"/>
        <w:ind w:right="20"/>
        <w:spacing w:after="0" w:line="347"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u w:val="single" w:color="auto"/>
          <w:color w:val="auto"/>
        </w:rPr>
        <w:t>Amendment of Grants</w:t>
      </w:r>
      <w:r>
        <w:rPr>
          <w:rFonts w:ascii="Arial" w:cs="Arial" w:eastAsia="Arial" w:hAnsi="Arial"/>
          <w:sz w:val="20"/>
          <w:szCs w:val="20"/>
          <w:color w:val="auto"/>
        </w:rPr>
        <w:t>. The Committee may amend, prospectively or retroactively, the terms of any outstanding Award, provided that no such amendment may be inconsistent with the terms of this Plan (specifically including the prohibition on granting Stock Options or SARs with an Exercise Price less than 100% of the Fair Market Value of the Common Shares on the Date of Grant) or would materially and adversely affect the rights of the Participant holding the grant without his or her written consent.</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20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 / 29</w:t>
      </w:r>
    </w:p>
    <w:p>
      <w:pPr>
        <w:sectPr>
          <w:pgSz w:w="11900" w:h="16838" w:orient="portrait"/>
          <w:cols w:equalWidth="0" w:num="1">
            <w:col w:w="9360"/>
          </w:cols>
          <w:pgMar w:left="1260" w:top="1200" w:right="1286" w:bottom="0" w:gutter="0" w:footer="0" w:header="0"/>
          <w:type w:val="continuous"/>
        </w:sectPr>
      </w:pPr>
    </w:p>
    <w:bookmarkStart w:id="291" w:name="page292"/>
    <w:bookmarkEnd w:id="291"/>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14</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Issuance of Shares and Share Certificates</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311"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Issuance of Shares</w:t>
      </w:r>
      <w:r>
        <w:rPr>
          <w:rFonts w:ascii="Arial" w:cs="Arial" w:eastAsia="Arial" w:hAnsi="Arial"/>
          <w:sz w:val="22"/>
          <w:szCs w:val="22"/>
          <w:color w:val="auto"/>
        </w:rPr>
        <w:t>. The Company will issue or cause to be issued Shares as soon as practicable upon exercise or conversion of an Award that is payable in Shares. No certificates for Shares will be issued until full payment has been made, to the extent payment is required. Until the issuance (as evidenced by the appropriate entry on the books of the Company or of a duly authorized transfer agent of the Company) of the stock certificate evidencing such Shares, no right to vote or receive dividends or any other rights as a shareholder will exist with respect to the Shares, notwithstanding the exercise or conversion of the Award payable in shares.</w:t>
      </w:r>
    </w:p>
    <w:p>
      <w:pPr>
        <w:spacing w:after="0" w:line="345" w:lineRule="exact"/>
        <w:rPr>
          <w:sz w:val="20"/>
          <w:szCs w:val="20"/>
          <w:color w:val="auto"/>
        </w:rPr>
      </w:pPr>
    </w:p>
    <w:p>
      <w:pPr>
        <w:jc w:val="both"/>
        <w:ind w:right="40"/>
        <w:spacing w:after="0" w:line="307"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u w:val="single" w:color="auto"/>
          <w:color w:val="auto"/>
        </w:rPr>
        <w:t>Delivery of Share Certificates</w:t>
      </w:r>
      <w:r>
        <w:rPr>
          <w:rFonts w:ascii="Arial" w:cs="Arial" w:eastAsia="Arial" w:hAnsi="Arial"/>
          <w:sz w:val="22"/>
          <w:szCs w:val="22"/>
          <w:color w:val="auto"/>
        </w:rPr>
        <w:t>. The Company is not required to issue or deliver any certificates for Shares issuable with respect to Awards under this Plan prior to the fulfillment of all of the following conditions:</w:t>
      </w:r>
    </w:p>
    <w:p>
      <w:pPr>
        <w:spacing w:after="0" w:line="362" w:lineRule="exact"/>
        <w:rPr>
          <w:sz w:val="20"/>
          <w:szCs w:val="20"/>
          <w:color w:val="auto"/>
        </w:rPr>
      </w:pPr>
    </w:p>
    <w:p>
      <w:pPr>
        <w:ind w:left="1240" w:hanging="620"/>
        <w:spacing w:after="0"/>
        <w:tabs>
          <w:tab w:leader="none" w:pos="12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payment in full for the Shares and for any tax withholding (see Article 15);</w:t>
      </w:r>
    </w:p>
    <w:p>
      <w:pPr>
        <w:spacing w:after="0" w:line="200" w:lineRule="exact"/>
        <w:rPr>
          <w:rFonts w:ascii="Arial" w:cs="Arial" w:eastAsia="Arial" w:hAnsi="Arial"/>
          <w:sz w:val="22"/>
          <w:szCs w:val="22"/>
          <w:color w:val="auto"/>
        </w:rPr>
      </w:pPr>
    </w:p>
    <w:p>
      <w:pPr>
        <w:spacing w:after="0" w:line="247" w:lineRule="exact"/>
        <w:rPr>
          <w:rFonts w:ascii="Arial" w:cs="Arial" w:eastAsia="Arial" w:hAnsi="Arial"/>
          <w:sz w:val="22"/>
          <w:szCs w:val="22"/>
          <w:color w:val="auto"/>
        </w:rPr>
      </w:pPr>
    </w:p>
    <w:p>
      <w:pPr>
        <w:jc w:val="both"/>
        <w:ind w:left="1240" w:right="20" w:hanging="620"/>
        <w:spacing w:after="0" w:line="338" w:lineRule="auto"/>
        <w:tabs>
          <w:tab w:leader="none" w:pos="12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completion of any registration or other qualification of such Shares under any Federal or state laws or under the rulings or regulations of the Securities and Exchange Commission or any other regulating body which the Committee in its discretion deems necessary or advisable;</w:t>
      </w:r>
    </w:p>
    <w:p>
      <w:pPr>
        <w:spacing w:after="0" w:line="344" w:lineRule="exact"/>
        <w:rPr>
          <w:rFonts w:ascii="Arial" w:cs="Arial" w:eastAsia="Arial" w:hAnsi="Arial"/>
          <w:sz w:val="22"/>
          <w:szCs w:val="22"/>
          <w:color w:val="auto"/>
        </w:rPr>
      </w:pPr>
    </w:p>
    <w:p>
      <w:pPr>
        <w:ind w:left="1240" w:hanging="620"/>
        <w:spacing w:after="0"/>
        <w:tabs>
          <w:tab w:leader="none" w:pos="1240" w:val="left"/>
        </w:tabs>
        <w:numPr>
          <w:ilvl w:val="0"/>
          <w:numId w:val="69"/>
        </w:numPr>
        <w:rPr>
          <w:rFonts w:ascii="Arial" w:cs="Arial" w:eastAsia="Arial" w:hAnsi="Arial"/>
          <w:sz w:val="20"/>
          <w:szCs w:val="20"/>
          <w:color w:val="auto"/>
        </w:rPr>
      </w:pPr>
      <w:r>
        <w:rPr>
          <w:rFonts w:ascii="Arial" w:cs="Arial" w:eastAsia="Arial" w:hAnsi="Arial"/>
          <w:sz w:val="20"/>
          <w:szCs w:val="20"/>
          <w:color w:val="auto"/>
        </w:rPr>
        <w:t>admission of such Shares to listing on any stock exchange on which the Shares are listed;</w:t>
      </w:r>
    </w:p>
    <w:p>
      <w:pPr>
        <w:spacing w:after="0" w:line="200" w:lineRule="exact"/>
        <w:rPr>
          <w:rFonts w:ascii="Arial" w:cs="Arial" w:eastAsia="Arial" w:hAnsi="Arial"/>
          <w:sz w:val="20"/>
          <w:szCs w:val="20"/>
          <w:color w:val="auto"/>
        </w:rPr>
      </w:pPr>
    </w:p>
    <w:p>
      <w:pPr>
        <w:spacing w:after="0" w:line="260" w:lineRule="exact"/>
        <w:rPr>
          <w:rFonts w:ascii="Arial" w:cs="Arial" w:eastAsia="Arial" w:hAnsi="Arial"/>
          <w:sz w:val="20"/>
          <w:szCs w:val="20"/>
          <w:color w:val="auto"/>
        </w:rPr>
      </w:pPr>
    </w:p>
    <w:p>
      <w:pPr>
        <w:jc w:val="both"/>
        <w:ind w:left="1240" w:right="20" w:hanging="620"/>
        <w:spacing w:after="0" w:line="336" w:lineRule="auto"/>
        <w:tabs>
          <w:tab w:leader="none" w:pos="12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in the event the Shares are not registered under the Securities Act of 1933, qualification as a private placement under said Act or qualification for another applicable exemption from registration under the Securities Act of 1933;</w:t>
      </w:r>
    </w:p>
    <w:p>
      <w:pPr>
        <w:spacing w:after="0" w:line="347" w:lineRule="exact"/>
        <w:rPr>
          <w:rFonts w:ascii="Arial" w:cs="Arial" w:eastAsia="Arial" w:hAnsi="Arial"/>
          <w:sz w:val="22"/>
          <w:szCs w:val="22"/>
          <w:color w:val="auto"/>
        </w:rPr>
      </w:pPr>
    </w:p>
    <w:p>
      <w:pPr>
        <w:ind w:left="1240" w:hanging="620"/>
        <w:spacing w:after="0" w:line="388" w:lineRule="auto"/>
        <w:tabs>
          <w:tab w:leader="none" w:pos="1240" w:val="left"/>
        </w:tabs>
        <w:numPr>
          <w:ilvl w:val="0"/>
          <w:numId w:val="69"/>
        </w:numPr>
        <w:rPr>
          <w:rFonts w:ascii="Arial" w:cs="Arial" w:eastAsia="Arial" w:hAnsi="Arial"/>
          <w:sz w:val="20"/>
          <w:szCs w:val="20"/>
          <w:color w:val="auto"/>
        </w:rPr>
      </w:pPr>
      <w:r>
        <w:rPr>
          <w:rFonts w:ascii="Arial" w:cs="Arial" w:eastAsia="Arial" w:hAnsi="Arial"/>
          <w:sz w:val="20"/>
          <w:szCs w:val="20"/>
          <w:color w:val="auto"/>
        </w:rPr>
        <w:t>obtaining of any approval or other clearance from any Federal or state governmental agency which the Committee in its discretion determines to be necessary or advisable; and</w:t>
      </w:r>
    </w:p>
    <w:p>
      <w:pPr>
        <w:spacing w:after="0" w:line="306" w:lineRule="exact"/>
        <w:rPr>
          <w:rFonts w:ascii="Arial" w:cs="Arial" w:eastAsia="Arial" w:hAnsi="Arial"/>
          <w:sz w:val="20"/>
          <w:szCs w:val="20"/>
          <w:color w:val="auto"/>
        </w:rPr>
      </w:pPr>
    </w:p>
    <w:p>
      <w:pPr>
        <w:jc w:val="both"/>
        <w:ind w:left="1240" w:hanging="620"/>
        <w:spacing w:after="0" w:line="338" w:lineRule="auto"/>
        <w:tabs>
          <w:tab w:leader="none" w:pos="12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Committee is fully satisfied that the issuance and delivery of Shares under this Plan is in compliance with applicable Federal, state or local law, rule, regulation or ordinance or any rule or regulation of any other regulating body, for which the Committee may seek approval of counsel for the Company.</w:t>
      </w:r>
    </w:p>
    <w:p>
      <w:pPr>
        <w:spacing w:after="0" w:line="321" w:lineRule="exact"/>
        <w:rPr>
          <w:sz w:val="20"/>
          <w:szCs w:val="20"/>
          <w:color w:val="auto"/>
        </w:rPr>
      </w:pPr>
    </w:p>
    <w:p>
      <w:pPr>
        <w:jc w:val="both"/>
        <w:ind w:right="20"/>
        <w:spacing w:after="0" w:line="375"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Applicable Restrictions on Shares</w:t>
      </w:r>
      <w:r>
        <w:rPr>
          <w:rFonts w:ascii="Arial" w:cs="Arial" w:eastAsia="Arial" w:hAnsi="Arial"/>
          <w:sz w:val="19"/>
          <w:szCs w:val="19"/>
          <w:color w:val="auto"/>
        </w:rPr>
        <w:t>. Shares issued with respect to awards may be subject to such stock transfer orders and other restrictions as the Committee may determine necessary or advisable under any applicable Federal or state securities law rules, regulations and other requirements, the rules, regulations</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 / 29</w:t>
      </w:r>
    </w:p>
    <w:p>
      <w:pPr>
        <w:sectPr>
          <w:pgSz w:w="11900" w:h="16838" w:orient="portrait"/>
          <w:cols w:equalWidth="0" w:num="1">
            <w:col w:w="9360"/>
          </w:cols>
          <w:pgMar w:left="1260" w:top="1440" w:right="1286" w:bottom="0" w:gutter="0" w:footer="0" w:header="0"/>
          <w:type w:val="continuous"/>
        </w:sectPr>
      </w:pPr>
    </w:p>
    <w:bookmarkStart w:id="292" w:name="page293"/>
    <w:bookmarkEnd w:id="292"/>
    <w:p>
      <w:pPr>
        <w:jc w:val="both"/>
        <w:ind w:right="100"/>
        <w:spacing w:after="0" w:line="307" w:lineRule="auto"/>
        <w:rPr>
          <w:sz w:val="20"/>
          <w:szCs w:val="20"/>
          <w:color w:val="auto"/>
        </w:rPr>
      </w:pPr>
      <w:r>
        <w:rPr>
          <w:rFonts w:ascii="Arial" w:cs="Arial" w:eastAsia="Arial" w:hAnsi="Arial"/>
          <w:sz w:val="22"/>
          <w:szCs w:val="22"/>
          <w:color w:val="auto"/>
        </w:rPr>
        <w:t>and other requirements of any stock exchange upon which the Shares are then listed, and any other applicable Federal or state law and will include any restrictive legends on stock certificates that the Committee may deem appropriate to include.</w:t>
      </w:r>
    </w:p>
    <w:p>
      <w:pPr>
        <w:spacing w:after="0" w:line="349" w:lineRule="exact"/>
        <w:rPr>
          <w:sz w:val="20"/>
          <w:szCs w:val="20"/>
          <w:color w:val="auto"/>
        </w:rPr>
      </w:pPr>
    </w:p>
    <w:p>
      <w:pPr>
        <w:jc w:val="both"/>
        <w:ind w:right="80"/>
        <w:spacing w:after="0" w:line="309" w:lineRule="auto"/>
        <w:rPr>
          <w:sz w:val="20"/>
          <w:szCs w:val="20"/>
          <w:color w:val="auto"/>
        </w:rPr>
      </w:pPr>
      <w:r>
        <w:rPr>
          <w:rFonts w:ascii="Arial" w:cs="Arial" w:eastAsia="Arial" w:hAnsi="Arial"/>
          <w:sz w:val="22"/>
          <w:szCs w:val="22"/>
          <w:color w:val="auto"/>
        </w:rPr>
        <w:t xml:space="preserve">14.4 </w:t>
      </w:r>
      <w:r>
        <w:rPr>
          <w:rFonts w:ascii="Arial" w:cs="Arial" w:eastAsia="Arial" w:hAnsi="Arial"/>
          <w:sz w:val="22"/>
          <w:szCs w:val="22"/>
          <w:u w:val="single" w:color="auto"/>
          <w:color w:val="auto"/>
        </w:rPr>
        <w:t>Book Entry</w:t>
      </w:r>
      <w:r>
        <w:rPr>
          <w:rFonts w:ascii="Arial" w:cs="Arial" w:eastAsia="Arial" w:hAnsi="Arial"/>
          <w:sz w:val="22"/>
          <w:szCs w:val="22"/>
          <w:color w:val="auto"/>
        </w:rPr>
        <w:t>. In lieu of the issuance of stock certificates evidencing Shares, the Company may use a "book entry" system in which a computerized or manual entry is made in the records of the Company to evidence the issuance of such Shares. Such Company records are, absent manifest error, binding on all parties.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40" w:type="dxa"/>
            <w:vAlign w:val="bottom"/>
          </w:tcPr>
          <w:p>
            <w:pPr>
              <w:spacing w:after="0"/>
              <w:rPr>
                <w:sz w:val="21"/>
                <w:szCs w:val="21"/>
                <w:color w:val="auto"/>
              </w:rPr>
            </w:pPr>
          </w:p>
        </w:tc>
        <w:tc>
          <w:tcPr>
            <w:tcW w:w="7560" w:type="dxa"/>
            <w:vAlign w:val="bottom"/>
            <w:gridSpan w:val="2"/>
          </w:tcPr>
          <w:p>
            <w:pPr>
              <w:jc w:val="center"/>
              <w:ind w:right="1730"/>
              <w:spacing w:after="0"/>
              <w:rPr>
                <w:sz w:val="20"/>
                <w:szCs w:val="20"/>
                <w:color w:val="auto"/>
              </w:rPr>
            </w:pPr>
            <w:r>
              <w:rPr>
                <w:rFonts w:ascii="Arial" w:cs="Arial" w:eastAsia="Arial" w:hAnsi="Arial"/>
                <w:sz w:val="22"/>
                <w:szCs w:val="22"/>
                <w:b w:val="1"/>
                <w:bCs w:val="1"/>
                <w:color w:val="auto"/>
              </w:rPr>
              <w:t>ARTICLE 15</w:t>
            </w:r>
          </w:p>
        </w:tc>
      </w:tr>
      <w:tr>
        <w:trPr>
          <w:trHeight w:val="330"/>
        </w:trPr>
        <w:tc>
          <w:tcPr>
            <w:tcW w:w="1840" w:type="dxa"/>
            <w:vAlign w:val="bottom"/>
          </w:tcPr>
          <w:p>
            <w:pPr>
              <w:spacing w:after="0"/>
              <w:rPr>
                <w:sz w:val="24"/>
                <w:szCs w:val="24"/>
                <w:color w:val="auto"/>
              </w:rPr>
            </w:pPr>
          </w:p>
        </w:tc>
        <w:tc>
          <w:tcPr>
            <w:tcW w:w="7560" w:type="dxa"/>
            <w:vAlign w:val="bottom"/>
            <w:gridSpan w:val="2"/>
          </w:tcPr>
          <w:p>
            <w:pPr>
              <w:jc w:val="center"/>
              <w:ind w:right="1730"/>
              <w:spacing w:after="0"/>
              <w:rPr>
                <w:sz w:val="20"/>
                <w:szCs w:val="20"/>
                <w:color w:val="auto"/>
              </w:rPr>
            </w:pPr>
            <w:r>
              <w:rPr>
                <w:rFonts w:ascii="Arial" w:cs="Arial" w:eastAsia="Arial" w:hAnsi="Arial"/>
                <w:sz w:val="22"/>
                <w:szCs w:val="22"/>
                <w:b w:val="1"/>
                <w:bCs w:val="1"/>
                <w:color w:val="auto"/>
                <w:w w:val="91"/>
              </w:rPr>
              <w:t>Satisfaction of Tax Liabilities</w:t>
            </w:r>
          </w:p>
        </w:tc>
      </w:tr>
      <w:tr>
        <w:trPr>
          <w:trHeight w:val="638"/>
        </w:trPr>
        <w:tc>
          <w:tcPr>
            <w:tcW w:w="1840" w:type="dxa"/>
            <w:vAlign w:val="bottom"/>
          </w:tcPr>
          <w:p>
            <w:pPr>
              <w:jc w:val="right"/>
              <w:ind w:right="1350"/>
              <w:spacing w:after="0"/>
              <w:rPr>
                <w:sz w:val="20"/>
                <w:szCs w:val="20"/>
                <w:color w:val="auto"/>
              </w:rPr>
            </w:pPr>
            <w:r>
              <w:rPr>
                <w:rFonts w:ascii="Arial" w:cs="Arial" w:eastAsia="Arial" w:hAnsi="Arial"/>
                <w:sz w:val="22"/>
                <w:szCs w:val="22"/>
                <w:color w:val="auto"/>
                <w:w w:val="83"/>
              </w:rPr>
              <w:t>15.1</w:t>
            </w:r>
          </w:p>
        </w:tc>
        <w:tc>
          <w:tcPr>
            <w:tcW w:w="298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In</w:t>
            </w:r>
          </w:p>
        </w:tc>
      </w:tr>
    </w:tbl>
    <w:p>
      <w:pPr>
        <w:spacing w:after="0" w:line="99" w:lineRule="exact"/>
        <w:rPr>
          <w:sz w:val="20"/>
          <w:szCs w:val="20"/>
          <w:color w:val="auto"/>
        </w:rPr>
      </w:pPr>
    </w:p>
    <w:p>
      <w:pPr>
        <w:jc w:val="both"/>
        <w:spacing w:after="0" w:line="345" w:lineRule="auto"/>
        <w:rPr>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The Company or the Bank shall withhold any taxes which the Committee determines the Company or the Bank is required by law or required by the terms of this Plan to withhold in connection with any payments incident to this Plan. The Participant or other recipient shall provide the Committee with such additional information or documentation as may be necessary for the Company and the Bank to discharge their obligations under this Section. The Company may withhold: (a) cash, (b) subject to any limitations under Rule 16b-3, Common Shares to be issued, or (c) any combination thereof, in an amount equal to the amount which the Committee determines is necessary to satisfy the obligations of the Company, the Bank, a Subsidiary or a Parent to withhold federal, state and local income taxes or other amounts incurred by reason of the grant, vesting or exercise of an Award, its disposition, or the disposition of the underlying Common Shares. Alternatively, the Company may require the holder to pay to the Company or the Bank such amounts, in cash, promptly upon demand.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29</w:t>
      </w:r>
    </w:p>
    <w:p>
      <w:pPr>
        <w:sectPr>
          <w:pgSz w:w="11900" w:h="16838" w:orient="portrait"/>
          <w:cols w:equalWidth="0" w:num="1">
            <w:col w:w="9400"/>
          </w:cols>
          <w:pgMar w:left="1260" w:top="1177" w:right="1246" w:bottom="0" w:gutter="0" w:footer="0" w:header="0"/>
          <w:type w:val="continuous"/>
        </w:sectPr>
      </w:pPr>
    </w:p>
    <w:bookmarkStart w:id="293" w:name="page294"/>
    <w:bookmarkEnd w:id="293"/>
    <w:p>
      <w:pPr>
        <w:spacing w:after="0" w:line="200" w:lineRule="exact"/>
        <w:rPr>
          <w:sz w:val="20"/>
          <w:szCs w:val="20"/>
          <w:color w:val="auto"/>
        </w:rPr>
      </w:pPr>
    </w:p>
    <w:p>
      <w:pPr>
        <w:spacing w:after="0" w:line="257" w:lineRule="exact"/>
        <w:rPr>
          <w:sz w:val="20"/>
          <w:szCs w:val="20"/>
          <w:color w:val="auto"/>
        </w:rPr>
      </w:pPr>
    </w:p>
    <w:p>
      <w:pPr>
        <w:jc w:val="both"/>
        <w:spacing w:after="0" w:line="328" w:lineRule="auto"/>
        <w:rPr>
          <w:sz w:val="20"/>
          <w:szCs w:val="20"/>
          <w:color w:val="auto"/>
        </w:rPr>
      </w:pPr>
      <w:r>
        <w:rPr>
          <w:rFonts w:ascii="Arial" w:cs="Arial" w:eastAsia="Arial" w:hAnsi="Arial"/>
          <w:sz w:val="21"/>
          <w:szCs w:val="21"/>
          <w:color w:val="auto"/>
        </w:rPr>
        <w:t xml:space="preserve">15.2 </w:t>
      </w:r>
      <w:r>
        <w:rPr>
          <w:rFonts w:ascii="Arial" w:cs="Arial" w:eastAsia="Arial" w:hAnsi="Arial"/>
          <w:sz w:val="21"/>
          <w:szCs w:val="21"/>
          <w:u w:val="single" w:color="auto"/>
          <w:color w:val="auto"/>
        </w:rPr>
        <w:t>Withholding from Share Distributions</w:t>
      </w:r>
      <w:r>
        <w:rPr>
          <w:rFonts w:ascii="Arial" w:cs="Arial" w:eastAsia="Arial" w:hAnsi="Arial"/>
          <w:sz w:val="21"/>
          <w:szCs w:val="21"/>
          <w:color w:val="auto"/>
        </w:rPr>
        <w:t>. With respect to a distribution in Shares pursuant to a Restricted Share, Restricted Share Unit or Performance Share Award under the Plan, the Committee may cause the Company to sell the number of such Shares with a value (net proceeds of such sale) equal to (or exceed by not more than that actual sale price of a single Share) the Company's required tax withholding relating to such distribution. The Committee may withhold the proceeds of such sale for purposes of satisfying such tax withholding obligation.</w:t>
      </w:r>
    </w:p>
    <w:p>
      <w:pPr>
        <w:spacing w:after="0" w:line="330" w:lineRule="exact"/>
        <w:rPr>
          <w:sz w:val="20"/>
          <w:szCs w:val="20"/>
          <w:color w:val="auto"/>
        </w:rPr>
      </w:pPr>
    </w:p>
    <w:p>
      <w:pPr>
        <w:jc w:val="both"/>
        <w:spacing w:after="0" w:line="311" w:lineRule="auto"/>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u w:val="single" w:color="auto"/>
          <w:color w:val="auto"/>
        </w:rPr>
        <w:t>Section 83(b) Election</w:t>
      </w:r>
      <w:r>
        <w:rPr>
          <w:rFonts w:ascii="Arial" w:cs="Arial" w:eastAsia="Arial" w:hAnsi="Arial"/>
          <w:sz w:val="22"/>
          <w:szCs w:val="22"/>
          <w:color w:val="auto"/>
        </w:rPr>
        <w:t>. The Committee may, where applicable, provide in an Award Agreement the right of the Participant to make an election pursuant to Section 83(b) of the Code, or comparable provisions of any state tax law, to include in the Participant's gross income the fair market value as of the Award as of the Date of Grant. The Participant may make such an election only if, prior to making any such election, the Participant (a) notifies the Company of the Participant's intention to make such election in accordance with any notice requirements set forth in the Award Agreement, and (b) pays to the Company an amount sufficient to satisfy any taxes or other amounts required by any governmental authority to be withheld or paid over to such authority for the Participant's account, or otherwise makes arrangements satisfactory to the Company for the payment of such amounts through withholding or otherwise.</w:t>
      </w:r>
    </w:p>
    <w:p>
      <w:pPr>
        <w:spacing w:after="0" w:line="352" w:lineRule="exact"/>
        <w:rPr>
          <w:sz w:val="20"/>
          <w:szCs w:val="20"/>
          <w:color w:val="auto"/>
        </w:rPr>
      </w:pPr>
    </w:p>
    <w:p>
      <w:pPr>
        <w:jc w:val="both"/>
        <w:spacing w:after="0" w:line="311" w:lineRule="auto"/>
        <w:rPr>
          <w:sz w:val="20"/>
          <w:szCs w:val="20"/>
          <w:color w:val="auto"/>
        </w:rPr>
      </w:pPr>
      <w:r>
        <w:rPr>
          <w:rFonts w:ascii="Arial" w:cs="Arial" w:eastAsia="Arial" w:hAnsi="Arial"/>
          <w:sz w:val="22"/>
          <w:szCs w:val="22"/>
          <w:color w:val="auto"/>
        </w:rPr>
        <w:t xml:space="preserve">15.4 </w:t>
      </w:r>
      <w:r>
        <w:rPr>
          <w:rFonts w:ascii="Arial" w:cs="Arial" w:eastAsia="Arial" w:hAnsi="Arial"/>
          <w:sz w:val="22"/>
          <w:szCs w:val="22"/>
          <w:u w:val="single" w:color="auto"/>
          <w:color w:val="auto"/>
        </w:rPr>
        <w:t>Section 83(i) Elections Not Available</w:t>
      </w:r>
      <w:r>
        <w:rPr>
          <w:rFonts w:ascii="Arial" w:cs="Arial" w:eastAsia="Arial" w:hAnsi="Arial"/>
          <w:sz w:val="22"/>
          <w:szCs w:val="22"/>
          <w:color w:val="auto"/>
        </w:rPr>
        <w:t>. The shares of Common Stock issued pursuant to Stock Options or Restricted Share Units granted under this Plan are not intended to be qualified stock for purposes of Section 83(i) of the Code, and Participants may not make elections under Section 83(i) of the Code with respect to such shares. The Company will not create any escrow arrangements consistent with the requirements set forth in Section III.B.2 of IRS Notice 2018-97 in connection with the issuance of shares of Common Stock to participants under this Plan.</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16</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General Provisions</w:t>
      </w:r>
    </w:p>
    <w:p>
      <w:pPr>
        <w:spacing w:after="0" w:line="200" w:lineRule="exact"/>
        <w:rPr>
          <w:sz w:val="20"/>
          <w:szCs w:val="20"/>
          <w:color w:val="auto"/>
        </w:rPr>
      </w:pPr>
    </w:p>
    <w:p>
      <w:pPr>
        <w:spacing w:after="0" w:line="218"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u w:val="single" w:color="auto"/>
          <w:color w:val="auto"/>
        </w:rPr>
        <w:t>No Implied Rights to Awards</w:t>
      </w:r>
      <w:r>
        <w:rPr>
          <w:rFonts w:ascii="Arial" w:cs="Arial" w:eastAsia="Arial" w:hAnsi="Arial"/>
          <w:sz w:val="20"/>
          <w:szCs w:val="20"/>
          <w:color w:val="auto"/>
        </w:rPr>
        <w:t>. No potential participant has any claim or right to be granted an Award under this Plan, and there is no obligation of uniformity of treatment of participants under this Plan.</w:t>
      </w:r>
    </w:p>
    <w:p>
      <w:pPr>
        <w:spacing w:after="0" w:line="308" w:lineRule="exact"/>
        <w:rPr>
          <w:sz w:val="20"/>
          <w:szCs w:val="20"/>
          <w:color w:val="auto"/>
        </w:rPr>
      </w:pPr>
    </w:p>
    <w:p>
      <w:pPr>
        <w:jc w:val="both"/>
        <w:spacing w:after="0" w:line="347"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No Implied Rights to Employment</w:t>
      </w:r>
      <w:r>
        <w:rPr>
          <w:rFonts w:ascii="Arial" w:cs="Arial" w:eastAsia="Arial" w:hAnsi="Arial"/>
          <w:sz w:val="20"/>
          <w:szCs w:val="20"/>
          <w:color w:val="auto"/>
        </w:rPr>
        <w:t>. Neither this Plan nor any Award thereunder shall be construed as giving any individual any right to continued employment with the Bank, the Company or any Affiliate. The Plan does not constitute a contract of employment, and the Bank, the Company and each Affiliate expressly reserve the right at any time to terminate employees free from liability, or any claim, under this Plan, except as may be specifically provided in this Plan or in an Award Agreement.</w:t>
      </w:r>
    </w:p>
    <w:p>
      <w:pPr>
        <w:spacing w:after="0" w:line="317" w:lineRule="exact"/>
        <w:rPr>
          <w:sz w:val="20"/>
          <w:szCs w:val="20"/>
          <w:color w:val="auto"/>
        </w:rPr>
      </w:pPr>
    </w:p>
    <w:p>
      <w:pPr>
        <w:jc w:val="both"/>
        <w:spacing w:after="0" w:line="375" w:lineRule="auto"/>
        <w:rPr>
          <w:sz w:val="20"/>
          <w:szCs w:val="20"/>
          <w:color w:val="auto"/>
        </w:rPr>
      </w:pPr>
      <w:r>
        <w:rPr>
          <w:rFonts w:ascii="Arial" w:cs="Arial" w:eastAsia="Arial" w:hAnsi="Arial"/>
          <w:sz w:val="19"/>
          <w:szCs w:val="19"/>
          <w:color w:val="auto"/>
        </w:rPr>
        <w:t xml:space="preserve">16.3 </w:t>
      </w:r>
      <w:r>
        <w:rPr>
          <w:rFonts w:ascii="Arial" w:cs="Arial" w:eastAsia="Arial" w:hAnsi="Arial"/>
          <w:sz w:val="19"/>
          <w:szCs w:val="19"/>
          <w:u w:val="single" w:color="auto"/>
          <w:color w:val="auto"/>
        </w:rPr>
        <w:t>Other Compensation Plans</w:t>
      </w:r>
      <w:r>
        <w:rPr>
          <w:rFonts w:ascii="Arial" w:cs="Arial" w:eastAsia="Arial" w:hAnsi="Arial"/>
          <w:sz w:val="19"/>
          <w:szCs w:val="19"/>
          <w:color w:val="auto"/>
        </w:rPr>
        <w:t>. Nothing contained in this Plan prevents the Board of Directors from adopting other or additional compensation arrangements, subject to shareholder approval if such approval is required, and such arrangements may be either generally applicable or applicable only in specific cases.</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 / 29</w:t>
      </w:r>
    </w:p>
    <w:p>
      <w:pPr>
        <w:sectPr>
          <w:pgSz w:w="11900" w:h="16838" w:orient="portrait"/>
          <w:cols w:equalWidth="0" w:num="1">
            <w:col w:w="9340"/>
          </w:cols>
          <w:pgMar w:left="1260" w:top="1440" w:right="1306" w:bottom="0" w:gutter="0" w:footer="0" w:header="0"/>
          <w:type w:val="continuous"/>
        </w:sectPr>
      </w:pPr>
    </w:p>
    <w:bookmarkStart w:id="294" w:name="page295"/>
    <w:bookmarkEnd w:id="294"/>
    <w:p>
      <w:pPr>
        <w:jc w:val="both"/>
        <w:spacing w:after="0" w:line="310" w:lineRule="auto"/>
        <w:rPr>
          <w:sz w:val="20"/>
          <w:szCs w:val="20"/>
          <w:color w:val="auto"/>
        </w:rPr>
      </w:pPr>
      <w:r>
        <w:rPr>
          <w:rFonts w:ascii="Arial" w:cs="Arial" w:eastAsia="Arial" w:hAnsi="Arial"/>
          <w:sz w:val="22"/>
          <w:szCs w:val="22"/>
          <w:color w:val="auto"/>
        </w:rPr>
        <w:t xml:space="preserve">16.4 </w:t>
      </w:r>
      <w:r>
        <w:rPr>
          <w:rFonts w:ascii="Arial" w:cs="Arial" w:eastAsia="Arial" w:hAnsi="Arial"/>
          <w:sz w:val="22"/>
          <w:szCs w:val="22"/>
          <w:u w:val="single" w:color="auto"/>
          <w:color w:val="auto"/>
        </w:rPr>
        <w:t>Rule 16b-3 Compliance</w:t>
      </w:r>
      <w:r>
        <w:rPr>
          <w:rFonts w:ascii="Arial" w:cs="Arial" w:eastAsia="Arial" w:hAnsi="Arial"/>
          <w:sz w:val="22"/>
          <w:szCs w:val="22"/>
          <w:color w:val="auto"/>
        </w:rPr>
        <w:t>. The Plan is intended to comply with all applicable conditions of Securities and Exchange Commission Rule 16b-3. All transactions involving any Participant subject to Section 16(a) of the Exchange Act shall be subject to the conditions set forth in Rule 16b-3, regardless of whether such conditions are expressly set forth in this Plan. Any provision of this Plan that is contrary to Rule 16b-3 does not apply to such Participants.</w:t>
      </w:r>
    </w:p>
    <w:p>
      <w:pPr>
        <w:spacing w:after="0" w:line="346" w:lineRule="exact"/>
        <w:rPr>
          <w:sz w:val="20"/>
          <w:szCs w:val="20"/>
          <w:color w:val="auto"/>
        </w:rPr>
      </w:pPr>
    </w:p>
    <w:p>
      <w:pPr>
        <w:jc w:val="both"/>
        <w:ind w:right="20"/>
        <w:spacing w:after="0" w:line="350" w:lineRule="auto"/>
        <w:rPr>
          <w:sz w:val="20"/>
          <w:szCs w:val="20"/>
          <w:color w:val="auto"/>
        </w:rPr>
      </w:pPr>
      <w:r>
        <w:rPr>
          <w:rFonts w:ascii="Arial" w:cs="Arial" w:eastAsia="Arial" w:hAnsi="Arial"/>
          <w:sz w:val="20"/>
          <w:szCs w:val="20"/>
          <w:color w:val="auto"/>
        </w:rPr>
        <w:t xml:space="preserve">16.5 </w:t>
      </w:r>
      <w:r>
        <w:rPr>
          <w:rFonts w:ascii="Arial" w:cs="Arial" w:eastAsia="Arial" w:hAnsi="Arial"/>
          <w:sz w:val="20"/>
          <w:szCs w:val="20"/>
          <w:u w:val="single" w:color="auto"/>
          <w:color w:val="auto"/>
        </w:rPr>
        <w:t>Successors</w:t>
      </w:r>
      <w:r>
        <w:rPr>
          <w:rFonts w:ascii="Arial" w:cs="Arial" w:eastAsia="Arial" w:hAnsi="Arial"/>
          <w:sz w:val="20"/>
          <w:szCs w:val="20"/>
          <w:color w:val="auto"/>
        </w:rPr>
        <w:t>. All obligations of the Company with respect to Awards granted under this Plan are binding on any successor to the Company, whether as a result of a direct or indirect purchase, merger, consolidation or otherwise of all or substantially all of the business and/or assets of the Company.</w:t>
      </w:r>
    </w:p>
    <w:p>
      <w:pPr>
        <w:spacing w:after="0" w:line="314" w:lineRule="exact"/>
        <w:rPr>
          <w:sz w:val="20"/>
          <w:szCs w:val="20"/>
          <w:color w:val="auto"/>
        </w:rPr>
      </w:pPr>
    </w:p>
    <w:p>
      <w:pPr>
        <w:jc w:val="both"/>
        <w:ind w:right="40"/>
        <w:spacing w:after="0" w:line="309" w:lineRule="auto"/>
        <w:rPr>
          <w:sz w:val="20"/>
          <w:szCs w:val="20"/>
          <w:color w:val="auto"/>
        </w:rPr>
      </w:pPr>
      <w:r>
        <w:rPr>
          <w:rFonts w:ascii="Arial" w:cs="Arial" w:eastAsia="Arial" w:hAnsi="Arial"/>
          <w:sz w:val="22"/>
          <w:szCs w:val="22"/>
          <w:color w:val="auto"/>
        </w:rPr>
        <w:t xml:space="preserve">16.6 </w:t>
      </w: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any provision of this Plan, or the application thereof to any person or circumstances, is held illegal or invalid for any reason, the illegality or invalidity shall not affect the remaining parts of this Plan, or other applications, and this Plan is to be construed and enforced as if the illegal or invalid provision had not been included.</w:t>
      </w:r>
    </w:p>
    <w:p>
      <w:pPr>
        <w:spacing w:after="0" w:line="347" w:lineRule="exact"/>
        <w:rPr>
          <w:sz w:val="20"/>
          <w:szCs w:val="20"/>
          <w:color w:val="auto"/>
        </w:rPr>
      </w:pPr>
    </w:p>
    <w:p>
      <w:pPr>
        <w:jc w:val="both"/>
        <w:ind w:right="40"/>
        <w:spacing w:after="0" w:line="309" w:lineRule="auto"/>
        <w:rPr>
          <w:sz w:val="20"/>
          <w:szCs w:val="20"/>
          <w:color w:val="auto"/>
        </w:rPr>
      </w:pPr>
      <w:r>
        <w:rPr>
          <w:rFonts w:ascii="Arial" w:cs="Arial" w:eastAsia="Arial" w:hAnsi="Arial"/>
          <w:sz w:val="22"/>
          <w:szCs w:val="22"/>
          <w:color w:val="auto"/>
        </w:rPr>
        <w:t xml:space="preserve">16.7 </w:t>
      </w: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preempted by Federal law, this Plan and all Award Agreements pursuant thereto are construed in accordance with and governed by the laws of the State of Ohio. This Plan is not intended to be governed by the Employee Retirement Income Security Act and shall be so construed and administered.</w:t>
      </w:r>
    </w:p>
    <w:p>
      <w:pPr>
        <w:spacing w:after="0" w:line="347" w:lineRule="exact"/>
        <w:rPr>
          <w:sz w:val="20"/>
          <w:szCs w:val="20"/>
          <w:color w:val="auto"/>
        </w:rPr>
      </w:pPr>
    </w:p>
    <w:p>
      <w:pPr>
        <w:jc w:val="both"/>
        <w:ind w:right="20"/>
        <w:spacing w:after="0" w:line="307" w:lineRule="auto"/>
        <w:rPr>
          <w:sz w:val="20"/>
          <w:szCs w:val="20"/>
          <w:color w:val="auto"/>
        </w:rPr>
      </w:pPr>
      <w:r>
        <w:rPr>
          <w:rFonts w:ascii="Arial" w:cs="Arial" w:eastAsia="Arial" w:hAnsi="Arial"/>
          <w:sz w:val="22"/>
          <w:szCs w:val="22"/>
          <w:color w:val="auto"/>
        </w:rPr>
        <w:t xml:space="preserve">16.8 </w:t>
      </w:r>
      <w:r>
        <w:rPr>
          <w:rFonts w:ascii="Arial" w:cs="Arial" w:eastAsia="Arial" w:hAnsi="Arial"/>
          <w:sz w:val="22"/>
          <w:szCs w:val="22"/>
          <w:u w:val="single" w:color="auto"/>
          <w:color w:val="auto"/>
        </w:rPr>
        <w:t>Legal Requirements</w:t>
      </w:r>
      <w:r>
        <w:rPr>
          <w:rFonts w:ascii="Arial" w:cs="Arial" w:eastAsia="Arial" w:hAnsi="Arial"/>
          <w:sz w:val="22"/>
          <w:szCs w:val="22"/>
          <w:color w:val="auto"/>
        </w:rPr>
        <w:t>. No Awards shall be granted and the Company shall have no obligation to make any payment under the Plan, whether in Shares, cash, or a combination thereof, unless such payment is, without further action by the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 / 29</w:t>
      </w:r>
    </w:p>
    <w:p>
      <w:pPr>
        <w:sectPr>
          <w:pgSz w:w="11900" w:h="16838" w:orient="portrait"/>
          <w:cols w:equalWidth="0" w:num="1">
            <w:col w:w="9360"/>
          </w:cols>
          <w:pgMar w:left="1260" w:top="1177" w:right="1286" w:bottom="0" w:gutter="0" w:footer="0" w:header="0"/>
          <w:type w:val="continuous"/>
        </w:sectPr>
      </w:pPr>
    </w:p>
    <w:bookmarkStart w:id="295" w:name="page296"/>
    <w:bookmarkEnd w:id="295"/>
    <w:p>
      <w:pPr>
        <w:spacing w:after="0" w:line="200" w:lineRule="exact"/>
        <w:rPr>
          <w:sz w:val="20"/>
          <w:szCs w:val="20"/>
          <w:color w:val="auto"/>
        </w:rPr>
      </w:pPr>
    </w:p>
    <w:p>
      <w:pPr>
        <w:spacing w:after="0" w:line="257" w:lineRule="exact"/>
        <w:rPr>
          <w:sz w:val="20"/>
          <w:szCs w:val="20"/>
          <w:color w:val="auto"/>
        </w:rPr>
      </w:pPr>
    </w:p>
    <w:p>
      <w:pPr>
        <w:jc w:val="both"/>
        <w:ind w:right="60"/>
        <w:spacing w:after="0" w:line="302" w:lineRule="auto"/>
        <w:rPr>
          <w:sz w:val="20"/>
          <w:szCs w:val="20"/>
          <w:color w:val="auto"/>
        </w:rPr>
      </w:pPr>
      <w:r>
        <w:rPr>
          <w:rFonts w:ascii="Arial" w:cs="Arial" w:eastAsia="Arial" w:hAnsi="Arial"/>
          <w:sz w:val="22"/>
          <w:szCs w:val="22"/>
          <w:color w:val="auto"/>
        </w:rPr>
        <w:t>Committee, in compliance with all applicable Federal and state laws and regulations, including, without limitation, the Code and Federal and state securities laws.</w:t>
      </w:r>
    </w:p>
    <w:p>
      <w:pPr>
        <w:spacing w:after="0" w:line="353" w:lineRule="exact"/>
        <w:rPr>
          <w:sz w:val="20"/>
          <w:szCs w:val="20"/>
          <w:color w:val="auto"/>
        </w:rPr>
      </w:pPr>
    </w:p>
    <w:p>
      <w:pPr>
        <w:jc w:val="both"/>
        <w:ind w:right="40"/>
        <w:spacing w:after="0" w:line="311" w:lineRule="auto"/>
        <w:rPr>
          <w:sz w:val="20"/>
          <w:szCs w:val="20"/>
          <w:color w:val="auto"/>
        </w:rPr>
      </w:pPr>
      <w:r>
        <w:rPr>
          <w:rFonts w:ascii="Arial" w:cs="Arial" w:eastAsia="Arial" w:hAnsi="Arial"/>
          <w:sz w:val="22"/>
          <w:szCs w:val="22"/>
          <w:color w:val="auto"/>
        </w:rPr>
        <w:t xml:space="preserve">16.9 </w:t>
      </w:r>
      <w:r>
        <w:rPr>
          <w:rFonts w:ascii="Arial" w:cs="Arial" w:eastAsia="Arial" w:hAnsi="Arial"/>
          <w:sz w:val="22"/>
          <w:szCs w:val="22"/>
          <w:u w:val="single" w:color="auto"/>
          <w:color w:val="auto"/>
        </w:rPr>
        <w:t>Forfeiture by Employees in Connection with Termination for Cause</w:t>
      </w:r>
      <w:r>
        <w:rPr>
          <w:rFonts w:ascii="Arial" w:cs="Arial" w:eastAsia="Arial" w:hAnsi="Arial"/>
          <w:sz w:val="22"/>
          <w:szCs w:val="22"/>
          <w:color w:val="auto"/>
        </w:rPr>
        <w:t>. Notwithstanding any other provision of this Plan, subject to the provisions of the Award Agreement to which such Award relates, upon the termination of employment of a Participant for Cause, such Participant shall forfeit all benefits associated with any Award as provided for herein. Pursuant to this provision, a Participant shall forfeit all unexercised Options whether or not previously vested, all unexercised SARs whether or not previously vested and all Restricted Shares, Restricted Share Units and Performance Shares for which the delivery of Shares has not yet occurred.</w:t>
      </w:r>
    </w:p>
    <w:p>
      <w:pPr>
        <w:spacing w:after="0" w:line="345" w:lineRule="exact"/>
        <w:rPr>
          <w:sz w:val="20"/>
          <w:szCs w:val="20"/>
          <w:color w:val="auto"/>
        </w:rPr>
      </w:pPr>
    </w:p>
    <w:p>
      <w:pPr>
        <w:jc w:val="both"/>
        <w:spacing w:after="0" w:line="366" w:lineRule="auto"/>
        <w:rPr>
          <w:sz w:val="20"/>
          <w:szCs w:val="20"/>
          <w:color w:val="auto"/>
        </w:rPr>
      </w:pPr>
      <w:r>
        <w:rPr>
          <w:rFonts w:ascii="Arial" w:cs="Arial" w:eastAsia="Arial" w:hAnsi="Arial"/>
          <w:sz w:val="19"/>
          <w:szCs w:val="19"/>
          <w:color w:val="auto"/>
        </w:rPr>
        <w:t xml:space="preserve">16.10 </w:t>
      </w:r>
      <w:r>
        <w:rPr>
          <w:rFonts w:ascii="Arial" w:cs="Arial" w:eastAsia="Arial" w:hAnsi="Arial"/>
          <w:sz w:val="19"/>
          <w:szCs w:val="19"/>
          <w:u w:val="single" w:color="auto"/>
          <w:color w:val="auto"/>
        </w:rPr>
        <w:t>Awards Subject to Clawback Policy</w:t>
      </w:r>
      <w:r>
        <w:rPr>
          <w:rFonts w:ascii="Arial" w:cs="Arial" w:eastAsia="Arial" w:hAnsi="Arial"/>
          <w:sz w:val="19"/>
          <w:szCs w:val="19"/>
          <w:color w:val="auto"/>
        </w:rPr>
        <w:t>. Notwithstanding any other provision of this Plan to the contrary, all Awards granted under this Plan shall be subject to any policy of the Company regarding recoupment of executive compensation and each Award Agreement for such a grant under this Plan shall be deemed to incorporate the provisions hereof into such Award Agreement to provide that the Participant will be obligated to repay to the Company, all amounts received with respect to awards granted to the Participant under this Plan, to the extent such a repayment is required by the terms of any Company policy on recoupment of executive compensation that may be in place and as may be amended from time to time.</w:t>
      </w:r>
    </w:p>
    <w:p>
      <w:pPr>
        <w:spacing w:after="0" w:line="308" w:lineRule="exact"/>
        <w:rPr>
          <w:sz w:val="20"/>
          <w:szCs w:val="20"/>
          <w:color w:val="auto"/>
        </w:rPr>
      </w:pPr>
    </w:p>
    <w:p>
      <w:pPr>
        <w:jc w:val="both"/>
        <w:spacing w:after="0" w:line="328" w:lineRule="auto"/>
        <w:rPr>
          <w:sz w:val="20"/>
          <w:szCs w:val="20"/>
          <w:color w:val="auto"/>
        </w:rPr>
      </w:pPr>
      <w:r>
        <w:rPr>
          <w:rFonts w:ascii="Arial" w:cs="Arial" w:eastAsia="Arial" w:hAnsi="Arial"/>
          <w:sz w:val="21"/>
          <w:szCs w:val="21"/>
          <w:color w:val="auto"/>
        </w:rPr>
        <w:t xml:space="preserve">16.11 </w:t>
      </w:r>
      <w:r>
        <w:rPr>
          <w:rFonts w:ascii="Arial" w:cs="Arial" w:eastAsia="Arial" w:hAnsi="Arial"/>
          <w:sz w:val="21"/>
          <w:szCs w:val="21"/>
          <w:u w:val="single" w:color="auto"/>
          <w:color w:val="auto"/>
        </w:rPr>
        <w:t>Section 409A of the Code</w:t>
      </w:r>
      <w:r>
        <w:rPr>
          <w:rFonts w:ascii="Arial" w:cs="Arial" w:eastAsia="Arial" w:hAnsi="Arial"/>
          <w:sz w:val="21"/>
          <w:szCs w:val="21"/>
          <w:i w:val="1"/>
          <w:iCs w:val="1"/>
          <w:color w:val="auto"/>
        </w:rPr>
        <w:t>.</w:t>
      </w:r>
      <w:r>
        <w:rPr>
          <w:rFonts w:ascii="Arial" w:cs="Arial" w:eastAsia="Arial" w:hAnsi="Arial"/>
          <w:sz w:val="21"/>
          <w:szCs w:val="21"/>
          <w:color w:val="auto"/>
        </w:rPr>
        <w:t xml:space="preserve"> The Plan is, and all Awards made hereunder are, intended to and shall be interpreted, to provide compensation that is exempt from the requirements of Section 409A pursuant to the “stock rights” exemption provided by Treasury Regulation Section 1.409A-1(b)(5) or the “short-term deferral” exemption provided by Treasury Regulation Section 1.409A-1(b)(4). The Company does not warrant that the Plan will comply with Section 409A of the Code with respect to any Award to any Participant or with respect to any payment. In no event shall the Company, the Bank, any Subsidiary or any director, officer, or employee of the Company, the Bank or any member of the Committee be liable for any additional tax, interest, or penalty incurred by a Participant as a result of the Plan’s failure to satisfy the requirements of an exemption from Section 409A of the Code, or as a result of the Plan’s failure to satisfy any other requirements of applicable tax laws. Notwithstanding any provision of this Plan or the provision of any Award made under this Plan:</w:t>
      </w:r>
    </w:p>
    <w:p>
      <w:pPr>
        <w:spacing w:after="0" w:line="354" w:lineRule="exact"/>
        <w:rPr>
          <w:sz w:val="20"/>
          <w:szCs w:val="20"/>
          <w:color w:val="auto"/>
        </w:rPr>
      </w:pPr>
    </w:p>
    <w:p>
      <w:pPr>
        <w:jc w:val="both"/>
        <w:ind w:left="1240" w:right="40" w:hanging="620"/>
        <w:spacing w:after="0" w:line="339" w:lineRule="auto"/>
        <w:tabs>
          <w:tab w:leader="none" w:pos="12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Committee may unilaterally amend any provision of this Plan and unilaterally amend any provision of any Award made under this Plan, whether or not such amendment shall result in a reduction in the benefits of any Award, and whether or not such Award is vested, if in the sole opinion of the Committee such amendment is necessary or desirable to make such Award exempt from Code Section 409A, or if applicable, to comply with any provision of Code Section 409A; and</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 / 29</w:t>
      </w:r>
    </w:p>
    <w:p>
      <w:pPr>
        <w:sectPr>
          <w:pgSz w:w="11900" w:h="16838" w:orient="portrait"/>
          <w:cols w:equalWidth="0" w:num="1">
            <w:col w:w="9380"/>
          </w:cols>
          <w:pgMar w:left="1260" w:top="1440" w:right="1266" w:bottom="0" w:gutter="0" w:footer="0" w:header="0"/>
          <w:type w:val="continuous"/>
        </w:sectPr>
      </w:pPr>
    </w:p>
    <w:bookmarkStart w:id="296" w:name="page297"/>
    <w:bookmarkEnd w:id="296"/>
    <w:p>
      <w:pPr>
        <w:jc w:val="both"/>
        <w:ind w:left="1060" w:right="20" w:hanging="620"/>
        <w:spacing w:after="0" w:line="357" w:lineRule="auto"/>
        <w:tabs>
          <w:tab w:leader="none" w:pos="1060" w:val="left"/>
        </w:tabs>
        <w:numPr>
          <w:ilvl w:val="0"/>
          <w:numId w:val="71"/>
        </w:numPr>
        <w:rPr>
          <w:rFonts w:ascii="Arial" w:cs="Arial" w:eastAsia="Arial" w:hAnsi="Arial"/>
          <w:sz w:val="21"/>
          <w:szCs w:val="21"/>
          <w:color w:val="auto"/>
        </w:rPr>
      </w:pPr>
      <w:r>
        <w:rPr>
          <w:rFonts w:ascii="Arial" w:cs="Arial" w:eastAsia="Arial" w:hAnsi="Arial"/>
          <w:sz w:val="21"/>
          <w:szCs w:val="21"/>
          <w:color w:val="auto"/>
        </w:rPr>
        <w:t>Any Award and related Award Agreement which constitutes deferred compensation or a deferred compensation plan, within the meaning of Code Section 409A and all Treasury Regulations issued thereunder, shall be subject to and shall be deemed to incorporate, the following additional terms which terms shall supersede and negate any conflicting terms contained in an Award Agreement:</w:t>
      </w:r>
    </w:p>
    <w:p>
      <w:pPr>
        <w:spacing w:after="0" w:line="333" w:lineRule="exact"/>
        <w:rPr>
          <w:rFonts w:ascii="Arial" w:cs="Arial" w:eastAsia="Arial" w:hAnsi="Arial"/>
          <w:sz w:val="21"/>
          <w:szCs w:val="21"/>
          <w:color w:val="auto"/>
        </w:rPr>
      </w:pPr>
    </w:p>
    <w:p>
      <w:pPr>
        <w:jc w:val="both"/>
        <w:ind w:left="2000" w:hanging="307"/>
        <w:spacing w:after="0" w:line="357" w:lineRule="auto"/>
        <w:tabs>
          <w:tab w:leader="none" w:pos="2000" w:val="left"/>
        </w:tabs>
        <w:numPr>
          <w:ilvl w:val="1"/>
          <w:numId w:val="71"/>
        </w:numPr>
        <w:rPr>
          <w:rFonts w:ascii="Arial" w:cs="Arial" w:eastAsia="Arial" w:hAnsi="Arial"/>
          <w:sz w:val="21"/>
          <w:szCs w:val="21"/>
          <w:color w:val="auto"/>
        </w:rPr>
      </w:pPr>
      <w:r>
        <w:rPr>
          <w:rFonts w:ascii="Arial" w:cs="Arial" w:eastAsia="Arial" w:hAnsi="Arial"/>
          <w:sz w:val="21"/>
          <w:szCs w:val="21"/>
          <w:color w:val="auto"/>
        </w:rPr>
        <w:t xml:space="preserve">If the individual granted this Award is a </w:t>
      </w:r>
      <w:r>
        <w:rPr>
          <w:rFonts w:ascii="Arial" w:cs="Arial" w:eastAsia="Arial" w:hAnsi="Arial"/>
          <w:sz w:val="21"/>
          <w:szCs w:val="21"/>
          <w:u w:val="single" w:color="auto"/>
          <w:color w:val="auto"/>
        </w:rPr>
        <w:t>“specified employee”</w:t>
      </w:r>
      <w:r>
        <w:rPr>
          <w:rFonts w:ascii="Arial" w:cs="Arial" w:eastAsia="Arial" w:hAnsi="Arial"/>
          <w:sz w:val="21"/>
          <w:szCs w:val="21"/>
          <w:color w:val="auto"/>
        </w:rPr>
        <w:t xml:space="preserve"> (i.e., a “key employee” of a publicly traded company within the meaning of Section 409A of the Code and the final regulations issued thereunder) and any payment under this Award Agreement is triggered due to Executive's Separation from Service, then solely to the extent necessary to avoid penalties under Section 409A of the Code, no payment shall be made during the first six (6) months following Executive's Separation from Service. Rather, any payment which would otherwise be paid to Executive during such period shall be accumulated and paid to Executive in a lump sum on the first day of the seventh month following such Separation from Service. All subsequent payments shall be paid in the manner specified in this Award Agreement.</w:t>
      </w:r>
    </w:p>
    <w:p>
      <w:pPr>
        <w:spacing w:after="0" w:line="338" w:lineRule="exact"/>
        <w:rPr>
          <w:rFonts w:ascii="Arial" w:cs="Arial" w:eastAsia="Arial" w:hAnsi="Arial"/>
          <w:sz w:val="21"/>
          <w:szCs w:val="21"/>
          <w:color w:val="auto"/>
        </w:rPr>
      </w:pPr>
    </w:p>
    <w:p>
      <w:pPr>
        <w:jc w:val="both"/>
        <w:ind w:left="2000" w:right="20" w:hanging="307"/>
        <w:spacing w:after="0" w:line="377" w:lineRule="auto"/>
        <w:tabs>
          <w:tab w:leader="none" w:pos="2000" w:val="left"/>
        </w:tabs>
        <w:numPr>
          <w:ilvl w:val="1"/>
          <w:numId w:val="71"/>
        </w:numPr>
        <w:rPr>
          <w:rFonts w:ascii="Arial" w:cs="Arial" w:eastAsia="Arial" w:hAnsi="Arial"/>
          <w:sz w:val="20"/>
          <w:szCs w:val="20"/>
          <w:color w:val="auto"/>
        </w:rPr>
      </w:pPr>
      <w:r>
        <w:rPr>
          <w:rFonts w:ascii="Arial" w:cs="Arial" w:eastAsia="Arial" w:hAnsi="Arial"/>
          <w:sz w:val="20"/>
          <w:szCs w:val="20"/>
          <w:color w:val="auto"/>
        </w:rPr>
        <w:t xml:space="preserve">In the event this Award and related Award Agreement is determined to be deferred compensation and a deferred compensation plan within the meaning of Section 409A of the Code and the Treasury Regulations issued thereunder, then any provision of this Award and related Award Agreement that violates Section 409A, or the Treasury Regulations issued thereunder, shall be stricken and deemed void </w:t>
      </w:r>
      <w:r>
        <w:rPr>
          <w:rFonts w:ascii="Arial" w:cs="Arial" w:eastAsia="Arial" w:hAnsi="Arial"/>
          <w:sz w:val="20"/>
          <w:szCs w:val="20"/>
          <w:b w:val="1"/>
          <w:bCs w:val="1"/>
          <w:i w:val="1"/>
          <w:iCs w:val="1"/>
          <w:color w:val="auto"/>
        </w:rPr>
        <w:t>ab initio,</w:t>
      </w:r>
      <w:r>
        <w:rPr>
          <w:rFonts w:ascii="Arial" w:cs="Arial" w:eastAsia="Arial" w:hAnsi="Arial"/>
          <w:sz w:val="20"/>
          <w:szCs w:val="20"/>
          <w:color w:val="auto"/>
        </w:rPr>
        <w:t xml:space="preserve"> whether such shall result in a reduction in the benefits of any Award and whether or not such Award is vested.</w:t>
      </w:r>
    </w:p>
    <w:p>
      <w:pPr>
        <w:spacing w:after="0" w:line="254"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20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15 / 29</w:t>
      </w:r>
    </w:p>
    <w:p>
      <w:pPr>
        <w:sectPr>
          <w:pgSz w:w="11900" w:h="16838" w:orient="portrait"/>
          <w:cols w:equalWidth="0" w:num="1">
            <w:col w:w="9160"/>
          </w:cols>
          <w:pgMar w:left="1440" w:top="1200" w:right="1306" w:bottom="0" w:gutter="0" w:footer="0" w:header="0"/>
          <w:type w:val="continuous"/>
        </w:sectPr>
      </w:pPr>
    </w:p>
    <w:bookmarkStart w:id="297" w:name="page298"/>
    <w:bookmarkEnd w:id="297"/>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17</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Effective Date and Term</w:t>
      </w:r>
    </w:p>
    <w:p>
      <w:pPr>
        <w:spacing w:after="0" w:line="200" w:lineRule="exact"/>
        <w:rPr>
          <w:sz w:val="20"/>
          <w:szCs w:val="20"/>
          <w:color w:val="auto"/>
        </w:rPr>
      </w:pPr>
    </w:p>
    <w:p>
      <w:pPr>
        <w:spacing w:after="0" w:line="218"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 xml:space="preserve">17.1 </w:t>
      </w:r>
      <w:r>
        <w:rPr>
          <w:rFonts w:ascii="Arial" w:cs="Arial" w:eastAsia="Arial" w:hAnsi="Arial"/>
          <w:sz w:val="22"/>
          <w:szCs w:val="22"/>
          <w:u w:val="single" w:color="auto"/>
          <w:color w:val="auto"/>
        </w:rPr>
        <w:t>Effective Date</w:t>
      </w:r>
      <w:r>
        <w:rPr>
          <w:rFonts w:ascii="Arial" w:cs="Arial" w:eastAsia="Arial" w:hAnsi="Arial"/>
          <w:sz w:val="22"/>
          <w:szCs w:val="22"/>
          <w:color w:val="auto"/>
        </w:rPr>
        <w:t>. The effective date of this Farmers &amp; Merchants Bancorp, Inc. 2025 Long-Term Stock Incentive Plan is the date on which the Shareholders of the Company approve it at a duly held shareholders' meeting.</w:t>
      </w:r>
    </w:p>
    <w:p>
      <w:pPr>
        <w:spacing w:after="0" w:line="349"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 xml:space="preserve">17.2 </w:t>
      </w:r>
      <w:r>
        <w:rPr>
          <w:rFonts w:ascii="Arial" w:cs="Arial" w:eastAsia="Arial" w:hAnsi="Arial"/>
          <w:sz w:val="22"/>
          <w:szCs w:val="22"/>
          <w:u w:val="single" w:color="auto"/>
          <w:color w:val="auto"/>
        </w:rPr>
        <w:t>Termination Date</w:t>
      </w:r>
      <w:r>
        <w:rPr>
          <w:rFonts w:ascii="Arial" w:cs="Arial" w:eastAsia="Arial" w:hAnsi="Arial"/>
          <w:sz w:val="22"/>
          <w:szCs w:val="22"/>
          <w:color w:val="auto"/>
        </w:rPr>
        <w:t>. This Plan will continue in effect until midnight on the day before the tenth anniversary of the effective date specified in Section 17.1; provided, however, that Awards granted on or before that date may extend beyond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16 / 29</w:t>
      </w:r>
    </w:p>
    <w:p>
      <w:pPr>
        <w:sectPr>
          <w:pgSz w:w="11900" w:h="16838" w:orient="portrait"/>
          <w:cols w:equalWidth="0" w:num="1">
            <w:col w:w="9320"/>
          </w:cols>
          <w:pgMar w:left="1260" w:top="1440" w:right="1326" w:bottom="0" w:gutter="0" w:footer="0" w:header="0"/>
          <w:type w:val="continuous"/>
        </w:sectPr>
      </w:pPr>
    </w:p>
    <w:bookmarkStart w:id="298" w:name="page299"/>
    <w:bookmarkEnd w:id="2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17 / 29</w:t>
      </w:r>
    </w:p>
    <w:p>
      <w:pPr>
        <w:sectPr>
          <w:pgSz w:w="11900" w:h="16838" w:orient="portrait"/>
          <w:cols w:equalWidth="0" w:num="1">
            <w:col w:w="9026"/>
          </w:cols>
          <w:pgMar w:left="1440" w:top="1440" w:right="1440" w:bottom="0" w:gutter="0" w:footer="0" w:header="0"/>
        </w:sectPr>
      </w:pPr>
    </w:p>
    <w:bookmarkStart w:id="299" w:name="page300"/>
    <w:bookmarkEnd w:id="299"/>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21</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SUBSIDIARIES OF FARMERS &amp; MERCHANTS BANCORP, INC</w:t>
      </w:r>
    </w:p>
    <w:p>
      <w:pPr>
        <w:spacing w:after="0" w:line="70"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FARMERS &amp; MERCHANTS STATE BANK</w:t>
      </w:r>
    </w:p>
    <w:p>
      <w:pPr>
        <w:spacing w:after="0" w:line="70"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FARMERS &amp; MERCHANTS RISK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 Subsidiary was dissolved in December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788035</wp:posOffset>
            </wp:positionV>
            <wp:extent cx="5967730" cy="190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18 / 29</w:t>
      </w:r>
    </w:p>
    <w:p>
      <w:pPr>
        <w:sectPr>
          <w:pgSz w:w="11900" w:h="16838" w:orient="portrait"/>
          <w:cols w:equalWidth="0" w:num="1">
            <w:col w:w="9206"/>
          </w:cols>
          <w:pgMar w:left="1260" w:top="1440" w:right="1440" w:bottom="0" w:gutter="0" w:footer="0" w:header="0"/>
          <w:type w:val="continuous"/>
        </w:sectPr>
      </w:pPr>
    </w:p>
    <w:bookmarkStart w:id="300" w:name="page301"/>
    <w:bookmarkEnd w:id="3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19 / 29</w:t>
      </w:r>
    </w:p>
    <w:p>
      <w:pPr>
        <w:sectPr>
          <w:pgSz w:w="11900" w:h="16838" w:orient="portrait"/>
          <w:cols w:equalWidth="0" w:num="1">
            <w:col w:w="9026"/>
          </w:cols>
          <w:pgMar w:left="1440" w:top="1440" w:right="1440" w:bottom="0" w:gutter="0" w:footer="0" w:header="0"/>
        </w:sectPr>
      </w:pPr>
    </w:p>
    <w:bookmarkStart w:id="301" w:name="page302"/>
    <w:bookmarkEnd w:id="301"/>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Exhibit 31.1</w:t>
      </w:r>
    </w:p>
    <w:p>
      <w:pPr>
        <w:spacing w:after="0" w:line="310" w:lineRule="exact"/>
        <w:rPr>
          <w:sz w:val="20"/>
          <w:szCs w:val="20"/>
          <w:color w:val="auto"/>
        </w:rPr>
      </w:pPr>
    </w:p>
    <w:p>
      <w:pPr>
        <w:jc w:val="center"/>
        <w:ind w:right="-45"/>
        <w:spacing w:after="0"/>
        <w:rPr>
          <w:sz w:val="20"/>
          <w:szCs w:val="20"/>
          <w:color w:val="auto"/>
        </w:rPr>
      </w:pPr>
      <w:r>
        <w:rPr>
          <w:rFonts w:ascii="Arial" w:cs="Arial" w:eastAsia="Arial" w:hAnsi="Arial"/>
          <w:sz w:val="20"/>
          <w:szCs w:val="20"/>
          <w:b w:val="1"/>
          <w:bCs w:val="1"/>
          <w:color w:val="auto"/>
        </w:rPr>
        <w:t>CERTIFICATIONS</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color w:val="auto"/>
        </w:rPr>
        <w:t>I, Lars B. Eller, President and Chief Executive Officer of Farmers &amp; Merchants Bancorp, Inc., certify that:</w:t>
      </w:r>
    </w:p>
    <w:p>
      <w:pPr>
        <w:spacing w:after="0" w:line="356" w:lineRule="exact"/>
        <w:rPr>
          <w:sz w:val="20"/>
          <w:szCs w:val="20"/>
          <w:color w:val="auto"/>
        </w:rPr>
      </w:pPr>
    </w:p>
    <w:p>
      <w:pPr>
        <w:ind w:left="306" w:hanging="306"/>
        <w:spacing w:after="0"/>
        <w:tabs>
          <w:tab w:leader="none" w:pos="306" w:val="left"/>
        </w:tabs>
        <w:numPr>
          <w:ilvl w:val="0"/>
          <w:numId w:val="72"/>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Farmers &amp; Merchants Bancorp, Inc.;</w:t>
      </w:r>
    </w:p>
    <w:p>
      <w:pPr>
        <w:spacing w:after="0" w:line="379" w:lineRule="exact"/>
        <w:rPr>
          <w:rFonts w:ascii="Arial" w:cs="Arial" w:eastAsia="Arial" w:hAnsi="Arial"/>
          <w:sz w:val="20"/>
          <w:szCs w:val="20"/>
          <w:color w:val="auto"/>
        </w:rPr>
      </w:pPr>
    </w:p>
    <w:p>
      <w:pPr>
        <w:jc w:val="both"/>
        <w:ind w:left="306" w:hanging="306"/>
        <w:spacing w:after="0" w:line="370" w:lineRule="auto"/>
        <w:tabs>
          <w:tab w:leader="none" w:pos="306" w:val="left"/>
        </w:tabs>
        <w:numPr>
          <w:ilvl w:val="0"/>
          <w:numId w:val="7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6" w:lineRule="exact"/>
        <w:rPr>
          <w:rFonts w:ascii="Arial" w:cs="Arial" w:eastAsia="Arial" w:hAnsi="Arial"/>
          <w:sz w:val="20"/>
          <w:szCs w:val="20"/>
          <w:color w:val="auto"/>
        </w:rPr>
      </w:pPr>
    </w:p>
    <w:p>
      <w:pPr>
        <w:jc w:val="both"/>
        <w:ind w:left="306" w:hanging="306"/>
        <w:spacing w:after="0" w:line="370" w:lineRule="auto"/>
        <w:tabs>
          <w:tab w:leader="none" w:pos="306" w:val="left"/>
        </w:tabs>
        <w:numPr>
          <w:ilvl w:val="0"/>
          <w:numId w:val="7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6" w:lineRule="exact"/>
        <w:rPr>
          <w:rFonts w:ascii="Arial" w:cs="Arial" w:eastAsia="Arial" w:hAnsi="Arial"/>
          <w:sz w:val="20"/>
          <w:szCs w:val="20"/>
          <w:color w:val="auto"/>
        </w:rPr>
      </w:pPr>
    </w:p>
    <w:p>
      <w:pPr>
        <w:jc w:val="both"/>
        <w:ind w:left="306" w:right="20" w:hanging="306"/>
        <w:spacing w:after="0" w:line="425" w:lineRule="auto"/>
        <w:tabs>
          <w:tab w:leader="none" w:pos="30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jc w:val="both"/>
        <w:ind w:left="466" w:firstLine="4"/>
        <w:spacing w:after="0" w:line="309" w:lineRule="auto"/>
        <w:tabs>
          <w:tab w:leader="none" w:pos="742" w:val="left"/>
        </w:tabs>
        <w:numPr>
          <w:ilvl w:val="1"/>
          <w:numId w:val="7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5" w:lineRule="exact"/>
        <w:rPr>
          <w:rFonts w:ascii="Arial" w:cs="Arial" w:eastAsia="Arial" w:hAnsi="Arial"/>
          <w:sz w:val="20"/>
          <w:szCs w:val="20"/>
          <w:color w:val="auto"/>
        </w:rPr>
      </w:pPr>
    </w:p>
    <w:p>
      <w:pPr>
        <w:jc w:val="both"/>
        <w:ind w:left="466" w:right="20" w:firstLine="4"/>
        <w:spacing w:after="0" w:line="309" w:lineRule="auto"/>
        <w:tabs>
          <w:tab w:leader="none" w:pos="783" w:val="left"/>
        </w:tabs>
        <w:numPr>
          <w:ilvl w:val="1"/>
          <w:numId w:val="7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5" w:lineRule="exact"/>
        <w:rPr>
          <w:rFonts w:ascii="Arial" w:cs="Arial" w:eastAsia="Arial" w:hAnsi="Arial"/>
          <w:sz w:val="20"/>
          <w:szCs w:val="20"/>
          <w:color w:val="auto"/>
        </w:rPr>
      </w:pPr>
    </w:p>
    <w:p>
      <w:pPr>
        <w:jc w:val="both"/>
        <w:ind w:left="466" w:right="20" w:firstLine="4"/>
        <w:spacing w:after="0" w:line="307" w:lineRule="auto"/>
        <w:tabs>
          <w:tab w:leader="none" w:pos="767" w:val="left"/>
        </w:tabs>
        <w:numPr>
          <w:ilvl w:val="1"/>
          <w:numId w:val="7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7" w:lineRule="exact"/>
        <w:rPr>
          <w:rFonts w:ascii="Arial" w:cs="Arial" w:eastAsia="Arial" w:hAnsi="Arial"/>
          <w:sz w:val="20"/>
          <w:szCs w:val="20"/>
          <w:color w:val="auto"/>
        </w:rPr>
      </w:pPr>
    </w:p>
    <w:p>
      <w:pPr>
        <w:jc w:val="both"/>
        <w:ind w:left="466" w:firstLine="4"/>
        <w:spacing w:after="0" w:line="309" w:lineRule="auto"/>
        <w:tabs>
          <w:tab w:leader="none" w:pos="750" w:val="left"/>
        </w:tabs>
        <w:numPr>
          <w:ilvl w:val="1"/>
          <w:numId w:val="7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1" w:lineRule="exact"/>
        <w:rPr>
          <w:rFonts w:ascii="Arial" w:cs="Arial" w:eastAsia="Arial" w:hAnsi="Arial"/>
          <w:sz w:val="20"/>
          <w:szCs w:val="20"/>
          <w:color w:val="auto"/>
        </w:rPr>
      </w:pPr>
    </w:p>
    <w:p>
      <w:pPr>
        <w:jc w:val="both"/>
        <w:ind w:left="306" w:hanging="306"/>
        <w:spacing w:after="0" w:line="370" w:lineRule="auto"/>
        <w:tabs>
          <w:tab w:leader="none" w:pos="306"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9346"/>
          </w:cols>
          <w:pgMar w:left="1254"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20 / 29</w:t>
      </w:r>
    </w:p>
    <w:p>
      <w:pPr>
        <w:sectPr>
          <w:pgSz w:w="11900" w:h="16838" w:orient="portrait"/>
          <w:cols w:equalWidth="0" w:num="1">
            <w:col w:w="9346"/>
          </w:cols>
          <w:pgMar w:left="1254" w:top="1440" w:right="1306" w:bottom="0" w:gutter="0" w:footer="0" w:header="0"/>
          <w:type w:val="continuous"/>
        </w:sectPr>
      </w:pPr>
    </w:p>
    <w:bookmarkStart w:id="302" w:name="page303"/>
    <w:bookmarkEnd w:id="302"/>
    <w:p>
      <w:pPr>
        <w:jc w:val="both"/>
        <w:ind w:left="460" w:right="20" w:firstLine="4"/>
        <w:spacing w:after="0" w:line="307" w:lineRule="auto"/>
        <w:tabs>
          <w:tab w:leader="none" w:pos="759" w:val="left"/>
        </w:tabs>
        <w:numPr>
          <w:ilvl w:val="0"/>
          <w:numId w:val="7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7" w:lineRule="exact"/>
        <w:rPr>
          <w:rFonts w:ascii="Arial" w:cs="Arial" w:eastAsia="Arial" w:hAnsi="Arial"/>
          <w:sz w:val="20"/>
          <w:szCs w:val="20"/>
          <w:color w:val="auto"/>
        </w:rPr>
      </w:pPr>
    </w:p>
    <w:p>
      <w:pPr>
        <w:ind w:left="460" w:firstLine="4"/>
        <w:spacing w:after="0" w:line="302" w:lineRule="auto"/>
        <w:tabs>
          <w:tab w:leader="none" w:pos="753" w:val="left"/>
        </w:tabs>
        <w:numPr>
          <w:ilvl w:val="0"/>
          <w:numId w:val="7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27, 2026</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26035</wp:posOffset>
            </wp:positionV>
            <wp:extent cx="2985135" cy="635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3">
                      <a:extLst>
                        <a:ext uri="{28A0092B-C50C-407E-A947-70E740481C1C}"/>
                      </a:extLst>
                    </a:blip>
                    <a:srcRect/>
                    <a:stretch>
                      <a:fillRect/>
                    </a:stretch>
                  </pic:blipFill>
                  <pic:spPr bwMode="auto">
                    <a:xfrm>
                      <a:off x="0" y="0"/>
                      <a:ext cx="2985135" cy="6350"/>
                    </a:xfrm>
                    <a:prstGeom prst="rect">
                      <a:avLst/>
                    </a:prstGeom>
                    <a:noFill/>
                  </pic:spPr>
                </pic:pic>
              </a:graphicData>
            </a:graphic>
          </wp:anchor>
        </w:drawing>
      </w:r>
    </w:p>
    <w:p>
      <w:pPr>
        <w:spacing w:after="0" w:line="6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Lars B. Eller</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President and CEO</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788035</wp:posOffset>
            </wp:positionV>
            <wp:extent cx="5967730" cy="190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21 / 29</w:t>
      </w:r>
    </w:p>
    <w:p>
      <w:pPr>
        <w:sectPr>
          <w:pgSz w:w="11900" w:h="16838" w:orient="portrait"/>
          <w:cols w:equalWidth="0" w:num="1">
            <w:col w:w="9340"/>
          </w:cols>
          <w:pgMar w:left="1260" w:top="1173" w:right="1306" w:bottom="0" w:gutter="0" w:footer="0" w:header="0"/>
          <w:type w:val="continuous"/>
        </w:sectPr>
      </w:pPr>
    </w:p>
    <w:bookmarkStart w:id="303" w:name="page304"/>
    <w:bookmarkEnd w:id="3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22 / 29</w:t>
      </w:r>
    </w:p>
    <w:p>
      <w:pPr>
        <w:sectPr>
          <w:pgSz w:w="11900" w:h="16838" w:orient="portrait"/>
          <w:cols w:equalWidth="0" w:num="1">
            <w:col w:w="9026"/>
          </w:cols>
          <w:pgMar w:left="1440" w:top="1440" w:right="1440" w:bottom="0" w:gutter="0" w:footer="0" w:header="0"/>
        </w:sectPr>
      </w:pPr>
    </w:p>
    <w:bookmarkStart w:id="304" w:name="page305"/>
    <w:bookmarkEnd w:id="304"/>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Exhibit 31.2</w:t>
      </w:r>
    </w:p>
    <w:p>
      <w:pPr>
        <w:spacing w:after="0" w:line="310" w:lineRule="exact"/>
        <w:rPr>
          <w:sz w:val="20"/>
          <w:szCs w:val="20"/>
          <w:color w:val="auto"/>
        </w:rPr>
      </w:pPr>
    </w:p>
    <w:p>
      <w:pPr>
        <w:jc w:val="center"/>
        <w:ind w:right="-45"/>
        <w:spacing w:after="0"/>
        <w:rPr>
          <w:sz w:val="20"/>
          <w:szCs w:val="20"/>
          <w:color w:val="auto"/>
        </w:rPr>
      </w:pPr>
      <w:r>
        <w:rPr>
          <w:rFonts w:ascii="Arial" w:cs="Arial" w:eastAsia="Arial" w:hAnsi="Arial"/>
          <w:sz w:val="20"/>
          <w:szCs w:val="20"/>
          <w:b w:val="1"/>
          <w:bCs w:val="1"/>
          <w:color w:val="auto"/>
        </w:rPr>
        <w:t>CERTIFICATIONS</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color w:val="auto"/>
        </w:rPr>
        <w:t>I, Barbara J. Britenriker, Chief Financial Officer of Farmers &amp; Merchants Bancorp, Inc., certify that:</w:t>
      </w:r>
    </w:p>
    <w:p>
      <w:pPr>
        <w:spacing w:after="0" w:line="356" w:lineRule="exact"/>
        <w:rPr>
          <w:sz w:val="20"/>
          <w:szCs w:val="20"/>
          <w:color w:val="auto"/>
        </w:rPr>
      </w:pPr>
    </w:p>
    <w:p>
      <w:pPr>
        <w:ind w:left="306" w:hanging="306"/>
        <w:spacing w:after="0"/>
        <w:tabs>
          <w:tab w:leader="none" w:pos="306" w:val="left"/>
        </w:tabs>
        <w:numPr>
          <w:ilvl w:val="0"/>
          <w:numId w:val="74"/>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Farmers &amp; Merchants Bancorp, Inc.;</w:t>
      </w:r>
    </w:p>
    <w:p>
      <w:pPr>
        <w:spacing w:after="0" w:line="379" w:lineRule="exact"/>
        <w:rPr>
          <w:rFonts w:ascii="Arial" w:cs="Arial" w:eastAsia="Arial" w:hAnsi="Arial"/>
          <w:sz w:val="20"/>
          <w:szCs w:val="20"/>
          <w:color w:val="auto"/>
        </w:rPr>
      </w:pPr>
    </w:p>
    <w:p>
      <w:pPr>
        <w:jc w:val="both"/>
        <w:ind w:left="306" w:hanging="306"/>
        <w:spacing w:after="0" w:line="370" w:lineRule="auto"/>
        <w:tabs>
          <w:tab w:leader="none" w:pos="306" w:val="left"/>
        </w:tabs>
        <w:numPr>
          <w:ilvl w:val="0"/>
          <w:numId w:val="7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6" w:lineRule="exact"/>
        <w:rPr>
          <w:rFonts w:ascii="Arial" w:cs="Arial" w:eastAsia="Arial" w:hAnsi="Arial"/>
          <w:sz w:val="20"/>
          <w:szCs w:val="20"/>
          <w:color w:val="auto"/>
        </w:rPr>
      </w:pPr>
    </w:p>
    <w:p>
      <w:pPr>
        <w:jc w:val="both"/>
        <w:ind w:left="306" w:hanging="306"/>
        <w:spacing w:after="0" w:line="370" w:lineRule="auto"/>
        <w:tabs>
          <w:tab w:leader="none" w:pos="306" w:val="left"/>
        </w:tabs>
        <w:numPr>
          <w:ilvl w:val="0"/>
          <w:numId w:val="7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6" w:lineRule="exact"/>
        <w:rPr>
          <w:rFonts w:ascii="Arial" w:cs="Arial" w:eastAsia="Arial" w:hAnsi="Arial"/>
          <w:sz w:val="20"/>
          <w:szCs w:val="20"/>
          <w:color w:val="auto"/>
        </w:rPr>
      </w:pPr>
    </w:p>
    <w:p>
      <w:pPr>
        <w:jc w:val="both"/>
        <w:ind w:left="306" w:right="20" w:hanging="306"/>
        <w:spacing w:after="0" w:line="425" w:lineRule="auto"/>
        <w:tabs>
          <w:tab w:leader="none" w:pos="30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jc w:val="both"/>
        <w:ind w:left="466" w:firstLine="4"/>
        <w:spacing w:after="0" w:line="309" w:lineRule="auto"/>
        <w:tabs>
          <w:tab w:leader="none" w:pos="742" w:val="left"/>
        </w:tabs>
        <w:numPr>
          <w:ilvl w:val="1"/>
          <w:numId w:val="7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5" w:lineRule="exact"/>
        <w:rPr>
          <w:rFonts w:ascii="Arial" w:cs="Arial" w:eastAsia="Arial" w:hAnsi="Arial"/>
          <w:sz w:val="20"/>
          <w:szCs w:val="20"/>
          <w:color w:val="auto"/>
        </w:rPr>
      </w:pPr>
    </w:p>
    <w:p>
      <w:pPr>
        <w:jc w:val="both"/>
        <w:ind w:left="466" w:right="20" w:firstLine="4"/>
        <w:spacing w:after="0" w:line="309" w:lineRule="auto"/>
        <w:tabs>
          <w:tab w:leader="none" w:pos="783" w:val="left"/>
        </w:tabs>
        <w:numPr>
          <w:ilvl w:val="1"/>
          <w:numId w:val="74"/>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5" w:lineRule="exact"/>
        <w:rPr>
          <w:rFonts w:ascii="Arial" w:cs="Arial" w:eastAsia="Arial" w:hAnsi="Arial"/>
          <w:sz w:val="20"/>
          <w:szCs w:val="20"/>
          <w:color w:val="auto"/>
        </w:rPr>
      </w:pPr>
    </w:p>
    <w:p>
      <w:pPr>
        <w:jc w:val="both"/>
        <w:ind w:left="466" w:right="20" w:firstLine="4"/>
        <w:spacing w:after="0" w:line="307" w:lineRule="auto"/>
        <w:tabs>
          <w:tab w:leader="none" w:pos="767" w:val="left"/>
        </w:tabs>
        <w:numPr>
          <w:ilvl w:val="1"/>
          <w:numId w:val="7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7" w:lineRule="exact"/>
        <w:rPr>
          <w:rFonts w:ascii="Arial" w:cs="Arial" w:eastAsia="Arial" w:hAnsi="Arial"/>
          <w:sz w:val="20"/>
          <w:szCs w:val="20"/>
          <w:color w:val="auto"/>
        </w:rPr>
      </w:pPr>
    </w:p>
    <w:p>
      <w:pPr>
        <w:jc w:val="both"/>
        <w:ind w:left="466" w:firstLine="4"/>
        <w:spacing w:after="0" w:line="309" w:lineRule="auto"/>
        <w:tabs>
          <w:tab w:leader="none" w:pos="750" w:val="left"/>
        </w:tabs>
        <w:numPr>
          <w:ilvl w:val="1"/>
          <w:numId w:val="7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1" w:lineRule="exact"/>
        <w:rPr>
          <w:rFonts w:ascii="Arial" w:cs="Arial" w:eastAsia="Arial" w:hAnsi="Arial"/>
          <w:sz w:val="20"/>
          <w:szCs w:val="20"/>
          <w:color w:val="auto"/>
        </w:rPr>
      </w:pPr>
    </w:p>
    <w:p>
      <w:pPr>
        <w:jc w:val="both"/>
        <w:ind w:left="306" w:hanging="306"/>
        <w:spacing w:after="0" w:line="370" w:lineRule="auto"/>
        <w:tabs>
          <w:tab w:leader="none" w:pos="306"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9346"/>
          </w:cols>
          <w:pgMar w:left="1254"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23 / 29</w:t>
      </w:r>
    </w:p>
    <w:p>
      <w:pPr>
        <w:sectPr>
          <w:pgSz w:w="11900" w:h="16838" w:orient="portrait"/>
          <w:cols w:equalWidth="0" w:num="1">
            <w:col w:w="9346"/>
          </w:cols>
          <w:pgMar w:left="1254" w:top="1440" w:right="1306" w:bottom="0" w:gutter="0" w:footer="0" w:header="0"/>
          <w:type w:val="continuous"/>
        </w:sectPr>
      </w:pPr>
    </w:p>
    <w:bookmarkStart w:id="305" w:name="page306"/>
    <w:bookmarkEnd w:id="305"/>
    <w:p>
      <w:pPr>
        <w:jc w:val="both"/>
        <w:ind w:left="460" w:right="80" w:firstLine="4"/>
        <w:spacing w:after="0" w:line="307" w:lineRule="auto"/>
        <w:tabs>
          <w:tab w:leader="none" w:pos="759" w:val="left"/>
        </w:tabs>
        <w:numPr>
          <w:ilvl w:val="0"/>
          <w:numId w:val="7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7" w:lineRule="exact"/>
        <w:rPr>
          <w:rFonts w:ascii="Arial" w:cs="Arial" w:eastAsia="Arial" w:hAnsi="Arial"/>
          <w:sz w:val="20"/>
          <w:szCs w:val="20"/>
          <w:color w:val="auto"/>
        </w:rPr>
      </w:pPr>
    </w:p>
    <w:p>
      <w:pPr>
        <w:ind w:left="460" w:right="60" w:firstLine="4"/>
        <w:spacing w:after="0" w:line="302" w:lineRule="auto"/>
        <w:tabs>
          <w:tab w:leader="none" w:pos="753"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20"/>
                <w:szCs w:val="20"/>
                <w:color w:val="auto"/>
              </w:rPr>
              <w:t>Date: February 27, 2026</w:t>
            </w:r>
          </w:p>
        </w:tc>
        <w:tc>
          <w:tcPr>
            <w:tcW w:w="6080" w:type="dxa"/>
            <w:vAlign w:val="bottom"/>
          </w:tcPr>
          <w:p>
            <w:pPr>
              <w:ind w:left="1380"/>
              <w:spacing w:after="0"/>
              <w:rPr>
                <w:sz w:val="20"/>
                <w:szCs w:val="20"/>
                <w:color w:val="auto"/>
              </w:rPr>
            </w:pPr>
            <w:r>
              <w:rPr>
                <w:rFonts w:ascii="Arial" w:cs="Arial" w:eastAsia="Arial" w:hAnsi="Arial"/>
                <w:sz w:val="20"/>
                <w:szCs w:val="20"/>
                <w:color w:val="auto"/>
              </w:rPr>
              <w:t>/s/ Barbara J. Britenriker</w:t>
            </w:r>
          </w:p>
        </w:tc>
      </w:tr>
      <w:tr>
        <w:trPr>
          <w:trHeight w:val="310"/>
        </w:trPr>
        <w:tc>
          <w:tcPr>
            <w:tcW w:w="3320" w:type="dxa"/>
            <w:vAlign w:val="bottom"/>
          </w:tcPr>
          <w:p>
            <w:pPr>
              <w:spacing w:after="0"/>
              <w:rPr>
                <w:sz w:val="24"/>
                <w:szCs w:val="24"/>
                <w:color w:val="auto"/>
              </w:rPr>
            </w:pPr>
          </w:p>
        </w:tc>
        <w:tc>
          <w:tcPr>
            <w:tcW w:w="6080" w:type="dxa"/>
            <w:vAlign w:val="bottom"/>
          </w:tcPr>
          <w:p>
            <w:pPr>
              <w:ind w:left="1380"/>
              <w:spacing w:after="0"/>
              <w:rPr>
                <w:sz w:val="20"/>
                <w:szCs w:val="20"/>
                <w:color w:val="auto"/>
              </w:rPr>
            </w:pPr>
            <w:r>
              <w:rPr>
                <w:rFonts w:ascii="Arial" w:cs="Arial" w:eastAsia="Arial" w:hAnsi="Arial"/>
                <w:sz w:val="20"/>
                <w:szCs w:val="20"/>
                <w:color w:val="auto"/>
              </w:rPr>
              <w:t>Barbara J. Britenriker</w:t>
            </w:r>
          </w:p>
        </w:tc>
      </w:tr>
      <w:tr>
        <w:trPr>
          <w:trHeight w:val="300"/>
        </w:trPr>
        <w:tc>
          <w:tcPr>
            <w:tcW w:w="3320" w:type="dxa"/>
            <w:vAlign w:val="bottom"/>
          </w:tcPr>
          <w:p>
            <w:pPr>
              <w:spacing w:after="0"/>
              <w:rPr>
                <w:sz w:val="24"/>
                <w:szCs w:val="24"/>
                <w:color w:val="auto"/>
              </w:rPr>
            </w:pPr>
          </w:p>
        </w:tc>
        <w:tc>
          <w:tcPr>
            <w:tcW w:w="6080" w:type="dxa"/>
            <w:vAlign w:val="bottom"/>
          </w:tcPr>
          <w:p>
            <w:pPr>
              <w:ind w:left="1380"/>
              <w:spacing w:after="0"/>
              <w:rPr>
                <w:sz w:val="20"/>
                <w:szCs w:val="20"/>
                <w:color w:val="auto"/>
              </w:rPr>
            </w:pPr>
            <w:r>
              <w:rPr>
                <w:rFonts w:ascii="Arial" w:cs="Arial" w:eastAsia="Arial" w:hAnsi="Arial"/>
                <w:sz w:val="20"/>
                <w:szCs w:val="20"/>
                <w:color w:val="auto"/>
              </w:rPr>
              <w:t>Chief Financial Officer</w:t>
            </w:r>
          </w:p>
        </w:tc>
      </w:tr>
      <w:tr>
        <w:trPr>
          <w:trHeight w:val="600"/>
        </w:trPr>
        <w:tc>
          <w:tcPr>
            <w:tcW w:w="3320" w:type="dxa"/>
            <w:vAlign w:val="bottom"/>
          </w:tcPr>
          <w:p>
            <w:pPr>
              <w:spacing w:after="0"/>
              <w:rPr>
                <w:sz w:val="24"/>
                <w:szCs w:val="24"/>
                <w:color w:val="auto"/>
              </w:rPr>
            </w:pPr>
          </w:p>
        </w:tc>
        <w:tc>
          <w:tcPr>
            <w:tcW w:w="6080" w:type="dxa"/>
            <w:vAlign w:val="bottom"/>
          </w:tcPr>
          <w:p>
            <w:pPr>
              <w:jc w:val="right"/>
              <w:ind w:right="4560"/>
              <w:spacing w:after="0"/>
              <w:rPr>
                <w:sz w:val="20"/>
                <w:szCs w:val="20"/>
                <w:color w:val="auto"/>
              </w:rPr>
            </w:pPr>
            <w:r>
              <w:rPr>
                <w:rFonts w:ascii="Arial" w:cs="Arial" w:eastAsia="Arial" w:hAnsi="Arial"/>
                <w:sz w:val="20"/>
                <w:szCs w:val="20"/>
                <w:color w:val="auto"/>
              </w:rPr>
              <w:t>1</w:t>
            </w:r>
          </w:p>
        </w:tc>
      </w:tr>
      <w:tr>
        <w:trPr>
          <w:trHeight w:val="1251"/>
        </w:trPr>
        <w:tc>
          <w:tcPr>
            <w:tcW w:w="3320" w:type="dxa"/>
            <w:vAlign w:val="bottom"/>
            <w:tcBorders>
              <w:bottom w:val="single" w:sz="8" w:color="010101"/>
            </w:tcBorders>
          </w:tcPr>
          <w:p>
            <w:pPr>
              <w:spacing w:after="0"/>
              <w:rPr>
                <w:sz w:val="24"/>
                <w:szCs w:val="24"/>
                <w:color w:val="auto"/>
              </w:rPr>
            </w:pPr>
          </w:p>
        </w:tc>
        <w:tc>
          <w:tcPr>
            <w:tcW w:w="60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5">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6">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-1548765</wp:posOffset>
            </wp:positionV>
            <wp:extent cx="2983865" cy="635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7">
                      <a:extLst>
                        <a:ext uri="{28A0092B-C50C-407E-A947-70E740481C1C}"/>
                      </a:extLst>
                    </a:blip>
                    <a:srcRect/>
                    <a:stretch>
                      <a:fillRect/>
                    </a:stretch>
                  </pic:blipFill>
                  <pic:spPr bwMode="auto">
                    <a:xfrm>
                      <a:off x="0" y="0"/>
                      <a:ext cx="2983865" cy="63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29</w:t>
      </w:r>
    </w:p>
    <w:p>
      <w:pPr>
        <w:sectPr>
          <w:pgSz w:w="11900" w:h="16838" w:orient="portrait"/>
          <w:cols w:equalWidth="0" w:num="1">
            <w:col w:w="9400"/>
          </w:cols>
          <w:pgMar w:left="1260" w:top="1173" w:right="1246" w:bottom="0" w:gutter="0" w:footer="0" w:header="0"/>
          <w:type w:val="continuous"/>
        </w:sectPr>
      </w:pPr>
    </w:p>
    <w:bookmarkStart w:id="306" w:name="page307"/>
    <w:bookmarkEnd w:id="3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25 / 29</w:t>
      </w:r>
    </w:p>
    <w:p>
      <w:pPr>
        <w:sectPr>
          <w:pgSz w:w="11900" w:h="16838" w:orient="portrait"/>
          <w:cols w:equalWidth="0" w:num="1">
            <w:col w:w="9026"/>
          </w:cols>
          <w:pgMar w:left="1440" w:top="1440" w:right="1440" w:bottom="0" w:gutter="0" w:footer="0" w:header="0"/>
        </w:sectPr>
      </w:pPr>
    </w:p>
    <w:bookmarkStart w:id="307" w:name="page308"/>
    <w:bookmarkEnd w:id="307"/>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32.1</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CERTIFICATION PURSUANT TO</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 U.S.C. SECTION 1350,</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AS ENACTED PURSUANT TO</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SECTION 906 OF THE SARBANES-OXLEY ACT OF 2002</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FARMERS &amp; MERCHANTS BANCORP, INC.</w:t>
      </w:r>
    </w:p>
    <w:p>
      <w:pPr>
        <w:spacing w:after="0" w:line="320"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In connection with the Annual Report on Form 10-K of Farmers &amp; Merchants Bancorp, Inc. for the year ended December 31, 2025, as filed with the Securities and Exchange Commission (the “Report”), I, Lars B. Eller, Chief Executive Officer, of the Company, certify, pursuant to 18 U.S.C. 1350, as added by 906 of the Sarbanes-Oxley Act of 2002, that:</w:t>
      </w:r>
    </w:p>
    <w:p>
      <w:pPr>
        <w:spacing w:after="0" w:line="301" w:lineRule="exact"/>
        <w:rPr>
          <w:sz w:val="20"/>
          <w:szCs w:val="20"/>
          <w:color w:val="auto"/>
        </w:rPr>
      </w:pPr>
    </w:p>
    <w:p>
      <w:pPr>
        <w:ind w:left="620" w:hanging="313"/>
        <w:spacing w:after="0" w:line="365" w:lineRule="auto"/>
        <w:tabs>
          <w:tab w:leader="none" w:pos="62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Report fully complies with the requirement of Section 13(a) or 15(d) of the Securities Exchange Act of 1934; and;</w:t>
      </w:r>
    </w:p>
    <w:p>
      <w:pPr>
        <w:spacing w:after="0" w:line="260" w:lineRule="exact"/>
        <w:rPr>
          <w:rFonts w:ascii="Arial" w:cs="Arial" w:eastAsia="Arial" w:hAnsi="Arial"/>
          <w:sz w:val="20"/>
          <w:szCs w:val="20"/>
          <w:color w:val="auto"/>
        </w:rPr>
      </w:pPr>
    </w:p>
    <w:p>
      <w:pPr>
        <w:ind w:left="620" w:hanging="313"/>
        <w:spacing w:after="0" w:line="365" w:lineRule="auto"/>
        <w:tabs>
          <w:tab w:leader="none" w:pos="62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p>
      <w:pPr>
        <w:spacing w:after="0"/>
        <w:tabs>
          <w:tab w:leader="none" w:pos="4680" w:val="left"/>
        </w:tabs>
        <w:rPr>
          <w:sz w:val="20"/>
          <w:szCs w:val="20"/>
          <w:color w:val="auto"/>
        </w:rPr>
      </w:pPr>
      <w:r>
        <w:rPr>
          <w:rFonts w:ascii="Arial" w:cs="Arial" w:eastAsia="Arial" w:hAnsi="Arial"/>
          <w:sz w:val="20"/>
          <w:szCs w:val="20"/>
          <w:color w:val="auto"/>
        </w:rPr>
        <w:t>Date: February 27, 2026</w:t>
      </w:r>
      <w:r>
        <w:rPr>
          <w:sz w:val="20"/>
          <w:szCs w:val="20"/>
          <w:color w:val="auto"/>
        </w:rPr>
        <w:tab/>
      </w:r>
      <w:r>
        <w:rPr>
          <w:rFonts w:ascii="Arial" w:cs="Arial" w:eastAsia="Arial" w:hAnsi="Arial"/>
          <w:sz w:val="18"/>
          <w:szCs w:val="18"/>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26035</wp:posOffset>
            </wp:positionV>
            <wp:extent cx="2983865" cy="63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8">
                      <a:extLst>
                        <a:ext uri="{28A0092B-C50C-407E-A947-70E740481C1C}"/>
                      </a:extLst>
                    </a:blip>
                    <a:srcRect/>
                    <a:stretch>
                      <a:fillRect/>
                    </a:stretch>
                  </pic:blipFill>
                  <pic:spPr bwMode="auto">
                    <a:xfrm>
                      <a:off x="0" y="0"/>
                      <a:ext cx="2983865" cy="6350"/>
                    </a:xfrm>
                    <a:prstGeom prst="rect">
                      <a:avLst/>
                    </a:prstGeom>
                    <a:noFill/>
                  </pic:spPr>
                </pic:pic>
              </a:graphicData>
            </a:graphic>
          </wp:anchor>
        </w:drawing>
      </w:r>
    </w:p>
    <w:p>
      <w:pPr>
        <w:spacing w:after="0" w:line="6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Lars B. Eller</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788035</wp:posOffset>
            </wp:positionV>
            <wp:extent cx="5967730" cy="1905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26 / 29</w:t>
      </w:r>
    </w:p>
    <w:p>
      <w:pPr>
        <w:sectPr>
          <w:pgSz w:w="11900" w:h="16838" w:orient="portrait"/>
          <w:cols w:equalWidth="0" w:num="1">
            <w:col w:w="9340"/>
          </w:cols>
          <w:pgMar w:left="1260" w:top="1440" w:right="1306" w:bottom="0" w:gutter="0" w:footer="0" w:header="0"/>
          <w:type w:val="continuous"/>
        </w:sectPr>
      </w:pPr>
    </w:p>
    <w:bookmarkStart w:id="308" w:name="page309"/>
    <w:bookmarkEnd w:id="3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27 / 29</w:t>
      </w:r>
    </w:p>
    <w:p>
      <w:pPr>
        <w:sectPr>
          <w:pgSz w:w="11900" w:h="16838" w:orient="portrait"/>
          <w:cols w:equalWidth="0" w:num="1">
            <w:col w:w="9026"/>
          </w:cols>
          <w:pgMar w:left="1440" w:top="1440" w:right="1440" w:bottom="0" w:gutter="0" w:footer="0" w:header="0"/>
        </w:sectPr>
      </w:pPr>
    </w:p>
    <w:bookmarkStart w:id="309" w:name="page310"/>
    <w:bookmarkEnd w:id="309"/>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32.2</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ENACTED PURSUANT TO</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FARMERS &amp; MERCHANTS BANCORP, INC.</w:t>
      </w:r>
    </w:p>
    <w:p>
      <w:pPr>
        <w:spacing w:after="0" w:line="320"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In connection with the Annual Report on Form 10-K of Farmers &amp; Merchants Bancorp, Inc. for the year ended December 31, 2025, as filed with the Securities and Exchange Commission (the “Report”), I, Barbara J. Britenriker, Chief Financial Officer, of the Company, certify, pursuant to 18 U.S.C. 1350, as added by 906 of the Sarbanes-Oxley Act of 2002, that:</w:t>
      </w:r>
    </w:p>
    <w:p>
      <w:pPr>
        <w:spacing w:after="0" w:line="301" w:lineRule="exact"/>
        <w:rPr>
          <w:sz w:val="20"/>
          <w:szCs w:val="20"/>
          <w:color w:val="auto"/>
        </w:rPr>
      </w:pPr>
    </w:p>
    <w:p>
      <w:pPr>
        <w:ind w:left="620" w:right="40" w:hanging="313"/>
        <w:spacing w:after="0" w:line="365" w:lineRule="auto"/>
        <w:tabs>
          <w:tab w:leader="none" w:pos="62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Report fully complies with the requirement of Section 13(a) or 15(d) of the Securities Exchange Act of 1934; and;</w:t>
      </w:r>
    </w:p>
    <w:p>
      <w:pPr>
        <w:spacing w:after="0" w:line="260" w:lineRule="exact"/>
        <w:rPr>
          <w:rFonts w:ascii="Arial" w:cs="Arial" w:eastAsia="Arial" w:hAnsi="Arial"/>
          <w:sz w:val="20"/>
          <w:szCs w:val="20"/>
          <w:color w:val="auto"/>
        </w:rPr>
      </w:pPr>
    </w:p>
    <w:p>
      <w:pPr>
        <w:ind w:left="620" w:right="40" w:hanging="313"/>
        <w:spacing w:after="0" w:line="365" w:lineRule="auto"/>
        <w:tabs>
          <w:tab w:leader="none" w:pos="62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p>
      <w:pPr>
        <w:spacing w:after="0"/>
        <w:tabs>
          <w:tab w:leader="none" w:pos="4680" w:val="left"/>
        </w:tabs>
        <w:rPr>
          <w:sz w:val="20"/>
          <w:szCs w:val="20"/>
          <w:color w:val="auto"/>
        </w:rPr>
      </w:pPr>
      <w:r>
        <w:rPr>
          <w:rFonts w:ascii="Arial" w:cs="Arial" w:eastAsia="Arial" w:hAnsi="Arial"/>
          <w:sz w:val="20"/>
          <w:szCs w:val="20"/>
          <w:color w:val="auto"/>
        </w:rPr>
        <w:t>Date: February 27, 2026</w:t>
      </w:r>
      <w:r>
        <w:rPr>
          <w:sz w:val="20"/>
          <w:szCs w:val="20"/>
          <w:color w:val="auto"/>
        </w:rPr>
        <w:tab/>
      </w:r>
      <w:r>
        <w:rPr>
          <w:rFonts w:ascii="Arial" w:cs="Arial" w:eastAsia="Arial" w:hAnsi="Arial"/>
          <w:sz w:val="18"/>
          <w:szCs w:val="18"/>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26035</wp:posOffset>
            </wp:positionV>
            <wp:extent cx="2983865" cy="635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0">
                      <a:extLst>
                        <a:ext uri="{28A0092B-C50C-407E-A947-70E740481C1C}"/>
                      </a:extLst>
                    </a:blip>
                    <a:srcRect/>
                    <a:stretch>
                      <a:fillRect/>
                    </a:stretch>
                  </pic:blipFill>
                  <pic:spPr bwMode="auto">
                    <a:xfrm>
                      <a:off x="0" y="0"/>
                      <a:ext cx="2983865" cy="6350"/>
                    </a:xfrm>
                    <a:prstGeom prst="rect">
                      <a:avLst/>
                    </a:prstGeom>
                    <a:noFill/>
                  </pic:spPr>
                </pic:pic>
              </a:graphicData>
            </a:graphic>
          </wp:anchor>
        </w:drawing>
      </w:r>
    </w:p>
    <w:p>
      <w:pPr>
        <w:spacing w:after="0" w:line="6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Barbara J. Britenriker</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40"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788035</wp:posOffset>
            </wp:positionV>
            <wp:extent cx="5967730" cy="1905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 / 29</w:t>
      </w:r>
    </w:p>
    <w:p>
      <w:pPr>
        <w:sectPr>
          <w:pgSz w:w="11900" w:h="16838" w:orient="portrait"/>
          <w:cols w:equalWidth="0" w:num="1">
            <w:col w:w="9380"/>
          </w:cols>
          <w:pgMar w:left="1260" w:top="1440" w:right="1266" w:bottom="0" w:gutter="0" w:footer="0" w:header="0"/>
          <w:type w:val="continuous"/>
        </w:sectPr>
      </w:pPr>
    </w:p>
    <w:bookmarkStart w:id="310" w:name="page311"/>
    <w:bookmarkEnd w:id="3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29 / 29</w:t>
      </w:r>
    </w:p>
    <w:sectPr>
      <w:pgSz w:w="11900" w:h="16838" w:orient="portrait"/>
      <w:cols w:equalWidth="0" w:num="1">
        <w:col w:w="9026"/>
      </w:cols>
      <w:pgMar w:left="1440" w:top="1440"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S PMincho">
    <w:panose1 w:val="02020600040205080304"/>
    <w:charset w:val="80"/>
    <w:family w:val="roman"/>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o"/>
      <w:numFmt w:val="bullet"/>
      <w:start w:val="1"/>
    </w:lvl>
  </w:abstractNum>
  <w:abstractNum w:abstractNumId="6">
    <w:nsid w:val="70A64E2A"/>
    <w:multiLevelType w:val="hybridMultilevel"/>
    <w:lvl w:ilvl="0">
      <w:lvlJc w:val="left"/>
      <w:lvlText w:val="•"/>
      <w:numFmt w:val="bullet"/>
      <w:start w:val="1"/>
    </w:lvl>
    <w:lvl w:ilvl="1">
      <w:lvlJc w:val="left"/>
      <w:lvlText w:val="o"/>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1:"/>
      <w:numFmt w:val="decimal"/>
      <w:start w:val="326"/>
    </w:lvl>
  </w:abstractNum>
  <w:abstractNum w:abstractNumId="16">
    <w:nsid w:val="6DE91B18"/>
    <w:multiLevelType w:val="hybridMultilevel"/>
    <w:lvl w:ilvl="0">
      <w:lvlJc w:val="left"/>
      <w:lvlText w:val="o"/>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lowerLetter"/>
      <w:start w:val="2"/>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1."/>
      <w:numFmt w:val="decimal"/>
      <w:start w:val="1"/>
    </w:lvl>
  </w:abstractNum>
  <w:abstractNum w:abstractNumId="22">
    <w:nsid w:val="749ABB43"/>
    <w:multiLevelType w:val="hybridMultilevel"/>
    <w:lvl w:ilvl="0">
      <w:lvlJc w:val="left"/>
      <w:lvlText w:val="%1."/>
      <w:numFmt w:val="decimal"/>
      <w:start w:val="4"/>
    </w:lvl>
    <w:lvl w:ilvl="1">
      <w:lvlJc w:val="left"/>
      <w:lvlText w:val="%2."/>
      <w:numFmt w:val="lowerLetter"/>
      <w:start w:val="1"/>
    </w:lvl>
  </w:abstractNum>
  <w:abstractNum w:abstractNumId="23">
    <w:nsid w:val="3DC240FB"/>
    <w:multiLevelType w:val="hybridMultilevel"/>
    <w:lvl w:ilvl="0">
      <w:lvlJc w:val="left"/>
      <w:lvlText w:val="%1."/>
      <w:numFmt w:val="decimal"/>
      <w:start w:val="6"/>
    </w:lvl>
    <w:lvl w:ilvl="1">
      <w:lvlJc w:val="left"/>
      <w:lvlText w:val="%2."/>
      <w:numFmt w:val="lowerLetter"/>
      <w:start w:val="1"/>
    </w:lvl>
  </w:abstractNum>
  <w:abstractNum w:abstractNumId="24">
    <w:nsid w:val="1BA026FA"/>
    <w:multiLevelType w:val="hybridMultilevel"/>
    <w:lvl w:ilvl="0">
      <w:lvlJc w:val="left"/>
      <w:lvlText w:val="%1"/>
      <w:numFmt w:val="decimal"/>
      <w:start w:val="1"/>
    </w:lvl>
    <w:lvl w:ilvl="1">
      <w:lvlJc w:val="left"/>
      <w:lvlText w:val="%2."/>
      <w:numFmt w:val="lowerLetter"/>
      <w:start w:val="8"/>
    </w:lvl>
  </w:abstractNum>
  <w:abstractNum w:abstractNumId="25">
    <w:nsid w:val="79A1DEAA"/>
    <w:multiLevelType w:val="hybridMultilevel"/>
    <w:lvl w:ilvl="0">
      <w:lvlJc w:val="left"/>
      <w:lvlText w:val="%1."/>
      <w:numFmt w:val="decimal"/>
      <w:start w:val="8"/>
    </w:lvl>
    <w:lvl w:ilvl="1">
      <w:lvlJc w:val="left"/>
      <w:lvlText w:val="%2."/>
      <w:numFmt w:val="lowerLetter"/>
      <w:start w:val="1"/>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1)"/>
      <w:numFmt w:val="decimal"/>
      <w:start w:val="5"/>
    </w:lvl>
  </w:abstractNum>
  <w:abstractNum w:abstractNumId="30">
    <w:nsid w:val="374A3FE6"/>
    <w:multiLevelType w:val="hybridMultilevel"/>
    <w:lvl w:ilvl="0">
      <w:lvlJc w:val="left"/>
      <w:lvlText w:val="(%1)"/>
      <w:numFmt w:val="decimal"/>
      <w:start w:val="4"/>
    </w:lvl>
  </w:abstractNum>
  <w:abstractNum w:abstractNumId="31">
    <w:nsid w:val="4F4EF005"/>
    <w:multiLevelType w:val="hybridMultilevel"/>
    <w:lvl w:ilvl="0">
      <w:lvlJc w:val="left"/>
      <w:lvlText w:val="%1"/>
      <w:numFmt w:val="lowerLetter"/>
      <w:start w:val="1"/>
    </w:lvl>
    <w:lvl w:ilvl="1">
      <w:lvlJc w:val="left"/>
      <w:lvlText w:val="(%2)"/>
      <w:numFmt w:val="decimal"/>
      <w:start w:val="1"/>
    </w:lvl>
  </w:abstractNum>
  <w:abstractNum w:abstractNumId="32">
    <w:nsid w:val="23F9C13C"/>
    <w:multiLevelType w:val="hybridMultilevel"/>
    <w:lvl w:ilvl="0">
      <w:lvlJc w:val="left"/>
      <w:lvlText w:val="%1."/>
      <w:numFmt w:val="lowerLetter"/>
      <w:start w:val="2"/>
    </w:lvl>
    <w:lvl w:ilvl="1">
      <w:lvlJc w:val="left"/>
      <w:lvlText w:val="%2"/>
      <w:numFmt w:val="decimal"/>
      <w:start w:val="1"/>
    </w:lvl>
  </w:abstractNum>
  <w:abstractNum w:abstractNumId="33">
    <w:nsid w:val="649BB77C"/>
    <w:multiLevelType w:val="hybridMultilevel"/>
    <w:lvl w:ilvl="0">
      <w:lvlJc w:val="left"/>
      <w:lvlText w:val="(%1)"/>
      <w:numFmt w:val="decimal"/>
      <w:start w:val="19"/>
    </w:lvl>
  </w:abstractNum>
  <w:abstractNum w:abstractNumId="34">
    <w:nsid w:val="275AC794"/>
    <w:multiLevelType w:val="hybridMultilevel"/>
    <w:lvl w:ilvl="0">
      <w:lvlJc w:val="left"/>
      <w:lvlText w:val="(%1)"/>
      <w:numFmt w:val="decimal"/>
      <w:start w:val="21"/>
    </w:lvl>
  </w:abstractNum>
  <w:abstractNum w:abstractNumId="35">
    <w:nsid w:val="39386575"/>
    <w:multiLevelType w:val="hybridMultilevel"/>
    <w:lvl w:ilvl="0">
      <w:lvlJc w:val="left"/>
      <w:lvlText w:val="(%1)"/>
      <w:numFmt w:val="decimal"/>
      <w:start w:val="97"/>
    </w:lvl>
  </w:abstractNum>
  <w:abstractNum w:abstractNumId="36">
    <w:nsid w:val="1CF10FD8"/>
    <w:multiLevelType w:val="hybridMultilevel"/>
    <w:lvl w:ilvl="0">
      <w:lvlJc w:val="left"/>
      <w:lvlText w:val="%1"/>
      <w:numFmt w:val="decimal"/>
      <w:start w:val="1"/>
    </w:lvl>
    <w:lvl w:ilvl="1">
      <w:lvlJc w:val="left"/>
      <w:lvlText w:val="%2"/>
      <w:numFmt w:val="decimal"/>
      <w:start w:val="104"/>
    </w:lvl>
  </w:abstractNum>
  <w:abstractNum w:abstractNumId="37">
    <w:nsid w:val="180115BE"/>
    <w:multiLevelType w:val="hybridMultilevel"/>
    <w:lvl w:ilvl="0">
      <w:lvlJc w:val="left"/>
      <w:lvlText w:val="(%1)"/>
      <w:numFmt w:val="decimal"/>
      <w:start w:val="1"/>
    </w:lvl>
    <w:lvl w:ilvl="1">
      <w:lvlJc w:val="left"/>
      <w:lvlText w:val="%2"/>
      <w:numFmt w:val="decimal"/>
      <w:start w:val="1"/>
    </w:lvl>
  </w:abstractNum>
  <w:abstractNum w:abstractNumId="38">
    <w:nsid w:val="235BA861"/>
    <w:multiLevelType w:val="hybridMultilevel"/>
    <w:lvl w:ilvl="0">
      <w:lvlJc w:val="left"/>
      <w:lvlText w:val="(%1)"/>
      <w:numFmt w:val="lowerLetter"/>
      <w:start w:val="1"/>
    </w:lvl>
  </w:abstractNum>
  <w:abstractNum w:abstractNumId="39">
    <w:nsid w:val="47398C89"/>
    <w:multiLevelType w:val="hybridMultilevel"/>
    <w:lvl w:ilvl="0">
      <w:lvlJc w:val="left"/>
      <w:lvlText w:val="(%1)"/>
      <w:numFmt w:val="lowerLetter"/>
      <w:start w:val="5"/>
    </w:lvl>
  </w:abstractNum>
  <w:abstractNum w:abstractNumId="40">
    <w:nsid w:val="354FE9F9"/>
    <w:multiLevelType w:val="hybridMultilevel"/>
    <w:lvl w:ilvl="0">
      <w:lvlJc w:val="left"/>
      <w:lvlText w:val="(%1)"/>
      <w:numFmt w:val="lowerLetter"/>
      <w:start w:val="7"/>
    </w:lvl>
  </w:abstractNum>
  <w:abstractNum w:abstractNumId="41">
    <w:nsid w:val="15B5AF5C"/>
    <w:multiLevelType w:val="hybridMultilevel"/>
    <w:lvl w:ilvl="0">
      <w:lvlJc w:val="left"/>
      <w:lvlText w:val="(%1)"/>
      <w:numFmt w:val="lowerLetter"/>
      <w:start w:val="17"/>
    </w:lvl>
    <w:lvl w:ilvl="1">
      <w:lvlJc w:val="left"/>
      <w:lvlText w:val="(%2)"/>
      <w:numFmt w:val="lowerLetter"/>
      <w:start w:val="1"/>
    </w:lvl>
  </w:abstractNum>
  <w:abstractNum w:abstractNumId="42">
    <w:nsid w:val="741226BB"/>
    <w:multiLevelType w:val="hybridMultilevel"/>
    <w:lvl w:ilvl="0">
      <w:lvlJc w:val="left"/>
      <w:lvlText w:val="(%1)"/>
      <w:numFmt w:val="lowerLetter"/>
      <w:start w:val="19"/>
    </w:lvl>
  </w:abstractNum>
  <w:abstractNum w:abstractNumId="43">
    <w:nsid w:val="D34B6A8"/>
    <w:multiLevelType w:val="hybridMultilevel"/>
    <w:lvl w:ilvl="0">
      <w:lvlJc w:val="left"/>
      <w:lvlText w:val="(%1)"/>
      <w:numFmt w:val="lowerLetter"/>
      <w:start w:val="27"/>
    </w:lvl>
  </w:abstractNum>
  <w:abstractNum w:abstractNumId="44">
    <w:nsid w:val="10233C99"/>
    <w:multiLevelType w:val="hybridMultilevel"/>
    <w:lvl w:ilvl="0">
      <w:lvlJc w:val="left"/>
      <w:lvlText w:val="(%1)"/>
      <w:numFmt w:val="lowerLetter"/>
      <w:start w:val="29"/>
    </w:lvl>
  </w:abstractNum>
  <w:abstractNum w:abstractNumId="45">
    <w:nsid w:val="3F6AB60F"/>
    <w:multiLevelType w:val="hybridMultilevel"/>
    <w:lvl w:ilvl="0">
      <w:lvlJc w:val="left"/>
      <w:lvlText w:val="(%1)"/>
      <w:numFmt w:val="lowerLetter"/>
      <w:start w:val="37"/>
    </w:lvl>
  </w:abstractNum>
  <w:abstractNum w:abstractNumId="46">
    <w:nsid w:val="61574095"/>
    <w:multiLevelType w:val="hybridMultilevel"/>
    <w:lvl w:ilvl="0">
      <w:lvlJc w:val="left"/>
      <w:lvlText w:val="(%1)"/>
      <w:numFmt w:val="lowerLetter"/>
      <w:start w:val="1"/>
    </w:lvl>
  </w:abstractNum>
  <w:abstractNum w:abstractNumId="47">
    <w:nsid w:val="7E0C57B1"/>
    <w:multiLevelType w:val="hybridMultilevel"/>
    <w:lvl w:ilvl="0">
      <w:lvlJc w:val="left"/>
      <w:lvlText w:val="(%1)"/>
      <w:numFmt w:val="lowerLetter"/>
      <w:start w:val="3"/>
    </w:lvl>
    <w:lvl w:ilvl="1">
      <w:lvlJc w:val="left"/>
      <w:lvlText w:val="(%2)"/>
      <w:numFmt w:val="lowerRoman"/>
      <w:start w:val="4"/>
    </w:lvl>
  </w:abstractNum>
  <w:abstractNum w:abstractNumId="48">
    <w:nsid w:val="77AE35EB"/>
    <w:multiLevelType w:val="hybridMultilevel"/>
    <w:lvl w:ilvl="0">
      <w:lvlJc w:val="left"/>
      <w:lvlText w:val="%1"/>
      <w:numFmt w:val="lowerLetter"/>
      <w:start w:val="1"/>
    </w:lvl>
    <w:lvl w:ilvl="1">
      <w:lvlJc w:val="left"/>
      <w:lvlText w:val="(%2)"/>
      <w:numFmt w:val="lowerRoman"/>
      <w:start w:val="6"/>
    </w:lvl>
  </w:abstractNum>
  <w:abstractNum w:abstractNumId="49">
    <w:nsid w:val="579BE4F1"/>
    <w:multiLevelType w:val="hybridMultilevel"/>
    <w:lvl w:ilvl="0">
      <w:lvlJc w:val="left"/>
      <w:lvlText w:val="(%1)"/>
      <w:numFmt w:val="lowerLetter"/>
      <w:start w:val="4"/>
    </w:lvl>
    <w:lvl w:ilvl="1">
      <w:lvlJc w:val="left"/>
      <w:lvlText w:val="%2"/>
      <w:numFmt w:val="lowerRoman"/>
      <w:start w:val="1"/>
    </w:lvl>
  </w:abstractNum>
  <w:abstractNum w:abstractNumId="50">
    <w:nsid w:val="310C50B3"/>
    <w:multiLevelType w:val="hybridMultilevel"/>
    <w:lvl w:ilvl="0">
      <w:lvlJc w:val="left"/>
      <w:lvlText w:val="(%1)"/>
      <w:numFmt w:val="lowerLetter"/>
      <w:start w:val="1"/>
    </w:lvl>
  </w:abstractNum>
  <w:abstractNum w:abstractNumId="51">
    <w:nsid w:val="5FF87E05"/>
    <w:multiLevelType w:val="hybridMultilevel"/>
    <w:lvl w:ilvl="0">
      <w:lvlJc w:val="left"/>
      <w:lvlText w:val="(%1)"/>
      <w:numFmt w:val="lowerLetter"/>
      <w:start w:val="3"/>
    </w:lvl>
    <w:lvl w:ilvl="1">
      <w:lvlJc w:val="left"/>
      <w:lvlText w:val="(%2)"/>
      <w:numFmt w:val="lowerRoman"/>
      <w:start w:val="1"/>
    </w:lvl>
  </w:abstractNum>
  <w:abstractNum w:abstractNumId="52">
    <w:nsid w:val="2F305DEF"/>
    <w:multiLevelType w:val="hybridMultilevel"/>
    <w:lvl w:ilvl="0">
      <w:lvlJc w:val="left"/>
      <w:lvlText w:val="(%1)"/>
      <w:numFmt w:val="lowerLetter"/>
      <w:start w:val="1"/>
    </w:lvl>
  </w:abstractNum>
  <w:abstractNum w:abstractNumId="53">
    <w:nsid w:val="25A70BF7"/>
    <w:multiLevelType w:val="hybridMultilevel"/>
    <w:lvl w:ilvl="0">
      <w:lvlJc w:val="left"/>
      <w:lvlText w:val="(%1)"/>
      <w:numFmt w:val="lowerLetter"/>
      <w:start w:val="1"/>
    </w:lvl>
  </w:abstractNum>
  <w:abstractNum w:abstractNumId="54">
    <w:nsid w:val="1DBABF00"/>
    <w:multiLevelType w:val="hybridMultilevel"/>
    <w:lvl w:ilvl="0">
      <w:lvlJc w:val="left"/>
      <w:lvlText w:val="(%1)"/>
      <w:numFmt w:val="lowerLetter"/>
      <w:start w:val="6"/>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lowerLetter"/>
      <w:start w:val="4"/>
    </w:lvl>
    <w:lvl w:ilvl="1">
      <w:lvlJc w:val="left"/>
      <w:lvlText w:val="(%2)"/>
      <w:numFmt w:val="lowerRoman"/>
      <w:start w:val="1"/>
    </w:lvl>
  </w:abstractNum>
  <w:abstractNum w:abstractNumId="57">
    <w:nsid w:val="1381823A"/>
    <w:multiLevelType w:val="hybridMultilevel"/>
    <w:lvl w:ilvl="0">
      <w:lvlJc w:val="left"/>
      <w:lvlText w:val="(%1)"/>
      <w:numFmt w:val="lowerLetter"/>
      <w:start w:val="1"/>
    </w:lvl>
  </w:abstractNum>
  <w:abstractNum w:abstractNumId="58">
    <w:nsid w:val="5DB70AE5"/>
    <w:multiLevelType w:val="hybridMultilevel"/>
    <w:lvl w:ilvl="0">
      <w:lvlJc w:val="left"/>
      <w:lvlText w:val="(%1)"/>
      <w:numFmt w:val="lowerRoman"/>
      <w:start w:val="1"/>
    </w:lvl>
  </w:abstractNum>
  <w:abstractNum w:abstractNumId="59">
    <w:nsid w:val="100F8FCA"/>
    <w:multiLevelType w:val="hybridMultilevel"/>
    <w:lvl w:ilvl="0">
      <w:lvlJc w:val="left"/>
      <w:lvlText w:val="(%1)"/>
      <w:numFmt w:val="lowerLetter"/>
      <w:start w:val="3"/>
    </w:lvl>
  </w:abstractNum>
  <w:abstractNum w:abstractNumId="60">
    <w:nsid w:val="6590700B"/>
    <w:multiLevelType w:val="hybridMultilevel"/>
    <w:lvl w:ilvl="0">
      <w:lvlJc w:val="left"/>
      <w:lvlText w:val="(%1)"/>
      <w:numFmt w:val="lowerLetter"/>
      <w:start w:val="1"/>
    </w:lvl>
    <w:lvl w:ilvl="1">
      <w:lvlJc w:val="left"/>
      <w:lvlText w:val="(%2)"/>
      <w:numFmt w:val="lowerRoman"/>
      <w:start w:val="1"/>
    </w:lvl>
  </w:abstractNum>
  <w:abstractNum w:abstractNumId="61">
    <w:nsid w:val="15014ACB"/>
    <w:multiLevelType w:val="hybridMultilevel"/>
    <w:lvl w:ilvl="0">
      <w:lvlJc w:val="left"/>
      <w:lvlText w:val="(%1)"/>
      <w:numFmt w:val="lowerRoman"/>
      <w:start w:val="3"/>
    </w:lvl>
  </w:abstractNum>
  <w:abstractNum w:abstractNumId="62">
    <w:nsid w:val="5F5E7FD0"/>
    <w:multiLevelType w:val="hybridMultilevel"/>
    <w:lvl w:ilvl="0">
      <w:lvlJc w:val="left"/>
      <w:lvlText w:val="(%1)"/>
      <w:numFmt w:val="lowerLetter"/>
      <w:start w:val="3"/>
    </w:lvl>
  </w:abstractNum>
  <w:abstractNum w:abstractNumId="63">
    <w:nsid w:val="98A3148"/>
    <w:multiLevelType w:val="hybridMultilevel"/>
    <w:lvl w:ilvl="0">
      <w:lvlJc w:val="left"/>
      <w:lvlText w:val="(%1)"/>
      <w:numFmt w:val="lowerLetter"/>
      <w:start w:val="6"/>
    </w:lvl>
  </w:abstractNum>
  <w:abstractNum w:abstractNumId="64">
    <w:nsid w:val="799D0247"/>
    <w:multiLevelType w:val="hybridMultilevel"/>
    <w:lvl w:ilvl="0">
      <w:lvlJc w:val="left"/>
      <w:lvlText w:val="(%1)"/>
      <w:numFmt w:val="lowerLetter"/>
      <w:start w:val="1"/>
    </w:lvl>
  </w:abstractNum>
  <w:abstractNum w:abstractNumId="65">
    <w:nsid w:val="6B94764"/>
    <w:multiLevelType w:val="hybridMultilevel"/>
    <w:lvl w:ilvl="0">
      <w:lvlJc w:val="left"/>
      <w:lvlText w:val="(%1)"/>
      <w:numFmt w:val="lowerLetter"/>
      <w:start w:val="1"/>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1)"/>
      <w:numFmt w:val="lowerLetter"/>
      <w:start w:val="1"/>
    </w:lvl>
  </w:abstractNum>
  <w:abstractNum w:abstractNumId="68">
    <w:nsid w:val="1EBA5D23"/>
    <w:multiLevelType w:val="hybridMultilevel"/>
    <w:lvl w:ilvl="0">
      <w:lvlJc w:val="left"/>
      <w:lvlText w:val="(%1)"/>
      <w:numFmt w:val="lowerLetter"/>
      <w:start w:val="1"/>
    </w:lvl>
  </w:abstractNum>
  <w:abstractNum w:abstractNumId="69">
    <w:nsid w:val="661E3F1E"/>
    <w:multiLevelType w:val="hybridMultilevel"/>
    <w:lvl w:ilvl="0">
      <w:lvlJc w:val="left"/>
      <w:lvlText w:val="(%1)"/>
      <w:numFmt w:val="lowerRoman"/>
      <w:start w:val="1"/>
    </w:lvl>
  </w:abstractNum>
  <w:abstractNum w:abstractNumId="70">
    <w:nsid w:val="5DC79EA8"/>
    <w:multiLevelType w:val="hybridMultilevel"/>
    <w:lvl w:ilvl="0">
      <w:lvlJc w:val="left"/>
      <w:lvlText w:val="(%1)"/>
      <w:numFmt w:val="lowerLetter"/>
      <w:start w:val="35"/>
    </w:lvl>
    <w:lvl w:ilvl="1">
      <w:lvlJc w:val="left"/>
      <w:lvlText w:val="(%2)"/>
      <w:numFmt w:val="lowerLetter"/>
      <w:start w:val="1"/>
    </w:lvl>
  </w:abstractNum>
  <w:abstractNum w:abstractNumId="71">
    <w:nsid w:val="540A471C"/>
    <w:multiLevelType w:val="hybridMultilevel"/>
    <w:lvl w:ilvl="0">
      <w:lvlJc w:val="left"/>
      <w:lvlText w:val="%1."/>
      <w:numFmt w:val="decimal"/>
      <w:start w:val="1"/>
    </w:lvl>
    <w:lvl w:ilvl="1">
      <w:lvlJc w:val="left"/>
      <w:lvlText w:val="(%2)"/>
      <w:numFmt w:val="lowerLetter"/>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21" Type="http://schemas.openxmlformats.org/officeDocument/2006/relationships/image" Target="media/image701.png"/><Relationship Id="rId723" Type="http://schemas.openxmlformats.org/officeDocument/2006/relationships/image" Target="media/image702.png"/><Relationship Id="rId724" Type="http://schemas.openxmlformats.org/officeDocument/2006/relationships/image" Target="media/image703.png"/><Relationship Id="rId725" Type="http://schemas.openxmlformats.org/officeDocument/2006/relationships/image" Target="media/image704.png"/><Relationship Id="rId726" Type="http://schemas.openxmlformats.org/officeDocument/2006/relationships/image" Target="media/image705.png"/><Relationship Id="rId727" Type="http://schemas.openxmlformats.org/officeDocument/2006/relationships/image" Target="media/image706.png"/><Relationship Id="rId728" Type="http://schemas.openxmlformats.org/officeDocument/2006/relationships/image" Target="media/image707.png"/><Relationship Id="rId729" Type="http://schemas.openxmlformats.org/officeDocument/2006/relationships/image" Target="media/image708.png"/><Relationship Id="rId730" Type="http://schemas.openxmlformats.org/officeDocument/2006/relationships/image" Target="media/image709.png"/><Relationship Id="rId731" Type="http://schemas.openxmlformats.org/officeDocument/2006/relationships/image" Target="media/image710.png"/><Relationship Id="rId732" Type="http://schemas.openxmlformats.org/officeDocument/2006/relationships/image" Target="media/image711.png"/><Relationship Id="rId733" Type="http://schemas.openxmlformats.org/officeDocument/2006/relationships/image" Target="media/image712.png"/><Relationship Id="rId734" Type="http://schemas.openxmlformats.org/officeDocument/2006/relationships/image" Target="media/image713.png"/><Relationship Id="rId735" Type="http://schemas.openxmlformats.org/officeDocument/2006/relationships/image" Target="media/image714.png"/><Relationship Id="rId736" Type="http://schemas.openxmlformats.org/officeDocument/2006/relationships/image" Target="media/image715.png"/><Relationship Id="rId737" Type="http://schemas.openxmlformats.org/officeDocument/2006/relationships/image" Target="media/image716.png"/><Relationship Id="rId738" Type="http://schemas.openxmlformats.org/officeDocument/2006/relationships/image" Target="media/image717.png"/><Relationship Id="rId739" Type="http://schemas.openxmlformats.org/officeDocument/2006/relationships/image" Target="media/image718.png"/><Relationship Id="rId740" Type="http://schemas.openxmlformats.org/officeDocument/2006/relationships/image" Target="media/image719.png"/><Relationship Id="rId741" Type="http://schemas.openxmlformats.org/officeDocument/2006/relationships/image" Target="media/image720.png"/><Relationship Id="rId742" Type="http://schemas.openxmlformats.org/officeDocument/2006/relationships/image" Target="media/image721.png"/><Relationship Id="rId743" Type="http://schemas.openxmlformats.org/officeDocument/2006/relationships/image" Target="media/image722.png"/><Relationship Id="rId744" Type="http://schemas.openxmlformats.org/officeDocument/2006/relationships/image" Target="media/image723.png"/><Relationship Id="rId745" Type="http://schemas.openxmlformats.org/officeDocument/2006/relationships/image" Target="media/image724.png"/><Relationship Id="rId746" Type="http://schemas.openxmlformats.org/officeDocument/2006/relationships/image" Target="media/image725.png"/><Relationship Id="rId747" Type="http://schemas.openxmlformats.org/officeDocument/2006/relationships/image" Target="media/image726.png"/><Relationship Id="rId748" Type="http://schemas.openxmlformats.org/officeDocument/2006/relationships/image" Target="media/image727.png"/><Relationship Id="rId749" Type="http://schemas.openxmlformats.org/officeDocument/2006/relationships/image" Target="media/image728.png"/><Relationship Id="rId750" Type="http://schemas.openxmlformats.org/officeDocument/2006/relationships/image" Target="media/image729.png"/><Relationship Id="rId751" Type="http://schemas.openxmlformats.org/officeDocument/2006/relationships/image" Target="media/image730.png"/><Relationship Id="rId752" Type="http://schemas.openxmlformats.org/officeDocument/2006/relationships/image" Target="media/image731.png"/><Relationship Id="rId753" Type="http://schemas.openxmlformats.org/officeDocument/2006/relationships/image" Target="media/image732.png"/><Relationship Id="rId754" Type="http://schemas.openxmlformats.org/officeDocument/2006/relationships/image" Target="media/image733.png"/><Relationship Id="rId755" Type="http://schemas.openxmlformats.org/officeDocument/2006/relationships/image" Target="media/image734.png"/><Relationship Id="rId756" Type="http://schemas.openxmlformats.org/officeDocument/2006/relationships/image" Target="media/image735.png"/><Relationship Id="rId757" Type="http://schemas.openxmlformats.org/officeDocument/2006/relationships/image" Target="media/image736.png"/><Relationship Id="rId758" Type="http://schemas.openxmlformats.org/officeDocument/2006/relationships/image" Target="media/image737.png"/><Relationship Id="rId759" Type="http://schemas.openxmlformats.org/officeDocument/2006/relationships/image" Target="media/image738.png"/><Relationship Id="rId760" Type="http://schemas.openxmlformats.org/officeDocument/2006/relationships/image" Target="media/image739.png"/><Relationship Id="rId761" Type="http://schemas.openxmlformats.org/officeDocument/2006/relationships/image" Target="media/image740.png"/><Relationship Id="rId708" Type="http://schemas.openxmlformats.org/officeDocument/2006/relationships/hyperlink" Target="https://www.sec.gov/Archives/edgar/data/792966/000119312517318709/d447990dex31.htm" TargetMode="External"/><Relationship Id="rId709" Type="http://schemas.openxmlformats.org/officeDocument/2006/relationships/hyperlink" Target="https://www.sec.gov/Archives/edgar/data/792966/000095017025101771/fmao-ex3_1b.htm" TargetMode="External"/><Relationship Id="rId710" Type="http://schemas.openxmlformats.org/officeDocument/2006/relationships/hyperlink" Target="https://www.sec.gov/Archives/edgar/data/792966/000119312517235925/d422994dex32.htm" TargetMode="External"/><Relationship Id="rId711" Type="http://schemas.openxmlformats.org/officeDocument/2006/relationships/hyperlink" Target="https://www.sec.gov/Archives/edgar/data/792966/000156459020006695/fmao-ex41_282.htm" TargetMode="External"/><Relationship Id="rId712" Type="http://schemas.openxmlformats.org/officeDocument/2006/relationships/hyperlink" Target="https://www.sec.gov/Archives/edgar/data/792966/000156459021039640/fmao-ex101_70.htm" TargetMode="External"/><Relationship Id="rId713" Type="http://schemas.openxmlformats.org/officeDocument/2006/relationships/hyperlink" Target="https://www.sec.gov/Archives/edgar/data/792966/000119312513073008/d445099dex101.htm" TargetMode="External"/><Relationship Id="rId714" Type="http://schemas.openxmlformats.org/officeDocument/2006/relationships/hyperlink" Target="https://www.sec.gov/Archives/edgar/data/792966/000095017024102663/fmao-ex10_1.htm" TargetMode="External"/><Relationship Id="rId715" Type="http://schemas.openxmlformats.org/officeDocument/2006/relationships/hyperlink" Target="https://www.sec.gov/Archives/edgar/data/792966/000119312515093241/d891255ddef14a.htm" TargetMode="External"/><Relationship Id="rId716" Type="http://schemas.openxmlformats.org/officeDocument/2006/relationships/hyperlink" Target="https://www.sec.gov/Archives/edgar/data/792966/000095012405005979/k99341exv10w2.txt" TargetMode="External"/><Relationship Id="rId717" Type="http://schemas.openxmlformats.org/officeDocument/2006/relationships/hyperlink" Target="https://www.sec.gov/Archives/edgar/data/792966/000095017025027602/fmao-ex10_5.htm" TargetMode="External"/><Relationship Id="rId718" Type="http://schemas.openxmlformats.org/officeDocument/2006/relationships/hyperlink" Target="https://www.sec.gov/Archives/edgar/data/792966/000095017025027602/fmao-ex10_6.htm" TargetMode="External"/><Relationship Id="rId719" Type="http://schemas.openxmlformats.org/officeDocument/2006/relationships/hyperlink" Target="https://www.sec.gov/Archives/edgar/data/792966/000095017025027602/fmao-ex10_8.htm" TargetMode="External"/><Relationship Id="rId720" Type="http://schemas.openxmlformats.org/officeDocument/2006/relationships/hyperlink" Target="https://www.sec.gov/Archives/edgar/data/792966/000095017025027602/fmao-ex19.htm" TargetMode="External"/><Relationship Id="rId722" Type="http://schemas.openxmlformats.org/officeDocument/2006/relationships/hyperlink" Target="https://www.sec.gov/Archives/edgar/data/792966/000095017025027602/fmao-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2026-02-27T13:34:09Z</dcterms:created>
  <dcterms:modified xsi:type="dcterms:W3CDTF">2026-02-27T13:34:09Z</dcterms:modified>
</cp:coreProperties>
</file>