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March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96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700"/>
        <w:spacing w:after="0"/>
        <w:rPr>
          <w:sz w:val="20"/>
          <w:szCs w:val="20"/>
          <w:color w:val="auto"/>
        </w:rPr>
      </w:pPr>
      <w:r>
        <w:rPr>
          <w:rFonts w:ascii="Arial" w:cs="Arial" w:eastAsia="Arial" w:hAnsi="Arial"/>
          <w:sz w:val="16"/>
          <w:szCs w:val="16"/>
          <w:u w:val="single" w:color="auto"/>
          <w:color w:val="auto"/>
        </w:rPr>
        <w:t>13,065,883</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Outstanding as of April 22, 2022</w:t>
      </w:r>
    </w:p>
    <w:p>
      <w:pPr>
        <w:spacing w:after="0" w:line="222" w:lineRule="exact"/>
        <w:rPr>
          <w:sz w:val="24"/>
          <w:szCs w:val="24"/>
          <w:color w:val="auto"/>
        </w:rPr>
      </w:pPr>
    </w:p>
    <w:p>
      <w:pPr>
        <w:sectPr>
          <w:pgSz w:w="11900" w:h="16838" w:orient="portrait"/>
          <w:cols w:equalWidth="0" w:num="2">
            <w:col w:w="6740" w:space="720"/>
            <w:col w:w="378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0"/>
          </w:tcPr>
          <w:p>
            <w:pPr>
              <w:spacing w:after="0"/>
              <w:rPr>
                <w:sz w:val="20"/>
                <w:szCs w:val="20"/>
                <w:color w:val="auto"/>
              </w:rPr>
            </w:pPr>
            <w:r>
              <w:rPr>
                <w:rFonts w:ascii="Arial" w:cs="Arial" w:eastAsia="Arial" w:hAnsi="Arial"/>
                <w:sz w:val="18"/>
                <w:szCs w:val="18"/>
                <w:color w:val="auto"/>
              </w:rPr>
              <w:t>FARMERS &amp; MERCHANTS BANCORP, INC.</w:t>
            </w:r>
          </w:p>
        </w:tc>
        <w:tc>
          <w:tcPr>
            <w:tcW w:w="8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4"/>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w w:val="90"/>
              </w:rPr>
              <w:t>Page</w:t>
            </w:r>
          </w:p>
        </w:tc>
      </w:tr>
      <w:tr>
        <w:trPr>
          <w:trHeight w:val="237"/>
        </w:trPr>
        <w:tc>
          <w:tcPr>
            <w:tcW w:w="660" w:type="dxa"/>
            <w:vAlign w:val="bottom"/>
          </w:tcPr>
          <w:p>
            <w:pPr>
              <w:spacing w:after="0"/>
              <w:rPr>
                <w:sz w:val="20"/>
                <w:szCs w:val="20"/>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0"/>
                <w:szCs w:val="20"/>
                <w:color w:val="auto"/>
              </w:rPr>
            </w:pPr>
          </w:p>
        </w:tc>
        <w:tc>
          <w:tcPr>
            <w:tcW w:w="70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1"/>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660" w:type="dxa"/>
            <w:vAlign w:val="bottom"/>
            <w:gridSpan w:val="13"/>
          </w:tcPr>
          <w:p>
            <w:pPr>
              <w:spacing w:after="0"/>
              <w:rPr>
                <w:sz w:val="24"/>
                <w:szCs w:val="24"/>
                <w:color w:val="auto"/>
              </w:rPr>
            </w:pPr>
          </w:p>
        </w:tc>
        <w:tc>
          <w:tcPr>
            <w:tcW w:w="86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40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31, 2022 and December 31, 2021</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52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Three Months Ended March 31, 2022 and March 31, 2021</w:t>
              </w:r>
            </w:hyperlink>
          </w:p>
        </w:tc>
        <w:tc>
          <w:tcPr>
            <w:tcW w:w="26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4</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w:t>
              </w:r>
            </w:hyperlink>
          </w:p>
        </w:tc>
        <w:tc>
          <w:tcPr>
            <w:tcW w:w="25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Three Months Ended March 31, 2022 and March 31, 2021</w:t>
              </w:r>
            </w:hyperlink>
          </w:p>
        </w:tc>
        <w:tc>
          <w:tcPr>
            <w:tcW w:w="26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5</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2022 and March 31, 2021</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32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Three Months Ended March 31, 2022 and March 31, 2021</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10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Management's Discussion and Analysis of Financial Condition</w:t>
              </w:r>
            </w:hyperlink>
          </w:p>
        </w:tc>
        <w:tc>
          <w:tcPr>
            <w:tcW w:w="252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Arial" w:cs="Arial" w:eastAsia="Arial" w:hAnsi="Arial"/>
                <w:sz w:val="18"/>
                <w:szCs w:val="18"/>
                <w:color w:val="auto"/>
                <w:w w:val="91"/>
              </w:rPr>
              <w:t>46-61</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Qualitative and Quantitative Disclosures About Market Risk</w:t>
              </w:r>
            </w:hyperlink>
          </w:p>
        </w:tc>
        <w:tc>
          <w:tcPr>
            <w:tcW w:w="2720" w:type="dxa"/>
            <w:vAlign w:val="bottom"/>
            <w:gridSpan w:val="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Controls and Procedures</w:t>
              </w:r>
            </w:hyperlink>
          </w:p>
        </w:tc>
        <w:tc>
          <w:tcPr>
            <w:tcW w:w="5300" w:type="dxa"/>
            <w:vAlign w:val="bottom"/>
            <w:gridSpan w:val="18"/>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OTHER INFORMATION</w:t>
              </w:r>
            </w:hyperlink>
          </w:p>
        </w:tc>
        <w:tc>
          <w:tcPr>
            <w:tcW w:w="5200" w:type="dxa"/>
            <w:vAlign w:val="bottom"/>
            <w:gridSpan w:val="1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6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760" w:type="dxa"/>
            <w:vAlign w:val="bottom"/>
            <w:gridSpan w:val="20"/>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2740" w:type="dxa"/>
            <w:vAlign w:val="bottom"/>
            <w:gridSpan w:val="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5320" w:type="dxa"/>
            <w:vAlign w:val="bottom"/>
            <w:gridSpan w:val="19"/>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5780" w:type="dxa"/>
            <w:vAlign w:val="bottom"/>
            <w:gridSpan w:val="21"/>
          </w:tcPr>
          <w:p>
            <w:pPr>
              <w:spacing w:after="0"/>
              <w:rPr>
                <w:sz w:val="24"/>
                <w:szCs w:val="24"/>
                <w:color w:val="auto"/>
              </w:rPr>
            </w:pPr>
          </w:p>
        </w:tc>
        <w:tc>
          <w:tcPr>
            <w:tcW w:w="860" w:type="dxa"/>
            <w:vAlign w:val="bottom"/>
          </w:tcPr>
          <w:p>
            <w:pPr>
              <w:jc w:val="center"/>
              <w:ind w:left="330"/>
              <w:spacing w:after="0"/>
              <w:rPr>
                <w:sz w:val="20"/>
                <w:szCs w:val="20"/>
                <w:color w:val="auto"/>
              </w:rPr>
            </w:pPr>
            <w:r>
              <w:rPr>
                <w:rFonts w:ascii="Arial" w:cs="Arial" w:eastAsia="Arial" w:hAnsi="Arial"/>
                <w:sz w:val="18"/>
                <w:szCs w:val="18"/>
                <w:color w:val="auto"/>
                <w:w w:val="95"/>
              </w:rPr>
              <w:t>6</w:t>
            </w:r>
            <w:r>
              <w:rPr>
                <w:rFonts w:ascii="Courier New" w:cs="Courier New" w:eastAsia="Courier New" w:hAnsi="Courier New"/>
                <w:sz w:val="18"/>
                <w:szCs w:val="18"/>
                <w:color w:val="auto"/>
                <w:w w:val="95"/>
              </w:rPr>
              <w:t>4</w:t>
            </w:r>
          </w:p>
        </w:tc>
      </w:tr>
      <w:tr>
        <w:trPr>
          <w:trHeight w:val="358"/>
        </w:trPr>
        <w:tc>
          <w:tcPr>
            <w:tcW w:w="6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124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65</w:t>
            </w:r>
          </w:p>
        </w:tc>
      </w:tr>
      <w:tr>
        <w:trPr>
          <w:trHeight w:val="371"/>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7080" w:type="dxa"/>
            <w:vAlign w:val="bottom"/>
            <w:gridSpan w:val="25"/>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Data File because its XBRL tags are embedded within the Inline XBRL document. </w:t>
            </w:r>
            <w:r>
              <w:rPr>
                <w:rFonts w:ascii="Arial" w:cs="Arial" w:eastAsia="Arial" w:hAnsi="Arial"/>
                <w:sz w:val="15"/>
                <w:szCs w:val="15"/>
                <w:color w:val="auto"/>
              </w:rPr>
              <w:t>(1)</w:t>
            </w:r>
          </w:p>
        </w:tc>
        <w:tc>
          <w:tcPr>
            <w:tcW w:w="86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bl>
    <w:p>
      <w:pPr>
        <w:spacing w:after="0" w:line="67"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PART 1 - FINANCIAL INFORMATION</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ITEM 1 FINANCIAL STATEMENTS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6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CONDENSED CONSOLIDATED BALANCE SHEETS</w:t>
            </w:r>
          </w:p>
        </w:tc>
        <w:tc>
          <w:tcPr>
            <w:tcW w:w="220" w:type="dxa"/>
            <w:vAlign w:val="bottom"/>
          </w:tcPr>
          <w:p>
            <w:pPr>
              <w:spacing w:after="0"/>
              <w:rPr>
                <w:sz w:val="20"/>
                <w:szCs w:val="20"/>
                <w:color w:val="auto"/>
              </w:rPr>
            </w:pPr>
          </w:p>
        </w:tc>
        <w:tc>
          <w:tcPr>
            <w:tcW w:w="3960" w:type="dxa"/>
            <w:vAlign w:val="bottom"/>
            <w:gridSpan w:val="4"/>
            <w:vMerge w:val="restart"/>
          </w:tcPr>
          <w:p>
            <w:pPr>
              <w:jc w:val="right"/>
              <w:ind w:right="119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March 31, 2022</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2021</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94,118</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135,485</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45,404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45,338</w:t>
            </w: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139,522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180,823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8,677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413,996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429,931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6,060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1,945,449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1,841,177</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26,653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26,913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80,434</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3,336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27,715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25,735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2,686,145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2,638,300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497,249</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473,689</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681,975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650,466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626,787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597,828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447,586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471,479</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2,253,597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2,193,462</w:t>
            </w:r>
          </w:p>
        </w:tc>
        <w:tc>
          <w:tcPr>
            <w:tcW w:w="0" w:type="dxa"/>
            <w:vAlign w:val="bottom"/>
          </w:tcPr>
          <w:p>
            <w:pPr>
              <w:spacing w:after="0"/>
              <w:rPr>
                <w:sz w:val="1"/>
                <w:szCs w:val="1"/>
                <w:color w:val="auto"/>
              </w:rPr>
            </w:pP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2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31,680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29,268</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22,656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24,065</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Subordinated notes, net of unamortized issuance costs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34,499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34,471</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2,462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14,773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17,406</w:t>
            </w:r>
          </w:p>
        </w:tc>
        <w:tc>
          <w:tcPr>
            <w:tcW w:w="0" w:type="dxa"/>
            <w:vAlign w:val="bottom"/>
          </w:tcPr>
          <w:p>
            <w:pPr>
              <w:spacing w:after="0"/>
              <w:rPr>
                <w:sz w:val="1"/>
                <w:szCs w:val="1"/>
                <w:color w:val="auto"/>
              </w:rPr>
            </w:pPr>
          </w:p>
        </w:tc>
      </w:tr>
      <w:tr>
        <w:trPr>
          <w:trHeight w:val="223"/>
        </w:trPr>
        <w:tc>
          <w:tcPr>
            <w:tcW w:w="7060" w:type="dxa"/>
            <w:vAlign w:val="bottom"/>
          </w:tcPr>
          <w:p>
            <w:pPr>
              <w:ind w:left="1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2,399,667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2,341,133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14,063,999 shares 3/31/22 and 12/31/21</w:t>
            </w: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122,886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122,674</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Treasury stock - 997,916 shares 3/31/22, 997,766 shares 12/31/21</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195,057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189,401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286,478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297,167</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2,686,145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2,638,300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2021, Condensed Consolidated Balance Sheet has been derived from the audited Consolidated Balance Sheet as of that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6"/>
          </w:tcPr>
          <w:p>
            <w:pPr>
              <w:jc w:val="right"/>
              <w:ind w:right="420"/>
              <w:spacing w:after="0"/>
              <w:rPr>
                <w:sz w:val="20"/>
                <w:szCs w:val="20"/>
                <w:color w:val="auto"/>
              </w:rPr>
            </w:pPr>
            <w:r>
              <w:rPr>
                <w:rFonts w:ascii="Arial" w:cs="Arial" w:eastAsia="Arial" w:hAnsi="Arial"/>
                <w:sz w:val="18"/>
                <w:szCs w:val="18"/>
                <w:color w:val="auto"/>
                <w:w w:val="91"/>
              </w:rPr>
              <w:t>(in thousands of dollars, except per share data)</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6"/>
          </w:tcPr>
          <w:p>
            <w:pPr>
              <w:jc w:val="right"/>
              <w:ind w:right="13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March 31, 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March 31, 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20,455</w:t>
            </w:r>
          </w:p>
        </w:tc>
        <w:tc>
          <w:tcPr>
            <w:tcW w:w="28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Subordinated notes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Customer service fees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service charges and fees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gain on sale of loans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500"/>
              <w:spacing w:after="0"/>
              <w:rPr>
                <w:sz w:val="20"/>
                <w:szCs w:val="20"/>
                <w:color w:val="auto"/>
              </w:rPr>
            </w:pPr>
            <w:r>
              <w:rPr>
                <w:rFonts w:ascii="Arial" w:cs="Arial" w:eastAsia="Arial" w:hAnsi="Arial"/>
                <w:sz w:val="18"/>
                <w:szCs w:val="18"/>
                <w:color w:val="auto"/>
              </w:rPr>
              <w:t>Total noninterest income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Salaries and wages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benefits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occupancy expense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Data processing</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Franchise taxes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ATM expense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gain on sale of other assets owned</w:t>
            </w:r>
          </w:p>
        </w:tc>
        <w:tc>
          <w:tcPr>
            <w:tcW w:w="20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FDIC assessment</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524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LOSS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20" w:type="dxa"/>
            <w:vAlign w:val="bottom"/>
            <w:gridSpan w:val="5"/>
          </w:tcPr>
          <w:p>
            <w:pPr>
              <w:jc w:val="right"/>
              <w:ind w:right="1050"/>
              <w:spacing w:after="0"/>
              <w:rPr>
                <w:sz w:val="20"/>
                <w:szCs w:val="20"/>
                <w:color w:val="auto"/>
              </w:rPr>
            </w:pPr>
            <w:r>
              <w:rPr>
                <w:rFonts w:ascii="Arial" w:cs="Arial" w:eastAsia="Arial" w:hAnsi="Arial"/>
                <w:sz w:val="18"/>
                <w:szCs w:val="18"/>
                <w:color w:val="auto"/>
              </w:rPr>
              <w:t>(in thousands of dollars)</w:t>
            </w:r>
          </w:p>
        </w:tc>
      </w:tr>
      <w:tr>
        <w:trPr>
          <w:trHeight w:val="230"/>
        </w:trPr>
        <w:tc>
          <w:tcPr>
            <w:tcW w:w="7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1170"/>
              <w:spacing w:after="0"/>
              <w:rPr>
                <w:sz w:val="20"/>
                <w:szCs w:val="20"/>
                <w:color w:val="auto"/>
              </w:rPr>
            </w:pPr>
            <w:r>
              <w:rPr>
                <w:rFonts w:ascii="Arial" w:cs="Arial" w:eastAsia="Arial" w:hAnsi="Arial"/>
                <w:sz w:val="18"/>
                <w:szCs w:val="18"/>
                <w:color w:val="auto"/>
              </w:rPr>
              <w:t>Three Months Ended</w:t>
            </w:r>
          </w:p>
        </w:tc>
      </w:tr>
      <w:tr>
        <w:trPr>
          <w:trHeight w:val="223"/>
        </w:trPr>
        <w:tc>
          <w:tcPr>
            <w:tcW w:w="7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w w:val="99"/>
              </w:rPr>
              <w:t>March 31, 2021</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8,102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4,909</w:t>
            </w: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loss on available-for-sale</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(6,737)</w:t>
            </w: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on sale</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available-for-sale securities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0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loss on available-for-sale</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(7,030)</w:t>
            </w: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r>
      <w:tr>
        <w:trPr>
          <w:trHeight w:val="223"/>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hanging="105"/>
        <w:spacing w:after="0"/>
        <w:tabs>
          <w:tab w:leader="none" w:pos="4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2022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13,066,233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$ 122,674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$ 189,401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297,167</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(16,542)</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(16,542)</w:t>
            </w: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500 shares of restricted stock</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- 650)</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$0.19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(2,462)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(2,462)</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13,066,083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$ 122,886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$ 195,057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286,478</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MONTHS ENDED MARCH 31, 2021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11,197,544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$ 173,591</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15"/>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750 shares of restricted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(Net of forfeitures - 600)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11,196,744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(11,962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$ 176,617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CONDENSED CONSOLIDATED STATEMENTS OF CASH FLOWS (Unaudited)</w:t>
            </w:r>
          </w:p>
        </w:tc>
        <w:tc>
          <w:tcPr>
            <w:tcW w:w="220" w:type="dxa"/>
            <w:vAlign w:val="bottom"/>
          </w:tcPr>
          <w:p>
            <w:pPr>
              <w:spacing w:after="0"/>
              <w:rPr>
                <w:sz w:val="20"/>
                <w:szCs w:val="20"/>
                <w:color w:val="auto"/>
              </w:rPr>
            </w:pPr>
          </w:p>
        </w:tc>
        <w:tc>
          <w:tcPr>
            <w:tcW w:w="3960" w:type="dxa"/>
            <w:vAlign w:val="bottom"/>
            <w:gridSpan w:val="5"/>
            <w:vMerge w:val="restart"/>
          </w:tcPr>
          <w:p>
            <w:pPr>
              <w:jc w:val="right"/>
              <w:ind w:right="128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4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March 31, 2022</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8,102</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Servicing rights amortization and impairment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subordinated note issuance costs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(26,161)</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(35,536)</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Gain on sale of other assets owned</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sales of securities available-for-sale</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(3,046)</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7,897</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(19,344)</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(76,081)</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other assets owned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(104,478)</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(39,722)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(108,514)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60,754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repurchase</w:t>
            </w: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(2,462)</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139,522</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r>
      <w:tr>
        <w:trPr>
          <w:trHeight w:val="223"/>
        </w:trPr>
        <w:tc>
          <w:tcPr>
            <w:tcW w:w="7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March 31, 2022</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March 31, 2021</w:t>
            </w:r>
          </w:p>
        </w:tc>
        <w:tc>
          <w:tcPr>
            <w:tcW w:w="120" w:type="dxa"/>
            <w:vAlign w:val="bottom"/>
          </w:tcPr>
          <w:p>
            <w:pPr>
              <w:spacing w:after="0"/>
              <w:rPr>
                <w:sz w:val="19"/>
                <w:szCs w:val="19"/>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Supplemental noncash disclosures: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loans to other real estate owned</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Cash dividends declared not paid</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560" w:hanging="1462"/>
        <w:spacing w:after="0" w:line="809" w:lineRule="auto"/>
        <w:tabs>
          <w:tab w:leader="none" w:pos="4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2022 are not necessarily indicative of the results that are expected for the year ended December 31, 2022. The condensed consolidated balance sheet of the Company as of December 31, 2021,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2021.</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36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has had an opportunity to increase its deposit base and reduce transaction costs. The Company also expects to reduce costs through economies of scale.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40" w:type="dxa"/>
            <w:vAlign w:val="bottom"/>
          </w:tcPr>
          <w:p>
            <w:pPr>
              <w:spacing w:after="0"/>
              <w:rPr>
                <w:sz w:val="20"/>
                <w:szCs w:val="20"/>
                <w:color w:val="auto"/>
              </w:rPr>
            </w:pPr>
          </w:p>
        </w:tc>
        <w:tc>
          <w:tcPr>
            <w:tcW w:w="1760" w:type="dxa"/>
            <w:vAlign w:val="bottom"/>
            <w:gridSpan w:val="2"/>
            <w:vMerge w:val="restart"/>
          </w:tcPr>
          <w:p>
            <w:pPr>
              <w:ind w:left="1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5"/>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Shares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ind w:left="260"/>
              <w:spacing w:after="0"/>
              <w:rPr>
                <w:sz w:val="20"/>
                <w:szCs w:val="20"/>
                <w:color w:val="auto"/>
              </w:rPr>
            </w:pPr>
            <w:r>
              <w:rPr>
                <w:rFonts w:ascii="Arial" w:cs="Arial" w:eastAsia="Arial" w:hAnsi="Arial"/>
                <w:sz w:val="18"/>
                <w:szCs w:val="18"/>
                <w:color w:val="auto"/>
              </w:rPr>
              <w:t>Interest-bearing time deposits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 at cost</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ind w:left="26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Premises and equipment</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 Purchased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420,162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500"/>
              <w:spacing w:after="0"/>
              <w:rPr>
                <w:sz w:val="20"/>
                <w:szCs w:val="20"/>
                <w:color w:val="auto"/>
              </w:rPr>
            </w:pPr>
            <w:r>
              <w:rPr>
                <w:rFonts w:ascii="Arial" w:cs="Arial" w:eastAsia="Arial" w:hAnsi="Arial"/>
                <w:sz w:val="18"/>
                <w:szCs w:val="18"/>
                <w:color w:val="auto"/>
              </w:rPr>
              <w:t>Noninterest bearing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bearing</w:t>
            </w: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74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(FHLB) advances</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right="20"/>
        <w:spacing w:after="0" w:line="342" w:lineRule="auto"/>
        <w:rPr>
          <w:sz w:val="20"/>
          <w:szCs w:val="20"/>
          <w:color w:val="auto"/>
        </w:rPr>
      </w:pPr>
      <w:r>
        <w:rPr>
          <w:rFonts w:ascii="Arial" w:cs="Arial" w:eastAsia="Arial" w:hAnsi="Arial"/>
          <w:sz w:val="16"/>
          <w:szCs w:val="16"/>
          <w:color w:val="auto"/>
        </w:rPr>
        <w:t>The fair value of the assets acquired includes loans with a fair value of $334.7 million. The gross principal and contractual interest due under the contracts is $403.3 million, of which $5.6 million is expected to be uncollectible. The loans have a weighted average life of 52 months.</w:t>
      </w:r>
    </w:p>
    <w:p>
      <w:pPr>
        <w:spacing w:after="0" w:line="124" w:lineRule="exact"/>
        <w:rPr>
          <w:sz w:val="20"/>
          <w:szCs w:val="20"/>
          <w:color w:val="auto"/>
        </w:rPr>
      </w:pPr>
    </w:p>
    <w:p>
      <w:pPr>
        <w:ind w:left="760" w:right="8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70"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fair value for certificates of deposit incorporates a valuation amount of $3.9 million which is being accreted over 1.6 years. The fair value of Federal Home Loan Bank (FHLB) advances included a valuation amount of $218 thousand which is being accreted over 2.6 years.</w:t>
      </w:r>
    </w:p>
    <w:p>
      <w:pPr>
        <w:spacing w:after="0" w:line="124"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7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carrying amount of those loans is included in loans, net on the balance sheet at March 31, 2022. The amounts of loans at October 1, 2021,</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2021 and March 31, 2022 are as follows:</w:t>
      </w:r>
    </w:p>
    <w:p>
      <w:pPr>
        <w:spacing w:after="0" w:line="200" w:lineRule="exact"/>
        <w:rPr>
          <w:sz w:val="20"/>
          <w:szCs w:val="20"/>
          <w:color w:val="auto"/>
        </w:rPr>
      </w:pP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October 1, 2021</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Carrying amount, net of fair value adjustment of $237</w:t>
            </w:r>
          </w:p>
        </w:tc>
        <w:tc>
          <w:tcPr>
            <w:tcW w:w="1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$190</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Balance - March 31, 2022</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$177</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Loans acquired during 2021 for which it was probable at acquisition that all contractually required payments would not be collected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required payments receivable</w:t>
            </w:r>
          </w:p>
        </w:tc>
        <w:tc>
          <w:tcPr>
            <w:tcW w:w="15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1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1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60" w:right="20"/>
        <w:spacing w:after="0" w:line="293" w:lineRule="auto"/>
        <w:rPr>
          <w:sz w:val="20"/>
          <w:szCs w:val="20"/>
          <w:color w:val="auto"/>
        </w:rPr>
      </w:pPr>
      <w:r>
        <w:rPr>
          <w:rFonts w:ascii="Arial" w:cs="Arial" w:eastAsia="Arial" w:hAnsi="Arial"/>
          <w:sz w:val="16"/>
          <w:szCs w:val="16"/>
          <w:color w:val="auto"/>
        </w:rPr>
        <w:t>During the first quarter 2022, one consumer real estate purchased credit impaired loan was paid off with the associated discount of $12 thousand included in the loan interest income in the Company’s consolidated statement of income for the three months ended March 31, 2022. During the fourth quarter 2021, two commercial real estate and one consumer purchased credit impaired loans were paid off in full. The associated discount originally recognized at acquisition of $47 thousand was included in the loan interest income in the Company’s consolidated statement of income for the year ended December 31, 2021. The balance of the fair value adjustment for loans acquired and accounted for under this guidance (ASC 310-30) was $177 thousand at March 31, 2022, $190 thousand at December 31, 2021 and $237 thousand at October 1, 2021.</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31, 2022</w:t>
            </w:r>
          </w:p>
        </w:tc>
        <w:tc>
          <w:tcPr>
            <w:tcW w:w="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42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426"/>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has increased its deposit base and is working to reduce transaction costs. The Company has reduced costs through economies of scale.</w:t>
      </w:r>
    </w:p>
    <w:p>
      <w:pPr>
        <w:spacing w:after="0" w:line="203"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240" w:type="dxa"/>
            <w:vAlign w:val="bottom"/>
          </w:tcPr>
          <w:p>
            <w:pPr>
              <w:spacing w:after="0"/>
              <w:rPr>
                <w:sz w:val="20"/>
                <w:szCs w:val="20"/>
                <w:color w:val="auto"/>
              </w:rPr>
            </w:pPr>
          </w:p>
        </w:tc>
        <w:tc>
          <w:tcPr>
            <w:tcW w:w="1760" w:type="dxa"/>
            <w:vAlign w:val="bottom"/>
            <w:gridSpan w:val="2"/>
            <w:vMerge w:val="restart"/>
          </w:tcPr>
          <w:p>
            <w:pPr>
              <w:ind w:left="1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Interest-bearing time deposits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Securities - available-for-sale</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Other securities, at cost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Premises and equipment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2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Noninterest bearing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Interest bearing</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deposits</w:t>
            </w: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$52.4 million. The gross principal and contractual interest due under the contracts is $63.7 million, of which $1.1 million is expected to be uncollectible. The loans have a weighted average life of 52 months.</w:t>
      </w:r>
    </w:p>
    <w:p>
      <w:pPr>
        <w:spacing w:after="0" w:line="9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for certificates of deposit incorporates a valuation amount of $59 thousand which will be accreted over 1.4 years.</w:t>
      </w:r>
    </w:p>
    <w:p>
      <w:pPr>
        <w:spacing w:after="0" w:line="17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Certain transferred loans evidenced deterioration of credit quality since origination and management deemed it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carrying amount of those loans is included in loans, net on the balance sheet at March 31, 2022. The amounts of loans at April 30, 2021,</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31, 2021 and March 31, 2022 are as follows:</w:t>
      </w:r>
    </w:p>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April 30, 2021</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Carrying amount, net of fair value adjustment of $325</w:t>
            </w:r>
          </w:p>
        </w:tc>
        <w:tc>
          <w:tcPr>
            <w:tcW w:w="1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Balance - December 31, 2021</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$321</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Balance - March 31, 2022</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$321</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Loans acquired during 2021 for which it was probable at acquisition that all contractually required payments would not be collected are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required payments receivable</w:t>
            </w:r>
          </w:p>
        </w:tc>
        <w:tc>
          <w:tcPr>
            <w:tcW w:w="1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6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60" w:type="dxa"/>
            <w:vAlign w:val="bottom"/>
            <w:gridSpan w:val="3"/>
          </w:tcPr>
          <w:p>
            <w:pPr>
              <w:jc w:val="right"/>
              <w:ind w:right="61"/>
              <w:spacing w:after="0"/>
              <w:rPr>
                <w:sz w:val="20"/>
                <w:szCs w:val="20"/>
                <w:color w:val="auto"/>
              </w:rPr>
            </w:pPr>
            <w:r>
              <w:rPr>
                <w:rFonts w:ascii="Arial" w:cs="Arial" w:eastAsia="Arial" w:hAnsi="Arial"/>
                <w:sz w:val="18"/>
                <w:szCs w:val="18"/>
                <w:color w:val="auto"/>
                <w:w w:val="89"/>
              </w:rPr>
              <w:t>Changes in accretable yield, or income expected to be collected, are as follows: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7"/>
        </w:trPr>
        <w:tc>
          <w:tcPr>
            <w:tcW w:w="3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31, 2022</w:t>
            </w:r>
          </w:p>
        </w:tc>
        <w:tc>
          <w:tcPr>
            <w:tcW w:w="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5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42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19"/>
                <w:szCs w:val="19"/>
                <w:color w:val="auto"/>
              </w:rPr>
            </w:pPr>
          </w:p>
        </w:tc>
      </w:tr>
      <w:tr>
        <w:trPr>
          <w:trHeight w:val="223"/>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426"/>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results of operations of Ossian State Bank and Perpetual Federal Savings Bank have been included in the Company’s consolidated financial statements since the acquisition dates of April 30, 2021 and October 1, 2021, respectively. The following schedule includes pro-forma results for the three months ended March 31, 2022 and 2021 as if the Ossian State Bank and Perpetual Federal Savings Bank acquisitions had occurred as of the beginning of the comparable prior reporting period.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6"/>
          </w:tcPr>
          <w:p>
            <w:pPr>
              <w:jc w:val="center"/>
              <w:ind w:right="320"/>
              <w:spacing w:after="0"/>
              <w:rPr>
                <w:sz w:val="20"/>
                <w:szCs w:val="20"/>
                <w:color w:val="auto"/>
              </w:rPr>
            </w:pPr>
            <w:r>
              <w:rPr>
                <w:rFonts w:ascii="Arial" w:cs="Arial" w:eastAsia="Arial" w:hAnsi="Arial"/>
                <w:sz w:val="18"/>
                <w:szCs w:val="18"/>
                <w:color w:val="auto"/>
                <w:w w:val="89"/>
              </w:rPr>
              <w:t>(in thousands of dollars, except per share data)</w:t>
            </w:r>
          </w:p>
        </w:tc>
      </w:tr>
      <w:tr>
        <w:trPr>
          <w:trHeight w:val="230"/>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color w:val="auto"/>
              </w:rPr>
              <w:t>March 31, 2022</w:t>
            </w:r>
          </w:p>
        </w:tc>
        <w:tc>
          <w:tcPr>
            <w:tcW w:w="22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March 31, 2021</w:t>
            </w: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19,250</w:t>
            </w:r>
          </w:p>
        </w:tc>
        <w:tc>
          <w:tcPr>
            <w:tcW w:w="120" w:type="dxa"/>
            <w:vAlign w:val="bottom"/>
            <w:shd w:val="clear" w:color="auto" w:fill="CFF0FC"/>
          </w:tcPr>
          <w:p>
            <w:pPr>
              <w:spacing w:after="0"/>
              <w:rPr>
                <w:sz w:val="19"/>
                <w:szCs w:val="19"/>
                <w:color w:val="auto"/>
              </w:rPr>
            </w:pPr>
          </w:p>
        </w:tc>
      </w:tr>
      <w:tr>
        <w:trPr>
          <w:trHeight w:val="229"/>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Noninterest Income</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8,720</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FF0FC"/>
          </w:tcPr>
          <w:p>
            <w:pPr>
              <w:spacing w:after="0"/>
              <w:rPr>
                <w:sz w:val="19"/>
                <w:szCs w:val="19"/>
                <w:color w:val="auto"/>
              </w:rPr>
            </w:pPr>
          </w:p>
        </w:tc>
      </w:tr>
      <w:tr>
        <w:trPr>
          <w:trHeight w:val="26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120" w:type="dxa"/>
            <w:vAlign w:val="bottom"/>
            <w:tcBorders>
              <w:bottom w:val="single" w:sz="8" w:color="CFF0FC"/>
            </w:tcBorders>
          </w:tcPr>
          <w:p>
            <w:pPr>
              <w:spacing w:after="0"/>
              <w:rPr>
                <w:sz w:val="22"/>
                <w:szCs w:val="22"/>
                <w:color w:val="auto"/>
              </w:rPr>
            </w:pPr>
          </w:p>
        </w:tc>
      </w:tr>
      <w:tr>
        <w:trPr>
          <w:trHeight w:val="210"/>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quarter ended March 31, 2022 includes approximately $2.1 million, net of tax, of operating revenue from Ossian State Bank and Perpetual Federal Savings Bank since January 1, 2022.</w:t>
      </w:r>
    </w:p>
    <w:p>
      <w:pPr>
        <w:spacing w:after="0" w:line="214"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23"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for the three months ended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31, 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2021</w:t>
            </w:r>
          </w:p>
        </w:tc>
      </w:tr>
      <w:tr>
        <w:trPr>
          <w:trHeight w:val="223"/>
        </w:trPr>
        <w:tc>
          <w:tcPr>
            <w:tcW w:w="5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16"/>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As mentioned previously, the acquisition of Bank of Geneva resulted in the recognition of $3.9 million in core deposit intangible assets, the acquisition of Ossian State Bank resulted in the recognition of $980.2 thousand in core deposits assets and the acquisition of Perpetual Federal Savings Bank resulted in the recognition of $668 thousand in core deposits which are all being amortized over its remaining economic useful life of 7 years on a straight line basis. Core deposit intangible is included in other assets on the consolidated balance sheets.</w:t>
      </w:r>
    </w:p>
    <w:p>
      <w:pPr>
        <w:spacing w:after="0" w:line="18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core deposit intangible for the three months ended March 31, 2021 was $140 thousand. Of the $795 thousand to be expensed in 2022, $199 thousand has been expensed for the three months ended March 31, 2022. Annual amortization of core deposit intangible assets is as follows: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18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Geneva</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Ossian</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Perpetual</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r>
      <w:tr>
        <w:trPr>
          <w:trHeight w:val="223"/>
        </w:trPr>
        <w:tc>
          <w:tcPr>
            <w:tcW w:w="1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1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11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1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1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w:t>
            </w:r>
          </w:p>
        </w:tc>
      </w:tr>
      <w:tr>
        <w:trPr>
          <w:trHeight w:val="20"/>
        </w:trPr>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7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customer list intangible for the three months ended March 31, 2021 was $31 thousand. Of the $123 thousand to be expensed in 2022, $31 thousand has been expensed for the three months ended March 31, 2022. Annual amortization expense of customer list intangible is as follows:</w:t>
      </w:r>
    </w:p>
    <w:p>
      <w:pPr>
        <w:spacing w:after="0" w:line="19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(In Thousands)</w:t>
            </w:r>
          </w:p>
        </w:tc>
      </w:tr>
      <w:tr>
        <w:trPr>
          <w:trHeight w:val="223"/>
        </w:trPr>
        <w:tc>
          <w:tcPr>
            <w:tcW w:w="22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Adams County Financial Resources</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2025</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right="3460" w:hanging="1325"/>
        <w:spacing w:after="0" w:line="809" w:lineRule="auto"/>
        <w:tabs>
          <w:tab w:leader="none" w:pos="4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March 31, 2022 and December 31, 2021,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91"/>
              </w:rPr>
              <w:t>March 31, 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30"/>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1"/>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(5,849)</w:t>
            </w:r>
          </w:p>
        </w:tc>
        <w:tc>
          <w:tcPr>
            <w:tcW w:w="3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99,545</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153,575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143,807</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105,060</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68,481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65,584</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438,966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413,996</w:t>
            </w: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88"/>
              </w:rPr>
              <w:t>December 31, 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96"/>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5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1"/>
              </w:rPr>
              <w:t>Cost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89"/>
              </w:rPr>
              <w:t>Gains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90,775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(1,598)</w:t>
            </w:r>
          </w:p>
        </w:tc>
        <w:tc>
          <w:tcPr>
            <w:tcW w:w="3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89,177</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156,886</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117,927</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64,964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65,941</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429,931</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21" w:lineRule="exact"/>
        <w:rPr>
          <w:rFonts w:ascii="Arial" w:cs="Arial" w:eastAsia="Arial" w:hAnsi="Arial"/>
          <w:sz w:val="18"/>
          <w:szCs w:val="18"/>
          <w:color w:val="auto"/>
        </w:rPr>
      </w:pPr>
    </w:p>
    <w:p>
      <w:pPr>
        <w:ind w:left="2240" w:hanging="747"/>
        <w:spacing w:after="0" w:line="258"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2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47" w:lineRule="exact"/>
        <w:rPr>
          <w:rFonts w:ascii="Arial" w:cs="Arial" w:eastAsia="Arial" w:hAnsi="Arial"/>
          <w:sz w:val="17"/>
          <w:szCs w:val="17"/>
          <w:color w:val="auto"/>
        </w:rPr>
      </w:pPr>
    </w:p>
    <w:p>
      <w:pPr>
        <w:ind w:left="2240" w:hanging="747"/>
        <w:spacing w:after="0" w:line="277"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3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2022 and December 31, 2021,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1"/>
              </w:rPr>
              <w:t>March 31, 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0"/>
              </w:rPr>
              <w:t>Less Than Twelve Months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8"/>
                <w:szCs w:val="18"/>
                <w:color w:val="auto"/>
                <w:w w:val="93"/>
              </w:rPr>
              <w:t>Twelve Months &amp; Over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Gross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Unrealized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Fair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87"/>
              </w:rPr>
              <w:t>Losses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73,310</w:t>
            </w:r>
          </w:p>
        </w:tc>
        <w:tc>
          <w:tcPr>
            <w:tcW w:w="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320" w:type="dxa"/>
            <w:vAlign w:val="bottom"/>
            <w:gridSpan w:val="4"/>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26,235</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3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99,545</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86,553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134,679</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65,991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100,379</w:t>
            </w:r>
          </w:p>
        </w:tc>
      </w:tr>
      <w:tr>
        <w:trPr>
          <w:trHeight w:val="229"/>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48,218</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55,158</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(11,483)</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235,645</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154,116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389,761</w:t>
            </w:r>
          </w:p>
        </w:tc>
      </w:tr>
      <w:tr>
        <w:trPr>
          <w:trHeight w:val="20"/>
        </w:trPr>
        <w:tc>
          <w:tcPr>
            <w:tcW w:w="2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8"/>
              </w:rPr>
              <w:t>December 31, 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2"/>
              </w:rPr>
              <w:t>Less Than Twelve Months</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3"/>
              </w:rPr>
              <w:t>Twelve Months &amp; Over</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Gross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Unrealized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Fair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84"/>
              </w:rPr>
              <w:t>Losses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89,177</w:t>
            </w:r>
          </w:p>
        </w:tc>
        <w:tc>
          <w:tcPr>
            <w:tcW w:w="2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3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89,177</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128,477</w:t>
            </w: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63,157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16,434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79,591</w:t>
            </w:r>
          </w:p>
        </w:tc>
      </w:tr>
      <w:tr>
        <w:trPr>
          <w:trHeight w:val="229"/>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23,214</w:t>
            </w:r>
          </w:p>
        </w:tc>
      </w:tr>
      <w:tr>
        <w:trPr>
          <w:trHeight w:val="223"/>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(4,842)</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256,800</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63,659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320,459</w:t>
            </w: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months ended March 31, 2022 and March 31, 2021.</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gridSpan w:val="4"/>
          </w:tcPr>
          <w:p>
            <w:pPr>
              <w:jc w:val="right"/>
              <w:ind w:right="29"/>
              <w:spacing w:after="0"/>
              <w:rPr>
                <w:sz w:val="20"/>
                <w:szCs w:val="20"/>
                <w:color w:val="auto"/>
              </w:rPr>
            </w:pPr>
            <w:r>
              <w:rPr>
                <w:rFonts w:ascii="Arial" w:cs="Arial" w:eastAsia="Arial" w:hAnsi="Arial"/>
                <w:sz w:val="18"/>
                <w:szCs w:val="18"/>
                <w:color w:val="auto"/>
                <w:w w:val="99"/>
              </w:rPr>
              <w:t>Three Months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(In Thousands)</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4"/>
              </w:rPr>
              <w:t>2021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900" w:type="dxa"/>
            <w:vAlign w:val="bottom"/>
            <w:shd w:val="clear" w:color="auto" w:fill="CFF0FC"/>
          </w:tcPr>
          <w:p>
            <w:pPr>
              <w:jc w:val="right"/>
              <w:ind w:right="7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900" w:type="dxa"/>
            <w:vAlign w:val="bottom"/>
            <w:tcBorders>
              <w:bottom w:val="single" w:sz="8" w:color="auto"/>
            </w:tcBorders>
            <w:shd w:val="clear" w:color="auto" w:fill="CFF0FC"/>
          </w:tcPr>
          <w:p>
            <w:pPr>
              <w:jc w:val="right"/>
              <w:ind w:right="74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The amortized cost and fair value of debt securities at March 31, 2022,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6"/>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160,778</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143,825</w:t>
            </w: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327,450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308,936</w:t>
            </w: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111,516</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105,060</w:t>
            </w: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438,966</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413,996</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Investments with a carrying value of $122.7 million and $115.0 million at March 31, 2022 and December 31, 2021, respectively, were pledged to secure public deposits and securities sold under repurchase agreements.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Other securities include Federal Home Loan Bank of Cincinnati and Indianapolis stock in the amount of $7.3 million as of March 31, 2022 and December 31, 2021 in addition to Ohio Equity Fund for Housing Limited Partnership funding of $1.2 million as of March 31, 2022 and $820 thousand as of December 31, 2021 out of a total $3.0 million 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right="3460" w:hanging="1325"/>
        <w:spacing w:after="0" w:line="668" w:lineRule="auto"/>
        <w:tabs>
          <w:tab w:leader="none" w:pos="4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NOTE 4 LOANS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gridSpan w:val="3"/>
          </w:tcPr>
          <w:p>
            <w:pPr>
              <w:ind w:left="380"/>
              <w:spacing w:after="0"/>
              <w:rPr>
                <w:sz w:val="20"/>
                <w:szCs w:val="20"/>
                <w:color w:val="auto"/>
              </w:rPr>
            </w:pPr>
            <w:r>
              <w:rPr>
                <w:rFonts w:ascii="Arial" w:cs="Arial" w:eastAsia="Arial" w:hAnsi="Arial"/>
                <w:sz w:val="18"/>
                <w:szCs w:val="18"/>
                <w:color w:val="auto"/>
                <w:w w:val="91"/>
              </w:rPr>
              <w:t>Loan balances as of March 31, 2022 and December 31, 2021 are summarized below:</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6640" w:type="dxa"/>
            <w:vAlign w:val="bottom"/>
            <w:gridSpan w:val="3"/>
            <w:vMerge w:val="restart"/>
          </w:tcPr>
          <w:p>
            <w:pPr>
              <w:ind w:left="1320"/>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66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right"/>
              <w:ind w:right="3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410,120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395,873</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196,223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198,343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140,709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118,368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910,839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848,477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216,918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208,270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57,737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32,089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1,963,903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1,859,157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1,962,220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1,857,419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1,945,449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1,841,177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improvements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2022:</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4"/>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29"/>
        </w:trPr>
        <w:tc>
          <w:tcPr>
            <w:tcW w:w="5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320,351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89,769</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126,606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69,617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59,168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743,845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166,994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120,483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96,435</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52,935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4,586</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21,671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March 31, 2022 and December 31, 2021 one to four family residential mortgage loans amounting to $191.8 million and $193.2 million, respectively, have been pledged as security for future loans and existing loans the Bank has received from the Federal Home Loan Bank.</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March 31, 2022 and December 31, 2021,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March 31, 2022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409,441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410,064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195,901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195,901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140,140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140,847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909,228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909,408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248,082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248,362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57,576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57,638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976</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824</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1,960,368</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$ 1,962,220</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2021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395,331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395,805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197,597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198,033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118,504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118,504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846,930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847,110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239,837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240,138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57,765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57,829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749</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1,855,964</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$ 1,857,419</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March 31, 2022 and December 31, 2021:</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4"/>
              </w:rPr>
              <w:t>March 31,</w:t>
            </w:r>
          </w:p>
        </w:tc>
        <w:tc>
          <w:tcPr>
            <w:tcW w:w="1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spacing w:after="0" w:line="14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March 2022 and December 2021 were Paycheck Protection Program (PPP) loans, administered by the Small Business Administration (SBA), in the amounts of $463 thousand and $2.9 million, respectively. The PPP provided loans to eligible businesses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4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3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1680" w:hanging="5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1680" w:right="20" w:hanging="552"/>
        <w:spacing w:after="0" w:line="255"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1680"/>
        <w:spacing w:after="0" w:line="286" w:lineRule="auto"/>
        <w:rPr>
          <w:sz w:val="20"/>
          <w:szCs w:val="20"/>
          <w:color w:val="auto"/>
        </w:rPr>
      </w:pPr>
      <w:r>
        <w:rPr>
          <w:rFonts w:ascii="Arial" w:cs="Arial" w:eastAsia="Arial" w:hAnsi="Arial"/>
          <w:sz w:val="16"/>
          <w:szCs w:val="16"/>
          <w:color w:val="auto"/>
        </w:rPr>
        <w:t>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1" w:lineRule="exact"/>
        <w:rPr>
          <w:sz w:val="20"/>
          <w:szCs w:val="20"/>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1" w:lineRule="exact"/>
        <w:rPr>
          <w:rFonts w:ascii="Arial" w:cs="Arial" w:eastAsia="Arial" w:hAnsi="Arial"/>
          <w:sz w:val="18"/>
          <w:szCs w:val="18"/>
          <w:color w:val="auto"/>
        </w:rPr>
      </w:pPr>
    </w:p>
    <w:p>
      <w:pPr>
        <w:ind w:left="170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170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9" w:lineRule="exact"/>
        <w:rPr>
          <w:rFonts w:ascii="Arial" w:cs="Arial" w:eastAsia="Arial" w:hAnsi="Arial"/>
          <w:sz w:val="18"/>
          <w:szCs w:val="18"/>
          <w:color w:val="auto"/>
        </w:rPr>
      </w:pPr>
    </w:p>
    <w:p>
      <w:pPr>
        <w:jc w:val="both"/>
        <w:ind w:left="1960" w:hanging="278"/>
        <w:spacing w:after="0" w:line="281" w:lineRule="auto"/>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Arial" w:cs="Arial" w:eastAsia="Arial" w:hAnsi="Arial"/>
          <w:sz w:val="16"/>
          <w:szCs w:val="16"/>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1680" w:hanging="552"/>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Loans are characterized by the distinct possibility that The Bank will sustain some loss if deficiencies are not corrected.</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however, continues to make interest payments.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9" w:lineRule="exact"/>
        <w:rPr>
          <w:rFonts w:ascii="Arial" w:cs="Arial" w:eastAsia="Arial" w:hAnsi="Arial"/>
          <w:sz w:val="18"/>
          <w:szCs w:val="18"/>
          <w:color w:val="auto"/>
        </w:rPr>
      </w:pPr>
    </w:p>
    <w:p>
      <w:pPr>
        <w:ind w:left="1960" w:right="2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1680" w:hanging="552"/>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1960" w:hanging="278"/>
        <w:spacing w:after="0"/>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primary source of repayment is gone, and there is considerable doubt as to the quality of the secondary source of repayment.</w:t>
      </w:r>
    </w:p>
    <w:p>
      <w:pPr>
        <w:spacing w:after="0" w:line="32" w:lineRule="exact"/>
        <w:rPr>
          <w:rFonts w:ascii="Arial" w:cs="Arial" w:eastAsia="Arial" w:hAnsi="Arial"/>
          <w:sz w:val="16"/>
          <w:szCs w:val="16"/>
          <w:color w:val="auto"/>
        </w:rPr>
      </w:pPr>
    </w:p>
    <w:p>
      <w:pPr>
        <w:jc w:val="both"/>
        <w:ind w:left="1960" w:hanging="278"/>
        <w:spacing w:after="0" w:line="250"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1680" w:hanging="552"/>
        <w:spacing w:after="0" w:line="253"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560" w:hanging="1419"/>
        <w:spacing w:after="0" w:line="809" w:lineRule="auto"/>
        <w:tabs>
          <w:tab w:leader="none" w:pos="42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6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March 31, 2022 and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March 31, 2022</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10,521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38,929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255,646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50,159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11,323</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101,046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619,738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20,250</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9,328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195,901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140,847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909,408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216,789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31,573</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10,894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42,180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238,132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11,408</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568,038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152,736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20,681</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14,509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198,033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118,504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847,110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208,049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32,089</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2022 and December 31, 2021.</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407,889</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392,940</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410,064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395,805</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378"/>
              <w:spacing w:after="0"/>
              <w:rPr>
                <w:sz w:val="20"/>
                <w:szCs w:val="20"/>
                <w:color w:val="auto"/>
              </w:rPr>
            </w:pPr>
            <w:r>
              <w:rPr>
                <w:rFonts w:ascii="Arial" w:cs="Arial" w:eastAsia="Arial" w:hAnsi="Arial"/>
                <w:sz w:val="18"/>
                <w:szCs w:val="18"/>
                <w:color w:val="auto"/>
              </w:rPr>
              <w:t>Consumer - Credit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color w:val="auto"/>
                <w:w w:val="90"/>
              </w:rPr>
              <w:t>Consumer - 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7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58"/>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3"/>
          </w:tcPr>
          <w:p>
            <w:pPr>
              <w:jc w:val="center"/>
              <w:ind w:right="310"/>
              <w:spacing w:after="0"/>
              <w:rPr>
                <w:sz w:val="20"/>
                <w:szCs w:val="20"/>
                <w:color w:val="auto"/>
              </w:rPr>
            </w:pPr>
            <w:r>
              <w:rPr>
                <w:rFonts w:ascii="Arial" w:cs="Arial" w:eastAsia="Arial" w:hAnsi="Arial"/>
                <w:sz w:val="18"/>
                <w:szCs w:val="18"/>
                <w:color w:val="auto"/>
                <w:w w:val="89"/>
              </w:rPr>
              <w:t>2022</w:t>
            </w:r>
          </w:p>
        </w:tc>
        <w:tc>
          <w:tcPr>
            <w:tcW w:w="1260" w:type="dxa"/>
            <w:vAlign w:val="bottom"/>
            <w:gridSpan w:val="4"/>
          </w:tcPr>
          <w:p>
            <w:pPr>
              <w:jc w:val="right"/>
              <w:ind w:right="4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Performing</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3,935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53,624</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53,820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Nonperforming</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3,945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53,693</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0"/>
              </w:rPr>
              <w:t>53,910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860" w:type="dxa"/>
            <w:vAlign w:val="bottom"/>
            <w:gridSpan w:val="17"/>
          </w:tcPr>
          <w:p>
            <w:pPr>
              <w:spacing w:after="0"/>
              <w:rPr>
                <w:sz w:val="20"/>
                <w:szCs w:val="20"/>
                <w:color w:val="auto"/>
              </w:rPr>
            </w:pPr>
            <w:r>
              <w:rPr>
                <w:rFonts w:ascii="Arial" w:cs="Arial" w:eastAsia="Arial" w:hAnsi="Arial"/>
                <w:sz w:val="18"/>
                <w:szCs w:val="18"/>
                <w:color w:val="auto"/>
                <w:w w:val="99"/>
              </w:rPr>
              <w:t>Information about impaired loans as of March 31, 2022, December 31, 2021 and March 31, 2021 are as follows: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4"/>
              </w:rPr>
              <w:t>March 31, 2022</w:t>
            </w:r>
          </w:p>
        </w:tc>
        <w:tc>
          <w:tcPr>
            <w:tcW w:w="9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8"/>
                <w:szCs w:val="18"/>
                <w:color w:val="auto"/>
                <w:w w:val="92"/>
              </w:rPr>
              <w:t>March 31, 2021</w:t>
            </w:r>
          </w:p>
        </w:tc>
        <w:tc>
          <w:tcPr>
            <w:tcW w:w="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3,990</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6,604</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8,634</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10,711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5,532</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70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12,624</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3"/>
              </w:rPr>
              <w:t>11,939</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12,136</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Valuation allowance related to impaired loans</w:t>
            </w:r>
          </w:p>
        </w:tc>
        <w:tc>
          <w:tcPr>
            <w:tcW w:w="7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vMerge w:val="continue"/>
          </w:tcPr>
          <w:p>
            <w:pPr>
              <w:spacing w:after="0"/>
              <w:rPr>
                <w:sz w:val="21"/>
                <w:szCs w:val="21"/>
                <w:color w:val="auto"/>
              </w:rPr>
            </w:pPr>
          </w:p>
        </w:tc>
        <w:tc>
          <w:tcPr>
            <w:tcW w:w="700" w:type="dxa"/>
            <w:vAlign w:val="bottom"/>
            <w:gridSpan w:val="2"/>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2,184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7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8,581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9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8,076</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center"/>
              <w:ind w:right="4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Arial" w:cs="Arial" w:eastAsia="Arial" w:hAnsi="Arial"/>
                <w:sz w:val="18"/>
                <w:szCs w:val="18"/>
                <w:color w:val="auto"/>
              </w:rPr>
              <w:t>Total loans past-due ninety days or more and</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still accruing</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12,764</w:t>
            </w:r>
          </w:p>
        </w:tc>
        <w:tc>
          <w:tcPr>
            <w:tcW w:w="880" w:type="dxa"/>
            <w:vAlign w:val="bottom"/>
            <w:gridSpan w:val="2"/>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3"/>
              </w:rPr>
              <w:t>11,676</w:t>
            </w:r>
          </w:p>
        </w:tc>
        <w:tc>
          <w:tcPr>
            <w:tcW w:w="84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13,467</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loans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12,764</w:t>
            </w:r>
          </w:p>
        </w:tc>
        <w:tc>
          <w:tcPr>
            <w:tcW w:w="88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12,247</w:t>
            </w:r>
          </w:p>
        </w:tc>
        <w:tc>
          <w:tcPr>
            <w:tcW w:w="840" w:type="dxa"/>
            <w:vAlign w:val="bottom"/>
            <w:gridSpan w:val="3"/>
          </w:tcPr>
          <w:p>
            <w:pPr>
              <w:jc w:val="center"/>
              <w:ind w:right="33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13,467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additional funds available to be advanced in connection with impaired loans as of March 31, 2022.</w:t>
      </w:r>
    </w:p>
    <w:p>
      <w:pPr>
        <w:spacing w:after="0" w:line="18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Bank had approximately $7.3 million of its impaired loans classified as troubled debt restructured (TDR) as of March 31, 2022, $7.6 million as of December 31, 2021 and $5.8 million as of March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Modification programs focus on payment pattern changes and/or modified maturity dates with most receiving a combination of the two concessions. The modifications do not result in the contractual forgiveness of principal. During the first quarter of 2022 and 2021, there were no new loans considered TDR.</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three month periods ended March 31, 2022 and 2021, there were no TDRs that subsequently defaulted after modification.</w:t>
      </w:r>
    </w:p>
    <w:p>
      <w:pPr>
        <w:spacing w:after="0" w:line="19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For the three month period ended March 31, 2022, there was no activity related to impaired loans classified as TDR. There were three commercial impaired commercial loans of $809 thousand that were classified as TDR charged off and there were no impaired loans classified as TDR paid off during the three month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Remainder of this page intentionally left blank ]</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6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months ended March 31, 2022 and March 31, 2021 and for the year ended December 31, 2021.</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Three Months Ended March 31, 2022</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3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Three Months Ended March 31, 2021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5,106</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2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As of March 31, 2022, the Company had no foreclosed residential real estate property obtained by physical possession and $291 thousand of consumer mortgage loans secured by residential real estate properties for which foreclosure proceedings are in process according to local jurisdictions. This compares to the Company having $159 thousand of foreclosed residential real estate property obtained by physical possession and $255 thousand of consumer mortgage loans secured by residential real estate properties for which foreclosure proceeding are in process according to local jurisdictions as of December 31, 2021. As of March 31, 2021, the Company had $148 thousand of foreclosed residential real estate property obtained by physical possession and $796 thousand of consumer mortgage loans secured by residential real estate properties for which foreclosure proceedings were in process according to local jurisdictions.</w:t>
      </w:r>
    </w:p>
    <w:p>
      <w:pPr>
        <w:spacing w:after="0" w:line="13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950"/>
              <w:spacing w:after="0"/>
              <w:rPr>
                <w:sz w:val="20"/>
                <w:szCs w:val="20"/>
                <w:color w:val="auto"/>
              </w:rPr>
            </w:pPr>
            <w:r>
              <w:rPr>
                <w:rFonts w:ascii="Arial" w:cs="Arial" w:eastAsia="Arial" w:hAnsi="Arial"/>
                <w:sz w:val="18"/>
                <w:szCs w:val="18"/>
                <w:color w:val="auto"/>
              </w:rPr>
              <w:t>(In Thousands)</w:t>
            </w:r>
          </w:p>
        </w:tc>
      </w:tr>
      <w:tr>
        <w:trPr>
          <w:trHeight w:val="209"/>
        </w:trPr>
        <w:tc>
          <w:tcPr>
            <w:tcW w:w="4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Three Months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2"/>
              </w:rPr>
              <w:t>Twelve Months</w:t>
            </w:r>
          </w:p>
        </w:tc>
      </w:tr>
      <w:tr>
        <w:trPr>
          <w:trHeight w:val="229"/>
        </w:trPr>
        <w:tc>
          <w:tcPr>
            <w:tcW w:w="4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8"/>
              </w:rPr>
              <w:t>Ended</w:t>
            </w:r>
          </w:p>
        </w:tc>
      </w:tr>
      <w:tr>
        <w:trPr>
          <w:trHeight w:val="216"/>
        </w:trPr>
        <w:tc>
          <w:tcPr>
            <w:tcW w:w="4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88"/>
              </w:rPr>
              <w:t>December 31,</w:t>
            </w:r>
          </w:p>
        </w:tc>
      </w:tr>
      <w:tr>
        <w:trPr>
          <w:trHeight w:val="230"/>
        </w:trPr>
        <w:tc>
          <w:tcPr>
            <w:tcW w:w="4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March 31, 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89"/>
              </w:rPr>
              <w:t>2021</w:t>
            </w: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1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16,242</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13,672</w:t>
            </w: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3,444</w:t>
            </w: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w:t>
            </w:r>
          </w:p>
        </w:tc>
      </w:tr>
      <w:tr>
        <w:trPr>
          <w:trHeight w:val="22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1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16,242</w:t>
            </w: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1,041</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1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17,283</w:t>
            </w:r>
          </w:p>
        </w:tc>
      </w:tr>
      <w:tr>
        <w:trPr>
          <w:trHeight w:val="20"/>
        </w:trPr>
        <w:tc>
          <w:tcPr>
            <w:tcW w:w="4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9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ALLL does not include an accretable yield of $6.7 and $7.1 million as of March 31, 2022 and December 31, 2021, respectively, nor a nonaccretable yield of $498 and $510 thousand as of March 31, 2022 and December 31, 2021, respectively, related to the acquisitions of Bank of Geneva in 2019 and Ossian State Bank and Perpetual Federal Savings Bank in 2021 as previously discussed in Note 2.</w:t>
      </w:r>
    </w:p>
    <w:p>
      <w:pPr>
        <w:spacing w:after="0" w:line="13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AULC is reported within other liabilities while the ALLL is netted within the loans, net asset line on the Company’s consolidated balance sheet.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460" w:hanging="1325"/>
        <w:spacing w:after="0" w:line="809" w:lineRule="auto"/>
        <w:tabs>
          <w:tab w:leader="none" w:pos="4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the three months ended March 31, 2022 and March 31, 2021 in addition to the ending balances as of December 31,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Loan</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Commitment</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Real Estate</w:t>
            </w:r>
          </w:p>
        </w:tc>
        <w:tc>
          <w:tcPr>
            <w:tcW w:w="11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1,040</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9,130</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3,847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1,041</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17,283</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5"/>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Other  Non-interest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606</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9,573</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4,066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17,847</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632</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630</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333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8,941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3,436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16,312</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balance: loans</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410,064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195,901</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140,847</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909,408</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248,362</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57,638</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1,962,220</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692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6,670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4,097</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1,122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20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408,694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189,033</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140,827</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905,076</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246,904</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57,615</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1,948,149</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w w:val="94"/>
              </w:rPr>
              <w:t>balance: loans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quality</w:t>
            </w:r>
          </w:p>
        </w:tc>
        <w:tc>
          <w:tcPr>
            <w:tcW w:w="12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678</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7"/>
          </w:tcPr>
          <w:p>
            <w:pPr>
              <w:jc w:val="right"/>
              <w:spacing w:after="0"/>
              <w:rPr>
                <w:sz w:val="20"/>
                <w:szCs w:val="20"/>
                <w:color w:val="auto"/>
              </w:rPr>
            </w:pPr>
            <w:r>
              <w:rPr>
                <w:rFonts w:ascii="Arial" w:cs="Arial" w:eastAsia="Arial" w:hAnsi="Arial"/>
                <w:sz w:val="18"/>
                <w:szCs w:val="18"/>
                <w:color w:val="auto"/>
              </w:rPr>
              <w:t>NOTE 4 LOANS (Continued)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Unfunded</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w w:val="99"/>
              </w:rPr>
              <w:t>Commitment</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7"/>
              </w:rPr>
              <w:t>Agricultural</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9"/>
              </w:rPr>
              <w:t>Commercial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&amp; Letters of</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3"/>
            <w:vMerge w:val="continue"/>
          </w:tcPr>
          <w:p>
            <w:pPr>
              <w:spacing w:after="0"/>
              <w:rPr>
                <w:sz w:val="20"/>
                <w:szCs w:val="20"/>
                <w:color w:val="auto"/>
              </w:rPr>
            </w:pPr>
          </w:p>
        </w:tc>
        <w:tc>
          <w:tcPr>
            <w:tcW w:w="9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Real Estate</w:t>
            </w: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Agricultural</w:t>
            </w:r>
          </w:p>
        </w:tc>
        <w:tc>
          <w:tcPr>
            <w:tcW w:w="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0"/>
              </w:rPr>
              <w:t>Real Estate</w:t>
            </w:r>
          </w:p>
        </w:tc>
        <w:tc>
          <w:tcPr>
            <w:tcW w:w="1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and Industrial</w:t>
            </w:r>
          </w:p>
        </w:tc>
        <w:tc>
          <w:tcPr>
            <w:tcW w:w="80" w:type="dxa"/>
            <w:vAlign w:val="bottom"/>
          </w:tcPr>
          <w:p>
            <w:pPr>
              <w:spacing w:after="0"/>
              <w:rPr>
                <w:sz w:val="20"/>
                <w:szCs w:val="20"/>
                <w:color w:val="auto"/>
              </w:rPr>
            </w:pP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Consumer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20" w:type="dxa"/>
            <w:vAlign w:val="bottom"/>
            <w:shd w:val="clear" w:color="auto" w:fill="000000"/>
          </w:tcPr>
          <w:p>
            <w:pPr>
              <w:spacing w:after="0"/>
              <w:rPr>
                <w:sz w:val="20"/>
                <w:szCs w:val="20"/>
                <w:color w:val="auto"/>
              </w:rPr>
            </w:pPr>
          </w:p>
        </w:tc>
        <w:tc>
          <w:tcPr>
            <w:tcW w:w="10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Unallocated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28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56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Borders>
              <w:top w:val="single" w:sz="8" w:color="auto"/>
              <w:lef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60" w:type="dxa"/>
            <w:vAlign w:val="bottom"/>
            <w:tcBorders>
              <w:left w:val="single" w:sz="8" w:color="CFF0FC"/>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9"/>
              </w:rPr>
              <w:t>Ending Balance</w:t>
            </w: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FF0FC"/>
              <w:right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9,130</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8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6"/>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Borders>
              <w:lef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individually</w:t>
            </w: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4"/>
              </w:rPr>
              <w:t>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8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Arial" w:cs="Arial" w:eastAsia="Arial" w:hAnsi="Arial"/>
                <w:sz w:val="18"/>
                <w:szCs w:val="18"/>
                <w:color w:val="auto"/>
                <w:w w:val="96"/>
              </w:rPr>
              <w:t>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collectively</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for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right w:val="single" w:sz="8" w:color="auto"/>
            </w:tcBorders>
          </w:tcPr>
          <w:p>
            <w:pPr>
              <w:spacing w:after="0"/>
              <w:rPr>
                <w:sz w:val="23"/>
                <w:szCs w:val="23"/>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Borders>
              <w:right w:val="single" w:sz="8" w:color="auto"/>
            </w:tcBorders>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3"/>
              </w:rPr>
              <w:t>Ending  balance:</w:t>
            </w:r>
          </w:p>
        </w:tc>
        <w:tc>
          <w:tcPr>
            <w:tcW w:w="56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Borders>
              <w:top w:val="single" w:sz="8" w:color="auto"/>
              <w:lef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acquired</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deteriorated</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credit quality</w:t>
            </w: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395,805</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198,033</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118,504</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847,110</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240,138</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57,829</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1,857,419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8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Arial" w:cs="Arial" w:eastAsia="Arial" w:hAnsi="Arial"/>
                <w:sz w:val="18"/>
                <w:szCs w:val="18"/>
                <w:color w:val="auto"/>
                <w:w w:val="96"/>
              </w:rPr>
              <w:t>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individually</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for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Borders>
              <w:right w:val="single" w:sz="8" w:color="auto"/>
            </w:tcBorders>
          </w:tcPr>
          <w:p>
            <w:pPr>
              <w:spacing w:after="0"/>
              <w:rPr>
                <w:sz w:val="23"/>
                <w:szCs w:val="23"/>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right w:val="single" w:sz="8" w:color="auto"/>
            </w:tcBorders>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11,939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80" w:type="dxa"/>
            <w:vAlign w:val="bottom"/>
            <w:tcBorders>
              <w:top w:val="single" w:sz="8" w:color="CFF0FC"/>
            </w:tcBorders>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96"/>
              </w:rPr>
              <w:t>balance:</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Borders>
              <w:top w:val="single" w:sz="8" w:color="auto"/>
              <w:lef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collectively</w:t>
            </w: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4"/>
              </w:rPr>
              <w:t>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394,489</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191,107</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118,484</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843,299</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238,849</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57,803</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1,844,031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3"/>
              </w:rPr>
              <w:t>Ending  balance:</w:t>
            </w:r>
          </w:p>
        </w:tc>
        <w:tc>
          <w:tcPr>
            <w:tcW w:w="5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8"/>
              </w:rPr>
              <w:t>acquired with</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w w:val="93"/>
              </w:rPr>
              <w:t>deteriorated</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9"/>
              </w:rPr>
              <w:t>credit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quality</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right w:val="single" w:sz="8" w:color="auto"/>
            </w:tcBorders>
          </w:tcPr>
          <w:p>
            <w:pPr>
              <w:spacing w:after="0"/>
              <w:rPr>
                <w:sz w:val="20"/>
                <w:szCs w:val="20"/>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060" w:type="dxa"/>
            <w:vAlign w:val="bottom"/>
            <w:gridSpan w:val="6"/>
          </w:tcPr>
          <w:p>
            <w:pPr>
              <w:jc w:val="right"/>
              <w:ind w:right="1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7,415</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3,346</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411</w:t>
            </w: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1,386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2,608</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w:t>
            </w: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601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2,608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175,481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179,639</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100,147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617,512</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214,341</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54,559</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1,341,679</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951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6,632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2,905</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1,335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196"/>
        </w:trPr>
        <w:tc>
          <w:tcPr>
            <w:tcW w:w="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174,489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173,007</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99,855</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614,607</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212,927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54,538</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1,329,423</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5, 2020, each Director received approximately $4,000 which equated to 176 shares. On November 20, 2020, a new director received 20 prorated shares.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The use of stock for Directors’ retainer, does not have an effect on diluted earnings per share as it is immediately vested.</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7"/>
          </w:tcPr>
          <w:p>
            <w:pPr>
              <w:jc w:val="right"/>
              <w:ind w:right="86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7"/>
          </w:tcPr>
          <w:p>
            <w:pPr>
              <w:jc w:val="right"/>
              <w:ind w:right="9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auto"/>
              </w:rPr>
              <w:t>March 31,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March 31,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ind w:left="1980"/>
              <w:spacing w:after="0"/>
              <w:rPr>
                <w:sz w:val="20"/>
                <w:szCs w:val="20"/>
                <w:color w:val="auto"/>
              </w:rPr>
            </w:pPr>
            <w:r>
              <w:rPr>
                <w:rFonts w:ascii="Arial" w:cs="Arial" w:eastAsia="Arial" w:hAnsi="Arial"/>
                <w:sz w:val="18"/>
                <w:szCs w:val="18"/>
                <w:b w:val="1"/>
                <w:bCs w:val="1"/>
                <w:color w:val="auto"/>
              </w:rPr>
              <w:t>Earnings per share</w:t>
            </w:r>
          </w:p>
        </w:tc>
        <w:tc>
          <w:tcPr>
            <w:tcW w:w="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vMerge w:val="continue"/>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Borders>
              <w:bottom w:val="single" w:sz="8" w:color="CFF0FC"/>
            </w:tcBorders>
            <w:vMerge w:val="continue"/>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13,066,272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11,197,012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participating securities</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vMerge w:val="continue"/>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average unvested restricted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(111,165)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(86,595)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12,955,107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11,110,417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320" w:hanging="105"/>
        <w:spacing w:after="0"/>
        <w:tabs>
          <w:tab w:leader="none" w:pos="4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2022 and December 31, 2021 are reflected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March 31, 2022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139,522</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139,522</w:t>
            </w:r>
          </w:p>
        </w:tc>
        <w:tc>
          <w:tcPr>
            <w:tcW w:w="1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413,996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310,949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1,945,449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1,969,643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1,969,643</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1,306,633</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1,306,633</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451,085</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2,253,597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2,254,967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1,757,718</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31,680</w:t>
            </w: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22,448</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Other borrowings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Subordinated notes, net of unamortized issuance costs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r>
      <w:tr>
        <w:trPr>
          <w:trHeight w:val="431"/>
        </w:trPr>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8"/>
          </w:tcPr>
          <w:p>
            <w:pPr>
              <w:ind w:left="1500"/>
              <w:spacing w:after="0"/>
              <w:rPr>
                <w:sz w:val="20"/>
                <w:szCs w:val="20"/>
                <w:color w:val="auto"/>
              </w:rPr>
            </w:pPr>
            <w:r>
              <w:rPr>
                <w:rFonts w:ascii="Arial" w:cs="Arial" w:eastAsia="Arial" w:hAnsi="Arial"/>
                <w:sz w:val="18"/>
                <w:szCs w:val="18"/>
                <w:color w:val="auto"/>
              </w:rPr>
              <w:t>NOTE 6 FAIR VALUE OF FINANCIAL INSTRUMENTS (Continued)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50"/>
        </w:trPr>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180,832</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180,823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429,931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335,981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1,841,177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1,864,386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1,864,386</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1,248,294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1,248,044</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1,248,044</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475,810</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2,193,462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2,197,543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1,723,854</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29,268</w:t>
            </w:r>
          </w:p>
        </w:tc>
        <w:tc>
          <w:tcPr>
            <w:tcW w:w="100" w:type="dxa"/>
            <w:vAlign w:val="bottom"/>
          </w:tcPr>
          <w:p>
            <w:pPr>
              <w:spacing w:after="0"/>
              <w:rPr>
                <w:sz w:val="20"/>
                <w:szCs w:val="20"/>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24,305</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Other borrowings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Subordinated notes, net of unamortized issuance costs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2022 and December 31, 2021, segregated by level or the valuation inputs within the fair value hierarchy utilized to measure fair value: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0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March 31, 2022</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99,545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2"/>
        </w:trPr>
        <w:tc>
          <w:tcPr>
            <w:tcW w:w="50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U.S. Treasury</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89,177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335,981</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month periods ended March 31, 2022 and March 31, 2021. For the three month period ended March 31, 2022, there was one security transfer from Level 3 to Level 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2022</w:t>
            </w:r>
          </w:p>
        </w:tc>
        <w:tc>
          <w:tcPr>
            <w:tcW w:w="1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&amp; Adjustments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2022</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&amp; Adjustments</w:t>
            </w:r>
          </w:p>
        </w:tc>
        <w:tc>
          <w:tcPr>
            <w:tcW w:w="14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March 31, 2022 and December 31, 2021,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At March 31, 2022 and December 31, 2021, fair value of collateral dependent impaired loans categorized as Level 3 was $7.1 million and $8.5 million, respectively. The specific allocation for impaired loans was $1.5 million and $2.2 million as of March 31, 2022 and December 31, 2021, respectively, which are accounted for in the allowance for loan losses (see Note 4).</w:t>
      </w:r>
    </w:p>
    <w:p>
      <w:pPr>
        <w:spacing w:after="0" w:line="184"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During 2021, impairment was recognized on mortgage servicing rights based upon the independent third party’s quarterly valuations. A valuation allowance was established by strata to quantify the likely impairment of the value of the mortgage servicing rights to the Company. If the carrying amount of an individual strata exceeds the fair value, impairment was recorded on that strata so the servicing asset was carried at fair value. Impairment was $280 thousand at March 31, 2022 and $414 thousand at December 31, 2021.</w:t>
      </w:r>
    </w:p>
    <w:p>
      <w:pPr>
        <w:spacing w:after="0" w:line="13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91"/>
              </w:rPr>
              <w:t>March 31, 2022</w:t>
            </w:r>
          </w:p>
        </w:tc>
        <w:tc>
          <w:tcPr>
            <w:tcW w:w="2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3"/>
          </w:tcPr>
          <w:p>
            <w:pPr>
              <w:ind w:left="980"/>
              <w:spacing w:after="0"/>
              <w:rPr>
                <w:sz w:val="20"/>
                <w:szCs w:val="20"/>
                <w:color w:val="auto"/>
              </w:rPr>
            </w:pPr>
            <w:r>
              <w:rPr>
                <w:rFonts w:ascii="Arial" w:cs="Arial" w:eastAsia="Arial" w:hAnsi="Arial"/>
                <w:sz w:val="18"/>
                <w:szCs w:val="18"/>
                <w:color w:val="auto"/>
              </w:rPr>
              <w:t>Unobservable Inputs</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5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0.97-2.94%</w:t>
            </w: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entity / Discount rate</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(2.45%)</w:t>
            </w:r>
          </w:p>
        </w:tc>
      </w:tr>
      <w:tr>
        <w:trPr>
          <w:trHeight w:val="229"/>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20.00-</w:t>
            </w:r>
          </w:p>
        </w:tc>
      </w:tr>
      <w:tr>
        <w:trPr>
          <w:trHeight w:val="216"/>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100" w:type="dxa"/>
            <w:vAlign w:val="bottom"/>
            <w:shd w:val="clear" w:color="auto" w:fill="CFF0FC"/>
          </w:tcPr>
          <w:p>
            <w:pPr>
              <w:spacing w:after="0"/>
              <w:rPr>
                <w:sz w:val="18"/>
                <w:szCs w:val="18"/>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Discount to reflect current market</w:t>
            </w:r>
          </w:p>
        </w:tc>
        <w:tc>
          <w:tcPr>
            <w:tcW w:w="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36.49%</w:t>
            </w: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measurements</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conditions and ultimate collectability</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(31.27%)</w:t>
            </w:r>
          </w:p>
        </w:tc>
      </w:tr>
      <w:tr>
        <w:trPr>
          <w:trHeight w:val="229"/>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4.39-</w:t>
            </w:r>
          </w:p>
        </w:tc>
      </w:tr>
      <w:tr>
        <w:trPr>
          <w:trHeight w:val="216"/>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Constant prepayment rate and probability of</w:t>
            </w:r>
          </w:p>
        </w:tc>
        <w:tc>
          <w:tcPr>
            <w:tcW w:w="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18.42%</w:t>
            </w: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default / Discount rate</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(11.54%)</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Discount to reflect current</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w:t>
            </w: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Appraisals</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market</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 — %)</w:t>
            </w:r>
          </w:p>
        </w:tc>
      </w:tr>
      <w:tr>
        <w:trPr>
          <w:trHeight w:val="473"/>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88"/>
              </w:rPr>
              <w:t>Fair Value at</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2021</w:t>
            </w:r>
          </w:p>
        </w:tc>
        <w:tc>
          <w:tcPr>
            <w:tcW w:w="24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Valuation Technique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3"/>
          </w:tcPr>
          <w:p>
            <w:pPr>
              <w:ind w:left="980"/>
              <w:spacing w:after="0"/>
              <w:rPr>
                <w:sz w:val="20"/>
                <w:szCs w:val="20"/>
                <w:color w:val="auto"/>
              </w:rPr>
            </w:pPr>
            <w:r>
              <w:rPr>
                <w:rFonts w:ascii="Arial" w:cs="Arial" w:eastAsia="Arial" w:hAnsi="Arial"/>
                <w:sz w:val="18"/>
                <w:szCs w:val="18"/>
                <w:color w:val="auto"/>
              </w:rPr>
              <w:t>Unobservable Inputs</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5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5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0.21-1.77%</w:t>
            </w: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760" w:type="dxa"/>
            <w:vAlign w:val="bottom"/>
            <w:gridSpan w:val="5"/>
            <w:shd w:val="clear" w:color="auto" w:fill="CFF0FC"/>
          </w:tcPr>
          <w:p>
            <w:pPr>
              <w:ind w:left="100"/>
              <w:spacing w:after="0"/>
              <w:rPr>
                <w:sz w:val="20"/>
                <w:szCs w:val="20"/>
                <w:color w:val="auto"/>
              </w:rPr>
            </w:pPr>
            <w:r>
              <w:rPr>
                <w:rFonts w:ascii="Arial" w:cs="Arial" w:eastAsia="Arial" w:hAnsi="Arial"/>
                <w:sz w:val="18"/>
                <w:szCs w:val="18"/>
                <w:color w:val="auto"/>
              </w:rPr>
              <w:t>entity / Discount rate</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(1.33%)</w:t>
            </w:r>
          </w:p>
        </w:tc>
      </w:tr>
      <w:tr>
        <w:trPr>
          <w:trHeight w:val="229"/>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20.00-</w:t>
            </w:r>
          </w:p>
        </w:tc>
      </w:tr>
      <w:tr>
        <w:trPr>
          <w:trHeight w:val="216"/>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3760" w:type="dxa"/>
            <w:vAlign w:val="bottom"/>
            <w:gridSpan w:val="5"/>
            <w:shd w:val="clear" w:color="auto" w:fill="CFF0FC"/>
          </w:tcPr>
          <w:p>
            <w:pPr>
              <w:ind w:left="100"/>
              <w:spacing w:after="0"/>
              <w:rPr>
                <w:sz w:val="20"/>
                <w:szCs w:val="20"/>
                <w:color w:val="auto"/>
              </w:rPr>
            </w:pPr>
            <w:r>
              <w:rPr>
                <w:rFonts w:ascii="Arial" w:cs="Arial" w:eastAsia="Arial" w:hAnsi="Arial"/>
                <w:sz w:val="18"/>
                <w:szCs w:val="18"/>
                <w:color w:val="auto"/>
              </w:rPr>
              <w:t>Discount to reflect current market</w:t>
            </w: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53.95%</w:t>
            </w: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measurements</w:t>
            </w:r>
          </w:p>
        </w:tc>
        <w:tc>
          <w:tcPr>
            <w:tcW w:w="3760" w:type="dxa"/>
            <w:vAlign w:val="bottom"/>
            <w:gridSpan w:val="5"/>
            <w:shd w:val="clear" w:color="auto" w:fill="CFF0FC"/>
          </w:tcPr>
          <w:p>
            <w:pPr>
              <w:ind w:left="100"/>
              <w:spacing w:after="0"/>
              <w:rPr>
                <w:sz w:val="20"/>
                <w:szCs w:val="20"/>
                <w:color w:val="auto"/>
              </w:rPr>
            </w:pPr>
            <w:r>
              <w:rPr>
                <w:rFonts w:ascii="Arial" w:cs="Arial" w:eastAsia="Arial" w:hAnsi="Arial"/>
                <w:sz w:val="18"/>
                <w:szCs w:val="18"/>
                <w:color w:val="auto"/>
              </w:rPr>
              <w:t>conditions and ultimate collectability</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(34.78%)</w:t>
            </w:r>
          </w:p>
        </w:tc>
      </w:tr>
      <w:tr>
        <w:trPr>
          <w:trHeight w:val="445"/>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1.94-</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Constant prepayment rate and probability of</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27.70%</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3,157</w:t>
            </w:r>
          </w:p>
        </w:tc>
        <w:tc>
          <w:tcPr>
            <w:tcW w:w="2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3760" w:type="dxa"/>
            <w:vAlign w:val="bottom"/>
            <w:gridSpan w:val="5"/>
          </w:tcPr>
          <w:p>
            <w:pPr>
              <w:ind w:left="100"/>
              <w:spacing w:after="0"/>
              <w:rPr>
                <w:sz w:val="20"/>
                <w:szCs w:val="20"/>
                <w:color w:val="auto"/>
              </w:rPr>
            </w:pPr>
            <w:r>
              <w:rPr>
                <w:rFonts w:ascii="Arial" w:cs="Arial" w:eastAsia="Arial" w:hAnsi="Arial"/>
                <w:sz w:val="18"/>
                <w:szCs w:val="18"/>
                <w:color w:val="auto"/>
              </w:rPr>
              <w:t>default / Discount rate</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(18.44%)</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760" w:type="dxa"/>
            <w:vAlign w:val="bottom"/>
            <w:gridSpan w:val="5"/>
            <w:shd w:val="clear" w:color="auto" w:fill="CFF0FC"/>
          </w:tcPr>
          <w:p>
            <w:pPr>
              <w:ind w:left="100"/>
              <w:spacing w:after="0"/>
              <w:rPr>
                <w:sz w:val="20"/>
                <w:szCs w:val="20"/>
                <w:color w:val="auto"/>
              </w:rPr>
            </w:pPr>
            <w:r>
              <w:rPr>
                <w:rFonts w:ascii="Arial" w:cs="Arial" w:eastAsia="Arial" w:hAnsi="Arial"/>
                <w:sz w:val="18"/>
                <w:szCs w:val="18"/>
                <w:color w:val="auto"/>
              </w:rPr>
              <w:t>Discount to reflect current</w:t>
            </w: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32.72%</w:t>
            </w:r>
          </w:p>
        </w:tc>
      </w:tr>
      <w:tr>
        <w:trPr>
          <w:trHeight w:val="230"/>
        </w:trPr>
        <w:tc>
          <w:tcPr>
            <w:tcW w:w="2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Appraisals</w:t>
            </w:r>
          </w:p>
        </w:tc>
        <w:tc>
          <w:tcPr>
            <w:tcW w:w="3760" w:type="dxa"/>
            <w:vAlign w:val="bottom"/>
            <w:gridSpan w:val="5"/>
            <w:shd w:val="clear" w:color="auto" w:fill="CFF0FC"/>
          </w:tcPr>
          <w:p>
            <w:pPr>
              <w:ind w:left="100"/>
              <w:spacing w:after="0"/>
              <w:rPr>
                <w:sz w:val="20"/>
                <w:szCs w:val="20"/>
                <w:color w:val="auto"/>
              </w:rPr>
            </w:pPr>
            <w:r>
              <w:rPr>
                <w:rFonts w:ascii="Arial" w:cs="Arial" w:eastAsia="Arial" w:hAnsi="Arial"/>
                <w:sz w:val="18"/>
                <w:szCs w:val="18"/>
                <w:color w:val="auto"/>
              </w:rPr>
              <w:t>market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center"/>
        <w:ind w:right="242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impaired loans as recorded at fair value on March 31, 2022 and December 31, 2021: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12"/>
          </w:tcPr>
          <w:p>
            <w:pPr>
              <w:jc w:val="center"/>
              <w:ind w:right="280"/>
              <w:spacing w:after="0"/>
              <w:rPr>
                <w:sz w:val="20"/>
                <w:szCs w:val="20"/>
                <w:color w:val="auto"/>
              </w:rPr>
            </w:pPr>
            <w:r>
              <w:rPr>
                <w:rFonts w:ascii="Arial" w:cs="Arial" w:eastAsia="Arial" w:hAnsi="Arial"/>
                <w:sz w:val="18"/>
                <w:szCs w:val="18"/>
                <w:color w:val="auto"/>
                <w:w w:val="89"/>
              </w:rPr>
              <w:t>Assets Measured at Fair Value on a Nonrecurring Basis at March 31, 2022</w:t>
            </w:r>
          </w:p>
        </w:tc>
      </w:tr>
      <w:tr>
        <w:trPr>
          <w:trHeight w:val="222"/>
        </w:trPr>
        <w:tc>
          <w:tcPr>
            <w:tcW w:w="2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5"/>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 2022</w:t>
            </w:r>
          </w:p>
        </w:tc>
        <w:tc>
          <w:tcPr>
            <w:tcW w:w="2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5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100" w:type="dxa"/>
            <w:vAlign w:val="bottom"/>
            <w:shd w:val="clear" w:color="auto" w:fill="CFF0FC"/>
          </w:tcPr>
          <w:p>
            <w:pPr>
              <w:spacing w:after="0"/>
              <w:rPr>
                <w:sz w:val="20"/>
                <w:szCs w:val="20"/>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9"/>
                <w:szCs w:val="19"/>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residential</w:t>
            </w: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716"/>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2"/>
          </w:tcPr>
          <w:p>
            <w:pPr>
              <w:jc w:val="center"/>
              <w:ind w:right="240"/>
              <w:spacing w:after="0"/>
              <w:rPr>
                <w:sz w:val="20"/>
                <w:szCs w:val="20"/>
                <w:color w:val="auto"/>
              </w:rPr>
            </w:pPr>
            <w:r>
              <w:rPr>
                <w:rFonts w:ascii="Arial" w:cs="Arial" w:eastAsia="Arial" w:hAnsi="Arial"/>
                <w:sz w:val="18"/>
                <w:szCs w:val="18"/>
                <w:color w:val="auto"/>
                <w:w w:val="89"/>
              </w:rPr>
              <w:t>Assets Measured at Fair Value on a Nonrecurring Basis at December 31, 2021</w:t>
            </w:r>
          </w:p>
        </w:tc>
      </w:tr>
      <w:tr>
        <w:trPr>
          <w:trHeight w:val="222"/>
        </w:trPr>
        <w:tc>
          <w:tcPr>
            <w:tcW w:w="2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31, 2021</w:t>
            </w:r>
          </w:p>
        </w:tc>
        <w:tc>
          <w:tcPr>
            <w:tcW w:w="2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5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100" w:type="dxa"/>
            <w:vAlign w:val="bottom"/>
            <w:shd w:val="clear" w:color="auto" w:fill="CFF0FC"/>
          </w:tcPr>
          <w:p>
            <w:pPr>
              <w:spacing w:after="0"/>
              <w:rPr>
                <w:sz w:val="20"/>
                <w:szCs w:val="20"/>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residential</w:t>
            </w: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right="2900" w:hanging="1325"/>
        <w:spacing w:after="0" w:line="762" w:lineRule="auto"/>
        <w:tabs>
          <w:tab w:leader="none" w:pos="43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had no federal funds purchased as of March 31, 2022 and December 31, 2021. During the same time periods, the Company had $31.7 million and $29.3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March 31, 2022</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9"/>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760" w:type="dxa"/>
            <w:vAlign w:val="bottom"/>
            <w:gridSpan w:val="2"/>
          </w:tcPr>
          <w:p>
            <w:pPr>
              <w:jc w:val="right"/>
              <w:ind w:right="37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20,806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9,865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31,680</w:t>
            </w:r>
          </w:p>
        </w:tc>
        <w:tc>
          <w:tcPr>
            <w:tcW w:w="12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7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2021</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9"/>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1,062</w:t>
            </w:r>
          </w:p>
        </w:tc>
        <w:tc>
          <w:tcPr>
            <w:tcW w:w="760" w:type="dxa"/>
            <w:vAlign w:val="bottom"/>
            <w:gridSpan w:val="2"/>
          </w:tcPr>
          <w:p>
            <w:pPr>
              <w:jc w:val="right"/>
              <w:ind w:right="37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24,306</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29,268</w:t>
            </w:r>
          </w:p>
        </w:tc>
        <w:tc>
          <w:tcPr>
            <w:tcW w:w="12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7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SUBORDINATED NOTES</w:t>
      </w:r>
    </w:p>
    <w:p>
      <w:pPr>
        <w:spacing w:after="0" w:line="25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30"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6"/>
          </w:tcPr>
          <w:p>
            <w:pPr>
              <w:jc w:val="right"/>
              <w:ind w:right="1247"/>
              <w:spacing w:after="0"/>
              <w:rPr>
                <w:sz w:val="20"/>
                <w:szCs w:val="20"/>
                <w:color w:val="auto"/>
              </w:rPr>
            </w:pPr>
            <w:r>
              <w:rPr>
                <w:rFonts w:ascii="Arial" w:cs="Arial" w:eastAsia="Arial" w:hAnsi="Arial"/>
                <w:sz w:val="18"/>
                <w:szCs w:val="18"/>
                <w:color w:val="auto"/>
              </w:rPr>
              <w:t>March 31, 2022</w:t>
            </w:r>
          </w:p>
        </w:tc>
        <w:tc>
          <w:tcPr>
            <w:tcW w:w="2820" w:type="dxa"/>
            <w:vAlign w:val="bottom"/>
            <w:gridSpan w:val="5"/>
          </w:tcPr>
          <w:p>
            <w:pPr>
              <w:ind w:left="540"/>
              <w:spacing w:after="0"/>
              <w:rPr>
                <w:sz w:val="20"/>
                <w:szCs w:val="20"/>
                <w:color w:val="auto"/>
              </w:rPr>
            </w:pPr>
            <w:r>
              <w:rPr>
                <w:rFonts w:ascii="Arial" w:cs="Arial" w:eastAsia="Arial" w:hAnsi="Arial"/>
                <w:sz w:val="18"/>
                <w:szCs w:val="18"/>
                <w:color w:val="auto"/>
              </w:rPr>
              <w:t>December 31, 2021</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auto"/>
              </w:rPr>
              <w:t>Unamortized Note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w w:val="97"/>
              </w:rPr>
              <w:t>Unamortized Note</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507"/>
              <w:spacing w:after="0"/>
              <w:rPr>
                <w:sz w:val="20"/>
                <w:szCs w:val="20"/>
                <w:color w:val="auto"/>
              </w:rPr>
            </w:pPr>
            <w:r>
              <w:rPr>
                <w:rFonts w:ascii="Arial" w:cs="Arial" w:eastAsia="Arial" w:hAnsi="Arial"/>
                <w:sz w:val="18"/>
                <w:szCs w:val="18"/>
                <w:color w:val="auto"/>
                <w:w w:val="87"/>
              </w:rPr>
              <w:t>Issuance Costs</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Issuance Costs</w:t>
            </w:r>
          </w:p>
        </w:tc>
      </w:tr>
      <w:tr>
        <w:trPr>
          <w:trHeight w:val="223"/>
        </w:trPr>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Borders>
              <w:top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9 SUBSEQUENT EVENT</w:t>
      </w:r>
    </w:p>
    <w:p>
      <w:pPr>
        <w:spacing w:after="0" w:line="252"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On April 13, 2022, the Bank received approval to pay a special dividend of $40 million to Bancorp to pay off the short term other borrowings undertaken for the Perpetual acquisition. Payment will be made on April 20, 2022. The line of credit will remain open for future liquidity needs.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1440" w:right="1680" w:hanging="1435"/>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NOTE 9 PROPOSED BUSINESS COMBINATION (Continued)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 10 RECENT ACCOUNTING PRONOUNCEMENTS</w:t>
      </w:r>
    </w:p>
    <w:p>
      <w:pPr>
        <w:spacing w:after="0" w:line="252" w:lineRule="exact"/>
        <w:rPr>
          <w:sz w:val="20"/>
          <w:szCs w:val="20"/>
          <w:color w:val="auto"/>
        </w:rPr>
      </w:pPr>
    </w:p>
    <w:p>
      <w:pPr>
        <w:jc w:val="both"/>
        <w:ind w:left="70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41" w:lineRule="exact"/>
        <w:rPr>
          <w:sz w:val="20"/>
          <w:szCs w:val="20"/>
          <w:color w:val="auto"/>
        </w:rPr>
      </w:pPr>
    </w:p>
    <w:p>
      <w:pPr>
        <w:jc w:val="both"/>
        <w:ind w:left="700"/>
        <w:spacing w:after="0" w:line="275" w:lineRule="auto"/>
        <w:rPr>
          <w:sz w:val="20"/>
          <w:szCs w:val="20"/>
          <w:color w:val="auto"/>
        </w:rPr>
      </w:pPr>
      <w:r>
        <w:rPr>
          <w:rFonts w:ascii="Arial" w:cs="Arial" w:eastAsia="Arial" w:hAnsi="Arial"/>
          <w:sz w:val="17"/>
          <w:szCs w:val="17"/>
          <w:color w:val="auto"/>
        </w:rPr>
        <w:t>The ASU is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49" w:lineRule="exact"/>
        <w:rPr>
          <w:sz w:val="20"/>
          <w:szCs w:val="20"/>
          <w:color w:val="auto"/>
        </w:rPr>
      </w:pPr>
    </w:p>
    <w:p>
      <w:pPr>
        <w:jc w:val="both"/>
        <w:ind w:left="700"/>
        <w:spacing w:after="0" w:line="275" w:lineRule="auto"/>
        <w:rPr>
          <w:sz w:val="20"/>
          <w:szCs w:val="20"/>
          <w:color w:val="auto"/>
        </w:rPr>
      </w:pPr>
      <w:r>
        <w:rPr>
          <w:rFonts w:ascii="Arial" w:cs="Arial" w:eastAsia="Arial" w:hAnsi="Arial"/>
          <w:sz w:val="17"/>
          <w:szCs w:val="17"/>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During the first quarter of 2022, time was spent learning the software and working to refine methodology. More discussion surrounding CECL will come next quarter. The Company will adopt ASU 2016-13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has had a tremendous start to 2022 continuing the momentum from 2021. The first three months have been the first clean quarter since the acquisitions of Ossian and Perpetual which gives us a picture of our core business going forward. Organic loan growth increased 22.0%, which excludes acquisition and PPP balances, on a year-over-year basis with first quarter being the third consecutive quarter with organic loan growth greater than 10%.</w:t>
      </w:r>
    </w:p>
    <w:p>
      <w:pPr>
        <w:spacing w:after="0" w:line="16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On April 1</w:t>
      </w:r>
      <w:r>
        <w:rPr>
          <w:rFonts w:ascii="Arial" w:cs="Arial" w:eastAsia="Arial" w:hAnsi="Arial"/>
          <w:sz w:val="15"/>
          <w:szCs w:val="15"/>
          <w:color w:val="auto"/>
        </w:rPr>
        <w:t>st</w:t>
      </w:r>
      <w:r>
        <w:rPr>
          <w:rFonts w:ascii="Arial" w:cs="Arial" w:eastAsia="Arial" w:hAnsi="Arial"/>
          <w:sz w:val="18"/>
          <w:szCs w:val="18"/>
          <w:color w:val="auto"/>
        </w:rPr>
        <w:t>, the Bank officially celebrated its 125</w:t>
      </w:r>
      <w:r>
        <w:rPr>
          <w:rFonts w:ascii="Arial" w:cs="Arial" w:eastAsia="Arial" w:hAnsi="Arial"/>
          <w:sz w:val="15"/>
          <w:szCs w:val="15"/>
          <w:color w:val="auto"/>
        </w:rPr>
        <w:t>th</w:t>
      </w:r>
      <w:r>
        <w:rPr>
          <w:rFonts w:ascii="Arial" w:cs="Arial" w:eastAsia="Arial" w:hAnsi="Arial"/>
          <w:sz w:val="18"/>
          <w:szCs w:val="18"/>
          <w:color w:val="auto"/>
        </w:rPr>
        <w:t xml:space="preserve"> birthday in each of the locations with management delivering treats for employees and customers. A committee has been formed within the Bank to promote the Bank’s birthday and continue the celebration with special events throughout the year. In July, in conjunction with the five year anniversary of being traded on NASDAQ, the Company will ring the closing bell in New York.</w:t>
      </w:r>
    </w:p>
    <w:p>
      <w:pPr>
        <w:spacing w:after="0" w:line="14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F&amp;M Commercial Banking Division entered 2022 with a strong loan pipeline and demand was still strong throughout F&amp;M’s three state footprint. Client performance remains good; however, as we entered 2022 our clients were still impacted by a multitude of factors: availability of workforce, interruptions and delays in the supply chain and concerns over energy prices. Credit quality of the portfolio remains solid, past dues and delinquencies were at record lows in 2021 and remained low in the first quarter of 2022. First quarter fee income remained strong, which was a focus since PPP income of prior years would need to be replaced. PPP loans as of December 31, 2021 were $2.9 million. During the quarter all but $463 thousand was forgiven or repaid.</w:t>
      </w:r>
    </w:p>
    <w:p>
      <w:pPr>
        <w:spacing w:after="0" w:line="219"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Grain prices have remained strong through 1</w:t>
      </w:r>
      <w:r>
        <w:rPr>
          <w:rFonts w:ascii="Arial" w:cs="Arial" w:eastAsia="Arial" w:hAnsi="Arial"/>
          <w:sz w:val="14"/>
          <w:szCs w:val="14"/>
          <w:color w:val="auto"/>
        </w:rPr>
        <w:t>st</w:t>
      </w:r>
      <w:r>
        <w:rPr>
          <w:rFonts w:ascii="Arial" w:cs="Arial" w:eastAsia="Arial" w:hAnsi="Arial"/>
          <w:sz w:val="17"/>
          <w:szCs w:val="17"/>
          <w:color w:val="auto"/>
        </w:rPr>
        <w:t xml:space="preserve"> quarter 2022 and have provided opportunities for our grain farmers to continue to sell their 2021 production along with forward pricing their 2022 estimated production at profitable levels. With high commodity prices, crop insurance will take out the bottom side risk for 2022 production. Grain, livestock and agri-businesses financial performance for 2021 and 1</w:t>
      </w:r>
      <w:r>
        <w:rPr>
          <w:rFonts w:ascii="Arial" w:cs="Arial" w:eastAsia="Arial" w:hAnsi="Arial"/>
          <w:sz w:val="14"/>
          <w:szCs w:val="14"/>
          <w:color w:val="auto"/>
        </w:rPr>
        <w:t>st</w:t>
      </w:r>
      <w:r>
        <w:rPr>
          <w:rFonts w:ascii="Arial" w:cs="Arial" w:eastAsia="Arial" w:hAnsi="Arial"/>
          <w:sz w:val="17"/>
          <w:szCs w:val="17"/>
          <w:color w:val="auto"/>
        </w:rPr>
        <w:t xml:space="preserve"> quarter 2022 has generally been favorable. Rising input costs, rising interest rates and supply issues will need to be managed moving forward. Land values have continued to remain strong. The agriculture portfolio remains healthy with manageable concerns.</w:t>
      </w:r>
    </w:p>
    <w:p>
      <w:pPr>
        <w:spacing w:after="0" w:line="13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 xml:space="preserve">Home loan rates have started to increase and the volume of refinancing loans has slowed as compared to the same time in 2021. Turn times have become more manageable and the Bank is focusing on home equity lines as an opportunity for growth. Limited inventory and the demand for homes remain strong. During the quarter, 256 loans, including home equity and lines of credit, were closed totaling $33.1 million which compares to 332 loans and $41.2 million the first quarter in 2021. The first quarter gain on 1-4 family mortgage sales was down by approximately 67% compared to first quarter 2021. On average, the median national home price grew by 17% over the past year to $317,500 according to </w:t>
      </w:r>
      <w:r>
        <w:rPr>
          <w:rFonts w:ascii="Arial" w:cs="Arial" w:eastAsia="Arial" w:hAnsi="Arial"/>
          <w:sz w:val="18"/>
          <w:szCs w:val="18"/>
          <w:i w:val="1"/>
          <w:iCs w:val="1"/>
          <w:color w:val="auto"/>
        </w:rPr>
        <w:t>Housing Wire.</w:t>
      </w:r>
      <w:r>
        <w:rPr>
          <w:rFonts w:ascii="Arial" w:cs="Arial" w:eastAsia="Arial" w:hAnsi="Arial"/>
          <w:sz w:val="18"/>
          <w:szCs w:val="18"/>
          <w:color w:val="auto"/>
        </w:rPr>
        <w:t xml:space="preserve"> Increased lumber prices have impacted the remodeling and new build; however, we have seen input prices begin to decrease.</w:t>
      </w:r>
    </w:p>
    <w:p>
      <w:pPr>
        <w:spacing w:after="0" w:line="222" w:lineRule="exact"/>
        <w:rPr>
          <w:sz w:val="20"/>
          <w:szCs w:val="20"/>
          <w:color w:val="auto"/>
        </w:rPr>
      </w:pPr>
    </w:p>
    <w:p>
      <w:pPr>
        <w:jc w:val="both"/>
        <w:ind w:left="760"/>
        <w:spacing w:after="0" w:line="289" w:lineRule="auto"/>
        <w:rPr>
          <w:sz w:val="20"/>
          <w:szCs w:val="20"/>
          <w:color w:val="auto"/>
        </w:rPr>
      </w:pPr>
      <w:r>
        <w:rPr>
          <w:rFonts w:ascii="Arial" w:cs="Arial" w:eastAsia="Arial" w:hAnsi="Arial"/>
          <w:sz w:val="16"/>
          <w:szCs w:val="16"/>
          <w:color w:val="auto"/>
        </w:rPr>
        <w:t>Net interest earnings increased by $4.7 million as compared to first three months of 2021. The improvement was primarily due to growth in the balance sheet as the Company continues to operate in the low rate environment preceded by the national prime rate drop of 150 basis points in the first quarter of 2020. Interest rates have increased as the national prime rate increased 25 basis points this March. The year to date net interest margin decreased 19 basis points to 3.14% as compared to year to date March 31, 2021 and 7 basis points compared to fourth quarter 2021. The asset yield decreased by 24 basis points compared to prior year to date and 12 basis points compared to prior quarter. Loan interest for 2021 included the impact of the PPP origination fees. Cost of funds decreased 8 basis points on a year to date basis and 6 basis points when comparing the first quarter’s cost to fourth quarter 2021. Interest expense has been positively impacted with the time deposit and FHLB borrowing accretions resulting from the acquisitions as a reduction to interest expense. Further discussion of the balance sheet composition movements and the impact on the earnings can be viewed in the Material Results of Operations section that follows.</w:t>
      </w:r>
    </w:p>
    <w:p>
      <w:pPr>
        <w:spacing w:after="0" w:line="13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Net income improved 65.0% in comparing the first three months 2022 to first three months 2021 and earnings per share increased 40.9% in the same comparison. The higher net income was mainly driven by two factors: higher interest income and lower provision expense. Interest income on a year to date basis increased 30.6% or $5.1 million compared to 2021. Interest income included $374 thousand of net loan accretion income resulting from the acquisitions. As mentioned previously, interest expense was offset by acquisition accretions for time deposits and FHLB borrowings which equaled $640 thousand for the quarter. Interest expense increased by 22.5% and $388 thousand on a year to date basis compared to first three months 2021 on 39.5% higher average balances in 2022. Provision expense decreased $1.1 million. Included in the first three months of 2021, were three charged off impaired commercial loans of $809 thousand. Noninterest income decreased 13.0% or $648 thousand over the same period 2021. Decreased gain on sales of both 1-4 family mortgage loans and fixed rate agricultural loans along with gain on sale of available-for-sale securities were the biggest contributors. 1-4 family mortgage activity remains strong though has slowed compared to 2021 activity. We expect additional slowing in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as refinancing has slowed, housing prices have increased, inventory of available homes is low due to quick turnover throughout most of the Bank’s market area due to the increase in interest rates. The Bank has increased the number of Home Loan Originators (HLOs) due to a larger footprint which we hope stabilizes the activity. Noninterest expenses increased $1.1 million or 9.2% with salaries and wages increasing $1.1 million.</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worked diligently to manage during volatile times and the increase in our size and footprint has helped establish diversity of revenue streams and insulate our earnings. While we report and recognize the many one-time costs incurred by our strategic focus, we continue to realize the long-term benefits of our strategies. Our historical prudent approach to lending has continued to demonstrate its benefits in our credit quality. Past dues over 30 days as of March 31, 2022 were 0.10% of total loans outstanding. We continue to strengthen relationships with our customers, employees, shareholders and communities in support of our mission to “help people live their best lives.” The Company remains well capitalized and plans to continue in our strategic vision of expansion to be a $3 billion bank by the end of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 full-service banking offices throughout Northwest Ohio and Northeast Indiana and a drive-up facility in Archbold. The Bank also operates three Loan Production Offices (LPOs), one in each state of Ohio, Indiana and Michigan.</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primarily located in Northwest Ohio and Northeast Indiana, a substantial amount of the loan portfolio is comprised of loans made to customers in the farming industry for such items as farm 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in the 4</w:t>
      </w:r>
      <w:r>
        <w:rPr>
          <w:rFonts w:ascii="Arial" w:cs="Arial" w:eastAsia="Arial" w:hAnsi="Arial"/>
          <w:sz w:val="14"/>
          <w:szCs w:val="14"/>
          <w:color w:val="auto"/>
        </w:rPr>
        <w:t>th</w:t>
      </w:r>
      <w:r>
        <w:rPr>
          <w:rFonts w:ascii="Arial" w:cs="Arial" w:eastAsia="Arial" w:hAnsi="Arial"/>
          <w:sz w:val="17"/>
          <w:szCs w:val="17"/>
          <w:color w:val="auto"/>
        </w:rPr>
        <w:t xml:space="preserve"> quarter of 2021, the Bank saw an increase in fixed rate, long-term mortgage loans to our portfolio from that banking service area.</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640" w:hanging="272"/>
        <w:spacing w:after="0" w:line="21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ind w:left="640" w:hanging="272"/>
        <w:spacing w:after="0" w:line="21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above 100% are generally the result of sales tax.</w:t>
      </w:r>
    </w:p>
    <w:p>
      <w:pPr>
        <w:ind w:left="640" w:hanging="272"/>
        <w:spacing w:after="0" w:line="21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ind w:left="640" w:hanging="272"/>
        <w:spacing w:after="0" w:line="21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1st or 2nd mortgages on 1-4 family homes maximum range from 80-85%.</w:t>
      </w:r>
    </w:p>
    <w:p>
      <w:pPr>
        <w:ind w:left="640" w:hanging="27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Commercial/Agriculture:</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ind w:left="1020" w:hanging="28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80% LTV less retainages and greater than 90 days.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20" w:hanging="287"/>
        <w:spacing w:after="0" w:line="21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Agriculture:</w:t>
      </w:r>
    </w:p>
    <w:p>
      <w:pPr>
        <w:ind w:left="1760" w:hanging="366"/>
        <w:spacing w:after="0" w:line="207"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00" w:hanging="267"/>
        <w:spacing w:after="0" w:line="21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w:t>
      </w:r>
    </w:p>
    <w:p>
      <w:pPr>
        <w:ind w:left="1760" w:hanging="366"/>
        <w:spacing w:after="0" w:line="203"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00" w:hanging="267"/>
        <w:spacing w:after="0" w:line="21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 plan:</w:t>
      </w:r>
    </w:p>
    <w:p>
      <w:pPr>
        <w:ind w:left="1760" w:hanging="366"/>
        <w:spacing w:after="0" w:line="203"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760" w:hanging="366"/>
        <w:spacing w:after="0" w:line="230"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NTE 80% of invoice, used NTE 50% of listed book or 75% of appraised value.</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00" w:hanging="26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00" w:hanging="267"/>
        <w:spacing w:after="0" w:line="21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00" w:hanging="26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Champaign, Defiance, Fulton, Hancock, Henry, Lucas,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March 31, 2022, we had 382 full time equivalent employees. The employees are not represented by a collective bargaining unit. We provide our employees with a comprehensive benefit program, some of which is contributory. We consider our employee relations to be good.</w:t>
      </w:r>
    </w:p>
    <w:p>
      <w:pPr>
        <w:spacing w:after="0" w:line="12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0" w:right="339" w:bottom="1440" w:gutter="0" w:footer="0" w:header="0"/>
        </w:sectPr>
      </w:pPr>
    </w:p>
    <w:bookmarkStart w:id="48" w:name="page49"/>
    <w:bookmarkEnd w:id="48"/>
    <w:p>
      <w:pPr>
        <w:ind w:left="3"/>
        <w:spacing w:after="0"/>
        <w:rPr>
          <w:sz w:val="20"/>
          <w:szCs w:val="20"/>
          <w:color w:val="auto"/>
        </w:rPr>
      </w:pPr>
      <w:r>
        <w:rPr>
          <w:rFonts w:ascii="Arial" w:cs="Arial" w:eastAsia="Arial" w:hAnsi="Arial"/>
          <w:sz w:val="18"/>
          <w:szCs w:val="18"/>
          <w:b w:val="1"/>
          <w:bCs w:val="1"/>
          <w:color w:val="auto"/>
        </w:rPr>
        <w:t>RECENT REGULATORY DEVELOPMENTS</w:t>
      </w:r>
    </w:p>
    <w:p>
      <w:pPr>
        <w:spacing w:after="0" w:line="202" w:lineRule="exact"/>
        <w:rPr>
          <w:sz w:val="20"/>
          <w:szCs w:val="20"/>
          <w:color w:val="auto"/>
        </w:rPr>
      </w:pPr>
    </w:p>
    <w:p>
      <w:pPr>
        <w:jc w:val="both"/>
        <w:ind w:left="3"/>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ind w:left="3"/>
        <w:spacing w:after="0" w:line="267" w:lineRule="auto"/>
        <w:rPr>
          <w:sz w:val="20"/>
          <w:szCs w:val="20"/>
          <w:color w:val="auto"/>
        </w:rPr>
      </w:pPr>
      <w:r>
        <w:rPr>
          <w:rFonts w:ascii="Arial" w:cs="Arial" w:eastAsia="Arial" w:hAnsi="Arial"/>
          <w:sz w:val="17"/>
          <w:szCs w:val="17"/>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45" w:lineRule="exact"/>
        <w:rPr>
          <w:sz w:val="20"/>
          <w:szCs w:val="20"/>
          <w:color w:val="auto"/>
        </w:rPr>
      </w:pPr>
    </w:p>
    <w:p>
      <w:pPr>
        <w:jc w:val="both"/>
        <w:ind w:left="3"/>
        <w:spacing w:after="0" w:line="269" w:lineRule="auto"/>
        <w:rPr>
          <w:sz w:val="20"/>
          <w:szCs w:val="20"/>
          <w:color w:val="auto"/>
        </w:rPr>
      </w:pPr>
      <w:r>
        <w:rPr>
          <w:rFonts w:ascii="Arial" w:cs="Arial" w:eastAsia="Arial" w:hAnsi="Arial"/>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58" w:lineRule="exact"/>
        <w:rPr>
          <w:sz w:val="20"/>
          <w:szCs w:val="20"/>
          <w:color w:val="auto"/>
        </w:rPr>
      </w:pPr>
    </w:p>
    <w:p>
      <w:pPr>
        <w:jc w:val="both"/>
        <w:ind w:left="3"/>
        <w:spacing w:after="0" w:line="284" w:lineRule="auto"/>
        <w:rPr>
          <w:sz w:val="20"/>
          <w:szCs w:val="20"/>
          <w:color w:val="auto"/>
        </w:rPr>
      </w:pPr>
      <w:r>
        <w:rPr>
          <w:rFonts w:ascii="Arial" w:cs="Arial" w:eastAsia="Arial" w:hAnsi="Arial"/>
          <w:sz w:val="16"/>
          <w:szCs w:val="16"/>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 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w:t>
      </w:r>
    </w:p>
    <w:p>
      <w:pPr>
        <w:spacing w:after="0" w:line="1" w:lineRule="exact"/>
        <w:rPr>
          <w:sz w:val="20"/>
          <w:szCs w:val="20"/>
          <w:color w:val="auto"/>
        </w:rPr>
      </w:pPr>
    </w:p>
    <w:p>
      <w:pPr>
        <w:jc w:val="both"/>
        <w:ind w:left="3" w:hanging="3"/>
        <w:spacing w:after="0" w:line="253" w:lineRule="auto"/>
        <w:tabs>
          <w:tab w:leader="none" w:pos="2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w:t>
      </w:r>
    </w:p>
    <w:p>
      <w:pPr>
        <w:spacing w:after="0" w:line="191" w:lineRule="exact"/>
        <w:rPr>
          <w:sz w:val="20"/>
          <w:szCs w:val="20"/>
          <w:color w:val="auto"/>
        </w:rPr>
      </w:pPr>
    </w:p>
    <w:p>
      <w:pPr>
        <w:ind w:left="4783"/>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40"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Coronavirus Response and Relief Supplemental Appropriations Act, passed by Congress in December 2020, extended certain provisions of the CARES Act affecting the Company into 2021. Key banking provisions under this legislation include the following:</w:t>
      </w:r>
    </w:p>
    <w:p>
      <w:pPr>
        <w:spacing w:after="0" w:line="130" w:lineRule="exact"/>
        <w:rPr>
          <w:sz w:val="20"/>
          <w:szCs w:val="20"/>
          <w:color w:val="auto"/>
        </w:rPr>
      </w:pPr>
    </w:p>
    <w:p>
      <w:pPr>
        <w:ind w:left="740" w:right="20" w:hanging="372"/>
        <w:spacing w:after="0" w:line="258"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an additional $284.6 billion in Paycheck Protection Program (PPP) funding for loans to small businesses, including for borrowers who have previously received a PPP loan.</w:t>
      </w:r>
    </w:p>
    <w:p>
      <w:pPr>
        <w:spacing w:after="0" w:line="1" w:lineRule="exact"/>
        <w:rPr>
          <w:rFonts w:ascii="Arial" w:cs="Arial" w:eastAsia="Arial" w:hAnsi="Arial"/>
          <w:sz w:val="18"/>
          <w:szCs w:val="18"/>
          <w:color w:val="auto"/>
        </w:rPr>
      </w:pP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9" w:lineRule="exact"/>
        <w:rPr>
          <w:rFonts w:ascii="Arial" w:cs="Arial" w:eastAsia="Arial" w:hAnsi="Arial"/>
          <w:sz w:val="18"/>
          <w:szCs w:val="18"/>
          <w:color w:val="auto"/>
        </w:rPr>
      </w:pPr>
    </w:p>
    <w:p>
      <w:pPr>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jc w:val="both"/>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 w:lineRule="exact"/>
        <w:rPr>
          <w:rFonts w:ascii="Arial" w:cs="Arial" w:eastAsia="Arial" w:hAnsi="Arial"/>
          <w:sz w:val="18"/>
          <w:szCs w:val="18"/>
          <w:color w:val="auto"/>
        </w:rPr>
      </w:pP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w:t>
      </w:r>
    </w:p>
    <w:p>
      <w:pPr>
        <w:spacing w:after="0" w:line="9" w:lineRule="exact"/>
        <w:rPr>
          <w:rFonts w:ascii="Arial" w:cs="Arial" w:eastAsia="Arial" w:hAnsi="Arial"/>
          <w:sz w:val="18"/>
          <w:szCs w:val="18"/>
          <w:color w:val="auto"/>
        </w:rPr>
      </w:pPr>
    </w:p>
    <w:p>
      <w:pPr>
        <w:ind w:left="740" w:hanging="372"/>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ind w:left="740" w:hanging="372"/>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20" w:lineRule="exact"/>
        <w:rPr>
          <w:rFonts w:ascii="Arial" w:cs="Arial" w:eastAsia="Arial" w:hAnsi="Arial"/>
          <w:sz w:val="17"/>
          <w:szCs w:val="17"/>
          <w:color w:val="auto"/>
        </w:rPr>
      </w:pPr>
    </w:p>
    <w:p>
      <w:pPr>
        <w:ind w:left="740" w:hanging="37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9" w:lineRule="exact"/>
        <w:rPr>
          <w:rFonts w:ascii="Arial" w:cs="Arial" w:eastAsia="Arial" w:hAnsi="Arial"/>
          <w:sz w:val="18"/>
          <w:szCs w:val="18"/>
          <w:color w:val="auto"/>
        </w:rPr>
      </w:pPr>
    </w:p>
    <w:p>
      <w:pPr>
        <w:ind w:left="740" w:hanging="372"/>
        <w:spacing w:after="0" w:line="26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At the present time, the Company has the option to comply with either the original DTI-based General QM Loan definition or the revised price-based new General QM Loan definition. Since the Company sells fixed rate consumer mortgage loans to the Federal Home Loan Mortgage Corporation, it must remain attentive to their current loan underwriting requirements and how they evolve in the extended interim period.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w:t>
      </w:r>
    </w:p>
    <w:p>
      <w:pPr>
        <w:spacing w:after="0" w:line="16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March 31, 2022, there were no OREO property holdings. OREO totaled $159 thousand and $148 thousand as of December 31, 2021 and March 31, 2021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1" w:name="page52"/>
    <w:bookmarkEnd w:id="51"/>
    <w:p>
      <w:pPr>
        <w:jc w:val="both"/>
        <w:ind w:left="760"/>
        <w:spacing w:after="0" w:line="291" w:lineRule="auto"/>
        <w:rPr>
          <w:sz w:val="20"/>
          <w:szCs w:val="20"/>
          <w:color w:val="auto"/>
        </w:rPr>
      </w:pPr>
      <w:r>
        <w:rPr>
          <w:rFonts w:ascii="Arial" w:cs="Arial" w:eastAsia="Arial" w:hAnsi="Arial"/>
          <w:sz w:val="16"/>
          <w:szCs w:val="16"/>
          <w:color w:val="auto"/>
        </w:rPr>
        <w:t>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plans to continue in its growth mode in 2022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4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Liquidity in terms of cash and cash equivalents ended $41.3 million lower as of March 31, 2022 than it was at yearend December 31, 2021. Prior year’s excess liquidity along with an increase in deposits of $60.1 million helped to fund the $104.3 million increase in net loans since yearend 2021. All loan portfolios with the exception of the agricultural real estate, consumer and other portfolios increased compared to December 31, 2021 with the largest increase in the commercial real estate portfolio.</w:t>
      </w:r>
    </w:p>
    <w:p>
      <w:pPr>
        <w:spacing w:after="0" w:line="160"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In comparing to the same prior year period, the March 31, 2022 (net of deferred fees and cost) loan balances of approximately $2.0 billion accounted for $620.5 million or 46.3% increase when compared to 2020’s $1.3 billion. The year over year improvement was made up of a combined increase of 55.6% in commercial and industrial related loans (comprised of 47.3% in commercial real estate loans and 8.3% in non-real estate commercial loans). PPP loans of approximately $463 thousand and $51.8 million are included in the non-real estate commercial portfolio as of March 31, 2022 and March 31, 2021, respectively. Consumer real estate loans increased by 133.7%, consumer loans by 5.6% and other loans by 124.1%. Agricultural related loans increased 49.7% year over year (comprised of 9.1% in agricultural real estate and 40.6% in non-real estate agricultural loans). The Company credits the growth not only to the OFSI and PFSB acquisitions but also to the strong team of lenders focused on providing customers valuable localized services and thereby increasing our market share.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chart below shows the breakdown of the loan portfolio category as of March 31, for the last three years, net of deferred fees and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1"/>
              </w:rPr>
              <w:t>March 31, 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1"/>
              </w:rPr>
              <w:t>March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2"/>
              </w:rPr>
              <w:t>March 31, 2020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410,064</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175,481</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179,639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194,130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109,707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909,408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568,991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200,253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143,311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49,190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2000" w:type="dxa"/>
            <w:vAlign w:val="bottom"/>
            <w:gridSpan w:val="2"/>
            <w:shd w:val="clear" w:color="auto" w:fill="CFF0FC"/>
          </w:tcPr>
          <w:p>
            <w:pPr>
              <w:ind w:left="18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1,962,220</w:t>
            </w:r>
          </w:p>
        </w:tc>
        <w:tc>
          <w:tcPr>
            <w:tcW w:w="3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1,341,679</w:t>
            </w:r>
          </w:p>
        </w:tc>
        <w:tc>
          <w:tcPr>
            <w:tcW w:w="3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1,247,641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bottom w:val="single" w:sz="8" w:color="CFF0FC"/>
            </w:tcBorders>
            <w:vMerge w:val="restart"/>
          </w:tcPr>
          <w:p>
            <w:pPr>
              <w:jc w:val="right"/>
              <w:ind w:right="290"/>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March 31, 2022.</w:t>
      </w:r>
    </w:p>
    <w:p>
      <w:pPr>
        <w:spacing w:after="0" w:line="200" w:lineRule="exact"/>
        <w:rPr>
          <w:sz w:val="20"/>
          <w:szCs w:val="20"/>
          <w:color w:val="auto"/>
        </w:rPr>
      </w:pPr>
    </w:p>
    <w:p>
      <w:pPr>
        <w:spacing w:after="0" w:line="29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(In Thousands)</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After One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Within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Year Within</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After</w:t>
            </w:r>
          </w:p>
        </w:tc>
      </w:tr>
      <w:tr>
        <w:trPr>
          <w:trHeight w:val="230"/>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One Year</w:t>
            </w:r>
          </w:p>
        </w:tc>
        <w:tc>
          <w:tcPr>
            <w:tcW w:w="11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Five Years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Five Years</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373,418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186,050</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20,448</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308,590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566,377</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48,206</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14,546</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2020, 2021, and 2022. The security portfolio decreased $15.9 million in the first three months of 2022 from yearend 2021 and increased $61.0 million from March 2021. The amount of pledged investment securities increased by $7.7 million as compared to yearend and $41.5 million as compared to March 31, 2021. Liquidity is improved with the additional option of selling unpledged investment securities if needed to fund loan growth or other initiatives. As of March 31, 2022, pledged investment securities totaled $122.7 million. The current portfolio is in a net unrealized loss position of $25.0 million.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Bank, an additional $88.9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is due quarterly and accrues at a rate 2.50% per annum with reporting and capital covenants included. The structure of the acquisition required all accounting of the transaction to be recorded at the Bank level as Perpetual did not have a holding company. Therefore, the Company has advanced funds from the Bank to the Company to facilitate payoff of the term note. The Company sought regulatory approval in the first quarter of 2022. Please see Note 9 for additional information regarding regulatory approval.</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feels confident that liquidity needs for future growth can be met through additional maturities and/or sales from the security portfolio, increased deposits and additional borrowings. For short term needs, the Bank has $69 million of unsecured borrowing capacity through its correspondent banks as of March 31, 2022 and March 31, 2021. The Bank also had access to $94.2 million and $79.1 million through a Cash Management Advance with the Federal Home Loan Bank as of March 31, 2022 and March 31, 2021, respectively.</w:t>
      </w:r>
    </w:p>
    <w:p>
      <w:pPr>
        <w:spacing w:after="0" w:line="13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Overall total assets increased 1.8% since yearend 2021 and grew 34.8% since March 31, 2021. The largest growth in both periods was in the loan portfolios. Securities and goodwill also increased significantly compared to March 31, 2021. Refer to Note 2 for information on assets acquired from OFSI and PFSB.</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accounted for the largest growth within liabilities, up 2.7% or $60.1 million since yearend and 33.8% or $569.7 million over March 31, 2021 balances. Refer to Note 2 for information on liabilities acquired from OFSI and PFSB. The</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growth of deposits correlated to a flight to safety as the stock market continues to experience some volatility. Core deposits continue to drive the increase which provide the opportunity to generate additional noninterest income. This growth aided the increased liquidity position and funded the loan growth for the periods along with usage of excess Federal Funds sold for daily borrowings.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Shareholders’ equity decreased by $10.7 million as of the first quarter of 2022 compared to yearend 2021. Earnings exceeded dividend declarations during the three months ended March 31, 2022. Accumulated other comprehensive loss increased in unrealized loss position by $16.5 million from December 2021 to an unrealized loss of $19.7 million on March 31, 2022. The increase in unrealized loss position has no impact on regulatory tangible book price and thus not a concern. The available-for-sale security portfolio is used as a protection to falling rates. If there is an unrealized loss in our security portfolio, it bodes well for our loan portfolio to price up. Dividends declared remained the same as the previous quarter at $0.19 per share. Compared to March 31, 2021, shareholders’ equity increased 16.1% or $39.7 million mostly attributable to the issuance of stock in the Perpetual acquisition as discussed in Note 2. Profits were higher year to date March 2022 than year to date March 2021 by $3.2 million.</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The total buffer requirement increased to 2.5% for calendar year 2019. As of March 31, 2022, the Company and the Bank are both positioned well above the 2019 requirement.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Bank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46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March 31, 2022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comparing first quarter 2022 to first quarter 2021, average loan balances with the acquisitions of OFSI and PFSB grew $578.9 million with average PPP loans decreasing $40.1 million. This represented a 43.6% increase in a one-year time period. Interest income on loan balances experienced an increase of $4.8 million as compared to the quarter ended March 31, 2021. This increase was primarily the result of the significant growth in the end of period loan balances between periods, 24.28% of which was directly attributable to the Company’s recent acquisitions and 21.97% of which was due to organic loan growth within the Bank’s broader markets. Net fee income for the PPP loans was recognized on a straight line basis over 24 months for the first draw and 60 months for the second draw and was accelerated upon payoff. PPP loan balances at the end of March 2022 were $463 thousand compared to $51.8 million at the end of March 2021. PPP loan income for the quarter included interest income of $28 thousand and net fee income of $74 thousand compared to $100 thousand of loan interest income and $842 thousand of net fee income for 2021.</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available-for-sale securities portfolio increased in average balances by $103.6 million when comparing to the previous year while the income increased $266 thousand over first quarter. Federal funds sold and interest-bearing deposits increased in average balances by $30.7 million as compared to the same quarter in 2021 with increased income of $35 thousand for the current quarter. Refer to Note 2 Business Combination and Asset Purchase for information on assets acquired from OFSI and PFSB.</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overall total average balance of the Bank’s earning assets increased by $713.1 million and interest income for the quarter comparisons was higher for first quarter 2022 by 30.6% or $5.1 million as compared to first quarter 2021. A low prime lending rate has contributed to the decrease in rate yield.</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4" w:name="page55"/>
    <w:bookmarkEnd w:id="54"/>
    <w:p>
      <w:pPr>
        <w:jc w:val="both"/>
        <w:ind w:left="760"/>
        <w:spacing w:after="0" w:line="259" w:lineRule="auto"/>
        <w:rPr>
          <w:sz w:val="20"/>
          <w:szCs w:val="20"/>
          <w:color w:val="auto"/>
        </w:rPr>
      </w:pPr>
      <w:r>
        <w:rPr>
          <w:rFonts w:ascii="Arial" w:cs="Arial" w:eastAsia="Arial" w:hAnsi="Arial"/>
          <w:sz w:val="18"/>
          <w:szCs w:val="18"/>
          <w:color w:val="auto"/>
        </w:rPr>
        <w:t>Annualized yield, for the quarter ended March 31, 2022, was 3.47% as compared to 3.71% for the quarter ended March 31, 2021.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w w:val="96"/>
              </w:rPr>
              <w:t>Quarter to Date Ended March 31, 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color w:val="auto"/>
              </w:rPr>
              <w:t>Annualized Yield/Rate</w:t>
            </w:r>
          </w:p>
        </w:tc>
      </w:tr>
      <w:tr>
        <w:trPr>
          <w:trHeight w:val="223"/>
        </w:trPr>
        <w:tc>
          <w:tcPr>
            <w:tcW w:w="32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8"/>
                <w:szCs w:val="18"/>
                <w:color w:val="auto"/>
                <w:w w:val="91"/>
              </w:rPr>
              <w:t>Average Balance</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Interest/Dividends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8"/>
                <w:szCs w:val="18"/>
                <w:color w:val="auto"/>
                <w:w w:val="97"/>
              </w:rPr>
              <w:t>March 31, 2022</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2"/>
              </w:rPr>
              <w:t>March 31, 2021</w:t>
            </w:r>
          </w:p>
        </w:tc>
      </w:tr>
      <w:tr>
        <w:trPr>
          <w:trHeight w:val="223"/>
        </w:trPr>
        <w:tc>
          <w:tcPr>
            <w:tcW w:w="3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1,907,478</w:t>
            </w:r>
          </w:p>
        </w:tc>
        <w:tc>
          <w:tcPr>
            <w:tcW w:w="1260" w:type="dxa"/>
            <w:vAlign w:val="bottom"/>
            <w:gridSpan w:val="2"/>
            <w:shd w:val="clear" w:color="auto" w:fill="CFF0FC"/>
          </w:tcPr>
          <w:p>
            <w:pPr>
              <w:jc w:val="right"/>
              <w:ind w:right="97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20,455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4.29%</w:t>
            </w:r>
          </w:p>
        </w:tc>
        <w:tc>
          <w:tcPr>
            <w:tcW w:w="16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4.70%</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19"/>
                <w:szCs w:val="19"/>
                <w:color w:val="auto"/>
              </w:rPr>
            </w:pPr>
          </w:p>
        </w:tc>
        <w:tc>
          <w:tcPr>
            <w:tcW w:w="1600" w:type="dxa"/>
            <w:vAlign w:val="bottom"/>
            <w:gridSpan w:val="2"/>
          </w:tcPr>
          <w:p>
            <w:pPr>
              <w:jc w:val="right"/>
              <w:ind w:right="27"/>
              <w:spacing w:after="0"/>
              <w:rPr>
                <w:sz w:val="20"/>
                <w:szCs w:val="20"/>
                <w:color w:val="auto"/>
              </w:rPr>
            </w:pPr>
            <w:r>
              <w:rPr>
                <w:rFonts w:ascii="Arial" w:cs="Arial" w:eastAsia="Arial" w:hAnsi="Arial"/>
                <w:sz w:val="18"/>
                <w:szCs w:val="18"/>
                <w:color w:val="auto"/>
              </w:rPr>
              <w:t>429,899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1.20%</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r>
      <w:tr>
        <w:trPr>
          <w:trHeight w:val="229"/>
        </w:trPr>
        <w:tc>
          <w:tcPr>
            <w:tcW w:w="3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18,587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1.91%</w:t>
            </w:r>
          </w:p>
        </w:tc>
        <w:tc>
          <w:tcPr>
            <w:tcW w:w="16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2.49%</w:t>
            </w:r>
          </w:p>
        </w:tc>
      </w:tr>
      <w:tr>
        <w:trPr>
          <w:trHeight w:val="229"/>
        </w:trPr>
        <w:tc>
          <w:tcPr>
            <w:tcW w:w="324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160" w:type="dxa"/>
            <w:vAlign w:val="bottom"/>
          </w:tcPr>
          <w:p>
            <w:pPr>
              <w:spacing w:after="0"/>
              <w:rPr>
                <w:sz w:val="19"/>
                <w:szCs w:val="19"/>
                <w:color w:val="auto"/>
              </w:rPr>
            </w:pPr>
          </w:p>
        </w:tc>
        <w:tc>
          <w:tcPr>
            <w:tcW w:w="1600" w:type="dxa"/>
            <w:vAlign w:val="bottom"/>
            <w:gridSpan w:val="2"/>
          </w:tcPr>
          <w:p>
            <w:pPr>
              <w:jc w:val="right"/>
              <w:ind w:right="27"/>
              <w:spacing w:after="0"/>
              <w:rPr>
                <w:sz w:val="20"/>
                <w:szCs w:val="20"/>
                <w:color w:val="auto"/>
              </w:rPr>
            </w:pPr>
            <w:r>
              <w:rPr>
                <w:rFonts w:ascii="Arial" w:cs="Arial" w:eastAsia="Arial" w:hAnsi="Arial"/>
                <w:sz w:val="18"/>
                <w:szCs w:val="18"/>
                <w:color w:val="auto"/>
              </w:rPr>
              <w:t>167,319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0.90%</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0.13%</w:t>
            </w:r>
          </w:p>
        </w:tc>
      </w:tr>
      <w:tr>
        <w:trPr>
          <w:trHeight w:val="223"/>
        </w:trPr>
        <w:tc>
          <w:tcPr>
            <w:tcW w:w="32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2,523,283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7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21,899</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3.71%</w:t>
            </w:r>
          </w:p>
        </w:tc>
      </w:tr>
      <w:tr>
        <w:trPr>
          <w:trHeight w:val="20"/>
        </w:trPr>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99"/>
        </w:trPr>
        <w:tc>
          <w:tcPr>
            <w:tcW w:w="560" w:type="dxa"/>
            <w:vAlign w:val="bottom"/>
          </w:tcPr>
          <w:p>
            <w:pPr>
              <w:spacing w:after="0"/>
              <w:rPr>
                <w:sz w:val="24"/>
                <w:szCs w:val="24"/>
                <w:color w:val="auto"/>
              </w:rPr>
            </w:pPr>
          </w:p>
        </w:tc>
        <w:tc>
          <w:tcPr>
            <w:tcW w:w="9540" w:type="dxa"/>
            <w:vAlign w:val="bottom"/>
            <w:gridSpan w:val="19"/>
          </w:tcPr>
          <w:p>
            <w:pPr>
              <w:jc w:val="right"/>
              <w:ind w:right="1460"/>
              <w:spacing w:after="0"/>
              <w:rPr>
                <w:sz w:val="20"/>
                <w:szCs w:val="20"/>
                <w:color w:val="auto"/>
              </w:rPr>
            </w:pPr>
            <w:r>
              <w:rPr>
                <w:rFonts w:ascii="Arial" w:cs="Arial" w:eastAsia="Arial" w:hAnsi="Arial"/>
                <w:sz w:val="18"/>
                <w:szCs w:val="18"/>
                <w:color w:val="auto"/>
              </w:rPr>
              <w:t>Change in Interest Income Quarter to Date March 31, 2022 Compared to March 31, 2021</w:t>
            </w:r>
          </w:p>
        </w:tc>
      </w:tr>
      <w:tr>
        <w:trPr>
          <w:trHeight w:val="493"/>
        </w:trPr>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3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460" w:type="dxa"/>
            <w:vAlign w:val="bottom"/>
            <w:gridSpan w:val="4"/>
          </w:tcPr>
          <w:p>
            <w:pPr>
              <w:jc w:val="right"/>
              <w:ind w:right="250"/>
              <w:spacing w:after="0"/>
              <w:rPr>
                <w:sz w:val="20"/>
                <w:szCs w:val="20"/>
                <w:color w:val="auto"/>
              </w:rPr>
            </w:pPr>
            <w:r>
              <w:rPr>
                <w:rFonts w:ascii="Arial" w:cs="Arial" w:eastAsia="Arial" w:hAnsi="Arial"/>
                <w:sz w:val="18"/>
                <w:szCs w:val="18"/>
                <w:color w:val="auto"/>
              </w:rPr>
              <w:t>Change Due</w:t>
            </w:r>
          </w:p>
        </w:tc>
        <w:tc>
          <w:tcPr>
            <w:tcW w:w="560" w:type="dxa"/>
            <w:vAlign w:val="bottom"/>
          </w:tcPr>
          <w:p>
            <w:pPr>
              <w:spacing w:after="0"/>
              <w:rPr>
                <w:sz w:val="18"/>
                <w:szCs w:val="18"/>
                <w:color w:val="auto"/>
              </w:rPr>
            </w:pPr>
          </w:p>
        </w:tc>
      </w:tr>
      <w:tr>
        <w:trPr>
          <w:trHeight w:val="230"/>
        </w:trPr>
        <w:tc>
          <w:tcPr>
            <w:tcW w:w="3240" w:type="dxa"/>
            <w:vAlign w:val="bottom"/>
            <w:gridSpan w:val="3"/>
          </w:tcPr>
          <w:p>
            <w:pPr>
              <w:ind w:left="560"/>
              <w:spacing w:after="0"/>
              <w:rPr>
                <w:sz w:val="20"/>
                <w:szCs w:val="20"/>
                <w:color w:val="auto"/>
              </w:rPr>
            </w:pPr>
            <w:r>
              <w:rPr>
                <w:rFonts w:ascii="Arial" w:cs="Arial" w:eastAsia="Arial" w:hAnsi="Arial"/>
                <w:sz w:val="18"/>
                <w:szCs w:val="18"/>
                <w:color w:val="auto"/>
              </w:rPr>
              <w:t>Interest Earning Assets: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8"/>
                <w:szCs w:val="18"/>
                <w:color w:val="auto"/>
                <w:w w:val="94"/>
              </w:rPr>
              <w:t>Total 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center"/>
              <w:ind w:right="33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4"/>
          </w:tcPr>
          <w:p>
            <w:pPr>
              <w:jc w:val="right"/>
              <w:ind w:right="1080"/>
              <w:spacing w:after="0"/>
              <w:rPr>
                <w:sz w:val="20"/>
                <w:szCs w:val="20"/>
                <w:color w:val="auto"/>
              </w:rPr>
            </w:pPr>
            <w:r>
              <w:rPr>
                <w:rFonts w:ascii="Arial" w:cs="Arial" w:eastAsia="Arial" w:hAnsi="Arial"/>
                <w:sz w:val="18"/>
                <w:szCs w:val="18"/>
                <w:color w:val="auto"/>
                <w:w w:val="89"/>
              </w:rPr>
              <w:t>to Rate</w:t>
            </w:r>
          </w:p>
        </w:tc>
      </w:tr>
      <w:tr>
        <w:trPr>
          <w:trHeight w:val="223"/>
        </w:trPr>
        <w:tc>
          <w:tcPr>
            <w:tcW w:w="560" w:type="dxa"/>
            <w:vAlign w:val="bottom"/>
          </w:tcPr>
          <w:p>
            <w:pPr>
              <w:spacing w:after="0"/>
              <w:rPr>
                <w:sz w:val="19"/>
                <w:szCs w:val="19"/>
                <w:color w:val="auto"/>
              </w:rPr>
            </w:pPr>
          </w:p>
        </w:tc>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520" w:type="dxa"/>
            <w:vAlign w:val="bottom"/>
            <w:tcBorders>
              <w:top w:val="single" w:sz="8" w:color="auto"/>
            </w:tcBorders>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6,805</w:t>
            </w:r>
          </w:p>
        </w:tc>
        <w:tc>
          <w:tcPr>
            <w:tcW w:w="540" w:type="dxa"/>
            <w:vAlign w:val="bottom"/>
            <w:tcBorders>
              <w:top w:val="single" w:sz="8" w:color="auto"/>
            </w:tcBorders>
            <w:gridSpan w:val="2"/>
            <w:shd w:val="clear" w:color="auto" w:fill="CFF0FC"/>
          </w:tcPr>
          <w:p>
            <w:pPr>
              <w:jc w:val="right"/>
              <w:ind w:right="238"/>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5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Tax-exempt investment securities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2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16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5,134</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7,132</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5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Offsetting the higher interest income for the quarter was an increase in interest expense in 2022 of $388 thousand or 22.5% compared to first quarter 2021. Since 2021, average interest-bearing deposit balances have increased $496.5 million or 39.5% and the Company recognized $20 thousand more in interest expense for the most recent quarter. The prime rate dropped 150 basis points in March of 2020 and management adjusted deposit rates accordingly. March 2022 saw the first rate change since 2020 with an increase of 25 basis points. Interest expense on FHLB borrowings and other borrowings increased $113 thousand in the first quarter 2022 over the same time frame in 2021 due to borrowings taken on from the Limberlost and Perpetual acquisitions. Interest expense on fed funds purchased and securities sold under agreement to repurchase was down $14 thousand compared to first quarter 2021. Interest expense on subordinated notes was $269 thousand for the most recent quarter. Refer to Note 8 for additional information on subordinated notes. Liabilities assumed from OFSI and PFSB can be seen in Note 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90"/>
              </w:rPr>
              <w:t>(In Thousands)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left="190"/>
              <w:spacing w:after="0"/>
              <w:rPr>
                <w:sz w:val="20"/>
                <w:szCs w:val="20"/>
                <w:color w:val="auto"/>
              </w:rPr>
            </w:pPr>
            <w:r>
              <w:rPr>
                <w:rFonts w:ascii="Arial" w:cs="Arial" w:eastAsia="Arial" w:hAnsi="Arial"/>
                <w:sz w:val="18"/>
                <w:szCs w:val="18"/>
                <w:color w:val="auto"/>
                <w:w w:val="90"/>
              </w:rPr>
              <w:t>Quarter to Date Ended March 31, 2022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4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Interest</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March 31, 2022</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March 31, 2021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1,293,099</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19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Other time deposits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459,854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 to repurchase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Subordinated notes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34,480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4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1,879,901</w:t>
            </w:r>
          </w:p>
        </w:tc>
        <w:tc>
          <w:tcPr>
            <w:tcW w:w="12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360" w:type="dxa"/>
            <w:vAlign w:val="bottom"/>
            <w:shd w:val="clear" w:color="auto" w:fill="CFF0FC"/>
          </w:tcPr>
          <w:p>
            <w:pPr>
              <w:jc w:val="right"/>
              <w:ind w:right="119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CFF0FC"/>
            </w:tcBorders>
            <w:gridSpan w:val="2"/>
            <w:vMerge w:val="restart"/>
          </w:tcPr>
          <w:p>
            <w:pPr>
              <w:jc w:val="center"/>
              <w:spacing w:after="0"/>
              <w:rPr>
                <w:sz w:val="20"/>
                <w:szCs w:val="20"/>
                <w:color w:val="auto"/>
              </w:rPr>
            </w:pPr>
            <w:r>
              <w:rPr>
                <w:rFonts w:ascii="Arial" w:cs="Arial" w:eastAsia="Arial" w:hAnsi="Arial"/>
                <w:sz w:val="18"/>
                <w:szCs w:val="18"/>
                <w:color w:val="auto"/>
                <w:w w:val="89"/>
              </w:rPr>
              <w:t>55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u w:val="single" w:color="auto"/>
          <w:color w:val="auto"/>
        </w:rPr>
        <w:t>Change in Interest Expense Quarter to Date March 31, 2022 Compared to March 31, 2021</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5"/>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Change Due</w:t>
            </w: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Change Due</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to Volume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to Rate</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40" w:type="dxa"/>
            <w:vAlign w:val="bottom"/>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time deposits</w:t>
            </w:r>
          </w:p>
        </w:tc>
        <w:tc>
          <w:tcPr>
            <w:tcW w:w="4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sold under agreement to repurchase</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Subordinated notes</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440" w:type="dxa"/>
            <w:vAlign w:val="bottom"/>
            <w:tcBorders>
              <w:bottom w:val="single" w:sz="8" w:color="auto"/>
            </w:tcBorders>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r>
      <w:tr>
        <w:trPr>
          <w:trHeight w:val="20"/>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Overall, net interest spread for the first quarter 2022 was 16 basis points lower than last year. As the following chart indicates, the decline in yields on interest earning assets was more than the decline in the cost of funds when comparing to the same period a year ago.</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3.47%</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3.71%</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Expense/cost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3.02%</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increased $4.7 million for the first quarter 2022 over the same time frame in 2021 with the increase in interest income of $5.1 million offset by the lower interest expense of $388 thousand, as previously mentioned. As the new loans added in 2021 and 2022 generate more income, management expects the benefits of the Company’s strategy of repositioning the balance sheet to continue to increase net interest income. In terms of net interest margin rate, the Bank recognizes competition for deposits may again increase and put pressure on the margin which may lead to a tightening.</w:t>
      </w:r>
    </w:p>
    <w:p>
      <w:pPr>
        <w:spacing w:after="0" w:line="157"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for three month periods ended March 31, 2022 and 2021 </w:t>
      </w:r>
      <w:r>
        <w:rPr>
          <w:rFonts w:ascii="Arial" w:cs="Arial" w:eastAsia="Arial" w:hAnsi="Arial"/>
          <w:sz w:val="18"/>
          <w:szCs w:val="18"/>
          <w:b w:val="1"/>
          <w:bCs w:val="1"/>
          <w:color w:val="auto"/>
        </w:rPr>
        <w:t>Provision Expense</w:t>
      </w:r>
    </w:p>
    <w:p>
      <w:pPr>
        <w:jc w:val="both"/>
        <w:spacing w:after="0" w:line="254"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 accounted for the largest component of charge-offs and recoveries for first quarter of 2022 while the commercial and industrial and consumer portfolios accounted for the largest component of charge-offs and recoveries, respectively in 2021. The commercial real estate portfolio is currently creating a large impact on the ALLL due to the loan growth.</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provision for loan losses was $1.1 million lower for the first quarter 2022 as compared to the same quarter 2021. Provision for loan loss has stabilized beginning in third quarter of 2021 and the provision expense for the first quarter of 2022 was adequate. There is still some lingering uncertainty regarding COVID-19; therefore, it is prudent to incorporate the impact of COVID-19 in the evaluation of the adequacy of Allowance for Loan and Lease Losses (ALLL). The restaurant and hospitality sectors have been hit especially hard. Risk in the Consumer and 1-4 Family Portfolio has also increased. Management continues to monitor asset quality, making adjustments to the provision as necessary. The impact of higher interest rates and inflation will be taken into consideration when reviewing qualitative factors. Loan charge-offs were $919 thousand lower in first quarter 2022 than the same quarter 2021. Recoveries were $23 thousand lower in first quarter 2022 as compared to first quarter 2021. Combined net charge-offs were $896 thousand lower in first quarter 2022 than the same time period 2021.</w:t>
      </w:r>
    </w:p>
    <w:p>
      <w:pPr>
        <w:spacing w:after="0" w:line="16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Past due loans, which include no deferrals related to COVID-19, decreased $523 thousand at March 31, 2022 as compared to March 31, 2021. The largest changes were attributed to the increase of past due balances in the agricultural real estate portfolio and decreases in the consumer real estate and commercial and industrial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60" w:hanging="105"/>
        <w:spacing w:after="0"/>
        <w:tabs>
          <w:tab w:leader="none" w:pos="3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78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7" w:name="page58"/>
    <w:bookmarkEnd w:id="57"/>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2022, 2021,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240" w:type="dxa"/>
            <w:vAlign w:val="bottom"/>
            <w:gridSpan w:val="4"/>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3"/>
              </w:rPr>
              <w:t>Three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8"/>
                <w:szCs w:val="18"/>
                <w:color w:val="auto"/>
                <w:w w:val="91"/>
              </w:rPr>
              <w:t>March 31, 2022</w:t>
            </w:r>
          </w:p>
        </w:tc>
        <w:tc>
          <w:tcPr>
            <w:tcW w:w="140" w:type="dxa"/>
            <w:vAlign w:val="bottom"/>
          </w:tcPr>
          <w:p>
            <w:pPr>
              <w:spacing w:after="0"/>
              <w:rPr>
                <w:sz w:val="20"/>
                <w:szCs w:val="20"/>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8"/>
                <w:szCs w:val="18"/>
                <w:color w:val="auto"/>
                <w:w w:val="91"/>
              </w:rPr>
              <w:t>March 31, 2021</w:t>
            </w:r>
          </w:p>
        </w:tc>
        <w:tc>
          <w:tcPr>
            <w:tcW w:w="18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March 31, 2020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1,962,220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1,341,679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1,247,641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1,907,478</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1,328,571</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1,236,848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Nonperforming loans*</w:t>
            </w: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13,672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7,228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Charged off:</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Recoveries: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Charge Offs: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Acquisition provision for loan loss</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Allowance for Loan &amp; Lease Losses - March 31,</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16,771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March 31,</w:t>
            </w: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March 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17,847</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15,477</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Ratio of Net Charge-offs to Average Outstanding Loans</w:t>
            </w: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Nonaccrual Loans to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the Allowance for Loan &amp; Lease Losses</w:t>
            </w:r>
          </w:p>
        </w:tc>
        <w:tc>
          <w:tcPr>
            <w:tcW w:w="1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Loans</w:t>
            </w: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&amp; Lease Losses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Arial" w:cs="Arial" w:eastAsia="Arial" w:hAnsi="Arial"/>
                <w:sz w:val="18"/>
                <w:szCs w:val="18"/>
                <w:color w:val="auto"/>
              </w:rPr>
              <w:t>Nonaccrual Loans</w:t>
            </w:r>
          </w:p>
        </w:tc>
        <w:tc>
          <w:tcPr>
            <w:tcW w:w="140" w:type="dxa"/>
            <w:vAlign w:val="bottom"/>
          </w:tcPr>
          <w:p>
            <w:pPr>
              <w:spacing w:after="0"/>
              <w:rPr>
                <w:sz w:val="23"/>
                <w:szCs w:val="23"/>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198.29%</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177.24%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196"/>
        </w:trPr>
        <w:tc>
          <w:tcPr>
            <w:tcW w:w="46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the Allowance for Loan &amp; Lease Losses to</w:t>
            </w:r>
          </w:p>
        </w:tc>
        <w:tc>
          <w:tcPr>
            <w:tcW w:w="1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Nonperforming Loans*</w:t>
            </w: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198.29%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177.24%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2100" w:hanging="4790"/>
        <w:spacing w:after="0" w:line="527" w:lineRule="auto"/>
        <w:tabs>
          <w:tab w:leader="none" w:pos="11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8" w:name="page59"/>
    <w:bookmarkEnd w:id="58"/>
    <w:p>
      <w:pPr>
        <w:jc w:val="both"/>
        <w:ind w:left="180"/>
        <w:spacing w:after="0" w:line="289"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9"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Loans classified as nonaccrual were higher as of March 31, 2022 at $8.6 million as compared to $8.1 million as of March 31, 2021. The consumer real estate portfolio decreased $509 thousand while the commercial real estate and commercial and industrial portfolios decreased a combined $136 thousand. The agricultural real estate and agricultural portfolios increased a combined $1.1 million as compared to March 31, 2021.</w:t>
      </w:r>
    </w:p>
    <w:p>
      <w:pPr>
        <w:spacing w:after="0" w:line="146"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balances for allowance for loan losses by loan type for three months ended March 31, 2022 and March 31,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(In Thousands)</w:t>
            </w:r>
          </w:p>
        </w:tc>
        <w:tc>
          <w:tcPr>
            <w:tcW w:w="146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2022</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March 31, 2021</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892</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20.90%</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624</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146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844</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9,573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46.34%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7,668</w:t>
            </w:r>
          </w:p>
        </w:tc>
        <w:tc>
          <w:tcPr>
            <w:tcW w:w="1460" w:type="dxa"/>
            <w:vAlign w:val="bottom"/>
          </w:tcPr>
          <w:p>
            <w:pPr>
              <w:jc w:val="right"/>
              <w:spacing w:after="0"/>
              <w:rPr>
                <w:sz w:val="20"/>
                <w:szCs w:val="20"/>
                <w:color w:val="auto"/>
              </w:rPr>
            </w:pPr>
            <w:r>
              <w:rPr>
                <w:rFonts w:ascii="Arial" w:cs="Arial" w:eastAsia="Arial" w:hAnsi="Arial"/>
                <w:sz w:val="18"/>
                <w:szCs w:val="18"/>
                <w:color w:val="auto"/>
              </w:rPr>
              <w:t>46.02%</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4,066</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12.66%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2,608</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4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167</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928</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16,771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14,425</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1,076</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1,052</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17,847</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15,477</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Noninterest income was down $648 thousand for the first quarter 2022 over the same time frame in 2021. The Company has seen a decrease in its mortgage production volume and the gain on the sale of these loans was $349 thousand lower for the first quarter 2022 over the same period in 2021. Loan originations on loans held for sale for the first quarter 2022 were $26.1 million with proceeds from sale at $28.5 million for 2022 compared to 2021’s first quarter activity of $35.5 million in originations and $36.8 million in sales. Loan originations driven by the refinance activity associated with the reduction in interest rates has slowed. The mortgages sold were both 1-4 family and agricultural real estate loans originated for sale.</w:t>
      </w: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760"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Combined service fees decreased by $6 thousand as compared to first quarter 2021. Debit card income increased by $89 thousand and bank owned life insurance cash surrender value increased $18 thousand. Also contributing to the increase was overdraft and returned check charges which increased $163 thousand compared to first quarter 2021. Service fee income for 1-4 family and agricultural real estate loans increased by $32 thousand while servicing rights income decreased $424 thousand.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2022 and 2021, mortgage servicing rights caused a net $45 and $124 thousand in income, respectively. The lower capitalized additions for 2022 are attributed to a lower loan origination level of 1-4 families. A low interest rate environment has helped to generate the mortgage refinance activity. For loans of 15 years and less, the market value of the mortgage servicing rights was 1.090% in the first quarter 2022 versus 1.115% in first quarter 2021. For loans over 15 years, the value was 1.336% versus a higher 1.369% for the same periods respectively. The carrying value is greater than the market value of $3.4 million. A valuation allowance of $414 thousand was established during 2021. During first quarter 2022, $134 thousand of the valuation allowance was reversed.</w:t>
      </w:r>
    </w:p>
    <w:p>
      <w:pPr>
        <w:spacing w:after="0" w:line="219"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5"/>
              </w:rPr>
              <w:t>Three Months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(In Thousands)</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3,571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Capitalized Additions</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3,616</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3,336</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quarter 2022, noninterest expenses were $1.1 million higher than for the same quarter in 2021. Salaries, wages, and employee benefits (includes normal merit increases, restricted stock expense, incentive payout and all employee benefits) increased $1.2 million in total. This was comprised of increased salaries of $1.1 million and increased benefits of $60 thousand with $330 thousand related to personnel gained through acquisitions. The first quarter of 2022 also saw the effects of the minimum living wage increasing to $13.50 per hour as compared to $12.50 per hour for the first quarter in 2021. Consulting fees decreased $45 thousand during the first quarter 2022 due to acquisition activity in 2021 that was not repeated in 2022. Although the assessment base increased for the first quarter of 2022 as compared to the same quarter in 2021, FDIC assessment expenses decreased $122 thousand due to a decreased assessment rate. Other general and administrative expenses increased $146 thousand as compared to first quarter 2021 primarily attributable to the Company’s overall growth for the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 expense was $891 thousand higher for the first quarter 2022 compared to the same quarter in 2021. Effective tax rates were 19.41% and 17.76% for first quarter 2022 and 2021 respectively. The lower effective tax rate for first quarter 2021 was the result of a $150 thousand credit adjustment for the over accrual of Indiana income tax. Excluding the adjustment, the effective rate was 20.27% for the first quarter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overall, net income in the first quarter of 2022 was up $3.2 million as compared to the same quarter last year. First quarter 2022 included a decrease of $1.1 million of loan loss provision as compared to first quarter 2021.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8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6"/>
          </w:tcPr>
          <w:p>
            <w:pPr>
              <w:jc w:val="center"/>
              <w:ind w:right="1480"/>
              <w:spacing w:after="0"/>
              <w:rPr>
                <w:sz w:val="20"/>
                <w:szCs w:val="20"/>
                <w:color w:val="auto"/>
              </w:rPr>
            </w:pPr>
            <w:r>
              <w:rPr>
                <w:rFonts w:ascii="Arial" w:cs="Arial" w:eastAsia="Arial" w:hAnsi="Arial"/>
                <w:sz w:val="18"/>
                <w:szCs w:val="18"/>
                <w:color w:val="auto"/>
                <w:w w:val="88"/>
              </w:rPr>
              <w:t>Interest Rate Shock</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80" w:type="dxa"/>
            <w:vAlign w:val="bottom"/>
            <w:gridSpan w:val="7"/>
          </w:tcPr>
          <w:p>
            <w:pPr>
              <w:jc w:val="center"/>
              <w:ind w:right="1200"/>
              <w:spacing w:after="0"/>
              <w:rPr>
                <w:sz w:val="20"/>
                <w:szCs w:val="20"/>
                <w:color w:val="auto"/>
              </w:rPr>
            </w:pPr>
            <w:r>
              <w:rPr>
                <w:rFonts w:ascii="Arial" w:cs="Arial" w:eastAsia="Arial" w:hAnsi="Arial"/>
                <w:sz w:val="18"/>
                <w:szCs w:val="18"/>
                <w:color w:val="auto"/>
                <w:w w:val="88"/>
              </w:rPr>
              <w:t>Interest Rate Shock</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136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80" w:type="dxa"/>
            <w:vAlign w:val="bottom"/>
            <w:gridSpan w:val="7"/>
          </w:tcPr>
          <w:p>
            <w:pPr>
              <w:jc w:val="center"/>
              <w:ind w:right="1220"/>
              <w:spacing w:after="0" w:line="196" w:lineRule="exact"/>
              <w:rPr>
                <w:sz w:val="20"/>
                <w:szCs w:val="20"/>
                <w:color w:val="auto"/>
              </w:rPr>
            </w:pPr>
            <w:r>
              <w:rPr>
                <w:rFonts w:ascii="Arial" w:cs="Arial" w:eastAsia="Arial" w:hAnsi="Arial"/>
                <w:sz w:val="18"/>
                <w:szCs w:val="18"/>
                <w:color w:val="auto"/>
                <w:w w:val="91"/>
              </w:rPr>
              <w:t>on Net Interest Income</w:t>
            </w:r>
          </w:p>
        </w:tc>
      </w:tr>
      <w:tr>
        <w:trPr>
          <w:trHeight w:val="20"/>
        </w:trPr>
        <w:tc>
          <w:tcPr>
            <w:tcW w:w="10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49"/>
        </w:trPr>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Net Interest</w:t>
            </w:r>
          </w:p>
        </w:tc>
        <w:tc>
          <w:tcPr>
            <w:tcW w:w="20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 Change to</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Rate</w:t>
            </w: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Rate</w:t>
            </w:r>
          </w:p>
        </w:tc>
        <w:tc>
          <w:tcPr>
            <w:tcW w:w="2060" w:type="dxa"/>
            <w:vAlign w:val="bottom"/>
            <w:gridSpan w:val="4"/>
          </w:tcPr>
          <w:p>
            <w:pPr>
              <w:jc w:val="center"/>
              <w:ind w:right="300"/>
              <w:spacing w:after="0"/>
              <w:rPr>
                <w:sz w:val="20"/>
                <w:szCs w:val="20"/>
                <w:color w:val="auto"/>
              </w:rPr>
            </w:pPr>
            <w:r>
              <w:rPr>
                <w:rFonts w:ascii="Arial" w:cs="Arial" w:eastAsia="Arial" w:hAnsi="Arial"/>
                <w:sz w:val="18"/>
                <w:szCs w:val="18"/>
                <w:color w:val="auto"/>
                <w:w w:val="93"/>
              </w:rPr>
              <w:t>Cumulative</w:t>
            </w:r>
          </w:p>
        </w:tc>
        <w:tc>
          <w:tcPr>
            <w:tcW w:w="19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 Change to</w:t>
            </w:r>
          </w:p>
        </w:tc>
      </w:tr>
      <w:tr>
        <w:trPr>
          <w:trHeight w:val="230"/>
        </w:trPr>
        <w:tc>
          <w:tcPr>
            <w:tcW w:w="204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Margin (Ratio)</w:t>
            </w:r>
          </w:p>
        </w:tc>
        <w:tc>
          <w:tcPr>
            <w:tcW w:w="20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Flat Rate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Direction</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Changes by</w:t>
            </w:r>
          </w:p>
        </w:tc>
        <w:tc>
          <w:tcPr>
            <w:tcW w:w="206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Total ($000)</w:t>
            </w:r>
          </w:p>
        </w:tc>
        <w:tc>
          <w:tcPr>
            <w:tcW w:w="560" w:type="dxa"/>
            <w:vAlign w:val="bottom"/>
          </w:tcPr>
          <w:p>
            <w:pPr>
              <w:spacing w:after="0"/>
              <w:rPr>
                <w:sz w:val="20"/>
                <w:szCs w:val="2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Flat Rate</w:t>
            </w:r>
          </w:p>
        </w:tc>
      </w:tr>
      <w:tr>
        <w:trPr>
          <w:trHeight w:val="223"/>
        </w:trPr>
        <w:tc>
          <w:tcPr>
            <w:tcW w:w="1180" w:type="dxa"/>
            <w:vAlign w:val="bottom"/>
            <w:tcBorders>
              <w:top w:val="single" w:sz="8" w:color="auto"/>
            </w:tcBorders>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4.03%</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88"/>
              </w:rPr>
              <w:t>16.52%</w:t>
            </w:r>
          </w:p>
        </w:tc>
        <w:tc>
          <w:tcPr>
            <w:tcW w:w="3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95,981</w:t>
            </w: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88"/>
              </w:rPr>
              <w:t>13.03%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3.90%</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12.96%</w:t>
            </w:r>
          </w:p>
        </w:tc>
        <w:tc>
          <w:tcPr>
            <w:tcW w:w="3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Rising</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93,388</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0"/>
              </w:rPr>
              <w:t>9.98%</w:t>
            </w:r>
          </w:p>
        </w:tc>
        <w:tc>
          <w:tcPr>
            <w:tcW w:w="12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3.74%</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8.13%</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90,125</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6.14%</w:t>
            </w:r>
          </w:p>
        </w:tc>
        <w:tc>
          <w:tcPr>
            <w:tcW w:w="120" w:type="dxa"/>
            <w:vAlign w:val="bottom"/>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3.45%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Flat</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84,915</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3.18%</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4"/>
              </w:rPr>
              <w:t>-8.06%</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80,101</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-5.67%</w:t>
            </w:r>
          </w:p>
        </w:tc>
        <w:tc>
          <w:tcPr>
            <w:tcW w:w="120" w:type="dxa"/>
            <w:vAlign w:val="bottom"/>
            <w:shd w:val="clear" w:color="auto" w:fill="CFF0FC"/>
          </w:tcPr>
          <w:p>
            <w:pPr>
              <w:spacing w:after="0"/>
              <w:rPr>
                <w:sz w:val="19"/>
                <w:szCs w:val="19"/>
                <w:color w:val="auto"/>
              </w:rPr>
            </w:pPr>
          </w:p>
        </w:tc>
      </w:tr>
      <w:tr>
        <w:trPr>
          <w:trHeight w:val="230"/>
        </w:trPr>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2.94%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-14.88%</w:t>
            </w:r>
          </w:p>
        </w:tc>
        <w:tc>
          <w:tcPr>
            <w:tcW w:w="3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76,297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2"/>
              </w:rPr>
              <w:t>-10.15%</w:t>
            </w:r>
          </w:p>
        </w:tc>
        <w:tc>
          <w:tcPr>
            <w:tcW w:w="120" w:type="dxa"/>
            <w:vAlign w:val="bottom"/>
          </w:tcPr>
          <w:p>
            <w:pPr>
              <w:spacing w:after="0"/>
              <w:rPr>
                <w:sz w:val="19"/>
                <w:szCs w:val="19"/>
                <w:color w:val="auto"/>
              </w:rPr>
            </w:pPr>
          </w:p>
        </w:tc>
      </w:tr>
      <w:tr>
        <w:trPr>
          <w:trHeight w:val="229"/>
        </w:trPr>
        <w:tc>
          <w:tcPr>
            <w:tcW w:w="1180" w:type="dxa"/>
            <w:vAlign w:val="bottom"/>
            <w:gridSpan w:val="2"/>
            <w:shd w:val="clear" w:color="auto" w:fill="CFF0FC"/>
          </w:tcPr>
          <w:p>
            <w:pPr>
              <w:jc w:val="center"/>
              <w:ind w:left="470"/>
              <w:spacing w:after="0"/>
              <w:rPr>
                <w:sz w:val="20"/>
                <w:szCs w:val="20"/>
                <w:color w:val="auto"/>
              </w:rPr>
            </w:pPr>
            <w:r>
              <w:rPr>
                <w:rFonts w:ascii="Arial" w:cs="Arial" w:eastAsia="Arial" w:hAnsi="Arial"/>
                <w:sz w:val="18"/>
                <w:szCs w:val="18"/>
                <w:color w:val="auto"/>
                <w:w w:val="90"/>
              </w:rPr>
              <w:t>2.69%</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-22.15%</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72,284</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2"/>
              </w:rPr>
              <w:t>-14.87%</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17"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shock chart currently shows a widening in net interest margin over the next twelve months in a rising rate environment and a tightening in a falling rate environment. With the rate decreases in the first quarter of 2020, the model predicts an expansion of net interest income at any level in a rising rate environment. The rising rate scenarios are predicted to expand the net interest margin and produce higher levels of net interest income. Cost of funds are at 0.45%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March 31, 2022.</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380" w:type="dxa"/>
            <w:vAlign w:val="bottom"/>
          </w:tcPr>
          <w:p>
            <w:pPr>
              <w:jc w:val="right"/>
              <w:ind w:right="130"/>
              <w:spacing w:after="0"/>
              <w:rPr>
                <w:sz w:val="20"/>
                <w:szCs w:val="20"/>
                <w:color w:val="auto"/>
              </w:rPr>
            </w:pPr>
            <w:r>
              <w:rPr>
                <w:rFonts w:ascii="Arial" w:cs="Arial" w:eastAsia="Arial" w:hAnsi="Arial"/>
                <w:sz w:val="18"/>
                <w:szCs w:val="18"/>
                <w:color w:val="auto"/>
              </w:rPr>
              <w:t>(a) Total Number of</w:t>
            </w:r>
          </w:p>
        </w:tc>
        <w:tc>
          <w:tcPr>
            <w:tcW w:w="1780" w:type="dxa"/>
            <w:vAlign w:val="bottom"/>
          </w:tcPr>
          <w:p>
            <w:pPr>
              <w:ind w:left="200"/>
              <w:spacing w:after="0"/>
              <w:rPr>
                <w:sz w:val="20"/>
                <w:szCs w:val="20"/>
                <w:color w:val="auto"/>
              </w:rPr>
            </w:pPr>
            <w:r>
              <w:rPr>
                <w:rFonts w:ascii="Arial" w:cs="Arial" w:eastAsia="Arial" w:hAnsi="Arial"/>
                <w:sz w:val="18"/>
                <w:szCs w:val="18"/>
                <w:color w:val="auto"/>
              </w:rPr>
              <w:t>(b) Average Price</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 Purchased</w:t>
            </w:r>
          </w:p>
        </w:tc>
        <w:tc>
          <w:tcPr>
            <w:tcW w:w="1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Paid per Share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1/1/2022 to 1/31/2022</w:t>
            </w:r>
          </w:p>
        </w:tc>
        <w:tc>
          <w:tcPr>
            <w:tcW w:w="2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600,000</w:t>
            </w:r>
          </w:p>
        </w:tc>
      </w:tr>
      <w:tr>
        <w:trPr>
          <w:trHeight w:val="229"/>
        </w:trPr>
        <w:tc>
          <w:tcPr>
            <w:tcW w:w="2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2/1/2022 to 2/28/2022</w:t>
            </w:r>
          </w:p>
        </w:tc>
        <w:tc>
          <w:tcPr>
            <w:tcW w:w="2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600,000</w:t>
            </w:r>
          </w:p>
        </w:tc>
      </w:tr>
      <w:tr>
        <w:trPr>
          <w:trHeight w:val="230"/>
        </w:trPr>
        <w:tc>
          <w:tcPr>
            <w:tcW w:w="2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3/1/2022 to 3/31/2022</w:t>
            </w:r>
          </w:p>
        </w:tc>
        <w:tc>
          <w:tcPr>
            <w:tcW w:w="238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600,000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600,000</w:t>
            </w:r>
          </w:p>
        </w:tc>
      </w:tr>
    </w:tbl>
    <w:p>
      <w:pPr>
        <w:spacing w:after="0" w:line="229" w:lineRule="exact"/>
        <w:rPr>
          <w:sz w:val="20"/>
          <w:szCs w:val="20"/>
          <w:color w:val="auto"/>
        </w:rPr>
      </w:pPr>
    </w:p>
    <w:p>
      <w:pPr>
        <w:jc w:val="both"/>
        <w:ind w:left="1120" w:hanging="370"/>
        <w:spacing w:after="0" w:line="255"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25, 2022. On that date, the Board of Directors authorized the repurchase of 600,000 common shares between January 25, 2022 and December 31, 2022.</w:t>
      </w:r>
    </w:p>
    <w:p>
      <w:pPr>
        <w:spacing w:after="0" w:line="2" w:lineRule="exact"/>
        <w:rPr>
          <w:rFonts w:ascii="Arial" w:cs="Arial" w:eastAsia="Arial" w:hAnsi="Arial"/>
          <w:sz w:val="18"/>
          <w:szCs w:val="18"/>
          <w:color w:val="auto"/>
        </w:rPr>
      </w:pPr>
    </w:p>
    <w:p>
      <w:pPr>
        <w:ind w:left="1120" w:hanging="370"/>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which are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tcBorders>
              <w:bottom w:val="single" w:sz="8" w:color="0000EE"/>
            </w:tcBorders>
            <w:gridSpan w:val="9"/>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Form 10-Q filed with the Commission on July 26, 2017).</w:t>
              </w:r>
            </w:hyperlink>
          </w:p>
        </w:tc>
        <w:tc>
          <w:tcPr>
            <w:tcW w:w="598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0100" w:type="dxa"/>
            <w:vAlign w:val="bottom"/>
            <w:gridSpan w:val="9"/>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Rule 13-a-14(a) Certification - CEO</w:t>
              </w:r>
            </w:hyperlink>
          </w:p>
        </w:tc>
        <w:tc>
          <w:tcPr>
            <w:tcW w:w="7480" w:type="dxa"/>
            <w:vAlign w:val="bottom"/>
            <w:gridSpan w:val="5"/>
          </w:tcPr>
          <w:p>
            <w:pPr>
              <w:spacing w:after="0"/>
              <w:rPr>
                <w:sz w:val="17"/>
                <w:szCs w:val="17"/>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Rule 13-a-14(a) Certification - CFO</w:t>
              </w:r>
            </w:hyperlink>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Section 1350 Certification - CEO</w:t>
              </w:r>
            </w:hyperlink>
          </w:p>
        </w:tc>
        <w:tc>
          <w:tcPr>
            <w:tcW w:w="180" w:type="dxa"/>
            <w:vAlign w:val="bottom"/>
            <w:tcBorders>
              <w:top w:val="single" w:sz="8" w:color="0000EE"/>
            </w:tcBorders>
          </w:tcPr>
          <w:p>
            <w:pPr>
              <w:spacing w:after="0"/>
              <w:rPr>
                <w:sz w:val="19"/>
                <w:szCs w:val="19"/>
                <w:color w:val="auto"/>
              </w:rPr>
            </w:pPr>
          </w:p>
        </w:tc>
        <w:tc>
          <w:tcPr>
            <w:tcW w:w="7500" w:type="dxa"/>
            <w:vAlign w:val="bottom"/>
            <w:gridSpan w:val="6"/>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Section 1350 Certification - CFO</w:t>
              </w:r>
            </w:hyperlink>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r>
      <w:tr>
        <w:trPr>
          <w:trHeight w:val="49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within the Inline XBRL document. </w:t>
            </w:r>
            <w:r>
              <w:rPr>
                <w:rFonts w:ascii="Arial" w:cs="Arial" w:eastAsia="Arial" w:hAnsi="Arial"/>
                <w:sz w:val="15"/>
                <w:szCs w:val="15"/>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r>
    </w:tbl>
    <w:p>
      <w:pPr>
        <w:spacing w:after="0" w:line="13" w:lineRule="exact"/>
        <w:rPr>
          <w:sz w:val="20"/>
          <w:szCs w:val="20"/>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2022, has been formatted in Inline XBRL.</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230" w:val="left"/>
        </w:tabs>
        <w:numPr>
          <w:ilvl w:val="0"/>
          <w:numId w:val="29"/>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April 29, 2022</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April 29, 2022</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58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3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2022,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2022,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April 29,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lvl w:ilvl="1">
      <w:lvlJc w:val="left"/>
      <w:lvlText w:val="%2."/>
      <w:numFmt w:val="lowerLetter"/>
      <w:start w:val="1"/>
    </w:lvl>
  </w:abstractNum>
  <w:abstractNum w:abstractNumId="11">
    <w:nsid w:val="2443A858"/>
    <w:multiLevelType w:val="hybridMultilevel"/>
    <w:lvl w:ilvl="0">
      <w:lvlJc w:val="left"/>
      <w:lvlText w:val="%1."/>
      <w:numFmt w:val="decimal"/>
      <w:start w:val="8"/>
    </w:lvl>
    <w:lvl w:ilvl="1">
      <w:lvlJc w:val="left"/>
      <w:lvlText w:val="%2."/>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o"/>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04"/>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88" Type="http://schemas.openxmlformats.org/officeDocument/2006/relationships/hyperlink" Target="http://www.sec.gov/Archives/edgar/data/792966/000119312517318709/d447990dex31.htm" TargetMode="External"/><Relationship Id="rId89" Type="http://schemas.openxmlformats.org/officeDocument/2006/relationships/hyperlink" Target="http://www.sec.gov/Archives/edgar/data/792966/000119312517235925/d422994dex32.htm" TargetMode="External"/><Relationship Id="rId90" Type="http://schemas.openxmlformats.org/officeDocument/2006/relationships/hyperlink" Target="http://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2022-04-29T13:01:31Z</dcterms:created>
  <dcterms:modified xsi:type="dcterms:W3CDTF">2022-04-29T13:01:31Z</dcterms:modified>
</cp:coreProperties>
</file>