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September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4"/>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6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20" w:type="dxa"/>
            <w:vAlign w:val="bottom"/>
          </w:tcPr>
          <w:p>
            <w:pPr>
              <w:jc w:val="center"/>
              <w:ind w:left="3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2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307 North Defiance Street, Archbold, Ohio</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2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600" w:type="dxa"/>
            <w:vAlign w:val="bottom"/>
          </w:tcPr>
          <w:p>
            <w:pPr>
              <w:spacing w:after="0"/>
              <w:rPr>
                <w:sz w:val="24"/>
                <w:szCs w:val="24"/>
                <w:color w:val="auto"/>
              </w:rPr>
            </w:pPr>
          </w:p>
        </w:tc>
        <w:tc>
          <w:tcPr>
            <w:tcW w:w="422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19"/>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192"/>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2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4"/>
        </w:trPr>
        <w:tc>
          <w:tcPr>
            <w:tcW w:w="7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19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13,749,944</w:t>
            </w:r>
          </w:p>
        </w:tc>
        <w:tc>
          <w:tcPr>
            <w:tcW w:w="780" w:type="dxa"/>
            <w:vAlign w:val="bottom"/>
          </w:tcPr>
          <w:p>
            <w:pPr>
              <w:spacing w:after="0"/>
              <w:rPr>
                <w:sz w:val="21"/>
                <w:szCs w:val="21"/>
                <w:color w:val="auto"/>
              </w:rPr>
            </w:pPr>
          </w:p>
        </w:tc>
      </w:tr>
      <w:tr>
        <w:trPr>
          <w:trHeight w:val="217"/>
        </w:trPr>
        <w:tc>
          <w:tcPr>
            <w:tcW w:w="1900" w:type="dxa"/>
            <w:vAlign w:val="bottom"/>
          </w:tcPr>
          <w:p>
            <w:pPr>
              <w:spacing w:after="0"/>
              <w:rPr>
                <w:sz w:val="18"/>
                <w:szCs w:val="18"/>
                <w:color w:val="auto"/>
              </w:rPr>
            </w:pPr>
          </w:p>
        </w:tc>
        <w:tc>
          <w:tcPr>
            <w:tcW w:w="5360" w:type="dxa"/>
            <w:vAlign w:val="bottom"/>
            <w:gridSpan w:val="2"/>
          </w:tcPr>
          <w:p>
            <w:pPr>
              <w:jc w:val="center"/>
              <w:ind w:right="3380"/>
              <w:spacing w:after="0"/>
              <w:rPr>
                <w:sz w:val="20"/>
                <w:szCs w:val="20"/>
                <w:color w:val="auto"/>
              </w:rPr>
            </w:pPr>
            <w:r>
              <w:rPr>
                <w:rFonts w:ascii="Times New Roman" w:cs="Times New Roman" w:eastAsia="Times New Roman" w:hAnsi="Times New Roman"/>
                <w:sz w:val="16"/>
                <w:szCs w:val="16"/>
                <w:color w:val="auto"/>
                <w:w w:val="97"/>
              </w:rPr>
              <w:t>Class</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Outstanding as of October 30, 2025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50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4"/>
        </w:trPr>
        <w:tc>
          <w:tcPr>
            <w:tcW w:w="660" w:type="dxa"/>
            <w:vAlign w:val="bottom"/>
          </w:tcPr>
          <w:p>
            <w:pPr>
              <w:spacing w:after="0"/>
              <w:rPr>
                <w:sz w:val="16"/>
                <w:szCs w:val="16"/>
                <w:color w:val="auto"/>
              </w:rPr>
            </w:pPr>
          </w:p>
        </w:tc>
        <w:tc>
          <w:tcPr>
            <w:tcW w:w="15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Form 10-Q Items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w w:val="91"/>
              </w:rPr>
              <w:t>Page</w:t>
            </w:r>
          </w:p>
        </w:tc>
      </w:tr>
      <w:tr>
        <w:trPr>
          <w:trHeight w:val="196"/>
        </w:trPr>
        <w:tc>
          <w:tcPr>
            <w:tcW w:w="660" w:type="dxa"/>
            <w:vAlign w:val="bottom"/>
          </w:tcPr>
          <w:p>
            <w:pPr>
              <w:spacing w:after="0"/>
              <w:rPr>
                <w:sz w:val="17"/>
                <w:szCs w:val="17"/>
                <w:color w:val="auto"/>
              </w:rPr>
            </w:pPr>
          </w:p>
        </w:tc>
        <w:tc>
          <w:tcPr>
            <w:tcW w:w="124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320" w:type="dxa"/>
            <w:vAlign w:val="bottom"/>
          </w:tcPr>
          <w:p>
            <w:pPr>
              <w:spacing w:after="0"/>
              <w:rPr>
                <w:sz w:val="17"/>
                <w:szCs w:val="17"/>
                <w:color w:val="auto"/>
              </w:rPr>
            </w:pPr>
          </w:p>
        </w:tc>
        <w:tc>
          <w:tcPr>
            <w:tcW w:w="22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5920" w:type="dxa"/>
            <w:vAlign w:val="bottom"/>
            <w:gridSpan w:val="12"/>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September 30, 2025 and December 31, 2024</w:t>
            </w:r>
          </w:p>
        </w:tc>
        <w:tc>
          <w:tcPr>
            <w:tcW w:w="20" w:type="dxa"/>
            <w:vAlign w:val="bottom"/>
            <w:tcBorders>
              <w:bottom w:val="single" w:sz="8" w:color="0000EE"/>
            </w:tcBorders>
          </w:tcPr>
          <w:p>
            <w:pPr>
              <w:spacing w:after="0"/>
              <w:rPr>
                <w:sz w:val="24"/>
                <w:szCs w:val="24"/>
                <w:color w:val="auto"/>
              </w:rPr>
            </w:pPr>
          </w:p>
        </w:tc>
        <w:tc>
          <w:tcPr>
            <w:tcW w:w="1900" w:type="dxa"/>
            <w:vAlign w:val="bottom"/>
            <w:gridSpan w:val="5"/>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Nine Months Ended September 30, 2025 and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2024</w:t>
            </w:r>
          </w:p>
        </w:tc>
        <w:tc>
          <w:tcPr>
            <w:tcW w:w="20" w:type="dxa"/>
            <w:vAlign w:val="bottom"/>
            <w:tcBorders>
              <w:bottom w:val="single" w:sz="8" w:color="0000EE"/>
            </w:tcBorders>
          </w:tcPr>
          <w:p>
            <w:pPr>
              <w:spacing w:after="0"/>
              <w:rPr>
                <w:sz w:val="17"/>
                <w:szCs w:val="17"/>
                <w:color w:val="auto"/>
              </w:rPr>
            </w:pPr>
          </w:p>
        </w:tc>
        <w:tc>
          <w:tcPr>
            <w:tcW w:w="6540" w:type="dxa"/>
            <w:vAlign w:val="bottom"/>
            <w:gridSpan w:val="17"/>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w:t>
            </w: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8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2025 and September 30, 2024</w:t>
            </w:r>
          </w:p>
        </w:tc>
        <w:tc>
          <w:tcPr>
            <w:tcW w:w="160" w:type="dxa"/>
            <w:vAlign w:val="bottom"/>
            <w:gridSpan w:val="3"/>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and Nine Months Ended</w:t>
            </w:r>
          </w:p>
        </w:tc>
        <w:tc>
          <w:tcPr>
            <w:tcW w:w="1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September 30, 2024</w:t>
            </w: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2025 and September</w:t>
            </w: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30, 2024</w:t>
            </w:r>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220" w:type="dxa"/>
            <w:vAlign w:val="bottom"/>
            <w:gridSpan w:val="9"/>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Qualitative and Quantitative Disclosures About Market Risk</w:t>
            </w:r>
          </w:p>
        </w:tc>
        <w:tc>
          <w:tcPr>
            <w:tcW w:w="2080" w:type="dxa"/>
            <w:vAlign w:val="bottom"/>
            <w:tcBorders>
              <w:top w:val="single" w:sz="8" w:color="0000FF"/>
            </w:tcBorders>
            <w:gridSpan w:val="3"/>
          </w:tcPr>
          <w:p>
            <w:pPr>
              <w:spacing w:after="0"/>
              <w:rPr>
                <w:sz w:val="24"/>
                <w:szCs w:val="24"/>
                <w:color w:val="auto"/>
              </w:rPr>
            </w:pPr>
          </w:p>
        </w:tc>
        <w:tc>
          <w:tcPr>
            <w:tcW w:w="1780" w:type="dxa"/>
            <w:vAlign w:val="bottom"/>
            <w:gridSpan w:val="4"/>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75</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420" w:type="dxa"/>
            <w:vAlign w:val="bottom"/>
            <w:gridSpan w:val="15"/>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5"/>
          </w:tcPr>
          <w:p>
            <w:pPr>
              <w:spacing w:after="0"/>
              <w:rPr>
                <w:sz w:val="24"/>
                <w:szCs w:val="24"/>
                <w:color w:val="auto"/>
              </w:rPr>
            </w:pPr>
          </w:p>
        </w:tc>
        <w:tc>
          <w:tcPr>
            <w:tcW w:w="6320" w:type="dxa"/>
            <w:vAlign w:val="bottom"/>
            <w:gridSpan w:val="14"/>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80" w:type="dxa"/>
            <w:vAlign w:val="bottom"/>
            <w:gridSpan w:val="8"/>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5"/>
          </w:tcPr>
          <w:p>
            <w:pPr>
              <w:spacing w:after="0"/>
              <w:rPr>
                <w:sz w:val="24"/>
                <w:szCs w:val="24"/>
                <w:color w:val="auto"/>
              </w:rPr>
            </w:pPr>
          </w:p>
        </w:tc>
        <w:tc>
          <w:tcPr>
            <w:tcW w:w="5840" w:type="dxa"/>
            <w:vAlign w:val="bottom"/>
            <w:gridSpan w:val="11"/>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79</w:t>
            </w:r>
          </w:p>
        </w:tc>
      </w:tr>
      <w:tr>
        <w:trPr>
          <w:trHeight w:val="317"/>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900" w:type="dxa"/>
            <w:vAlign w:val="bottom"/>
            <w:gridSpan w:val="20"/>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80</w:t>
            </w:r>
          </w:p>
        </w:tc>
      </w:tr>
      <w:tr>
        <w:trPr>
          <w:trHeight w:val="318"/>
        </w:trPr>
        <w:tc>
          <w:tcPr>
            <w:tcW w:w="66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81</w:t>
            </w:r>
          </w:p>
        </w:tc>
      </w:tr>
      <w:tr>
        <w:trPr>
          <w:trHeight w:val="320"/>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5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gridSpan w:val="26"/>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18"/>
                <w:szCs w:val="18"/>
                <w:color w:val="auto"/>
              </w:rPr>
            </w:pPr>
          </w:p>
        </w:tc>
      </w:tr>
      <w:tr>
        <w:trPr>
          <w:trHeight w:val="317"/>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24"/>
                <w:szCs w:val="24"/>
                <w:color w:val="auto"/>
              </w:rPr>
            </w:pPr>
          </w:p>
        </w:tc>
      </w:tr>
    </w:tbl>
    <w:p>
      <w:pPr>
        <w:spacing w:after="0" w:line="136"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60" w:type="dxa"/>
            <w:vAlign w:val="bottom"/>
          </w:tcPr>
          <w:p>
            <w:pPr>
              <w:spacing w:after="0"/>
              <w:rPr>
                <w:sz w:val="20"/>
                <w:szCs w:val="20"/>
                <w:color w:val="auto"/>
              </w:rPr>
            </w:pPr>
          </w:p>
        </w:tc>
        <w:tc>
          <w:tcPr>
            <w:tcW w:w="402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116,448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174,855</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117,030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176,351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422,773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426,556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 of allowance for credit losses of $27,475 and $25,826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2,632,668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33,828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servicing rights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35,602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34,872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42,453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45,181</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3,390,752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r>
        <w:trPr>
          <w:trHeight w:val="413"/>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500,742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516,904</w:t>
            </w: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NOW accounts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920,099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850,462</w:t>
            </w: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Savings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713,391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671,818</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617,679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647,581</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2,751,911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2,686,765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22,718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34,904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28,435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31,659</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3,028,972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3,029,512</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No par value authorized 40,000,000 shares 9/30/25 and</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20,000,000 shares 12/31/24; issued 14,564,425 shares 9/30/25 and</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12/31/24; outstanding 13,749,827 shares 9/30/25 and 13,699,536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shares 12/31/24</w:t>
            </w: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135,170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135,565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- 814,598 shares 9/30/25 and 864,889 shares 12/31/24</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251,181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235,854</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361,780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335,211</w:t>
            </w:r>
          </w:p>
        </w:tc>
        <w:tc>
          <w:tcPr>
            <w:tcW w:w="0" w:type="dxa"/>
            <w:vAlign w:val="bottom"/>
          </w:tcPr>
          <w:p>
            <w:pPr>
              <w:spacing w:after="0"/>
              <w:rPr>
                <w:sz w:val="1"/>
                <w:szCs w:val="1"/>
                <w:color w:val="auto"/>
              </w:rPr>
            </w:pP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3,390,752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-5859780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-4196715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-4179570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-2799715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-1967865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-13335</wp:posOffset>
            </wp:positionV>
            <wp:extent cx="2657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-116205</wp:posOffset>
            </wp:positionV>
            <wp:extent cx="2657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The December 31, 2024, Condensed Consolidated Balance Sheet has been derived from the audited Consolidated Balance Sheet as of that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 Except Per Share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0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color w:val="auto"/>
                <w:w w:val="99"/>
              </w:rPr>
              <w:t>Data)</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Municipalities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 funds sold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Borrowed funds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52,457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Recovery of Credit Losses - Off Balance Sheet Credit</w:t>
            </w:r>
          </w:p>
        </w:tc>
        <w:tc>
          <w:tcPr>
            <w:tcW w:w="100" w:type="dxa"/>
            <w:vAlign w:val="bottom"/>
          </w:tcPr>
          <w:p>
            <w:pPr>
              <w:spacing w:after="0"/>
              <w:rPr>
                <w:sz w:val="16"/>
                <w:szCs w:val="16"/>
                <w:color w:val="auto"/>
              </w:rPr>
            </w:pP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17"/>
        </w:trPr>
        <w:tc>
          <w:tcPr>
            <w:tcW w:w="5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Exposures</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Income - After Provision for Credit Losses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Customer service fees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Interchange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servicing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life insurance</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40" w:type="dxa"/>
            <w:vAlign w:val="bottom"/>
            <w:tcBorders>
              <w:top w:val="single" w:sz="8" w:color="CFF0FC"/>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noninterest income</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4,357</w:t>
            </w: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3,960</w:t>
            </w: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12,454</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11,622</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5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(continued)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-3051175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-3051175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-3051175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-985520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-985520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-985520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u w:val="single" w:color="auto"/>
          <w:color w:val="auto"/>
        </w:rPr>
        <w:t>(In Thousands, Except Per Share Data)</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825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680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5600"/>
        <w:spacing w:after="0"/>
        <w:tabs>
          <w:tab w:leader="none" w:pos="716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Thousands, Except Per Share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1774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774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360"/>
        <w:spacing w:after="0"/>
        <w:tabs>
          <w:tab w:leader="none" w:pos="184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sectPr>
          <w:pgSz w:w="11900" w:h="16838" w:orient="portrait"/>
          <w:cols w:equalWidth="0" w:num="2">
            <w:col w:w="7980" w:space="460"/>
            <w:col w:w="280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4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occupancy expense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processing</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Franchise taxes</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ATM expense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FDIC assessment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expense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8"/>
                <w:szCs w:val="18"/>
                <w:color w:val="auto"/>
              </w:rPr>
            </w:pPr>
          </w:p>
        </w:tc>
      </w:tr>
      <w:tr>
        <w:trPr>
          <w:trHeight w:val="210"/>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4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7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62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6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70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6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Declared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0.22750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0.22125</w:t>
            </w:r>
          </w:p>
        </w:tc>
        <w:tc>
          <w:tcPr>
            <w:tcW w:w="7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0.67000</w:t>
            </w:r>
          </w:p>
        </w:tc>
        <w:tc>
          <w:tcPr>
            <w:tcW w:w="62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0.66125</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-942340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-942340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-942340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-659765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-659765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-659765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-350520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-334010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-350520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-334010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-350520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-334010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 w:name="page6"/>
    <w:bookmarkEnd w:id="5"/>
    <w:p>
      <w:pPr>
        <w:ind w:right="490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40" w:type="dxa"/>
            <w:vAlign w:val="bottom"/>
          </w:tcPr>
          <w:p>
            <w:pPr>
              <w:spacing w:after="0"/>
              <w:rPr>
                <w:sz w:val="16"/>
                <w:szCs w:val="16"/>
                <w:color w:val="auto"/>
              </w:rPr>
            </w:pPr>
          </w:p>
        </w:tc>
        <w:tc>
          <w:tcPr>
            <w:tcW w:w="1360" w:type="dxa"/>
            <w:vAlign w:val="bottom"/>
            <w:gridSpan w:val="2"/>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6"/>
                <w:szCs w:val="16"/>
                <w:color w:val="auto"/>
              </w:rPr>
            </w:pPr>
          </w:p>
        </w:tc>
        <w:tc>
          <w:tcPr>
            <w:tcW w:w="1360" w:type="dxa"/>
            <w:vAlign w:val="bottom"/>
            <w:gridSpan w:val="2"/>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6,516</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23,516</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17,557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unrealized gain on available-for-sale</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14,223</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12,200</w:t>
            </w:r>
          </w:p>
        </w:tc>
        <w:tc>
          <w:tcPr>
            <w:tcW w:w="0" w:type="dxa"/>
            <w:vAlign w:val="bottom"/>
          </w:tcPr>
          <w:p>
            <w:pPr>
              <w:spacing w:after="0"/>
              <w:rPr>
                <w:sz w:val="1"/>
                <w:szCs w:val="1"/>
                <w:color w:val="auto"/>
              </w:rPr>
            </w:pPr>
          </w:p>
        </w:tc>
      </w:tr>
      <w:tr>
        <w:trPr>
          <w:trHeight w:val="198"/>
        </w:trPr>
        <w:tc>
          <w:tcPr>
            <w:tcW w:w="53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 loss on sale</w:t>
            </w:r>
          </w:p>
        </w:tc>
        <w:tc>
          <w:tcPr>
            <w:tcW w:w="100" w:type="dxa"/>
            <w:vAlign w:val="bottom"/>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unrealized gain on available-for-sale</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14,223</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12,200</w:t>
            </w:r>
          </w:p>
        </w:tc>
        <w:tc>
          <w:tcPr>
            <w:tcW w:w="0" w:type="dxa"/>
            <w:vAlign w:val="bottom"/>
          </w:tcPr>
          <w:p>
            <w:pPr>
              <w:spacing w:after="0"/>
              <w:rPr>
                <w:sz w:val="1"/>
                <w:szCs w:val="1"/>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expense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9,215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11,236</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9,638</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15,731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34,752</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27,195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2025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13,699,536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20,731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Forfeiture of 250 shares of restricted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13,725,998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(10,674)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350,792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39,525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- 3,400)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$0.2275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13,749,827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251,181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(13,987)</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361,780</w:t>
            </w:r>
          </w:p>
        </w:tc>
        <w:tc>
          <w:tcPr>
            <w:tcW w:w="10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-2382520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-2382520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-2382520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-2382520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-2382520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Earnings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Forfeiture of 1,200 shares of restricted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13,679,944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(28,589)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36,800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- 1,250)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13,702,593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230,465</w:t>
            </w:r>
          </w:p>
        </w:tc>
        <w:tc>
          <w:tcPr>
            <w:tcW w:w="140" w:type="dxa"/>
            <w:vAlign w:val="bottom"/>
          </w:tcPr>
          <w:p>
            <w:pPr>
              <w:spacing w:after="0"/>
              <w:rPr>
                <w:sz w:val="18"/>
                <w:szCs w:val="18"/>
                <w:color w:val="auto"/>
              </w:rPr>
            </w:pP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7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920" w:type="dxa"/>
            <w:vAlign w:val="bottom"/>
            <w:tcBorders>
              <w:top w:val="single" w:sz="8" w:color="auto"/>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stock awards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(44,991)</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(36,545)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other assets owned</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(5,061)</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8"/>
                <w:szCs w:val="18"/>
                <w:color w:val="auto"/>
              </w:rPr>
            </w:pPr>
          </w:p>
        </w:tc>
      </w:tr>
      <w:tr>
        <w:trPr>
          <w:trHeight w:val="210"/>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(32,825)</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(56,137)</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FHLB stock</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w:t>
            </w: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on loan originations and principal collections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45,672</w:t>
            </w:r>
          </w:p>
        </w:tc>
        <w:tc>
          <w:tcPr>
            <w:tcW w:w="100" w:type="dxa"/>
            <w:vAlign w:val="bottom"/>
            <w:shd w:val="clear" w:color="auto" w:fill="CFF0FC"/>
          </w:tcPr>
          <w:p>
            <w:pPr>
              <w:spacing w:after="0"/>
              <w:rPr>
                <w:sz w:val="18"/>
                <w:szCs w:val="18"/>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(75,773)</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16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(58,153)</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(17,650)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(8,993)</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(8,924)</w:t>
            </w: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(6,861)</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64,186</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(59,321)</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Pr>
          <w:p>
            <w:pPr>
              <w:spacing w:after="0"/>
              <w:rPr>
                <w:sz w:val="18"/>
                <w:szCs w:val="18"/>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117,030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-3505200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-1851025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920" w:type="dxa"/>
            <w:vAlign w:val="bottom"/>
            <w:tcBorders>
              <w:top w:val="single" w:sz="8" w:color="auto"/>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2025 are not necessarily indicative of the results that are expected for the year ended December 31, 2025. The condensed consolidated balance sheet of the Company as of December 31, 2024,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2024.</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Reclassification</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7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was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September 30,</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September 30,</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Goodwill of $7.9 million, which resulted from the acquisition, consists largely of the synergies and economies of scale expected from combining the operations of the Company and Ossian State Bank and is deductible for tax purposes over 15 years.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September 30,</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1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nine months ended September 30, 2024 was $1.2 million. Of the approximately $1.7 million to be expensed in 2025, $1.2 million has been expensed for the nine months ended September 30, 2025. Annual amortization of core deposit intangible assets is as follows: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9"/>
        </w:trPr>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1580" w:type="dxa"/>
            <w:vAlign w:val="bottom"/>
            <w:tcBorders>
              <w:bottom w:val="single" w:sz="8" w:color="CFF0FC"/>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2029</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9"/>
        </w:trPr>
        <w:tc>
          <w:tcPr>
            <w:tcW w:w="1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0"/>
        </w:trPr>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nine months ended September 30, 2024 was $92 thousand. Of the $123 thousand to be expensed in 2025, $92 thousand has been expensed for the nine months ended September 30, 2025. Annual amortization expense of customer list intangible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2025</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2026</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Borders>
              <w:bottom w:val="single" w:sz="8" w:color="CFF0FC"/>
            </w:tcBorders>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2027</w:t>
            </w:r>
          </w:p>
        </w:tc>
        <w:tc>
          <w:tcPr>
            <w:tcW w:w="2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-1010920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September 30, 2025 and December 31, 2024,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87,307</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140,990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135,883</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137,623</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64,408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61,960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440,478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422,773</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105,999</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144,660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135,166</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120,631</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69,159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64,760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458,484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426,556</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-2030730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-2030730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-2030730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With the exception of the fourth factor,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 This situation would require an immediate write down to fair value.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credit quality factors,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Company did not record an allowance for credit losses on its investment securities available for sale as the unrealized losses were attributable to changes in interest rates, not credit quality.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September 30, 2025 and December 31, 2024, aggregated by investment category and length of time that individual securities have been in a continuous loss position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64,857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64,857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124,120</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(8,254)</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69,976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76,421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54,244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55,610</w:t>
            </w:r>
          </w:p>
        </w:tc>
      </w:tr>
      <w:tr>
        <w:trPr>
          <w:trHeight w:val="22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7,811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(18,739)</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313,197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321,008</w:t>
            </w:r>
          </w:p>
        </w:tc>
      </w:tr>
      <w:tr>
        <w:trPr>
          <w:trHeight w:val="20"/>
        </w:trPr>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31,533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8"/>
              </w:rPr>
              <w:t>(4,948)</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62,151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93,684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(9,494)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51,236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118,113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(4,203)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61,722</w:t>
            </w:r>
          </w:p>
        </w:tc>
      </w:tr>
      <w:tr>
        <w:trPr>
          <w:trHeight w:val="230"/>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91,400</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(30,631)</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313,454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404,854</w:t>
            </w:r>
          </w:p>
        </w:tc>
      </w:tr>
      <w:tr>
        <w:trPr>
          <w:trHeight w:val="20"/>
        </w:trPr>
        <w:tc>
          <w:tcPr>
            <w:tcW w:w="2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-1876425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-1859280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-1876425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-1859280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-1876425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-1859280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-1876425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-1859280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-1859280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Proceeds from sales of securities totaled $1.4 million during the nine months ended September 30, 2025, resulting in no gross gains or losses. There were no sales of securities during the nine months ended September 30, 2024. There were no gross realized gains or losses for the three and nine months ended September 30, 2025 and September 30, 2024.</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Net realized gains (losses) on sales and related tax expense (benefit) are reclassified out of accumulated other comprehensive income (loss). The net realized gains (losses) are included in net gain (loss) on sale of available-for-sale securities and the related tax expense (benefit) is included in income taxes in the condensed consolidated statements of income and comprehensive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2025, by contractual maturity, are shown below. Expected maturities will differ from contractual maturities because borrowers may have the right to call or prepay obligations with or without call or prepayment penalties.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3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64,557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209,021</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285,150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137,623</w:t>
            </w:r>
          </w:p>
        </w:tc>
      </w:tr>
      <w:tr>
        <w:trPr>
          <w:trHeight w:val="249"/>
        </w:trPr>
        <w:tc>
          <w:tcPr>
            <w:tcW w:w="3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440,478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$238.1 million and $221.9 million at September 30, 2025 and December 31, 2024, respectively, were pledged to secure public deposits and securities sold under repurchase agreements. Investments with a carrying value of $29.0 million and $29.9 million were pledged to the Federal Reserve's Discount Window to provide additional borrowing capacity at September 30, 2025 and December 31, 2024, respectively.</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$11.5 million as of September 30, 2025 and $14.4 million as of December 31,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September 30, 2025 and December 31, 2024 are summarized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9"/>
              </w:rPr>
              <w:t>September 30, 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8"/>
              </w:rPr>
              <w:t>December 31, 2024</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Consumer Real Estate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522,416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520,114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216,401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179,361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152,080</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1,355,166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1,310,811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296,084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275,152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63,009</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24,086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2,659,727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2,562,545</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8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2,658,275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2,560,795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Plus: Basis adjustment related to fair value hedges</w:t>
            </w:r>
          </w:p>
        </w:tc>
        <w:tc>
          <w:tcPr>
            <w:tcW w:w="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 Net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2,632,668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-873760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-591185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02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break out of fixed rate loans and variable rate loans by portfolio segment is as follows as of September 30,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09"/>
        </w:trPr>
        <w:tc>
          <w:tcPr>
            <w:tcW w:w="36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Fixed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Fixed</w:t>
            </w:r>
          </w:p>
        </w:tc>
        <w:tc>
          <w:tcPr>
            <w:tcW w:w="46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272,560</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249,856</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305,062</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215,052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108,445</w:t>
            </w:r>
          </w:p>
        </w:tc>
        <w:tc>
          <w:tcPr>
            <w:tcW w:w="4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113,700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118,808</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97,593</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49,321</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130,040</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54,099</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97,981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863,683</w:t>
            </w:r>
          </w:p>
        </w:tc>
        <w:tc>
          <w:tcPr>
            <w:tcW w:w="4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491,483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934,197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376,614</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118,175</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177,909</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148,542</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126,610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60,439</w:t>
            </w:r>
          </w:p>
        </w:tc>
        <w:tc>
          <w:tcPr>
            <w:tcW w:w="4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62,977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14,657</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9,429</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15,270</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9,708</w:t>
            </w:r>
          </w:p>
        </w:tc>
      </w:tr>
    </w:tbl>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Variable rate loans that have reached ceiling or floor limits are reported as fixed rate loans until such time as their rates adjust away from those limits.</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one to four family residential mortgage loans amounting to $178.6 million and $190.1 million, respectively, and HELOC loans amounting to $14.9 million and $11.9 million, respectively, have been pledged as security for future loans and existing loans the Bank has received from the Federal Home Loan Bank "FHLB". The Bank has also pledged eligible commercial real estate loans of $223.0 million and $369.5 million as of September 30, 2025 and December 31, 2024, respectively, to the FHLB. During the second quarter of 2024, the Bank began pledging eligible multi-family real estate loans to the FHLB which amounted to $33.0 million and $47.7 million as of September 30, 2025 and December 31, 2024,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contractual aging at amortized cost in past due loans by portfolio segment as of September 30, 2025 and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518,821</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522,930</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221,923</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1,352,260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1,352,690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295,517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295,815</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61,132</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2,652,387</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516,753</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520,392</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152,258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152,381</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1,307,906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1,308,461</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274,635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274,819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2,555,197</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2,560,795</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-3119755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-3119755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-3119755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-3119755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-1010920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of nonaccrual loans by portfolio segment as of September 30, 2025 and as of December 31, 2024:</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-2142490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-2125345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-2288540</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-2142490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-2125345</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-2288540</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-2142490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-2288540</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recognized interest income of $33 thousand and $85 thousand for the three and nine months ended September 30, 2025 on nonaccrual loans. The Company recognized interest income of $28 thousand and $69 thousand on nonaccrual loans for the three and nine months ended September 30, 2024.</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portfolio segment of loan the Bank offers: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ectPr>
          <w:pgSz w:w="11900" w:h="16838" w:orient="portrait"/>
          <w:cols w:equalWidth="0" w:num="1">
            <w:col w:w="11240"/>
          </w:cols>
          <w:pgMar w:left="320" w:top="769"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weaknesses are considered “potential” versus “defined” impairments to the primary source of loan repayment and collateral.</w:t>
      </w:r>
    </w:p>
    <w:p>
      <w:pPr>
        <w:spacing w:after="0" w:line="117"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117" w:lineRule="exact"/>
        <w:rPr>
          <w:rFonts w:ascii="Times New Roman" w:cs="Times New Roman" w:eastAsia="Times New Roman" w:hAnsi="Times New Roman"/>
          <w:sz w:val="18"/>
          <w:szCs w:val="18"/>
          <w:color w:val="auto"/>
        </w:rPr>
      </w:pPr>
    </w:p>
    <w:p>
      <w:pPr>
        <w:ind w:left="2620" w:hanging="366"/>
        <w:spacing w:after="0" w:line="261"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at amortized cost, by portfolio segment and year of origination, based on the most recent analysis performed as of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155,90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440,22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517,84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72,918</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84,269</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157,62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445,13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522,93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73,421</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85,851</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76,772</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213,76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20,954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91,857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221,83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22,020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92,228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106,98</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162,50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121,25</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179,69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8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162,67</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144,05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174,60</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374,78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195,26</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198,13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1,249,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165,75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144,05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223,84</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401,19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209,28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208,56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153,15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128,24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11,838</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141,05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12,035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15,491</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15,491</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-3822700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-3839845</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-3822700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-3839845</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-3822700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-3839845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-3822700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-3839845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-3822700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-3839845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-3822700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-3839845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-3822700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-3839845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-3822700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-2571115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-2571115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-2571115</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-2571115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-2571115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-2571115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-2571115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-2125345</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-2125345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-2125345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-2125345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-2125345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-2125345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-2125345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106,00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454,87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64,316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79,503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89,800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74,996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61,097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458,78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64,555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80,069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91,137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75,461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61,352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216,04</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5,616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52,527</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tcBorders>
              <w:lef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152,38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52,598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99,783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200,19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413,10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110,43</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188,23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12,590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34,299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34,877</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234,49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425,69</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156,00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113,44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54,581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157,21</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55,066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15,235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-3977005</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-3959860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-3977005</wp:posOffset>
            </wp:positionV>
            <wp:extent cx="774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-3959860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-3977005</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-3959860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-3977005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-3959860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-3977005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-3959860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-3977005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-3959860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-3977005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-3959860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-3959860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-2708275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-2708275</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-2708275</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-2708275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-2708275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-2708275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-2708275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-2262505</wp:posOffset>
            </wp:positionV>
            <wp:extent cx="768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-2262505</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-2262505</wp:posOffset>
            </wp:positionV>
            <wp:extent cx="768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-2262505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-2262505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-2262505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-1130935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-1130935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-1130935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-1130935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-1130935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consumer loans, the Company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as of September 30, 2025 and December 31, 2024 by year of origination.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60,603</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rPr>
              <w:t>December 31, 2024</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13,437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27,264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63,031</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63,508</w:t>
            </w: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13,477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27,304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5,952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63,150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63,627</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534"/>
        </w:trPr>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-3548380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-3531235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-3531235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-3548380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-3548380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-3531235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-3531235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-3548380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-3531235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-1010920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-993775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-1010920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-993775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-1010920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-993775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-1010920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-993775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-1010920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-993775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-1010920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-993775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September 30, 2025 and December 31, 2024:</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-2014220</wp:posOffset>
            </wp:positionV>
            <wp:extent cx="431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and nine months ended September 30, 2025 and 2024, there were no new loan modifications to borrowers experiencing financial difficulty.</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there were no modifications to borrowers experiencing financial difficulty that subsequently defaulted after modification.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periodically evaluates collateral asset values for collateral dependent loans to determine fair value and to measure any anticipated shortfall.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whether a partial or full loan balance. A charge-off in whole or in part is realized when unsecured consumer loans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is completed on all home loans in litigation and any deficiency is charged off before reaching 150 days delinquent. Commercial and agricultural credits are charged down/allocated at 120 days delinquency, unless an established and approved work-out plan is in place or litigation of the credit is likely to result in recovery of the loan balance. Upon notification of bankruptcy, unsecured debt is charged off. Additional charge-off is realized as further unsecured positions are recognized.</w:t>
      </w:r>
    </w:p>
    <w:p>
      <w:pPr>
        <w:spacing w:after="0" w:line="19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no foreclosed residential real estate property obtained by physical possession and $944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$1.3 million of consumer mortgage loans secured by residential real estate properties for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which foreclosure proceeding were in process according to local jurisdictions as of December 31, 2024. As of September 30, 2024, the Company had no foreclosed residential real estate property obtained by physical possession and $755 thousand of consumer mortgage loans secured by residential real estate properties for which foreclosure proceedings were in process according to local jurisdictions.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accounts for the allowance for credit losses in accordance with Accounting Standards Update ("ASU") No. 2016-13 - "Financial Instruments - Credit Losses (Topic 326): Measurement of Credit Losses on Financial Instruments" and uses the current expected credit losses accounting standard. As a result, in 2023, the Company recorded a one-time adjustment from equity into the allowance for credit losses on loans and unfunded commitments in the amount of $4.5 million, or $3.4 million, net of tax.</w:t>
      </w:r>
    </w:p>
    <w:p>
      <w:pPr>
        <w:spacing w:after="0" w:line="15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$609 thousand and $1.9 million as of September 30, 2025 and December 31, 2024, respectively, related to the acquisitions of Ossian State Bank and Perpetual Federal Savings Bank in 2021 and Peoples Federal Savings and Loan Bank in 2022 as previously discussed in Note 2.</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activity within the ACL for each portfolio segment and shows the contribution provided by both the recoveries and the provision along with the reduction of the allowance caused by charge-offs for the three and nine months ended September 30, 2025 and September 30, 2024 in addition to the activity within the ACL for each portfolio segment and ending balances as of and for the year ended 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bottom w:val="single" w:sz="8" w:color="auto"/>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Borders>
              <w:bottom w:val="single" w:sz="8" w:color="auto"/>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losses-loans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3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-1002030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-985520</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-1148080</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-1002030</wp:posOffset>
            </wp:positionV>
            <wp:extent cx="774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-985520</wp:posOffset>
            </wp:positionV>
            <wp:extent cx="774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-1148080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-1002030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-985520</wp:posOffset>
            </wp:positionV>
            <wp:extent cx="768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-1148080</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-1002030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-985520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-1148080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-1002030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-1148080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-1002030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-985520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-1002030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-985520</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-1148080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-5219700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-5202555</wp:posOffset>
            </wp:positionV>
            <wp:extent cx="77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-5365750</wp:posOffset>
            </wp:positionV>
            <wp:extent cx="774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-5219700</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-5202555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-5365750</wp:posOffset>
            </wp:positionV>
            <wp:extent cx="7747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-5219700</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-5202555</wp:posOffset>
            </wp:positionV>
            <wp:extent cx="768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-5365750</wp:posOffset>
            </wp:positionV>
            <wp:extent cx="768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-5219700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-5202555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-5365750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-5219700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-5202555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-5365750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-5219700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-5202555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-5365750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-5219700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-5202555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-5365750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-5202555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-2973705</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-2956560</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-3119755</wp:posOffset>
            </wp:positionV>
            <wp:extent cx="7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-2973705</wp:posOffset>
            </wp:positionV>
            <wp:extent cx="774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-2956560</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-3119755</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-2973705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-2956560</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-3119755</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-2973705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-2956560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-3119755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-2973705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-2956560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-3119755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-2973705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-2956560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-3119755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-2973705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-2956560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-3119755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-864870</wp:posOffset>
            </wp:positionV>
            <wp:extent cx="774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-847725</wp:posOffset>
            </wp:positionV>
            <wp:extent cx="774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-864870</wp:posOffset>
            </wp:positionV>
            <wp:extent cx="774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-847725</wp:posOffset>
            </wp:positionV>
            <wp:extent cx="774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-864870</wp:posOffset>
            </wp:positionV>
            <wp:extent cx="768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-847725</wp:posOffset>
            </wp:positionV>
            <wp:extent cx="768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-847725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-847725</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-847725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-847725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activity in the AULC for the three and nine months ended September 30, 2025 and September 30, 2024 in addition to the activity in the AULC and ending balances as of and for the year ended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-2956560</wp:posOffset>
            </wp:positionV>
            <wp:extent cx="514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0"/>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-2957195</wp:posOffset>
            </wp:positionV>
            <wp:extent cx="514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$362.8, $366.0 and $364.3 million at September 30, 2025 and 2024 and at December 31, 2024, respectively. Unpaid principal balances of agricultural real estate loans serviced for others were $152.3, $140.3 and $141.9 million at September 30, 2025 and 2024 and at December 31, 2024,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September 30, 2025 and 2024 and at December 31, 2024 for 1-4 family real estate loans, was $3.6 million, $3.5 million and $3.5 million, respectively. Agricultural real estate loan servicing rights were $2.4, $2.2 and $2.2 million at September 30, 2025 and 2024 and at December 31, 2024,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September 30, 2025 and 2024 was $4.7 million and $5.2 million, respectively, and at December 31, 2024 was $4.8 million. Capitalized servicing rights for agricultural real estate loans had a fair value of $2.0 million and $2.7 million as of September 30, 2025 and 2024, respectively, and was $2.7 million at December 31, 2024.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8.7% and 7.2% were utilized at September 30, 2025 and 2024, respectively, and 8.1% at December 31, 2024. Agricultural real estate loans utilize an average constant prepayment rate based on the Bank's last twelve months of data. The average constant prepayment rate was 0.715% and 0.156% for fixed rate agricultural real estate loans at September 30, 2025 and 2024, respectively, compared to 0.184% at December 31, 2024. At September 30, 2025, two 1-4 family real estate strata, which included 73 of the total 3,620 loans, were slightly below the carrying value using a discount yield of 5.43% which resulted in the need to establish a $5 thousand valuation allowance. At September 30, 2025, the carrying value of all fourteen agricultural real estate strata, which included 652 loans, using an approximate discount rate of 8.16% were lower than the fair value requiring a $454 thousand valuation allowance to be established.</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presents the activity in the mortgage servicing rights for the three and nine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9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50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r>
      <w:tr>
        <w:trPr>
          <w:trHeight w:val="191"/>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r>
      <w:tr>
        <w:trPr>
          <w:trHeight w:val="234"/>
        </w:trPr>
        <w:tc>
          <w:tcPr>
            <w:tcW w:w="5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top w:val="single" w:sz="8" w:color="CFF0FC"/>
            </w:tcBorders>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top w:val="single" w:sz="8" w:color="CFF0FC"/>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-454025</wp:posOffset>
            </wp:positionV>
            <wp:extent cx="768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-454025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-454025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98"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stock-based compensation plans.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Directors, whether outside or also an officer of the Company or the Bank, as a portion of their retainer for services rendered. The Committee believes that it is appropriate to award the Directors shares equal to a specific dollar amount, rounded to the nearest whole share on an annual basis commencing in June of 2020 and thereafter on the first Thursday of June. Directors receive a prorated dollar value of shares for a partial year of service. The value for the shares is to be based upon the prior day closing price. On June 5, 2025, ten directors each received $17,496 which equated to 762 shares and one director received $6,704 which equated to 292 shares. On July 29, 2025, one new Director received 288 prorated shares worth approximately $7,436. On June 6, 2024, twelve directors each received $15,007 which equated to 716 shares and one director received $5,911 which equated to 282 shares. On December 5, 2024, one new Director received 54 prorated shares worth approximately $1,730. The use of stock for Directors’ retainer, does not have an effect on diluted earnings per share as it is immediately vested.</w:t>
      </w:r>
    </w:p>
    <w:p>
      <w:pPr>
        <w:spacing w:after="0" w:line="161"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officers receiving any awards in August. On March 1, 2025, senior management received stock awards of 19,767 shares worth $508,012 while other officers received stock awards of 39,525 shares worth slightly more than $1.0 million in August of 2025. On March 1, 2024, senior management received stock awards of 23,369 shares worth $472,054 while other officers received stock awards of 36,800 shares worth $979,616 during third quarter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278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28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8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26"/>
        </w:trPr>
        <w:tc>
          <w:tcPr>
            <w:tcW w:w="45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7"/>
                <w:szCs w:val="17"/>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13"/>
        </w:trPr>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13,733,858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13,687,119</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13,720,168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13,679,955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5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(158,748)</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(168,174)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(159,823)</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13,566,565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13,528,371</w:t>
            </w: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13,551,994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13,520,132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-2022475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-2005330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-2022475</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-2005330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-2022475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-2005330</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-1302385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-1285240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-1302385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-1285240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-1285240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September 30, 2025</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2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Value Hedging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Value Hedging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the Hedged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Hedged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 Included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221,242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249,127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September 30, 2025 and December 31, 2024, identified by the underlying interest rate-sensitive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(1,725)</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September 30, 2025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6"/>
                <w:szCs w:val="16"/>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(1,725)</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December 31, 2024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-2562225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-2562225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-2562225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-2562225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-2562225</wp:posOffset>
            </wp:positionV>
            <wp:extent cx="1200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-1148080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-1148080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-1148080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-1148080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-1148080</wp:posOffset>
            </wp:positionV>
            <wp:extent cx="1117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$2.3 million of cash collateral to counterparties as security for its obligations related to these interest rate swap transactions at both September 30, 2025 and December 31, 2024. Collateral posted and received is dependent on the market valuation of the underlying hedges.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8"/>
                <w:szCs w:val="18"/>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r>
      <w:tr>
        <w:trPr>
          <w:trHeight w:val="41"/>
        </w:trPr>
        <w:tc>
          <w:tcPr>
            <w:tcW w:w="54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-753745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and nine months ended September 30, 2025 and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6"/>
                <w:szCs w:val="16"/>
                <w:color w:val="auto"/>
              </w:rPr>
            </w:pPr>
          </w:p>
        </w:tc>
        <w:tc>
          <w:tcPr>
            <w:tcW w:w="144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6"/>
                <w:szCs w:val="16"/>
                <w:color w:val="auto"/>
              </w:rPr>
            </w:pP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r>
      <w:tr>
        <w:trPr>
          <w:trHeight w:val="40"/>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4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the balance of the Company's investments in qualified affordable housing projects was $3.2 million and $3.6 million, respectively. This balance is reflected in the other assets line on the condensed consolidated balance sheets. The unfunded commitments related to the investments in qualified housing projects totaled $430 and $880 thousand at September 30, 2025 and December 31, 2024, respectively. These balances are reflected in the accrued expense and other liabilities line on the condensed consolidated balance sheets.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incur any impairment losses related to its investments in qualified affordable housing projects in 2025 or 2024.</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investments in qualified affordable housing projects as of September 30, 2025 and December 31, 2024 along with the related expenses and tax credits recognized for the three and nine months ended September 30, 2025 and September 30,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r>
      <w:tr>
        <w:trPr>
          <w:trHeight w:val="210"/>
        </w:trPr>
        <w:tc>
          <w:tcPr>
            <w:tcW w:w="42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Low-income-housing tax credit investments</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2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funded low-income-housing tax credit investments</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FF0FC"/>
          </w:tcPr>
          <w:p>
            <w:pPr>
              <w:spacing w:after="0"/>
              <w:rPr>
                <w:sz w:val="21"/>
                <w:szCs w:val="21"/>
                <w:color w:val="auto"/>
              </w:rPr>
            </w:pPr>
          </w:p>
        </w:tc>
      </w:tr>
      <w:tr>
        <w:trPr>
          <w:trHeight w:val="602"/>
        </w:trPr>
        <w:tc>
          <w:tcPr>
            <w:tcW w:w="25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9"/>
        </w:trPr>
        <w:tc>
          <w:tcPr>
            <w:tcW w:w="2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5"/>
          </w:tcPr>
          <w:p>
            <w:pPr>
              <w:jc w:val="right"/>
              <w:ind w:right="9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6"/>
          </w:tcPr>
          <w:p>
            <w:pPr>
              <w:jc w:val="right"/>
              <w:ind w:right="10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recognized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-1130935</wp:posOffset>
            </wp:positionV>
            <wp:extent cx="603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032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-1130935</wp:posOffset>
            </wp:positionV>
            <wp:extent cx="603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-723265</wp:posOffset>
            </wp:positionV>
            <wp:extent cx="85090" cy="1797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-723265</wp:posOffset>
            </wp:positionV>
            <wp:extent cx="85725" cy="1797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are valued using the quoted price and are classified as Level 1.</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11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three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September 30, 2025 and December 31, 2024, segregated by level within the fair value hierarchy utilized to measure fair value: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4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80" w:type="dxa"/>
            <w:vAlign w:val="bottom"/>
            <w:tcBorders>
              <w:right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20,292</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306,783</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115,131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120,631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63,133</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126,034</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298,895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-2091055</wp:posOffset>
            </wp:positionV>
            <wp:extent cx="603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032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-2091055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-281940</wp:posOffset>
            </wp:positionV>
            <wp:extent cx="603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596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-281940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nine months ended September 30, 2025 and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8"/>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1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gridSpan w:val="10"/>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Tax-Exempt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Taxable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2025</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Maturities &amp; Calls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114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-1148080</wp:posOffset>
            </wp:positionV>
            <wp:extent cx="5143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-1148080</wp:posOffset>
            </wp:positionV>
            <wp:extent cx="5143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-865505</wp:posOffset>
            </wp:positionV>
            <wp:extent cx="5143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-847725</wp:posOffset>
            </wp:positionV>
            <wp:extent cx="5143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-865505</wp:posOffset>
            </wp:positionV>
            <wp:extent cx="514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-847725</wp:posOffset>
            </wp:positionV>
            <wp:extent cx="5143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-865505</wp:posOffset>
            </wp:positionV>
            <wp:extent cx="514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July 1, 2024</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2024</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29743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-4954270</wp:posOffset>
            </wp:positionV>
            <wp:extent cx="5700395" cy="137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-4679950</wp:posOffset>
            </wp:positionV>
            <wp:extent cx="5700395" cy="1371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-4405630</wp:posOffset>
            </wp:positionV>
            <wp:extent cx="5700395" cy="1454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-4122420</wp:posOffset>
            </wp:positionV>
            <wp:extent cx="5700395" cy="1625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-2974340</wp:posOffset>
            </wp:positionV>
            <wp:extent cx="5700395" cy="1371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-2699385</wp:posOffset>
            </wp:positionV>
            <wp:extent cx="5700395" cy="1371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-2425065</wp:posOffset>
            </wp:positionV>
            <wp:extent cx="5700395" cy="146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-2142490</wp:posOffset>
            </wp:positionV>
            <wp:extent cx="5700395" cy="16319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460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-162560</wp:posOffset>
            </wp:positionV>
            <wp:extent cx="5700395" cy="16319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September 30, 2025 and December 31, 2024,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fair value of collateral dependent loans categorized as Level 3 was $4.6 million and $3.0 million, respectively. The specific allocation for collateral dependent loans was $389 thousand as of September 30, 2025 and $52 thousand as of December 31, 2024. The specific allocations are accounted for in the allowance for credit losses (see Note 4).</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During 2025 and 2024,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$459 thousand ($5 thousand on 1-4 family real estate loans and $454 thousand on agricultural real estate loans) at September 30, 2025 compared to $97 thousand ($2 thousand on 1-4 family real estate loans and $95 thousand on agricultural real estate loans) at December 31, 2024.</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September 30,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rPr>
              <w:t>Assets Measured at Fair Value on a Nonrecurring Basis at September 30, 2025</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FF0FC"/>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0"/>
                <w:szCs w:val="20"/>
                <w:color w:val="auto"/>
              </w:rPr>
            </w:pPr>
          </w:p>
        </w:tc>
      </w:tr>
      <w:tr>
        <w:trPr>
          <w:trHeight w:val="630"/>
        </w:trPr>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2024</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2,988</w:t>
            </w: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522"/>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Thousands)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3.12-3.91%</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20.00-20.00%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15.10-540.99%</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(18.79%)</w:t>
            </w:r>
          </w:p>
        </w:tc>
      </w:tr>
      <w:tr>
        <w:trPr>
          <w:trHeight w:val="64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-3.61-4.52%</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1,627</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(4.33%)</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2,988</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9.36-618.70%</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(107.90%)</w:t>
            </w: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September 30, 2025 and December 31, 2024 are reflected below. The aggregate fair values in the table below do not represent the total fair value of the Bank’s assets and liabilities. The table excludes the following: available-for-sale securities, premises and equipment, derivatives (which are included in other assets or other liabilities), goodwill, loan servicing rights, bank owned life insurance, other assets, dividends payable, accrued expenses and other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6"/>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left="69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2,606,274</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500,742</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500,742</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1,633,490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1,633,382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1,633,382</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616,278</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2,751,911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2,750,402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500,742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2,249,660</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188,811</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20"/>
                <w:szCs w:val="20"/>
                <w:color w:val="auto"/>
              </w:rPr>
            </w:pPr>
          </w:p>
        </w:tc>
      </w:tr>
      <w:tr>
        <w:trPr>
          <w:trHeight w:val="414"/>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2,686,765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2,682,850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2,165,946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0"/>
                <w:szCs w:val="20"/>
                <w:color w:val="auto"/>
              </w:rPr>
            </w:pPr>
          </w:p>
        </w:tc>
      </w:tr>
      <w:tr>
        <w:trPr>
          <w:trHeight w:val="522"/>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September 30, 2025 or at December 31, 2024. Securities sold under agreement to repurchase were as follows at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42"/>
        </w:trPr>
        <w:tc>
          <w:tcPr>
            <w:tcW w:w="48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20"/>
        </w:trPr>
        <w:tc>
          <w:tcPr>
            <w:tcW w:w="4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521"/>
        </w:trPr>
        <w:tc>
          <w:tcPr>
            <w:tcW w:w="48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-2451100</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-2433955</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-2451100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-2433955</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-2451100</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-2433955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-2451100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-2433955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-864870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-847725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-864870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-847725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-864870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-847725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-864870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-847725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Beginning July 31, 2026, the Note amount that qualifies as Tier 2 capital is reduced in proportionate amounts until July 30, 2031.</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Issuance 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Issuance 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 SEGMENT REPORTING</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15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commercial banking segment are the same as those described in management's discussion and analysis of the financial condition and results of operations of the Company.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operating efficiency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CODM are the President and senior management team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54"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4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does not expect adoption of the Update to have a material effect on the Company’s financial position or results of operations.</w:t>
      </w:r>
    </w:p>
    <w:p>
      <w:pPr>
        <w:spacing w:after="0" w:line="14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The amendments in this Update require disclosure, in the notes to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The amendments require that at each interim and annual reporting period (1) the Company disclose the amounts of (a) employee compensation, (c) depreciation, and (d)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This year will see the completion of our current three year strategic plan as management will develop the next three year plan during fourth quarter 2025, building on our record of success. On August 1, 2025, the Bank added to its existing footprint by opening a full-service branch in Troy, Michigan.</w:t>
      </w:r>
    </w:p>
    <w:p>
      <w:pPr>
        <w:spacing w:after="0" w:line="1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We have seen great earnings improvement, with earnings per share levels approaching third quarter of 2022's $0.68 per share. This has allowed for increased dividends of 8.3% since September 2022 and has continued our thirty-one year history of annual increases to those dividends.</w:t>
      </w:r>
    </w:p>
    <w:p>
      <w:pPr>
        <w:spacing w:after="0" w:line="162"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Net interest income continues to be a significant contributor to profitability in the third quarter of 2025 as compared to the same quarter last year. Net interest income for the first nine months of 2025 is up $13.4 million over the same period last year. We have seen improved margin, driven by asset yield improvement, and anticipate even more opportunities for improvement as loans continue to reprice. Year to date net interest margin has improved for six consecutive quarters. Year to date net interest margin has increased 54 basis points over year to date last year. Third quarter 2025 net interest margin has improved by 18 basis points over second quarter 2025 and 56 basis points over fourth quarter 2024. The improvement compared to last quarter was driven by a 17 basis point increase in the yield on interest earning assets while the cost of funding remained unchanged. The repricing of existing loans and favorable yields on new production are contributing to the increase in yield on interest earning assets.</w:t>
      </w:r>
    </w:p>
    <w:p>
      <w:pPr>
        <w:spacing w:after="0" w:line="15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Overall, asset quality metrics are still favorable. We continue to keep a watchful eye on the overall impact of the economy and pending tariffs, which may cause past dues and non-accruals to increase throughout the year. Our credit department continues to monitor all areas and complete stress testing to better prepare our responsiveness to market events.</w:t>
      </w:r>
    </w:p>
    <w:p>
      <w:pPr>
        <w:spacing w:after="0" w:line="135" w:lineRule="exact"/>
        <w:rPr>
          <w:sz w:val="20"/>
          <w:szCs w:val="20"/>
          <w:color w:val="auto"/>
        </w:rPr>
      </w:pPr>
    </w:p>
    <w:p>
      <w:pPr>
        <w:jc w:val="both"/>
        <w:ind w:left="760"/>
        <w:spacing w:after="0" w:line="281" w:lineRule="auto"/>
        <w:rPr>
          <w:sz w:val="20"/>
          <w:szCs w:val="20"/>
          <w:color w:val="auto"/>
        </w:rPr>
      </w:pPr>
      <w:r>
        <w:rPr>
          <w:rFonts w:ascii="Times New Roman" w:cs="Times New Roman" w:eastAsia="Times New Roman" w:hAnsi="Times New Roman"/>
          <w:sz w:val="17"/>
          <w:szCs w:val="17"/>
          <w:color w:val="auto"/>
        </w:rPr>
        <w:t>Increased net charge-offs offset by lower provision related expense resulted in lower credit cost in the third quarter of 2025 as compared to the second quarter of 2025. The effect of loan growth was partially offset by improved asset quality metrics resulting in a decreased provision for credit losses for the quarter compared to last quarter. Provision for credit losses was $557 thousand for the quarter ended September 30, 2025 and net charge-offs were $59 thousand. Second quarter 2025 saw a provision for credit losses of $661 thousand and net charge-offs of $36 thousand.</w:t>
      </w:r>
    </w:p>
    <w:p>
      <w:pPr>
        <w:spacing w:after="0" w:line="137"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F&amp;M Commercial Banking Division saw loan demand grow in late 2024, continue into first quarter 2025 and remain steady in the second and third quarters of 2025. Lending rates and terms remained consistent from fourth quarter 2024 throughout the second and third quarters of 2025. The economy, inflation and the impact from potential tariffs remain the largest concerns to commercial businesses within the Company's footprint. Credit quality of the commercial portfolio has remained good and third quarter collateral values and auction values are still holding consistent with previous quarters. Past dues and delinquencies remained low for the F&amp;M portfolio, but the team continues to monitor the portfolio closely for the impact from inflationary pressures and agricultural yields as we enter the harvest season.</w:t>
      </w:r>
    </w:p>
    <w:p>
      <w:pPr>
        <w:spacing w:after="0" w:line="147"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we review the results of our farm and agribusiness clients in recent quarters, the growing conditions throughout our market area were favorable through the first of August and then late season dryness has been seen. The effects on production will be known in the fourth quarter of 2025. Tariffs and trade discussions continue to be a point of interest, but commodity prices are similar to the same period in 2024. Our agricultural businesses have performed well, but with a decline in farm income, they too will feel this effect. Those involved in equipment sales have experienced the greatest impact. The performance of the agricultural portfolio continues to be monitored but payment activity continues to remain strong through the first three quarters of 2025.</w:t>
      </w:r>
    </w:p>
    <w:p>
      <w:pPr>
        <w:spacing w:after="0" w:line="14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housing market has remained stable since last quarter in regard to values and inventory. Rate decreases during the third quarter have created an increase in loan applications across our footprint. Our Home Equity product has seen a surge in popularity due to borrowers not wanting to refinance their first mortgages which are at lower rates.</w:t>
      </w:r>
    </w:p>
    <w:p>
      <w:pPr>
        <w:spacing w:after="0" w:line="1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Consumer real estate loans and other loans saw decreases in their portfolios from the second quarter to the third quarter of 2025. All other portfolio segments saw increases. The total loan portfolio saw an increase of $33.2 million, or 1.3% at end of third quarter 2025 over second quarter. The largest increase was in the agricultural portfolio segment which increased $21.5 million, or 13.6%.</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Overall, asset quality metrics are still favorable. We continue to keep a watchful eye on the overall impact of the economy and pending tariffs, which may cause past dues and non-accruals to increase in the coming quarter. Our credit department continues to monitor all areas and complete stress testing to better prepare our responsiveness to market events.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was $4.4 million for the quarter, which was up $397 thousand from third quarter 2024 and up $422 thousand from last quarter. Net gain on sale of loans and other service charges and fees saw the largest increases over second quarter 2025.</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expense was higher in third quarter 2025 by $2.3 million as compared to same quarter 2024 and $479 thousand higher than second quarter 2025. Looking at the difference between the third quarter comparisons, increased salaries and benefits were up a combined $556 thousand in 2025. Data processing and ATM expense increased a combined $963 thousand. 2024 included a much higher usage of flex credits that were provided in the renegotiation of the core processor contract. Smaller levels of flex credit will be realized going forward along with lower consulting fee levels for the remainder of 2025. The net amortization of servicing rights also increased $367 thousand over 2024. In comparing third quarter 2025 to second quarter 2025, $549 thousand of the increase is attributable to salary and benefits expenses. Net occupancy and furniture and equipment expenses amounted to a $147 thousand increase. Data processing and ATM expense decreased a combined $44 thousand from second quarter 2025. The net amortization of servicing rights increased $352 thousand in third quarter 2025 as compared to second quarter 2025.</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encouraged by the higher-than-expected improvement in the net interest margin in the three and nine months ended September 30, 2025. Overall net income, which was $2.3 million higher than third quarter 2024 and $1.1 million higher than second quarter 2025, continues the path towards a more profitable 2025. As with every year, challenges will present opportunities, and the Bank has additional projects in the works to improve revenue while keeping an eye on costs. The Company remains well-capitalized with sound liquidity levels and strong asset quality; the future appears bright.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The Bank includes F&amp;M Insurance Agency, LLC, a subsidiary offering insurance products, which was formed in November of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thirty-eight full-service banking offices throughout Northwest Ohio, Northeast Indiana and Southeast Michigan along with a drive-up facility in Archbold. The Bank also operates three Loan Production Offices (LPOs), two in Ohio and one in Indiana.</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agricultural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seven and ten year fixed rate mortgage and a seven year jumbo fixed rate mortgage after which the interest rate will adjust annually for all. In order to offer longer term fixed rate</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The Bank currently participates in three State of Ohio programs: Ag-Link, Grow Now and Ohio Homebuyers Plus. What all three of these programs have in common, is the ability to provide the Bank an avenue to offer a product that saves both the Bank and the consumer savings over other traditional products. With the acquisition of Perpetual Federal Savings Bank in the fourth quarter of 2021 and the addition of Peoples Federal Savings in the fourth quarter of 2022, the Bank saw an increase in fixed rate, long-term mortgage loans to our portfolio from that banking service area. The Bank began offering a low income home buyer mortgage program, currently Hometown Advantage Mortgage Program, in November of 2023.</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we had 476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continue to monitor federal regulatory developments that may impact operations, compliance, and strategic initiatives. Changes in laws, rules, and guidance present operational and compliance challenges and require ongoing evaluation of policies, procedures, and systems.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Truth in Lending Act – Ability to Repay / Qualified Mortgage. </w:t>
      </w:r>
      <w:r>
        <w:rPr>
          <w:rFonts w:ascii="Times New Roman" w:cs="Times New Roman" w:eastAsia="Times New Roman" w:hAnsi="Times New Roman"/>
          <w:sz w:val="18"/>
          <w:szCs w:val="18"/>
          <w:color w:val="auto"/>
        </w:rPr>
        <w:t>The Bank monitors mortgage loans to ensure they meet Qualified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(QM) requirements, which provide a presumption of compliance under TILA’s Ability to Repay rules. The final General QM Rule, effective October 2022, eliminated the 43% debt-to-income limit, removed Appendix Q underwriting standards, and established price-based thresholds for QM status. Loans must still meet underwriting standards, product features, and points-and-fees limits. The Bank occasionally originates Non-QM and Higher Priced Mortgage Loans, which are reviewed periodically by the Loan Committee.</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ECOA / Section 1071 – Small Business Lending Data Collection. </w:t>
      </w:r>
      <w:r>
        <w:rPr>
          <w:rFonts w:ascii="Times New Roman" w:cs="Times New Roman" w:eastAsia="Times New Roman" w:hAnsi="Times New Roman"/>
          <w:sz w:val="18"/>
          <w:szCs w:val="18"/>
          <w:color w:val="auto"/>
        </w:rPr>
        <w:t>The CFPB’s Section 1071 rule requires covered institutions to collect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demographic data on small business credit applications. Court injunctions have stayed mandatory compliance for community banks, including the Bank. The Bank continues to monitor developments and prepare for future rulemaking.</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Community Reinvestment Act (CRA) Updates. </w:t>
      </w:r>
      <w:r>
        <w:rPr>
          <w:rFonts w:ascii="Times New Roman" w:cs="Times New Roman" w:eastAsia="Times New Roman" w:hAnsi="Times New Roman"/>
          <w:sz w:val="18"/>
          <w:szCs w:val="18"/>
          <w:color w:val="auto"/>
        </w:rPr>
        <w:t>The 2023 CRA rule, jointly issued by the Federal Reserve, FDIC, and OCC,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ongoing litigation and its implementation is currently paused. The agencies have proposed rescinding the 2023 framework and reverting to pre-October 2023 standards. The Bank continues to operate under the prior framework and monitors regulatory updates.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III Endgame. </w:t>
      </w:r>
      <w:r>
        <w:rPr>
          <w:rFonts w:ascii="Times New Roman" w:cs="Times New Roman" w:eastAsia="Times New Roman" w:hAnsi="Times New Roman"/>
          <w:sz w:val="18"/>
          <w:szCs w:val="18"/>
          <w:color w:val="auto"/>
        </w:rPr>
        <w:t>The Basel Committee initiated the final phase of Basel III reforms in July 2025, increasing capital requirements, revising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standardized approaches, and limiting internal model usage. While these rules primarily affect global banks, the Bank continues to assess potential indirect implications for capital adequacy and regulatory compliance.</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GENIUS Act – Payment Stablecoins. </w:t>
      </w:r>
      <w:r>
        <w:rPr>
          <w:rFonts w:ascii="Times New Roman" w:cs="Times New Roman" w:eastAsia="Times New Roman" w:hAnsi="Times New Roman"/>
          <w:sz w:val="18"/>
          <w:szCs w:val="18"/>
          <w:color w:val="auto"/>
        </w:rPr>
        <w:t>Enacted in July 2025, the GENIUS Act establishes standards for payment stablecoins issued by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reserve requirements, reporting, audits, and supervisory oversight. The Bank is evaluating potential strategic and compliance implications under this framework as part of its digital asset initiatives.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Order on Fair Banking. </w:t>
      </w:r>
      <w:r>
        <w:rPr>
          <w:rFonts w:ascii="Times New Roman" w:cs="Times New Roman" w:eastAsia="Times New Roman" w:hAnsi="Times New Roman"/>
          <w:sz w:val="18"/>
          <w:szCs w:val="18"/>
          <w:color w:val="auto"/>
        </w:rPr>
        <w:t>An Executive Order issued in August 2025 prohibits denial of financial services based on constitutionally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statutorily protected beliefs, affiliations, or political views, and prohibits politicized or unlawful “debanking.” Banking decisions must be based on individualized, objective, and risk-based analysis. The Bank continues to review and adjust policies and practices to ensure compliance.</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Ongoing Commitment. </w:t>
      </w:r>
      <w:r>
        <w:rPr>
          <w:rFonts w:ascii="Times New Roman" w:cs="Times New Roman" w:eastAsia="Times New Roman" w:hAnsi="Times New Roman"/>
          <w:sz w:val="18"/>
          <w:szCs w:val="18"/>
          <w:color w:val="auto"/>
        </w:rPr>
        <w:t>The Company and the Bank continue to make good faith efforts to comply with applicable laws, rules,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from federal agencies and remain attentive to developments that could affect operations, capital, or strategic initiatives.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$13.6 million and $10.7 million at September 30, 2025 and December 31, 2024,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of repayments.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Consumer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or a sub-committee of the Board of Directors, such as the Enterprise Risk Management Committee. This written methodology is consistent with Generally Accepted Accounting Principles which provides for a consistently applied analysis.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utilizing peer data from a peer group of banks in the region of Ohio, Michigan and Indiana with asset sizes less than $5 billion as of September 30, 2025. The reserves are calculated at the loan level and based on the note characteristics, essentially balances times loss rate + qualitative factors + forward look, with the forward-looking forecast eliminated after 12 months. In order to provide a reasonable and supportable forward-looking forecast, a regression analysis of the Bank’s historical loss rates against the Federal Open Market Committee (FOMC) quarterly economic projections for National Unemployment is completed. Annual projections are broken down using a straight-line approach for quarterly changes.</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$389 thousand at September 30, 2025 and $52 thousand at December 31, 2024.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remainder of 2025, the Company plans to continue with its current year strategy of modest loan growth and to focus on earnings improvement. Paydowns and payoffs will be used to fund originations to existing customers and to build relationships in our newer markets. Loan balances as of September 30, 2025, were $97.2 million or 3.8% higher than December 31, 2024 balances and there remains $85.0 million of funds committed to complete construction projects of commercial customers as of September 30, 2025.</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continues to focus on growth in the areas of core deposits and the expansion of contingency funding. Growing deposits has been a focus especially in our newer markets since 2024. Core deposits provide additional opportunities for noninterest income. The Bank offers the Insured Cash Sweep (ICS) product and CDARS, a certificate of deposit registry, accessed through the IntraFi network of financial institutions which helps to reduce the amount of pledged securities needed. The Bank’s uninsured deposit ratio remains low at 12.7%. As of September 30, 2025, total uninsured deposits of the Bank were $350.5 million of approximately $2.8 billion total deposits. If the amount of coverage is adjusted for what is insured solely by FDIC, the percentage is 20.4% or $561.0 million of uninsured deposits as of September 30, 2025. The underlying difference between these two percentages is the protection required for public funds for which the Bank pledges securities. A State insurance fund exists for public funds in Indiana. The state of Michigan also does not require the pledging of collateral for public funds, though some entities do request it.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Deposits have increased $65.1 million as of September 30, 2025 since December 31, 2024, while cash and cash equivalents have decreased $59.3 million over the same time period. Cash balances have been used to fund loan growth and to repay maturing FHLB advances. The $117.0 million of cash holdings represents 3.5% of total assets and 4.3% of total deposits as of September 30, 2025. Currently, we are at the Bank’s internal guideline of 3.5% of cash holdings to total assets and management is comfortable with our position based on our cash forecast modeling. If differences would arise between actual cash and the forecast, the Bank has access to ample short term funding sources. Since September 30, 2024, deposits have increased $67.1 million, or 2.5%, while cash and cash equivalents have decreased $128.5 million or 52.3%. Management has continued to hold biweekly sub-ALCO meetings, of which liquidity is a topic of discussion, in order to be more responsive to opportunities and threats as they arise.</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2025, borrowings from the FHLB decreased $58.1 million with $56.5 million maturing in the second quarter and the remainder through normal paydowns. The Bank utilized four sources for brokered CDs in 2024 for a total of $26.9 million. This was done to establish relationships to test the access of such funds and to decrease the cost of funds going forward. To assure a proper net interest margin over the 3 and 4-year time period of these CDs, the Bank internally looked at loan originations in the quarter with similar or slightly longer fixed interest rate periods. The Bank also tested all correspondent borrowing lines during the third quarter of 2025 to assure availability should the need arise. The availability for overnight borrowing on unsecured Federal Funds lines is $163.0 million. Combining the available line of credit at the holding company level, the Company has $178.0 million overnight borrowing availability.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comparing to the same prior year period, the September 30, 2025 (at amortized cost) loan balances of $2.7 billion accounted for $123.0 million or a 4.9% increase when compared to same period 2024. The year over year improvement was made up of an increase in commercial and industrial related loans of 5.7%. Individual growth was comprised of 13.6% in non-real estate commercial loans and 4.1% in commercial real estate loans. Agricultural related loans increased 12.3% year over year. Individual growth was comprised of 30.6% in non-real estate agricultural loans as we saw an increased use in lines of credit and 0.9% in agricultural real estate loans. Consumer real estate loans decreased by 0.3% while consumer loans decreased by 10.2%. Other loans decreased by 7.1%. The Company's strong team of lenders remain focused on providing customers valuable localized services and thereby increasing our market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breakdown by portfolio segment as of September 30, for the last three years, at amortized cost.</w:t>
      </w:r>
    </w:p>
    <w:p>
      <w:pPr>
        <w:spacing w:after="0" w:line="3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6"/>
                <w:szCs w:val="16"/>
                <w:color w:val="auto"/>
              </w:rPr>
            </w:pPr>
          </w:p>
        </w:tc>
      </w:tr>
      <w:tr>
        <w:trPr>
          <w:trHeight w:val="234"/>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522,930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512,990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1,301,614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250,756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83,822</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Loans, amortized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-307975</wp:posOffset>
            </wp:positionV>
            <wp:extent cx="6032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-307975</wp:posOffset>
            </wp:positionV>
            <wp:extent cx="6032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-307975</wp:posOffset>
            </wp:positionV>
            <wp:extent cx="6032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-25400</wp:posOffset>
            </wp:positionV>
            <wp:extent cx="603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-7620</wp:posOffset>
            </wp:positionV>
            <wp:extent cx="603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-25400</wp:posOffset>
            </wp:positionV>
            <wp:extent cx="603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-7620</wp:posOffset>
            </wp:positionV>
            <wp:extent cx="6032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-25400</wp:posOffset>
            </wp:positionV>
            <wp:extent cx="6032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-7620</wp:posOffset>
            </wp:positionV>
            <wp:extent cx="603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Gross commercial real estate loans, excluding deferred loan fees and costs, represented 50.95% of the Company's total gross loan portfolio as of September 30, 2025. The tables below present the commercial real estate (CRE) portfolio segment by category, location and loan grade.</w:t>
      </w: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Loan</w:t>
            </w:r>
          </w:p>
        </w:tc>
      </w:tr>
      <w:tr>
        <w:trPr>
          <w:trHeight w:val="234"/>
        </w:trPr>
        <w:tc>
          <w:tcPr>
            <w:tcW w:w="20" w:type="dxa"/>
            <w:vAlign w:val="bottom"/>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CRE Category</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277,274</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20.46%</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17.58%</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207,301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15.30%</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142,111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10.49%</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77,013</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5.68%</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3.89%</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30,672</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2.17%</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2.04%</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99,342</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7.33%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1,355,166</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100.00%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50.95%</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-170815</wp:posOffset>
            </wp:positionV>
            <wp:extent cx="514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-170815</wp:posOffset>
            </wp:positionV>
            <wp:extent cx="11112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-170815</wp:posOffset>
            </wp:positionV>
            <wp:extent cx="1111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571,736</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515,727</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238,311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1,355,166</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-25400</wp:posOffset>
            </wp:positionV>
            <wp:extent cx="431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-8255</wp:posOffset>
            </wp:positionV>
            <wp:extent cx="4318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-25400</wp:posOffset>
            </wp:positionV>
            <wp:extent cx="11112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-8255</wp:posOffset>
            </wp:positionV>
            <wp:extent cx="11112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40" w:right="3060" w:hanging="3845"/>
        <w:spacing w:after="0" w:line="657" w:lineRule="auto"/>
        <w:tabs>
          <w:tab w:leader="none" w:pos="15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assume construction loans converted to either owner or non-owner occupied.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239395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985" w:right="339" w:bottom="1440" w:gutter="0" w:footer="0" w:header="0"/>
        </w:sectPr>
      </w:pPr>
    </w:p>
    <w:bookmarkStart w:id="56" w:name="page57"/>
    <w:bookmarkEnd w:id="56"/>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491,913</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36.30%</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302,054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22.29%</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Fort Wayne,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148,496</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Columbus,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87,072</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Dayton/Cincinnati,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56,206</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144,911</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1,355,166</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431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431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-25400</wp:posOffset>
            </wp:positionV>
            <wp:extent cx="11112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-7620</wp:posOffset>
            </wp:positionV>
            <wp:extent cx="1111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280" w:type="dxa"/>
            <w:vAlign w:val="bottom"/>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46.30%</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38.99%</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43.63%</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56.69%</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3.36%</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following is a contractual maturity schedule by portfolio segment at amortized cost excluding fair value adjustments related to acquisitions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After One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Year Within</w:t>
            </w:r>
          </w:p>
        </w:tc>
        <w:tc>
          <w:tcPr>
            <w:tcW w:w="10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Within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Five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178,174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309,560</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134,901</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94,994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184,596</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132,305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 generating efforts and additional borrowings. For short term needs, the Bank has the unsecured borrowing capacity through its correspondent banks mentioned above along with access to $167.9 million through a Cash Management Advance with the FHLB as of September 30, 2025. The Bank's secured borrowing capacity limits at the FHLB would have allowed draws based on current collateral pledging of $162.6 million on September 30, 2025.</w:t>
      </w:r>
    </w:p>
    <w:p>
      <w:pPr>
        <w:spacing w:after="0" w:line="183"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2024 and 2025. The security portfolio decreased in the first nine months of 2025 from year end 2024 due to purchases of $32.8 million offset by sales of $1.4 million, maturities and paydowns of $49.4 million, net amortization of $0.1 million and a $14.2 million decrease in unrealized losses. The amount of pledged investment securities increased by $15.3 million as compared to year end and increased $20.0 million as compared to September 30, 2024. As of September 30, 2025, pledged investment securities totaled $267.1 million. The Company plans to make additional purchases of securities the remainder of the year for the purposes of increasing our investment holdings in Community Reinvestment Act (CRA) qualifying securities, liquidity and contingency planning and as a means of balance sheet gap management.</w:t>
      </w:r>
    </w:p>
    <w:p>
      <w:pPr>
        <w:spacing w:after="0" w:line="8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7"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As mentioned previously, an additional $162.6 million is also available to the Bank from the FHLB based on current amounts of pledged collateral. The Bank has pledged eligible 1-4 family, home equity, commercial real estate, multifamily real estate portfolios and specific securities. The CRE holdings may be adjusted quarterly to replace paydowns or increase availability of funds. Based on total asset capacity, the Bank would have more than $1.1 billion available to borrow.</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total assets increased 0.8% or $26.0 million since year end 2024. The largest areas of growth occurred in the loan portfolio of $96.6 million offset by decreases in cash and cash equivalents of $59.3 million and the security portfolio of $3.8 million, all of which were discussed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liabilities only decreased $540 thousand since year end 2024. The largest decrease was in the FHLB borrowings of $58.1 million of which $56.5 million was due to advances maturing in second quarter 2025. Offsetting the decreased borrowings was total deposits growth of $65.1 million or 2.4%. The mix of deposits saw increases in interest-bearing checking, savings and money market deposits offset by decreases in time deposit accounts and noninterest-bearing accounts since December 31, 2024. The Bank has adjusted its checking product offerings to decrease the number of overall types and provide better service to our customers.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equity increased by $26.6 million as of September 30, 2025 compared to year end 2024. Earnings exceeded dividend declarations during the nine months ended September 30, 2025. Accumulated other comprehensive loss decreased in unrealized loss position by $11.2 million from December 2024 to an unrealized loss of $14.0 million on September 30, 2025. Dividends declared increased to $0.2275 per share from the prior quarter’s $0.22125 per share and were 2.8% over third quarter 2024’s $0.22125 per share. Compared to September 30, 2024, shareholders’ equity increased 7.9% or $26.4 million with $5.4 million attributed to an improvement in accumulated other comprehensive loss. Net income was higher for the quarter ended September 2025 compared to September 2024 by $2.3 million and $1.1 million higher than second quarter 2025. We are encouraged that net interest income has continued to improve quarter over quarter since third quarter 2023.</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September 30, 2025, the Company and the Bank are both positioned well above the current requirement.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$3.35 million dividend during the third quarter of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September 30, 2025 in accordance with Federal regulatory capital requirements as the capital ratios below show:</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r>
    </w:tbl>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 and $843 thousand for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98" w:lineRule="exact"/>
        <w:rPr>
          <w:sz w:val="20"/>
          <w:szCs w:val="20"/>
          <w:color w:val="auto"/>
        </w:rPr>
      </w:pPr>
    </w:p>
    <w:p>
      <w:pPr>
        <w:ind w:right="138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Interest Earnings and Expenses for three month periods ended September 30, 2025 and 2024 </w:t>
      </w:r>
      <w:r>
        <w:rPr>
          <w:rFonts w:ascii="Times New Roman" w:cs="Times New Roman" w:eastAsia="Times New Roman" w:hAnsi="Times New Roman"/>
          <w:sz w:val="18"/>
          <w:szCs w:val="18"/>
          <w:b w:val="1"/>
          <w:bCs w:val="1"/>
          <w:color w:val="auto"/>
        </w:rPr>
        <w:t>Interest Income</w:t>
      </w:r>
    </w:p>
    <w:p>
      <w:pPr>
        <w:jc w:val="both"/>
        <w:spacing w:after="0" w:line="256" w:lineRule="auto"/>
        <w:rPr>
          <w:sz w:val="20"/>
          <w:szCs w:val="20"/>
          <w:color w:val="auto"/>
        </w:rPr>
      </w:pPr>
      <w:r>
        <w:rPr>
          <w:rFonts w:ascii="Times New Roman" w:cs="Times New Roman" w:eastAsia="Times New Roman" w:hAnsi="Times New Roman"/>
          <w:sz w:val="18"/>
          <w:szCs w:val="18"/>
          <w:color w:val="auto"/>
        </w:rPr>
        <w:t>When comparing third quarter 2025 to third quarter 2024, average loan balances grew $97.5 million which represented a 3.8% increase. Interest income on loans increased $4.1 million or 11.2% as compared to the quarter ended September 30, 2024. Loan interest income for third quarter 2025 included $227 thousand of fee income related to interest rate swap transactions compared to $7 thousand for third quarter 2024. The associated impact to both loan yield and total asset yield for third quarter 2025 was 3 basis points, whereas there was no impact to loan yield or total asset yield for third quarter 2024. Loan interest for third quarter 2025 also includes a one-time fee collected of $195 thousand in addition to $191 thousand from the recovery of one</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8" w:name="page59"/>
    <w:bookmarkEnd w:id="58"/>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acquired relationship that had been fully charged off prior to acquisition. The Company's loan portfolio is 44.1% variable rate with 28.3% of total loans subject to repricing within the next three months.</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$25.6 million or 5.9% when comparing to the same quarter in 2024 with the income associated with the security portfolio increasing $711 thousand over third quarter 2024. The increased balances were the result of increasing our holdings for liquidity and contingency planning purposes and to improve our investments in CRA qualifying securities. Federal funds sold and interest-bearing deposits decreased in average balances by $141.1 million as compared to the same quarter in 2024 with decreased income of approximately $2.3 million for the current quarter. The decreased balances are the result of funding loan growth, purchases of available-for-sale securities and repayment of other borrowed money.</w:t>
      </w:r>
    </w:p>
    <w:p>
      <w:pPr>
        <w:spacing w:after="0" w:line="14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decreased by $18.1 million and interest income for the quarter comparisons was higher for third quarter 2025 by 6.2% or $2.6 million as compared to third quarter 2024. Rate changes between periods have contributed to approximately 119.1% of the growth.</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September 30, 2025, was 5.62% as compared to 5.27% for the quarter ended September 30, 2024. The following charts demonstrate loan rate increases accounted for 66.0% of the increased loan interest income while increased loan balances accounted for the remaining 34.0%. The yields on tax-exempt securities and the portion of the tax-exempt IDB loans included in loans have been tax adjusted based on a 21% tax rate in the charts to follow. The tax-exempt interest income was $112 and $114 thousand for third quarter 2025 and 2024, respectively, which resulted in a federal tax savings of $24 thousand for both third quarter 2025 and 2024.</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Quarter to Date Ended September 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2,649,409</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41,013</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6.19%</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3,166,694</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32320" cy="1371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-445135</wp:posOffset>
            </wp:positionV>
            <wp:extent cx="7132320" cy="1371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-161925</wp:posOffset>
            </wp:positionV>
            <wp:extent cx="7132320" cy="1625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00" w:space="720"/>
            <w:col w:w="7620"/>
          </w:cols>
          <w:pgMar w:left="320" w:top="1161" w:right="33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September 30, 2025 Compared to September 30, 2024</w:t>
      </w:r>
    </w:p>
    <w:p>
      <w:pPr>
        <w:sectPr>
          <w:pgSz w:w="11900" w:h="16838" w:orient="portrait"/>
          <w:cols w:equalWidth="0" w:num="1">
            <w:col w:w="11240"/>
          </w:cols>
          <w:pgMar w:left="32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4,140</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1,409</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2,731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3,077</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-162560</wp:posOffset>
            </wp:positionV>
            <wp:extent cx="5700395" cy="16319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740" w:space="720"/>
            <w:col w:w="5780"/>
          </w:cols>
          <w:pgMar w:left="320" w:top="1161"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Contributing to the increased net interest income for the quarter was a decrease in interest expense of $2.7 million or 13.4% compared to third quarter 2024. Since September 30, 2024, average interest-bearing deposit balances have increased $24.2 million or 1.1% while the Company recognized $1.9 million less in interest expense for the most recent quarter. In September 2025, the Federal Reserve made its first rate change to the federal funds rate for 2025 with a reduction of 25 basis points. During 2024, the Federal Reserve decreased the federal funds rate by 50 basis points in September and 25 basis points in November and December. Deposit rates have been adjusted numerous times with all the rate changes. The following charts demonstrate increased average interest-bearing deposit balances accounted for 1.5% of additional interest-bearing deposit expense while rate decreases accounted for decreased interest-bearing deposit expense of 101.5%. Noninterest-bearing deposits balances increased $18.6 million compared to third quarter 2024. The Bank continues to focus on capturing the full customer relationship; however, it has sometimes resulted in more expensive deposits being brought in.</w:t>
      </w:r>
    </w:p>
    <w:p>
      <w:pPr>
        <w:spacing w:after="0" w:line="14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Interest expense on borrowed funds decreased $838 thousand in the third quarter 2025 over the same time frame in 2024 due to the repayment of FHLB advances. During the current quarter, FHLB borrowings of $536 thousand were repaid compared to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59" w:name="page60"/>
    <w:bookmarkEnd w:id="59"/>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repayment of $3.0 million in third quarter 2024. Interest expense on federal funds purchased and securities sold under agreement to repurchase decreased $4 thousand compared to third quarter 2024 due to the decrease of $207 thousand in average balances. Cost of funds decreased even with growth in interest-bearing deposit balances offset by decreased borrowings compared to third quarter 2024. The average cost of funds decreased to 2.83% in third quarter 2025 compared to 3.21% in third quarter 2024. Refer to Note 11 for additional information on subordinated notes.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Pr>
          <w:p>
            <w:pPr>
              <w:spacing w:after="0"/>
              <w:rPr>
                <w:sz w:val="18"/>
                <w:szCs w:val="18"/>
                <w:color w:val="auto"/>
              </w:rPr>
            </w:pPr>
          </w:p>
        </w:tc>
        <w:tc>
          <w:tcPr>
            <w:tcW w:w="37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Quarter to Date Ended September 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1,620,026</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00" w:type="dxa"/>
            <w:vAlign w:val="bottom"/>
            <w:tcBorders>
              <w:bottom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8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2,480,152</w:t>
            </w: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u w:val="single" w:color="auto"/>
          <w:color w:val="auto"/>
        </w:rPr>
        <w:t>Change in Interest Expense Quarter to Date September 30, 2025 Compared to September 30, 2024</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Interest-Bearing Liabilities: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NOW accounts and savings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Time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Borrowed funds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purchased &amp; securities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sold under agreement to repurchase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Interest-Bearing Liabilities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320" w:type="dxa"/>
            <w:vAlign w:val="bottom"/>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(725)</w:t>
            </w:r>
          </w:p>
        </w:tc>
        <w:tc>
          <w:tcPr>
            <w:tcW w:w="2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567</w:t>
            </w:r>
          </w:p>
        </w:tc>
        <w:tc>
          <w:tcPr>
            <w:tcW w:w="300" w:type="dxa"/>
            <w:vAlign w:val="bottom"/>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(1,292)</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-307975</wp:posOffset>
            </wp:positionV>
            <wp:extent cx="5700395" cy="1460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00" w:space="720"/>
            <w:col w:w="4820"/>
          </w:cols>
          <w:pgMar w:left="320" w:top="1161" w:right="339" w:bottom="1440" w:gutter="0" w:footer="0" w:header="0"/>
          <w:type w:val="continuous"/>
        </w:sect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35 basis points combined with the decreased cost of funds of 38 basis points equated to a 73 basis point improvement in net interest spread when comparing to the same period a year ago. Competition for deposits remains intense with most competitors offering special rates for specific terms.</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September 30,</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September 30,</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27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4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44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-187960</wp:posOffset>
            </wp:positionV>
            <wp:extent cx="11112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11112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11112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11112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11112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Net interest income increased $5.3 million for the third quarter 2025 over the same time frame in 2024 due to the increase in interest income of $2.6 million combined with the interest expense decrease of $2.7 million as previously mentioned. As the new loans added in 2024 and 2025 generate more income, management expects the benefits of the Company’s strategy of repositioning the balance sheet to increase interest income in the long run. The Company has more opportunity for improved asset yield with loans repricing. Additionally, funding costs should continue to come down as well. Loans as a percentage of earning assets increased to 83.7% in third quarter 2025 compared to 80.1% in third quarter 2024. Loans to total assets increased to 79.1% in third quarter 2025 compared to 76.1% for the same period 2024. The percentage of earning assets to total assets decreased slightly to 94.6% for the three months ended September 30, 2025 compared to 95.0% for the three months ended September 30, 2024. In terms of net interest margin, the Bank recognizes competition for deposits will continue; however,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there is a greater opportunity for gradual improvement with loans repricing upwards in the next year and a likely continuing decrease in cost of funds.</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September 30,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provision for credit losses increased $275 thousand for the three months ended September 30, 2025 as compared to the same period in 2024. Management continues to monitor asset quality, making adjustments to the provision as necessary. The impact of higher interest rates and inflation are taken into consideration when reviewing qualitative factors. Loan charge-offs were $3 thousand lower during the three months ended September 30, 2025 than the same period in 2024 with all loan charge-offs for the current quarter in the consumer portfolio and commercial portfolio segments. Recoveries were $6 thousand higher during the three months ended September 30, 2025 as compared to same period in 2024 with 78.7% of total current quarter recoveries in the consumer portfolio segment. Combined net charge-offs were $9 thousand lower in the three months ended September 30, 2025 than the same time period 2024. All of the time periods in 2024 and 2025 had net charge-offs to total loans ratios lower than 0.1% attesting to the strong asset quality of the Bank's loan portfolio.</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increased $1.0 million at September 30, 2025 as compared to September 30, 2024. The largest changes were attributed to the agricultural real estate portfolio segment past due balances which increased $712 thousand for the same time period. The commercial portfolio segment also increased $209 thousand over September 30,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activity within the ACL for each portfolio segment and shows the contribution provided by both recoveries and the provision, along with the reduction of the allowance caused by charge-offs. The time period covered is for the three months ended September 30, 2025, 2024, and 2023.</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2,647,632</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2,550,297</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2,536,885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22,447</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July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532.98%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879.37%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532.98%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879.37%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-6102985</wp:posOffset>
            </wp:positionV>
            <wp:extent cx="11112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-6085840</wp:posOffset>
            </wp:positionV>
            <wp:extent cx="11112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-6102985</wp:posOffset>
            </wp:positionV>
            <wp:extent cx="11112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-6085840</wp:posOffset>
            </wp:positionV>
            <wp:extent cx="11112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-6102985</wp:posOffset>
            </wp:positionV>
            <wp:extent cx="11176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-6085840</wp:posOffset>
            </wp:positionV>
            <wp:extent cx="1117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-5777230</wp:posOffset>
            </wp:positionV>
            <wp:extent cx="11112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-5760085</wp:posOffset>
            </wp:positionV>
            <wp:extent cx="1111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-5777230</wp:posOffset>
            </wp:positionV>
            <wp:extent cx="11112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-5760085</wp:posOffset>
            </wp:positionV>
            <wp:extent cx="11112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-5777230</wp:posOffset>
            </wp:positionV>
            <wp:extent cx="11176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-5760085</wp:posOffset>
            </wp:positionV>
            <wp:extent cx="11176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-4366895</wp:posOffset>
            </wp:positionV>
            <wp:extent cx="136525" cy="1797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-4366895</wp:posOffset>
            </wp:positionV>
            <wp:extent cx="136525" cy="1797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-4366895</wp:posOffset>
            </wp:positionV>
            <wp:extent cx="137160" cy="1797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-3252470</wp:posOffset>
            </wp:positionV>
            <wp:extent cx="136525" cy="1797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-3252470</wp:posOffset>
            </wp:positionV>
            <wp:extent cx="136525" cy="1797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-3252470</wp:posOffset>
            </wp:positionV>
            <wp:extent cx="137160" cy="1797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-1842770</wp:posOffset>
            </wp:positionV>
            <wp:extent cx="1111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-1842770</wp:posOffset>
            </wp:positionV>
            <wp:extent cx="11112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-1842770</wp:posOffset>
            </wp:positionV>
            <wp:extent cx="1117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-1431290</wp:posOffset>
            </wp:positionV>
            <wp:extent cx="11112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-1431290</wp:posOffset>
            </wp:positionV>
            <wp:extent cx="11112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-1431290</wp:posOffset>
            </wp:positionV>
            <wp:extent cx="11176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-574040</wp:posOffset>
            </wp:positionV>
            <wp:extent cx="11112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-556895</wp:posOffset>
            </wp:positionV>
            <wp:extent cx="1111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-574040</wp:posOffset>
            </wp:positionV>
            <wp:extent cx="1111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-556895</wp:posOffset>
            </wp:positionV>
            <wp:extent cx="1111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-574040</wp:posOffset>
            </wp:positionV>
            <wp:extent cx="11176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-556895</wp:posOffset>
            </wp:positionV>
            <wp:extent cx="11176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11112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11112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11112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11112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balance of loans, amortized cost at September 30, 2025 and September 30, 2024 within this chart does not include a fair value basis adjustment for derivatives of $1.9 million and $3.0 million, respectively, or a daily average outstanding balance of $1.8 million and $1.6 million, respectively. Refer to Note 7 for additional information related to derivative financial instruments.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September 30, 2025 at $5.2 million as compared to $2.9 million as of September 30, 2024. The consumer real estate portfolio segment increased $1.9 million, or 86.8%, as compared to September 30, 2024. The agricultural real estate portfolio segment increased $334 thousand, or 267.2%, as compared to September 30, 2024 while the agricultural portfolio segment decreased $46 thousand compared to September 30, 2024. The commercial real estate portfolio segment decreased 61.1% or $220 thousand compared to September 30, 2024. Nonaccrual loans in the commercial and industrial portfolio segment increased $294 thousand compared to September 30, 2024.</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commercial and industrial portfolio segment along with the consumer portfolio segment accounted for the largest components of recoveries for both the three months ended September 30, 2025 and for the three months ended September 30, 2024. The consumer portfolio segment accounted for the majority of charge-offs for the three months ended September 30, 2025 and for the three months ended September 30, 2024.</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portfolio segment in terms of dollars, as a percentage of ACL and as a percentage of loans by category at September 30, 2025 and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04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of</w:t>
            </w: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of</w:t>
            </w: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ACL</w:t>
            </w: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ACL</w:t>
            </w: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Loans</w:t>
            </w:r>
          </w:p>
        </w:tc>
      </w:tr>
      <w:tr>
        <w:trPr>
          <w:trHeight w:val="20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9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-453390</wp:posOffset>
            </wp:positionV>
            <wp:extent cx="6858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768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Noninterest income was up $397 thousand, or 10.0%, for the three months ended September 30, 2025 over the same time frame in 2024. Customer service fees increased by $70 thousand as compared to the three months ended September 30, 2024. Mortgage release fees and credit card fees, which are included in customer service fees, increased $25 and $50 thousand, respectively, over the same time period in 2024. Merchant services fees also decreased $17 thousand. Other service fees increased by $194 thousand compared to the same period in 2024, which includes overdraft and returned check fees of $90 thousand and combined service charges on DDA, savings accounts, ATM and miscellaneous of $87 thousand. Servicing rights income for 1-4 family real estate and agricultural real estate loans decreased $46 thousand as compared to the same period in 2024. The line items of interchange income and the increase in the cash surrender value of bank owned life insurance decreased $42 thousand and $18 thousand, respectively, from the same three months ended September 30, 2024. Net gain on sale of loans increased $229 thousand as compared to the same period, as discussed below.</w:t>
      </w:r>
    </w:p>
    <w:p>
      <w:pPr>
        <w:spacing w:after="0" w:line="16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seen strong and steady mortgage production volume partially due to the improvement of housing inventory in many of our markets. The volume of total originations of loans held for sale increased and the gain on the sale of these loans was $229 thousand higher for the three months ended September 30, 2025 over the same period in 2024. Total originations of loans held for sale for the three months ended September 30, 2025 were $14.8 million with proceeds from sale at $18.6 million for 2025 compared to 2024’s activity of $13.2 million in originations and $13.3 million in sales. The mortgages sold were both 1-4 family real estate and agricultural real estate loans originated for sale.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three months ended September 30, 2025 and 2024, loan servicing rights caused a net $99 thousand and $182 thousand in income, respectively. Impairment of $372 thousand and $42 thousand was recognized during the three months ended September 30, 2025 and 2024, respectively. Capitalized additions of agricultural real estate loan servicing rights were $141 thousand for the three months ended September 30, 2025 compared to $216 thousand in capitalized additions for the three months ended September 30, 2024. Amortization of agricultural real estate loan servicing rights were $75 thousand and $67 thousand for the three months ended September 30, 2025 and 2024, respectively. Impairment of agricultural real estate loan servicing rights was $369 thousand for the three months ended September 30, 2025 compared to $42 thousand for the three months ended September 30, 2024. For 1-4 family real estate loans of 15 years and less, the market value of the loan servicing rights was 1.454% in the third quarter 2025 versus 1.034% in third quarter 2024. For 1-4 family real estate loans over 15 years, the value was 1.421% versus 1.266% for the same periods respectively. At September 30, 2025, the carrying value of certain strata were slightly below the market value thus requiring the establishment of a $5 thousand valuation allowance for 1-4 family real estate and an $454 thousand valuation allowance for agricultural real estate servicing rights.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20" w:type="dxa"/>
            <w:vAlign w:val="bottom"/>
          </w:tcPr>
          <w:p>
            <w:pPr>
              <w:spacing w:after="0"/>
              <w:rPr>
                <w:sz w:val="16"/>
                <w:szCs w:val="16"/>
                <w:color w:val="auto"/>
              </w:rPr>
            </w:pPr>
          </w:p>
        </w:tc>
        <w:tc>
          <w:tcPr>
            <w:tcW w:w="1340" w:type="dxa"/>
            <w:vAlign w:val="bottom"/>
            <w:gridSpan w:val="3"/>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c>
          <w:tcPr>
            <w:tcW w:w="120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c>
          <w:tcPr>
            <w:tcW w:w="118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r>
      <w:tr>
        <w:trPr>
          <w:trHeight w:val="234"/>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5,511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5,655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09"/>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5,693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5,693</w:t>
            </w:r>
          </w:p>
        </w:tc>
        <w:tc>
          <w:tcPr>
            <w:tcW w:w="100" w:type="dxa"/>
            <w:vAlign w:val="bottom"/>
            <w:tcBorders>
              <w:top w:val="single" w:sz="8" w:color="CFF0FC"/>
            </w:tcBorders>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5,644</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Pr>
          <w:p>
            <w:pPr>
              <w:spacing w:after="0"/>
              <w:rPr>
                <w:sz w:val="18"/>
                <w:szCs w:val="18"/>
                <w:color w:val="auto"/>
              </w:rPr>
            </w:pP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5,644</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-453390</wp:posOffset>
            </wp:positionV>
            <wp:extent cx="6032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-453390</wp:posOffset>
            </wp:positionV>
            <wp:extent cx="6032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-453390</wp:posOffset>
            </wp:positionV>
            <wp:extent cx="6032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-453390</wp:posOffset>
            </wp:positionV>
            <wp:extent cx="6032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6032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032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noninterest expenses were $2.3 million or 13.3% higher than for the same period in 2024. Salaries and wages, including normal merit increases, restricted stock expense and incentive payouts, increased $395 thousand in total. Deferred salary loans costs decreased $245 thousand from last year and restricted stock expense increased $17 thousand and incentive expense increased $107 thousand compared to 2024. Benefits increased over 2024 by $161 thousand due to increased medical expense of $99 thousand and combined taxes and workmen's compensation of $31 thousand and increased pension expense of $32 thousand. The additional cost of the offices is also evident in the increased expenses in net occupancy with additional lease expense of $30 thousand. Utilities expense increased $48 thousand over 2024. Furniture and equipment increased in total $60 thousand which was comprised of an increase in maintenance contracts and equipment repairs of $60 and $13 thousand, respectively, and decreases in small equipment purchases of $9 and equipment rental of $5 thousand. The Bank opened one new office in August of 2025 in Troy, Michigan.</w:t>
      </w:r>
    </w:p>
    <w:p>
      <w:pPr>
        <w:spacing w:after="0" w:line="14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Consulting fees decreased $9 thousand over the same period in 2024. Data processing expenses and ATM expense increased a combined $963 thousand. Third quarter 2024 included a much higher usage of flex credits for data processing and ATM expenses that were provided in the renegotiation of the core processor contract. Some of the flex credits may be used on a wide range of services while others are product specific. General and administrative expense increased $170 thousand. The items on this line of significance include an increase in NSF check losses and fraud of $127 thousand, an increase in miscellaneous expenses of $69 thousand and increased CDARS/ICS fees of $51 thousand.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Income tax expense was $787 thousand higher for the three months ended September 30, 2025 compared to the same period in 2024 based mainly on pretax higher earnings. Amortization of qualified affordable housing projects caused income tax expense to increase $111 thousand for both the three months ended September 30, 2025 and 2024, as presented in Note 8. Effective tax rates were 21.19% and 19.64% for 2025 and 2024, respectively. Excluding the additional $111 thousand of income tax expense for both periods, the effective tax rates would have been 20.20% and 18.28% for the three months ended September 30, 2025 and 2024, respectively.</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Overall, net income in the three months ended September 30, 2025 was up $2.3 million or 35.9% to $8.9 million as compared to last year's $6.5 million. The biggest contributor to the improvement was net interest income. Net interest income was up</w:t>
      </w:r>
    </w:p>
    <w:p>
      <w:pPr>
        <w:spacing w:after="0" w:line="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sectPr>
      </w:pPr>
    </w:p>
    <w:bookmarkStart w:id="65" w:name="page66"/>
    <w:bookmarkEnd w:id="65"/>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$5.3 million or 24.6% due to both increased interest income and decreased interest expense. Provision for credit losses for loans and unfunded commitments increased $270 thousand compared to 2024. Noninterest income increased $397 thousand and noninterest expense increased $2.3 million as described above. The Company remains strong, stable, and well capitalized and has the capacity to continue to cover the increased costs of expansion. The Company is optimistic for continued improvement in profitability due to the opportunity for continued expansion in the net interest margin.</w:t>
      </w:r>
    </w:p>
    <w:p>
      <w:pPr>
        <w:spacing w:after="0" w:line="152" w:lineRule="exact"/>
        <w:rPr>
          <w:sz w:val="20"/>
          <w:szCs w:val="20"/>
          <w:color w:val="auto"/>
        </w:rPr>
      </w:pPr>
    </w:p>
    <w:p>
      <w:pPr>
        <w:ind w:left="180" w:right="146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Interest Earnings and Expenses for nine month periods ended September 30, 2025 and 2024 </w:t>
      </w:r>
      <w:r>
        <w:rPr>
          <w:rFonts w:ascii="Times New Roman" w:cs="Times New Roman" w:eastAsia="Times New Roman" w:hAnsi="Times New Roman"/>
          <w:sz w:val="18"/>
          <w:szCs w:val="18"/>
          <w:b w:val="1"/>
          <w:bCs w:val="1"/>
          <w:color w:val="auto"/>
        </w:rPr>
        <w:t>Interest Income</w:t>
      </w: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When comparing the nine months ended September 30, 2025 and September 30, 2024, average loan balances grew $53.6 million which represented a 2.1% increase. Interest income on loans increased $8.9 million or 8.2% as compared to the nine months ended September 30, 2024. Loan interest income for the nine months ended September 30, 2025 included approximately $1.1 million of fee income related to interest rate swap transactions compared to $124 thousand for the nine months ended September 30, 2024. The associated impact to loan yield and total asset yield for the first nine months of 2025 was 6 basis points and 4 basis points, respectively, whereas the impact to both loan yield and total asset yield was only 1 basis point for the first nine months of 2024. Loan interest for third quarter 2025 also includes a one-time fee collected of $195 thousand in addition to $191 thousand from the recovery of one acquired relationship that had been fully charged off prior to acquisition. During the second quarter 2024, the Company recognized loan interest income of slightly more than $1.0 million related to the payoff of one nonaccrual relationship of which approximately $379 thousand was earned in 2024. The Company's loan portfolio is 44.1% variable rate with 28.3% of total loans subject to repricing during the remainder of 2025 and 38.4% of total loans subject to repricing within the next twelve months.</w:t>
      </w:r>
    </w:p>
    <w:p>
      <w:pPr>
        <w:spacing w:after="0" w:line="16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$53.2 million when comparing to the same time period in 2024 with the income associated with the security portfolio increasing $2.8 million over the nine months ended September 30, 2024. The increased balances were the result of increasing our holdings for liquidity and contingency planning purposes and to improve our investments in CRA qualifying securities. Federal funds sold and interest-bearing deposits decreased in average balances by $78.1 million as compared to the same nine month period ended September 30, 2024 with decreased income of $4.5 million for the current period. The decreased balances are the result of funding loan growth, purchases of available-for-sale securities and repayment of other borrowed money.</w:t>
      </w:r>
    </w:p>
    <w:p>
      <w:pPr>
        <w:spacing w:after="0" w:line="14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$28.6 million and interest income was higher for the nine months ended September 30, 2025 by 6.0% or $7.3 million as compared to the nine month period ended September 30, 2024. Rate changes between periods have contributed to approximately 105.6% of the increase.</w:t>
      </w:r>
    </w:p>
    <w:p>
      <w:pPr>
        <w:spacing w:after="0" w:line="13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Annualized yield, for the nine months ended September 30, 2025, was 5.42% as compared to 5.17% for the comparable period ended September 30, 2024. The following charts demonstrate loan rate increases accounted for 74.6% of the increased loan interest income while increased loan balances accounted for the remaining 25.4%. The yields on tax-exempt securities and the portion of the tax-exempt IDB loans included in loans have been tax adjusted based on a 21% tax rate in the charts to follow. The tax-exempt interest income was $342 and $386 thousand for the nine months ended September 2025 and 2024 which resulted in a federal tax savings of $72 and $81 thousand, respectively.</w:t>
      </w:r>
    </w:p>
    <w:p>
      <w:pPr>
        <w:sectPr>
          <w:pgSz w:w="11900" w:h="16838" w:orient="portrait"/>
          <w:cols w:equalWidth="0" w:num="1">
            <w:col w:w="10660"/>
          </w:cols>
          <w:pgMar w:left="90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ind w:right="1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Year to Date Ended September 30,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2,615,332</w:t>
            </w:r>
          </w:p>
        </w:tc>
        <w:tc>
          <w:tcPr>
            <w:tcW w:w="100" w:type="dxa"/>
            <w:vAlign w:val="bottom"/>
          </w:tcPr>
          <w:p>
            <w:pPr>
              <w:spacing w:after="0"/>
              <w:rPr>
                <w:sz w:val="16"/>
                <w:szCs w:val="16"/>
                <w:color w:val="auto"/>
              </w:rPr>
            </w:pPr>
          </w:p>
        </w:tc>
        <w:tc>
          <w:tcPr>
            <w:tcW w:w="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117,615</w:t>
            </w:r>
          </w:p>
        </w:tc>
        <w:tc>
          <w:tcPr>
            <w:tcW w:w="100" w:type="dxa"/>
            <w:vAlign w:val="bottom"/>
          </w:tcPr>
          <w:p>
            <w:pPr>
              <w:spacing w:after="0"/>
              <w:rPr>
                <w:sz w:val="16"/>
                <w:szCs w:val="16"/>
                <w:color w:val="auto"/>
              </w:rPr>
            </w:pPr>
          </w:p>
        </w:tc>
        <w:tc>
          <w:tcPr>
            <w:tcW w:w="162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6.00%</w:t>
            </w:r>
          </w:p>
        </w:tc>
        <w:tc>
          <w:tcPr>
            <w:tcW w:w="16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3,173,751</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-719455</wp:posOffset>
            </wp:positionV>
            <wp:extent cx="6412230" cy="13716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-445135</wp:posOffset>
            </wp:positionV>
            <wp:extent cx="6412230" cy="13716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-162560</wp:posOffset>
            </wp:positionV>
            <wp:extent cx="6412230" cy="16319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7440"/>
          </w:cols>
          <w:pgMar w:left="900" w:top="1161" w:right="339" w:bottom="1440" w:gutter="0" w:footer="0" w:header="0"/>
          <w:type w:val="continuous"/>
        </w:sectPr>
      </w:pPr>
    </w:p>
    <w:p>
      <w:pPr>
        <w:spacing w:after="0" w:line="1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type w:val="continuous"/>
        </w:sectPr>
      </w:pPr>
    </w:p>
    <w:bookmarkStart w:id="66" w:name="page67"/>
    <w:bookmarkEnd w:id="66"/>
    <w:p>
      <w:pPr>
        <w:ind w:left="2580"/>
        <w:spacing w:after="0"/>
        <w:rPr>
          <w:sz w:val="20"/>
          <w:szCs w:val="20"/>
          <w:color w:val="auto"/>
        </w:rPr>
      </w:pPr>
      <w:r>
        <w:rPr>
          <w:rFonts w:ascii="Times New Roman" w:cs="Times New Roman" w:eastAsia="Times New Roman" w:hAnsi="Times New Roman"/>
          <w:sz w:val="18"/>
          <w:szCs w:val="18"/>
          <w:u w:val="single" w:color="auto"/>
          <w:color w:val="auto"/>
        </w:rPr>
        <w:t>Change in Interest Income Year to Date September 30, 2025 Compared to September 30, 2024</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8,949</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6,677</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-162560</wp:posOffset>
            </wp:positionV>
            <wp:extent cx="5700395" cy="16319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740" w:space="720"/>
            <w:col w:w="5780"/>
          </w:cols>
          <w:pgMar w:left="320" w:top="1201"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Contributing to the increased net interest income for the first nine months of 2025 was a decrease in interest expense of $6.2 million or 10.5% compared to the same period in 2024. Since 2024, average interest-bearing deposit balances have increased $28.8 million or 1.3% while the Company recognized $4.9 million less in interest expense for the most recent nine months. The Federal Reserve made its first change to the federal funds rate in 2025 by decreasing 25 basis points in September. During 2024, the Federal Reserve decreased the federal funds rate by 50 basis points in September and 25 basis points in November and December. Deposit rates have been adjusted numerous times with all the rate changes. The following charts demonstrate increased average interest-bearing deposit balances accounted for 5.8% of additional interest-bearing deposit expense while rate decreases accounted for decreased interest-bearing deposit expense of 105.8%. Noninterest-bearing deposits balances increased $26.5 million compared to the same period in 2024. The Bank continues to focus on capturing the full customer relationship; however, it has sometimes resulted in more expensive deposits being brought in.</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Interest expense on borrowed funds decreased $1.3 million in the nine months ended September 30, 2025 over the same time frame in 2024 due to the repayment of FHLB advances. During the current nine months, FHLB borrowings of $58.2 million were repaid compared to new FHLB borrowings of $15.0 million and repayments of $17.7 million in 2024. Interest expense on federal funds purchased and securities sold under agreement to repurchase decreased $21 thousand compared to the first nine months of 2024 due to the decrease of $535 thousand in average balances. Cost of funds decreased even with growth in interest-bearing deposit balances offset by decreased borrowings compared to 2024. The average cost of funds decreased to 2.84% for the nine months ended September 30, 2025 compared to 3.16% for the nine months ended September 30, 2024. Refer to Note 11 for additional information on subordinated notes.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Year to Date Ended September 30,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7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1,557,564</w:t>
            </w:r>
          </w:p>
        </w:tc>
        <w:tc>
          <w:tcPr>
            <w:tcW w:w="7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28,009</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720" w:type="dxa"/>
            <w:vAlign w:val="bottom"/>
            <w:tcBorders>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16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2,461,718</w:t>
            </w: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52,457</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-1010920</wp:posOffset>
            </wp:positionV>
            <wp:extent cx="6032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-1010920</wp:posOffset>
            </wp:positionV>
            <wp:extent cx="596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u w:val="single" w:color="auto"/>
          <w:color w:val="auto"/>
        </w:rPr>
        <w:t>Change in Interest Expense Year to Date September 30, 2025 Compared to September 30, 2024</w:t>
      </w:r>
    </w:p>
    <w:p>
      <w:pPr>
        <w:sectPr>
          <w:pgSz w:w="11900" w:h="16838" w:orient="portrait"/>
          <w:cols w:equalWidth="0" w:num="1">
            <w:col w:w="10480"/>
          </w:cols>
          <w:pgMar w:left="108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Interest-Bearing Liabilities: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NOW accounts and savings deposits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Time deposits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Borrowed funds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 funds purchased &amp; securities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sold under agreement to repurchase</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Interest-Bearing Liabilities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(3,702)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-1297940</wp:posOffset>
            </wp:positionV>
            <wp:extent cx="5713095" cy="44132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713095" cy="44132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-307975</wp:posOffset>
            </wp:positionV>
            <wp:extent cx="5700395" cy="1460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40" w:space="720"/>
            <w:col w:w="4820"/>
          </w:cols>
          <w:pgMar w:left="1080" w:top="120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25 basis points combined with the decreased cost of funds of 32 basis points equated to a 57 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5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5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14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-187960</wp:posOffset>
            </wp:positionV>
            <wp:extent cx="11176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-170815</wp:posOffset>
            </wp:positionV>
            <wp:extent cx="1117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-187960</wp:posOffset>
            </wp:positionV>
            <wp:extent cx="11112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-170815</wp:posOffset>
            </wp:positionV>
            <wp:extent cx="11112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-187960</wp:posOffset>
            </wp:positionV>
            <wp:extent cx="11112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-170815</wp:posOffset>
            </wp:positionV>
            <wp:extent cx="11112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increased approximately $13.4 million for the nine months ended September 30, 2025 over the same time frame in 2024 due to the increase in interest income of approximately $7.3 million combined with the interest expense decrease of $6.2 million as previously mentioned. As the new loans added in 2024 and 2025 and loans repricing higher generate more income, management expects the benefits of the Company’s strategy of repositioning the balance sheet to increase interest income in the long run. The Company does expect to see continued improvement in asset yields as loans reprice in addition to a lowering of funding costs. Loans as a percentage of earning assets increased to 82.4% for the nine months ended 2025 compared to 81.5% for the nine months ended 2024. Loans to total assets increased to 78.1% for the nine months ended 2025 compared to 77.5% for the same period 2024. The percentage of earning assets to total assets decreased to 94.8% for the nine months ended 2025 compared to 95.1% for the nine months ended 2024. In terms of net interest margin, the Bank recognizes competition for deposits will continue; however, there is a greater opportunity for gradual improvement with loans repricing upwards in the next year and a likely continuing decrease in cost of funds.</w:t>
      </w:r>
    </w:p>
    <w:p>
      <w:pPr>
        <w:spacing w:after="0" w:line="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nine month periods ended September 30,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 expense increased $1.4 million for the nine months ended September 30, 2025, compared to the same period in 2024. As discussed more thoroughly below, the increase was primarily driven by a combination of higher net charge-offs, a rise in nonaccrual loans, and adjustments to qualitative factors reflecting elevated credit risk in certain portfolio segments. Loan charge-offs were $187 thousand higher during the nine months ended September 30, 2025 than the same period in 2024. Recoveries were $55 thousand lower during the nine months ended September 30, 2025 as compared to same period in 2024. Net charge-offs increased $242 thousand year-over-year, with the consumer loan segment accounting for the majority of losses. Nonaccrual loans increased by $2.3 million, or 77.9%, from September 30, 2024, due largely to deterioration in the consumer real estate and agricultural real estate portfolios. The commercial loan portfolio also saw increased nonaccrual balances. Management also factored in the continuing impact of high interest rates and inflationary pressures on borrower repayment capacity, particularly in rate-sensitive consumer real estate, agricultural and commercial portfolios. These trends resulted in a higher modeled loss rate and adjustments to qualitative reserves.</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past due 30 or more days increased $1.0 million at September 30, 2025 as compared to September 30, 2024. The largest changes were attributed to the agricultural real estate portfolio segment past due balances which increased $712 thousand for the same time period.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portfolio segment and shows the contribution provided by both recoveries and the provision, along with the reduction of the allowance caused by charge-offs. The time period covered is for the nine months ended September 30, 2025, 2024, and 2023.</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Nine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9"/>
              </w:rPr>
              <w:t>Nine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160" w:type="dxa"/>
            <w:vAlign w:val="bottom"/>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80" w:type="dxa"/>
            <w:vAlign w:val="bottom"/>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2,613,686</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2,560,440</w:t>
            </w:r>
          </w:p>
        </w:tc>
        <w:tc>
          <w:tcPr>
            <w:tcW w:w="18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2,470,770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22,447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Charged off:</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Recoveries: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0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00" w:type="dxa"/>
            <w:vAlign w:val="bottom"/>
            <w:shd w:val="clear" w:color="auto" w:fill="CFF0FC"/>
          </w:tcPr>
          <w:p>
            <w:pPr>
              <w:spacing w:after="0"/>
              <w:rPr>
                <w:sz w:val="15"/>
                <w:szCs w:val="15"/>
                <w:color w:val="auto"/>
              </w:rPr>
            </w:pPr>
          </w:p>
        </w:tc>
        <w:tc>
          <w:tcPr>
            <w:tcW w:w="1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532.98%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14"/>
        </w:trPr>
        <w:tc>
          <w:tcPr>
            <w:tcW w:w="41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shd w:val="clear" w:color="auto" w:fill="CFF0FC"/>
          </w:tcPr>
          <w:p>
            <w:pPr>
              <w:spacing w:after="0"/>
              <w:rPr>
                <w:sz w:val="18"/>
                <w:szCs w:val="18"/>
                <w:color w:val="auto"/>
              </w:rPr>
            </w:pPr>
          </w:p>
        </w:tc>
        <w:tc>
          <w:tcPr>
            <w:tcW w:w="17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532.98%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-6231255</wp:posOffset>
            </wp:positionV>
            <wp:extent cx="11112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-6214110</wp:posOffset>
            </wp:positionV>
            <wp:extent cx="11112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-6231255</wp:posOffset>
            </wp:positionV>
            <wp:extent cx="11112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-6214110</wp:posOffset>
            </wp:positionV>
            <wp:extent cx="11112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-6231255</wp:posOffset>
            </wp:positionV>
            <wp:extent cx="11176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-6214110</wp:posOffset>
            </wp:positionV>
            <wp:extent cx="11176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-5905500</wp:posOffset>
            </wp:positionV>
            <wp:extent cx="11112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-5888355</wp:posOffset>
            </wp:positionV>
            <wp:extent cx="11112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-5905500</wp:posOffset>
            </wp:positionV>
            <wp:extent cx="11112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-5888355</wp:posOffset>
            </wp:positionV>
            <wp:extent cx="11112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-5905500</wp:posOffset>
            </wp:positionV>
            <wp:extent cx="11176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-5888355</wp:posOffset>
            </wp:positionV>
            <wp:extent cx="11176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-4358005</wp:posOffset>
            </wp:positionV>
            <wp:extent cx="136525" cy="1797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-4358005</wp:posOffset>
            </wp:positionV>
            <wp:extent cx="136525" cy="1797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-4358005</wp:posOffset>
            </wp:positionV>
            <wp:extent cx="137160" cy="1797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-3243580</wp:posOffset>
            </wp:positionV>
            <wp:extent cx="136525" cy="1797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-3243580</wp:posOffset>
            </wp:positionV>
            <wp:extent cx="136525" cy="17970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-3243580</wp:posOffset>
            </wp:positionV>
            <wp:extent cx="137160" cy="1797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-2116455</wp:posOffset>
            </wp:positionV>
            <wp:extent cx="11112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-2116455</wp:posOffset>
            </wp:positionV>
            <wp:extent cx="11112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-2116455</wp:posOffset>
            </wp:positionV>
            <wp:extent cx="11176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-1285240</wp:posOffset>
            </wp:positionV>
            <wp:extent cx="11112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11112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-1285240</wp:posOffset>
            </wp:positionV>
            <wp:extent cx="11112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-1268095</wp:posOffset>
            </wp:positionV>
            <wp:extent cx="11112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-1285240</wp:posOffset>
            </wp:positionV>
            <wp:extent cx="11176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-1268095</wp:posOffset>
            </wp:positionV>
            <wp:extent cx="11176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-847725</wp:posOffset>
            </wp:positionV>
            <wp:extent cx="11112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-831215</wp:posOffset>
            </wp:positionV>
            <wp:extent cx="11112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-847725</wp:posOffset>
            </wp:positionV>
            <wp:extent cx="11112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-831215</wp:posOffset>
            </wp:positionV>
            <wp:extent cx="11112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-847725</wp:posOffset>
            </wp:positionV>
            <wp:extent cx="1117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-831215</wp:posOffset>
            </wp:positionV>
            <wp:extent cx="1117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-299720</wp:posOffset>
            </wp:positionV>
            <wp:extent cx="11112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-281940</wp:posOffset>
            </wp:positionV>
            <wp:extent cx="11112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-299720</wp:posOffset>
            </wp:positionV>
            <wp:extent cx="11112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-281940</wp:posOffset>
            </wp:positionV>
            <wp:extent cx="11112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-299720</wp:posOffset>
            </wp:positionV>
            <wp:extent cx="11176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wp:posOffset>
            </wp:positionV>
            <wp:extent cx="1117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The balance of loans, amortized cost at September 30, 2025 and September 30, 2024 within this chart does not include a fair value basis adjustment for derivatives of $1.9 million and $3.0 million, respectively, or a daily average outstanding balance of</w:t>
      </w:r>
    </w:p>
    <w:p>
      <w:pPr>
        <w:spacing w:after="0" w:line="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$1.6 million and $1.3 million, respectively. Refer to Note 7 for additional information related to derivative financial instruments.</w:t>
      </w:r>
    </w:p>
    <w:p>
      <w:pPr>
        <w:sectPr>
          <w:pgSz w:w="11900" w:h="16838" w:orient="portrait"/>
          <w:cols w:equalWidth="0" w:num="1">
            <w:col w:w="9379"/>
          </w:cols>
          <w:pgMar w:left="1080" w:top="1161" w:right="1440" w:bottom="1440" w:gutter="0" w:footer="0" w:header="0"/>
        </w:sectPr>
      </w:pPr>
    </w:p>
    <w:p>
      <w:pPr>
        <w:spacing w:after="0" w:line="11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161" w:right="1440" w:bottom="1440" w:gutter="0" w:footer="0" w:header="0"/>
          <w:type w:val="continuous"/>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September 30, 2025 at $5.2 million as compared to $2.9 million as of September 30, 2024. The consumer real estate portfolio segment increased $1.9 million, or 86.8%, as compared to September 30, 2024. The agricultural real estate portfolio segment increased $334 thousand, or 267.2%, as compared to September 30, 2024 while the agricultural portfolio segment decreased $46 thousand compared to September 30, 2024. The commercial real estate portfolio segment decreased 61.1% or $220 thousand compared to September 30, 2024. Nonaccrual loans in the commercial and industrial portfolio segment increased $294 thousand compared to September 30,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consumer portfolio segment accounted for the largest component of recoveries and of charge-offs for the nine months ended September 30, 2025 versus the commercial and industrial portfolio segment and consumer portfolio segment which accounted for the largest components of recoveries and of charge-offs for the nine months ended September 30,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income was up $832 thousand, or 7.2%, for the nine months ended September 30, 2025 over the same time frame in 2024. Other service fees increased by $382 thousand as compared to the nine months ended September 30, 2024 which includes increased overdraft and returned check charge fees of $159 thousand and combined service charges on DDA, savings accounts, ATM and miscellaneous of $173 thousand. Customer service fees decreased by $6 thousand compared to the same period in 2024. Mortgage release fees and miscellaneous customer service fees, which are included in customer service fees, decreased $13 and $75 thousand, respectively, while credit card fees increased $70 thousand over the same time period in 2024. Servicing rights income for 1-4 family real estate and agricultural real estate loans increased $258 thousand as compared to the same period in 2024 due to an increase in real estate loans sold as discussed below. Bank owned life insurance cash surrender value increased $13 thousand while interchange income decreased by $121 thousand as compared to 2024.</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seen improvement in mortgage production volume partially due to the improvement of housing inventory in many of our markets. The gain on the sale of these loans was $349 thousand higher for the nine months ended September 30, 2025 over the same period in 2024. Total originations of loans held for sale for the nine months ended September 30, 2025 were $45.0 million with proceeds from sale at $46.0 million for 2025 compared to 2024’s activity of $36.5 million in originations and $37.1 million in sales. The mortgages sold were both 1-4 family real estate and agricultural real estate loans originated for sale.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showing the impact of loan servicing rights, both to income and expense, can be seen in the three month comparison section. The capitalization runs through noninterest income while the amortization thereof is included in noninterest expense. For the nine months ended September 30, 2025 and 2024, loan servicing rights caused a net $243 thousand and $38 thousand in income, respectively. Impairment of $362 thousand and $42 thousand was recognized during the nine months ended September 30, 2025 and 2024, respectively. Capitalized additions of agricultural real estate loan servicing rights were $387 thousand for the nine months ended September 30, 2025 compared to $216 thousand in capitalized additions for the nine months ended September 30, 2024. Amortization of agricultural real estate loan servicing rights were $214 thousand and $191 thousand for the nine months ended September 30, 2025 and 2024, respectively. Impairment of agricultural real estate loan servicing rights was $359 thousand for the nine months ended September 30, 2025 compared to $42 thousand for the nine months ended September 30, 2024. At September 30, 2025, the carrying value of certain strata were slightly below the market value thus requiring the establishment of a $5 thousand valuation allowance for 1-4 family real estate and an $454 thousand valuation allowance for agricultural real estate servicing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noninterest expenses were $5.1 million or 9.8% higher than for the same period in 2024. Salaries and wages, including normal merit increases, restricted stock expense and incentive payouts, increased $405 thousand in total. Salaries increased $1.0 million from last year. Restricted stock expense increased $9 thousand while incentive expense and deferred salary loan costs decreased $16 and $606 thousand, respectively from 2024. The increase in salaries was due to the investment in people for our strategic growth initiative and staffing of new offices. Benefits increased over 2024 with the increased medical expense of $423 thousand and combined taxes and workmen's compensation of $167 thousand offset with reductions in pension of $68 thousand. The additional cost of the offices is also evident in the increased expenses in net occupancy with additional lease expense of $111 thousand and building repairs and maintenance of $88 thousand. Furniture and equipment decreased $8 thousand in total which was comprised of increases in maintenance contracts and equipment repairs of $78 and $44 thousand, respectively, and decreases in depreciation and equipment rental of $105 thousand and $15 thousand, respectively.</w:t>
      </w: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Consulting fees increased $846 thousand over the same period in 2024 of which the majority was for time spent to our core banking operating system for the base contract negotiation and additional ancillary products. Data processing expenses and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ATM expense increased a combined $2.0 million. The first nine months of 2024 included a much higher usage of flex credits for data processing and ATM expenses that were provided in the renegotiation of the core processor contract. Some of the flex credits may be used on a wide range of services while others are product specific. General and administrative expense increased $744 thousand. The items on this line of significance include increases in out of state taxes of $202 thousand, combined debit card losses and NSF check losses of $206 thousand and miscellaneous expenses of $201 thousand over the same period in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was $1.7 million higher for the nine months ended September 30, 2025 compared to the same period in 2024 based mainly on higher earnings. Amortization of qualified affordable housing projects caused income tax expense to increase $335 thousand and $331 thousand for the nine months ended September 30, 2025 and 2024, respectively, as presented in Note 8. Effective tax rates were 20.80% and 20.36% for 2025 and 2024, respectively. Excluding the additional $33</w:t>
      </w:r>
      <w:r>
        <w:rPr>
          <w:rFonts w:ascii="Times New Roman" w:cs="Times New Roman" w:eastAsia="Times New Roman" w:hAnsi="Times New Roman"/>
          <w:sz w:val="18"/>
          <w:szCs w:val="18"/>
          <w:color w:val="FF0000"/>
        </w:rPr>
        <w:t>5</w:t>
      </w:r>
      <w:r>
        <w:rPr>
          <w:rFonts w:ascii="Times New Roman" w:cs="Times New Roman" w:eastAsia="Times New Roman" w:hAnsi="Times New Roman"/>
          <w:sz w:val="18"/>
          <w:szCs w:val="18"/>
          <w:color w:val="auto"/>
        </w:rPr>
        <w:t xml:space="preserve"> and $331 thousand of income tax expense, the effective tax rates would have been 19.67% and 18.86% for the nine months ended September 30, 2025 and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income in the nine months ended September 30, 2025 was up $6.0 million or 33.9% to $23.5 million as compared to last year's $17.6 million. The biggest contributor to the improvement was net interest income. Net interest income was up $13.4 million or 21.3% with increased interest income accounting for the largest contribution and decreased interest expense contributed at a lower amount. Provision for credit losses for loans and unfunded commitments increased $1.5 million compared to 2024. Noninterest income increased $832 thousand and noninterest expense increased $5.1 million as described above. The Company remains strong, stable, and well capitalized and has the capacity to continue to cover the increased costs of expansion. The Company is optimistic for continued improvement in profitability due to the opportunity for continued expansion in the net interest margin.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This report, including the sections entitled Management’s Discussion and Analysis of Financial Condition and Results of Operations, may contain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including Section 27A of the Securities Act of 1933 and Section 21E of the Securities Exchange Act of 1934.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not historical facts and can be identified by words such as “anticipate,” “believe,” “could,” “expect,” “forecast,” “goal,” “guidance,” “intend,” “likely,” “may,” “objective,” “outlook,” “plan,” “project,” “seeks,” “should,” “target,” “will,” “would,” and similar expressions, as well as their negatives. These statements include, among other things, statements regarding our strategy, future operations, financial condition, results of operations, capital and liquidity levels, margins, asset quality, loan and deposit growth, noninterest income, expense trends, capital management, dividends, share repurchases, and the timing and effects of regulatory or accounting developments and are based on current expectations and assumptions of management.</w:t>
      </w:r>
    </w:p>
    <w:p>
      <w:pPr>
        <w:spacing w:after="0" w:line="13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risks and uncertainties that could cause actual results to differ materially from those expressed or implied. Factors that could cause actual results to differ materially include, but are not limited to, the following:</w:t>
      </w:r>
    </w:p>
    <w:p>
      <w:pPr>
        <w:spacing w:after="0" w:line="158" w:lineRule="exact"/>
        <w:rPr>
          <w:sz w:val="20"/>
          <w:szCs w:val="20"/>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yield curves, deposit betas, and funding availability and costs; the mix and level of deposits (including the risk of outflows), wholesale funding, and other sources of liquidity; and the impact on net interest income and margin.</w:t>
      </w:r>
    </w:p>
    <w:p>
      <w:pPr>
        <w:spacing w:after="0" w:line="121"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nationally and in our markets, including in our Midwest footprint; inflation, employment trends, business and consumer confidence, and housing conditions.</w:t>
      </w:r>
    </w:p>
    <w:p>
      <w:pPr>
        <w:spacing w:after="0" w:line="134"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including concentrations (such as commercial real estate), borrower performance, collateral values, and the level and volatility of the allowance for credit losses under CECL.</w:t>
      </w:r>
    </w:p>
    <w:p>
      <w:pPr>
        <w:spacing w:after="0" w:line="80" w:lineRule="exact"/>
        <w:rPr>
          <w:rFonts w:ascii="Times New Roman" w:cs="Times New Roman" w:eastAsia="Times New Roman" w:hAnsi="Times New Roman"/>
          <w:sz w:val="18"/>
          <w:szCs w:val="18"/>
          <w:color w:val="auto"/>
        </w:rPr>
      </w:pPr>
    </w:p>
    <w:p>
      <w:pPr>
        <w:ind w:left="740" w:hanging="369"/>
        <w:spacing w:after="0" w:line="25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risks related to our investment securities and hedging activities, including fair value changes,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or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impairments, and accumulated other comprehensive income (AOCI) volatility.</w:t>
      </w:r>
    </w:p>
    <w:p>
      <w:pPr>
        <w:spacing w:after="0" w:line="90" w:lineRule="exact"/>
        <w:rPr>
          <w:rFonts w:ascii="Times New Roman" w:cs="Times New Roman" w:eastAsia="Times New Roman" w:hAnsi="Times New Roman"/>
          <w:sz w:val="18"/>
          <w:szCs w:val="18"/>
          <w:color w:val="auto"/>
        </w:rPr>
      </w:pPr>
    </w:p>
    <w:p>
      <w:pPr>
        <w:ind w:left="740" w:hanging="369"/>
        <w:spacing w:after="0" w:line="207"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and nonbanks (including fintechs) for loans, deposits,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products and services.</w:t>
      </w:r>
    </w:p>
    <w:p>
      <w:pPr>
        <w:spacing w:after="0" w:line="238" w:lineRule="exact"/>
        <w:rPr>
          <w:rFonts w:ascii="Times New Roman" w:cs="Times New Roman" w:eastAsia="Times New Roman" w:hAnsi="Times New Roman"/>
          <w:sz w:val="18"/>
          <w:szCs w:val="18"/>
          <w:color w:val="auto"/>
        </w:rPr>
      </w:pPr>
    </w:p>
    <w:p>
      <w:pPr>
        <w:ind w:left="740" w:right="20" w:hanging="369"/>
        <w:spacing w:after="0" w:line="23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technology, and information security risks, including cybersecurity threats, fraud, ransomware, data breaches, business interruption, and risks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and vendor relationships (including core and cloud service providers).</w:t>
      </w:r>
    </w:p>
    <w:p>
      <w:pPr>
        <w:spacing w:after="0" w:line="129" w:lineRule="exact"/>
        <w:rPr>
          <w:rFonts w:ascii="Times New Roman" w:cs="Times New Roman" w:eastAsia="Times New Roman" w:hAnsi="Times New Roman"/>
          <w:sz w:val="18"/>
          <w:szCs w:val="18"/>
          <w:color w:val="auto"/>
        </w:rPr>
      </w:pPr>
    </w:p>
    <w:p>
      <w:pPr>
        <w:jc w:val="both"/>
        <w:ind w:left="740" w:hanging="369"/>
        <w:spacing w:after="0" w:line="258"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supervisory, and regulatory risks, including the nature, timing, and effect of changes in banking laws and regulations and of examination findings and enforcement actions; potential changes to regulatory capital requirements (including U.S. implementation of the “Basel III Endgame” framework); developments related to small business lending data collection under Section 1071; Community Reinvestment Act developments; and other rulemakings or guidance applicable to community and regional banking organizations.</w:t>
      </w:r>
    </w:p>
    <w:p>
      <w:pPr>
        <w:spacing w:after="0" w:line="142"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interpretations, tax laws, and related guidance.</w:t>
      </w:r>
    </w:p>
    <w:p>
      <w:pPr>
        <w:spacing w:after="0" w:line="198" w:lineRule="exact"/>
        <w:rPr>
          <w:rFonts w:ascii="Times New Roman" w:cs="Times New Roman" w:eastAsia="Times New Roman" w:hAnsi="Times New Roman"/>
          <w:sz w:val="18"/>
          <w:szCs w:val="18"/>
          <w:color w:val="auto"/>
        </w:rPr>
      </w:pPr>
    </w:p>
    <w:p>
      <w:pPr>
        <w:jc w:val="both"/>
        <w:ind w:left="740" w:hanging="369"/>
        <w:spacing w:after="0" w:line="266"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to execute on business strategies and initiatives, including technology and digital payments initiatives and any activities relating to stablecoin or other digital asset/payment innovations under applicable law and regulation.</w:t>
      </w:r>
    </w:p>
    <w:p>
      <w:pPr>
        <w:spacing w:after="0" w:line="135"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public health events, geopolitical conflicts, or other external events.</w:t>
      </w:r>
    </w:p>
    <w:p>
      <w:pPr>
        <w:spacing w:after="0" w:line="184" w:lineRule="exact"/>
        <w:rPr>
          <w:rFonts w:ascii="Times New Roman" w:cs="Times New Roman" w:eastAsia="Times New Roman" w:hAnsi="Times New Roman"/>
          <w:sz w:val="18"/>
          <w:szCs w:val="18"/>
          <w:color w:val="auto"/>
        </w:rPr>
      </w:pPr>
    </w:p>
    <w:p>
      <w:pPr>
        <w:ind w:left="740" w:hanging="369"/>
        <w:spacing w:after="0" w:line="23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filings with the Securities and Exchange Commission, including the Risk Factors in our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any updates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0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speaks only as of the date it is made. The Company undertakes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written or oral, to reflect events or circumstances after the date of this report, except as required by law. Readers should not place undue reliance 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which are not guarantees of future performance and involve risks, uncertainties, and assumptions.</w:t>
      </w:r>
    </w:p>
    <w:p>
      <w:pPr>
        <w:spacing w:after="0" w:line="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interest-bearing deposits, short-term borrowings and long-term borrowings. Interest rate risk occurs when interest-bearing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asset/liability management strategies are unsuccessful, our profitability may be adversely affected. The Company employs a sensitivity analysis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September 30, 2025, the shocks presented assume an immediate change of rate in the percentages and directions shown: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c>
          <w:tcPr>
            <w:tcW w:w="1160" w:type="dxa"/>
            <w:vAlign w:val="bottom"/>
          </w:tcPr>
          <w:p>
            <w:pPr>
              <w:spacing w:after="0"/>
              <w:rPr>
                <w:sz w:val="17"/>
                <w:szCs w:val="17"/>
                <w:color w:val="auto"/>
              </w:rPr>
            </w:pPr>
          </w:p>
        </w:tc>
      </w:tr>
      <w:tr>
        <w:trPr>
          <w:trHeight w:val="218"/>
        </w:trPr>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1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18"/>
                <w:szCs w:val="18"/>
                <w:color w:val="auto"/>
              </w:rPr>
            </w:pPr>
          </w:p>
        </w:tc>
        <w:tc>
          <w:tcPr>
            <w:tcW w:w="1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34"/>
        </w:trPr>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1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Flat Rate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Flat Rate</w:t>
            </w:r>
          </w:p>
        </w:tc>
      </w:tr>
      <w:tr>
        <w:trPr>
          <w:trHeight w:val="210"/>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3.02%</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-8.47%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94,359</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-9.32%</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3.12%</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-5.50%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97,618</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-6.19%</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3.31%</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103,724</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-0.32%</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3.30%</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104,058</w:t>
            </w: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3.23%</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-2.13%</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102,499</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-1.50%</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3.06%</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-7.34%</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97,966</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-5.85%</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2.94%</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-11.07%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-8.67%</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Bank’s static balance sheet remained mostly neutral in September. In response to falling market rates and rising economic uncertainties, we tempered our new and repricing spread assumptions to be more conservative. The net interest margin represents the forecasted twelve-month margin. The Company also reviews shocks with a 4.00% fluctuation and over a 24-month time frame. The goal of the Company is to gather more core deposits, such as checking and savings accounts. Checking accounts are preferable for the lower cost of funds whereas savings and money market accounts are beneficial due to the variability of the interest in both rate and immediate option to reprice. CD pricing has been more cautious in response to growing market and geopolitical uncertainties.</w:t>
      </w:r>
    </w:p>
    <w:p>
      <w:pPr>
        <w:spacing w:after="0" w:line="147"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was prompt in dropping non-maturity deposit rates in September when the Fed cut their rate. We will have some continued opportunity to be aggressive with future Fed rate cuts, particularly with our higher deposit rates. While net interest income drops in a falling interest rate environment, there are potential revenues and other factors that can insulate the Bank’s overall income, such as prepayment penalty fees, mortgage fees, and rate floors. The Bank’s monthly cost of funds decreased from 2.83% in June to 2.78% in September. Older loans and 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 The Company must continue its trajectory of improved pricing discipline for its new loans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6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Trade Policy Risk</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ongoing trade policies and tariff initiatives being pursued by the U.S. government under the administration of President Trump could present potential risks unique to the markets within which we operate. Many of our commercial borrowers operate in agriculture, food processing, and manufacturing; industries that are particularly sensitive to changes in trade policy. The imposition of tariffs on imported goods, the added potential for retaliatory tariffs by foreign governments, or other similar restrictions on international trade could increase costs for domestic manufacturers and consumers alike, as well as reduce demand abroad for U.S. exports, and disrupt supply chains. Any prolonged trade tensions could negatively impact the broader economic environment in the Midwest where the Bank operates, potentially leading to reduced consumer spending, lower economic growth, and decreased demand for other banking products and services. If these factors lead to financial strain on our borrowers, we may experience increased credit risk, higher loan delinquencies, and a potential decline in loan demand.</w:t>
      </w:r>
    </w:p>
    <w:p>
      <w:pPr>
        <w:spacing w:after="0" w:line="19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a result, our financial performance, including credit quality and loan growth, could be adversely affected by these policy changes. While we actively monitor these developments and work closely with our agricultural customers, there is no assurance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right="20"/>
        <w:spacing w:after="0" w:line="282" w:lineRule="auto"/>
        <w:rPr>
          <w:sz w:val="20"/>
          <w:szCs w:val="20"/>
          <w:color w:val="auto"/>
        </w:rPr>
      </w:pPr>
      <w:r>
        <w:rPr>
          <w:rFonts w:ascii="Times New Roman" w:cs="Times New Roman" w:eastAsia="Times New Roman" w:hAnsi="Times New Roman"/>
          <w:sz w:val="18"/>
          <w:szCs w:val="18"/>
          <w:color w:val="auto"/>
        </w:rPr>
        <w:t>that we can fully mitigate the risks posed by tariff initiatives or other trade-related disruptions. These factors could materially affect our business, financial condition, and results of operations.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Emerging financial technologies such as digital assets, stablecoins, and distributed ledger systems may reduce the demand for traditional banking services and create new competitive pressures that adversely affect our business.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rapid development and increasing regulatory acceptance of financial technologies such as digital assets (including cryptocurrencies and tokenized money), stablecoins, and distributed ledger technologies (DLT) could materially alter the landscape of financial services in the coming years. These technologies enable near-instantaneous value transfer, programmable money, and peer-to-peer settlement mechanisms, many of which may operate outside the traditional banking system.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technology companies, fintech platforms, and digital asset service providers—some of which are not subject to the same regulatory or capital constraints as depository institutions—are increasingly offering products that compete with core banking functions, such as payments, custody, lending, and liquidity management. The adoption of digital financial infrastructure by governments or central banks, such as central bank digital currencies (CBDCs), or by major corporate platforms could accelerate these shifts.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relatively small financial institution, we may be disproportionately impacted by these developments. Our ability to compete with larger institutions or well-capitalized technology entrants in developing or integrating such technologies is limited by our size, risk appetite, and regulatory obligations. A failure to adapt to or participate in these emerging ecosystems—either directly or through strategic partnerships—could erode our relevance in key banking functions, reduce our share of customer deposits and fee income, and adversely affect our long-term growth prospects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Payment Stablecoins and Digital Assets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federal legislation, including the GENIUS Act enacted in mid-2025, established new regulatory requirements for payment stablecoins issued by banking organizations and their subsidiaries. Compliance with these requirements involves maintaining adequate asset reserves, extensive reporting obligations, independent audits, and increased supervisory oversight. Our potential involvement in issuing or supporting payment stablecoins could expose us to regulatory compliance risks, increased operational costs, and evolving legal uncertainties. Additionally, rapid changes in digital asset regulation or adverse regulatory interpretations could adversely affect our business strategies and prospects in this emerging market, which could materially impact our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Obligations of Bank Holding Companies and Insured Depositories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bank subsidiary operate within an extensive and evolving framework of federal and state laws, regulations, and supervisory expectations that govern nearly all aspects of our operations. As a bank holding company, we are subject to the Bank Holding Company Act and related regulations, while our bank is overseen by federal and state regulators through examination and enforcement authority. We are also subject to numerous requirements under consumer protection, privacy, anti-money laundering, sanctions, community reinvestment, and securities laws, as well as payment system and third-party risk management standards.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obligations restrict permissible activities, affect capital, liquidity, and growth strategies, and impose significant compliance and operational costs. Examinations may result in Matters Requiring Attention or enforcement actions, and deficiencies in our risk, compliance, or governance programs could lead to penalties, remediation orders, restrictions on dividends or expansion, and reputational harm.</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landscape continues to evolve through new legislation, rulemaking, and supervisory guidance in areas such as consumer protection, AML and sanctions, fintech partnerships, model risk, payments modernization, data privacy, and fair access. Future changes—or differing federal and state requirements—could increase compliance costs, limit product or service offerings, or otherwise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“Debanking,” Fair Access, and Supervisory Expectations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Evolving federal and state scrutiny of account onboarding, offboarding, and access to banking services—often referred to as “debanking” or “fair access”—could increase our compliance, legal, and reputational risks. Policymakers and regulators are reconsidering the role of “reputation risk” in supervision and adopting laws that limit account decisions based on perceived political or non-risk factors. These measures may conflict with each other or with our obligations under existing law.</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Supervisory expectations emphasizing individualized, risk-based decisions and enhanced documentation may require policy and system changes and greater resources. We could face criticism or penalties if regulators find our account actions insufficiently supported or discriminatory, or if we must maintain accounts beyond our risk appetite. Conflicting standards and rising public attention to alleged “debanking” may increase complaint volume, compliance costs, and reputational exposure. Any of these developments could materially affect our business,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Cybersecurity, and Information Security Compliance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federal and state data privacy, cybersecurity, and information security requirements. Expanding state privacy regimes, incident-notification rules, and vendor-oversight standards have increased the complexity and cost of compliance, particularly across multiple jurisdictions and third-party relationships. Failure to comply with applicable laws or to safeguard customer or confidential information could result in regulatory inquiries, penalties, litigation, remediation costs, and reputational harm. Ongoing changes in privacy and cybersecurity laws may require additional investment in systems, controls, and personnel, and could adversely affect our operations and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Compliance, CRA Modernization, and Fair Lending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consumer protection, fair lending, and Community Reinvestment Act (CRA) obligations. CRA modernization and evolving fair-lending expectations may require changes to our assessment areas, data collection, monitoring, product offerings, and governance. The use of models or analytics in pricing, marketing, or underwriting increases fair-lending and conduct risk if not properly controlled. Failure to meet supervisory expectations could result in criticism, penalties, remediation obligations, restrictions on growth or activities, or reputational harm.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Fee Practices, and Operational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and supervisory scrutiny of consumer fees—including overdraft and other service charges—continues to evolve. Changes to fee practices, disclosure requirements, or remediation obligations could reduce noninterest income and increase compliance costs. Adoption of faster payment systems and real-time networks heightens operational, fraud, and funds-availability risks, requiring ongoing enhancements to risk controls, vendor oversight, and reconciliation processes. Network rule changes or settlement obligations could further increase costs or operational complexity and adversely affect our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Credit Normalization and Portfolio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credit performance is normalizing from historically strong conditions, reflecting higher interest rates, elevated prices, and reduced savings. Deterioration in borrower cash flows, labor-market weakness, or persistent inflation could increase delinquencies and charge-offs in our retail portfolios, including unsecured consumer loans. Higher loss emergence would increase our allowance for credit losses under CECL, potentially leading to earnings volatility, elevated provision levels, and slower loan growth.</w:t>
      </w:r>
    </w:p>
    <w:p>
      <w:pPr>
        <w:spacing w:after="0" w:line="200" w:lineRule="exact"/>
        <w:rPr>
          <w:sz w:val="20"/>
          <w:szCs w:val="20"/>
          <w:color w:val="auto"/>
        </w:rPr>
      </w:pPr>
    </w:p>
    <w:p>
      <w:pPr>
        <w:spacing w:after="0" w:line="30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6520" w:type="dxa"/>
            <w:vAlign w:val="bottom"/>
            <w:gridSpan w:val="3"/>
          </w:tcPr>
          <w:p>
            <w:pPr>
              <w:jc w:val="right"/>
              <w:ind w:right="1450"/>
              <w:spacing w:after="0"/>
              <w:rPr>
                <w:sz w:val="20"/>
                <w:szCs w:val="20"/>
                <w:color w:val="auto"/>
              </w:rPr>
            </w:pPr>
            <w:r>
              <w:rPr>
                <w:rFonts w:ascii="Times New Roman" w:cs="Times New Roman" w:eastAsia="Times New Roman" w:hAnsi="Times New Roman"/>
                <w:sz w:val="18"/>
                <w:szCs w:val="18"/>
                <w:color w:val="auto"/>
              </w:rPr>
              <w:t>Treasury stock repurchased the quarter ended September 30, 2025.</w:t>
            </w: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80" w:type="dxa"/>
            <w:vAlign w:val="bottom"/>
          </w:tcPr>
          <w:p>
            <w:pPr>
              <w:jc w:val="right"/>
              <w:ind w:right="254"/>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16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68"/>
        </w:trPr>
        <w:tc>
          <w:tcPr>
            <w:tcW w:w="580" w:type="dxa"/>
            <w:vAlign w:val="bottom"/>
          </w:tcPr>
          <w:p>
            <w:pPr>
              <w:spacing w:after="0"/>
              <w:rPr>
                <w:sz w:val="23"/>
                <w:szCs w:val="23"/>
                <w:color w:val="auto"/>
              </w:rPr>
            </w:pPr>
          </w:p>
        </w:tc>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4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Shares Purchased</w:t>
            </w: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24"/>
                <w:szCs w:val="24"/>
                <w:color w:val="auto"/>
                <w:w w:val="94"/>
                <w:vertAlign w:val="superscript"/>
              </w:rPr>
              <w:t>(1)</w:t>
            </w:r>
          </w:p>
        </w:tc>
        <w:tc>
          <w:tcPr>
            <w:tcW w:w="17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Programs </w:t>
            </w:r>
            <w:r>
              <w:rPr>
                <w:rFonts w:ascii="Times New Roman" w:cs="Times New Roman" w:eastAsia="Times New Roman" w:hAnsi="Times New Roman"/>
                <w:sz w:val="24"/>
                <w:szCs w:val="24"/>
                <w:color w:val="auto"/>
                <w:w w:val="93"/>
                <w:vertAlign w:val="superscript"/>
              </w:rPr>
              <w:t>(1)</w:t>
            </w:r>
          </w:p>
        </w:tc>
      </w:tr>
      <w:tr>
        <w:trPr>
          <w:trHeight w:val="210"/>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7/1/2025 to 7/31/2025</w:t>
            </w:r>
          </w:p>
        </w:tc>
        <w:tc>
          <w:tcPr>
            <w:tcW w:w="248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45"/>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8/1/2025 to 8/31/2025</w:t>
            </w:r>
          </w:p>
        </w:tc>
        <w:tc>
          <w:tcPr>
            <w:tcW w:w="2480" w:type="dxa"/>
            <w:vAlign w:val="bottom"/>
          </w:tcPr>
          <w:p>
            <w:pPr>
              <w:jc w:val="right"/>
              <w:ind w:right="74"/>
              <w:spacing w:after="0" w:line="241" w:lineRule="exact"/>
              <w:rPr>
                <w:sz w:val="20"/>
                <w:szCs w:val="20"/>
                <w:color w:val="auto"/>
              </w:rPr>
            </w:pPr>
            <w:r>
              <w:rPr>
                <w:rFonts w:ascii="Times New Roman" w:cs="Times New Roman" w:eastAsia="Times New Roman" w:hAnsi="Times New Roman"/>
                <w:sz w:val="18"/>
                <w:szCs w:val="18"/>
                <w:color w:val="auto"/>
              </w:rPr>
              <w:t xml:space="preserve">12,584 </w:t>
            </w:r>
            <w:r>
              <w:rPr>
                <w:rFonts w:ascii="Times New Roman" w:cs="Times New Roman" w:eastAsia="Times New Roman" w:hAnsi="Times New Roman"/>
                <w:sz w:val="24"/>
                <w:szCs w:val="24"/>
                <w:color w:val="auto"/>
                <w:vertAlign w:val="superscript"/>
              </w:rPr>
              <w:t>)</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26.75</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9/1/2025 to 9/30/2025</w:t>
            </w:r>
          </w:p>
        </w:tc>
        <w:tc>
          <w:tcPr>
            <w:tcW w:w="248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0"/>
        </w:trPr>
        <w:tc>
          <w:tcPr>
            <w:tcW w:w="580" w:type="dxa"/>
            <w:vAlign w:val="bottom"/>
          </w:tcPr>
          <w:p>
            <w:pPr>
              <w:spacing w:after="0"/>
              <w:rPr>
                <w:sz w:val="18"/>
                <w:szCs w:val="18"/>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12,584</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26.75</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-599440</wp:posOffset>
            </wp:positionV>
            <wp:extent cx="6412230" cy="1714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178" w:lineRule="exact"/>
        <w:rPr>
          <w:sz w:val="20"/>
          <w:szCs w:val="20"/>
          <w:color w:val="auto"/>
        </w:rPr>
      </w:pPr>
    </w:p>
    <w:p>
      <w:pPr>
        <w:jc w:val="both"/>
        <w:ind w:left="1140" w:hanging="383"/>
        <w:spacing w:after="0" w:line="25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28, 2025. On that date, the Board of Directors authorized the repurchase of 650,000 common shares between January 28, 2025 and December 31, 2025.</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or</w:t>
      </w:r>
    </w:p>
    <w:p>
      <w:pPr>
        <w:spacing w:after="0" w:line="1"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921">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921">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922">
              <w:r>
                <w:rPr>
                  <w:rFonts w:ascii="Times New Roman" w:cs="Times New Roman" w:eastAsia="Times New Roman" w:hAnsi="Times New Roman"/>
                  <w:sz w:val="18"/>
                  <w:szCs w:val="18"/>
                  <w:color w:val="0000FF"/>
                </w:rPr>
                <w:t>Amendment to Articles of Incorporation of the Registrant (incorporated by reference to Exhibit 3.1(b) to Registrant's Quarterly Report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922">
              <w:r>
                <w:rPr>
                  <w:rFonts w:ascii="Times New Roman" w:cs="Times New Roman" w:eastAsia="Times New Roman" w:hAnsi="Times New Roman"/>
                  <w:sz w:val="18"/>
                  <w:szCs w:val="18"/>
                  <w:color w:val="0000FF"/>
                </w:rPr>
                <w:t>Form 10-Q filed with the Commission on August 4,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923">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23">
              <w:r>
                <w:rPr>
                  <w:rFonts w:ascii="Times New Roman" w:cs="Times New Roman" w:eastAsia="Times New Roman" w:hAnsi="Times New Roman"/>
                  <w:sz w:val="18"/>
                  <w:szCs w:val="18"/>
                  <w:color w:val="0000FF"/>
                  <w:w w:val="99"/>
                </w:rPr>
                <w:t>Form 10-Q filed with the Commission on July 26, 2017).</w:t>
              </w:r>
            </w:hyperlink>
          </w:p>
        </w:tc>
        <w:tc>
          <w:tcPr>
            <w:tcW w:w="20" w:type="dxa"/>
            <w:vAlign w:val="bottom"/>
            <w:tcBorders>
              <w:bottom w:val="single" w:sz="8" w:color="0000EE"/>
            </w:tcBorders>
          </w:tcPr>
          <w:p>
            <w:pPr>
              <w:spacing w:after="0"/>
              <w:rPr>
                <w:sz w:val="17"/>
                <w:szCs w:val="17"/>
                <w:color w:val="auto"/>
              </w:rPr>
            </w:pPr>
          </w:p>
        </w:tc>
        <w:tc>
          <w:tcPr>
            <w:tcW w:w="59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924">
              <w:r>
                <w:rPr>
                  <w:rFonts w:ascii="Times New Roman" w:cs="Times New Roman" w:eastAsia="Times New Roman" w:hAnsi="Times New Roman"/>
                  <w:sz w:val="18"/>
                  <w:szCs w:val="18"/>
                  <w:color w:val="0000FF"/>
                  <w:w w:val="99"/>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924">
              <w:r>
                <w:rPr>
                  <w:rFonts w:ascii="Times New Roman" w:cs="Times New Roman" w:eastAsia="Times New Roman" w:hAnsi="Times New Roman"/>
                  <w:sz w:val="18"/>
                  <w:szCs w:val="18"/>
                  <w:color w:val="0000FF"/>
                  <w:w w:val="99"/>
                </w:rPr>
                <w:t>the Commission on February 26, 2020).</w:t>
              </w:r>
            </w:hyperlink>
          </w:p>
        </w:tc>
        <w:tc>
          <w:tcPr>
            <w:tcW w:w="722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Rule 13-a-14(a) Certification - CEO</w:t>
            </w:r>
          </w:p>
        </w:tc>
        <w:tc>
          <w:tcPr>
            <w:tcW w:w="748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Certification - CEO</w:t>
            </w:r>
          </w:p>
        </w:tc>
        <w:tc>
          <w:tcPr>
            <w:tcW w:w="180" w:type="dxa"/>
            <w:vAlign w:val="bottom"/>
            <w:tcBorders>
              <w:top w:val="single" w:sz="8" w:color="0000FF"/>
            </w:tcBorders>
          </w:tcPr>
          <w:p>
            <w:pPr>
              <w:spacing w:after="0"/>
              <w:rPr>
                <w:sz w:val="17"/>
                <w:szCs w:val="17"/>
                <w:color w:val="auto"/>
              </w:rPr>
            </w:pPr>
          </w:p>
        </w:tc>
        <w:tc>
          <w:tcPr>
            <w:tcW w:w="7500" w:type="dxa"/>
            <w:vAlign w:val="bottom"/>
            <w:gridSpan w:val="8"/>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within the Inline XBRL document. </w:t>
            </w:r>
            <w:r>
              <w:rPr>
                <w:rFonts w:ascii="Times New Roman" w:cs="Times New Roman" w:eastAsia="Times New Roman" w:hAnsi="Times New Roman"/>
                <w:sz w:val="24"/>
                <w:szCs w:val="24"/>
                <w:color w:val="auto"/>
                <w:vertAlign w:val="superscript"/>
              </w:rPr>
              <w:t>(1)</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40" w:right="20" w:hanging="1132"/>
        <w:spacing w:after="0" w:line="258"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2025, has been formatted in Inline XBRL.</w:t>
      </w:r>
    </w:p>
    <w:p>
      <w:pPr>
        <w:spacing w:after="0" w:line="200" w:lineRule="exact"/>
        <w:rPr>
          <w:sz w:val="20"/>
          <w:szCs w:val="20"/>
          <w:color w:val="auto"/>
        </w:rPr>
      </w:pPr>
    </w:p>
    <w:p>
      <w:pPr>
        <w:spacing w:after="0" w:line="212" w:lineRule="exact"/>
        <w:rPr>
          <w:sz w:val="20"/>
          <w:szCs w:val="20"/>
          <w:color w:val="auto"/>
        </w:rPr>
      </w:pPr>
    </w:p>
    <w:p>
      <w:pPr>
        <w:jc w:val="both"/>
        <w:ind w:firstLine="8"/>
        <w:spacing w:after="0" w:line="251" w:lineRule="auto"/>
        <w:tabs>
          <w:tab w:leader="none" w:pos="184"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32"/>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31, 2025</w:t>
            </w:r>
          </w:p>
        </w:tc>
        <w:tc>
          <w:tcPr>
            <w:tcW w:w="23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tcPr>
          <w:p>
            <w:pPr>
              <w:spacing w:after="0"/>
              <w:rPr>
                <w:sz w:val="16"/>
                <w:szCs w:val="16"/>
                <w:color w:val="auto"/>
              </w:rPr>
            </w:pPr>
          </w:p>
        </w:tc>
      </w:t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31, 2025</w:t>
            </w:r>
          </w:p>
        </w:tc>
        <w:tc>
          <w:tcPr>
            <w:tcW w:w="23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1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31,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31,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2025,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31,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2025,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31,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lowerLetter"/>
      <w:start w:val="1"/>
    </w:lvl>
  </w:abstractNum>
  <w:abstractNum w:abstractNumId="5">
    <w:nsid w:val="7FDCC233"/>
    <w:multiLevelType w:val="hybridMultilevel"/>
    <w:lvl w:ilvl="0">
      <w:lvlJc w:val="left"/>
      <w:lvlText w:val="%1."/>
      <w:numFmt w:val="decimal"/>
      <w:start w:val="7"/>
    </w:lvl>
    <w:lvl w:ilvl="1">
      <w:lvlJc w:val="left"/>
      <w:lvlText w:val="%2."/>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o"/>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5" Type="http://schemas.openxmlformats.org/officeDocument/2006/relationships/image" Target="media/image914.png"/><Relationship Id="rId926" Type="http://schemas.openxmlformats.org/officeDocument/2006/relationships/image" Target="media/image915.png"/><Relationship Id="rId927" Type="http://schemas.openxmlformats.org/officeDocument/2006/relationships/image" Target="media/image916.png"/><Relationship Id="rId928" Type="http://schemas.openxmlformats.org/officeDocument/2006/relationships/image" Target="media/image917.png"/><Relationship Id="rId929" Type="http://schemas.openxmlformats.org/officeDocument/2006/relationships/image" Target="media/image918.png"/><Relationship Id="rId930" Type="http://schemas.openxmlformats.org/officeDocument/2006/relationships/image" Target="media/image919.png"/><Relationship Id="rId931" Type="http://schemas.openxmlformats.org/officeDocument/2006/relationships/image" Target="media/image920.png"/><Relationship Id="rId932" Type="http://schemas.openxmlformats.org/officeDocument/2006/relationships/image" Target="media/image921.png"/><Relationship Id="rId933" Type="http://schemas.openxmlformats.org/officeDocument/2006/relationships/image" Target="media/image922.png"/><Relationship Id="rId921" Type="http://schemas.openxmlformats.org/officeDocument/2006/relationships/hyperlink" Target="https://www.sec.gov/Archives/edgar/data/792966/000119312517318709/d447990dex31.htm" TargetMode="External"/><Relationship Id="rId922" Type="http://schemas.openxmlformats.org/officeDocument/2006/relationships/hyperlink" Target="https://www.sec.gov/Archives/edgar/data/792966/000095017025101771/fmao-ex3_1b.htm" TargetMode="External"/><Relationship Id="rId923" Type="http://schemas.openxmlformats.org/officeDocument/2006/relationships/hyperlink" Target="https://www.sec.gov/Archives/edgar/data/792966/000119312517235925/d422994dex32.htm" TargetMode="External"/><Relationship Id="rId924"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2025-10-31T10:23:23Z</dcterms:created>
  <dcterms:modified xsi:type="dcterms:W3CDTF">2025-10-31T10:23:23Z</dcterms:modified>
</cp:coreProperties>
</file>